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52" w:lineRule="exact"/>
        <w:ind w:left="40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127759" cy="35052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127759" cy="35052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147" w:right="4124" w:firstLine="0"/>
        <w:jc w:val="center"/>
        <w:rPr>
          <w:rFonts w:ascii="宋体" w:hAnsi="宋体" w:cs="宋体" w:eastAsia="宋体" w:hint="default"/>
          <w:sz w:val="36"/>
          <w:szCs w:val="36"/>
        </w:rPr>
      </w:pPr>
      <w:r>
        <w:rPr>
          <w:rFonts w:ascii="宋体" w:hAnsi="宋体" w:cs="宋体" w:eastAsia="宋体" w:hint="default"/>
          <w:b/>
          <w:bCs/>
          <w:sz w:val="36"/>
          <w:szCs w:val="36"/>
        </w:rPr>
        <w:t>万达信息股份有限公司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145" w:right="412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147" w:right="41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公司负责人史一兵、主管会计工作负责人卞世军及会计机构负责人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郭伟民声明：保证年度报告中财务报告的真实、准确、完整。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公司在经营中可能存在行业政策风险、市场竞争风险、技术风险、管理风</w:t>
      </w:r>
      <w:r>
        <w:rPr>
          <w:rFonts w:ascii="宋体" w:hAnsi="宋体" w:cs="宋体" w:eastAsia="宋体" w:hint="default"/>
          <w:spacing w:val="3"/>
          <w:sz w:val="28"/>
          <w:szCs w:val="28"/>
        </w:rPr>
      </w:r>
    </w:p>
    <w:p>
      <w:pPr>
        <w:spacing w:line="410" w:lineRule="auto" w:before="0"/>
        <w:ind w:left="154" w:right="1136"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险，有关风险因素内容与采取的措施已在本报告中第四节“经营情况讨论与分</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析”之“九、公司未来发展的展望”部分予以描述。敬请广大投资者注意投资</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风险。</w:t>
      </w:r>
      <w:r>
        <w:rPr>
          <w:rFonts w:ascii="宋体" w:hAnsi="宋体" w:cs="宋体" w:eastAsia="宋体" w:hint="default"/>
          <w:sz w:val="28"/>
          <w:szCs w:val="28"/>
        </w:rPr>
      </w:r>
    </w:p>
    <w:p>
      <w:pPr>
        <w:spacing w:line="393" w:lineRule="auto" w:before="158"/>
        <w:ind w:left="154" w:right="1132" w:firstLine="562"/>
        <w:jc w:val="both"/>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公司经本次董事会审议通过的利润分配预案为：以未来实施</w:t>
      </w:r>
      <w:r>
        <w:rPr>
          <w:rFonts w:ascii="宋体" w:hAnsi="宋体" w:cs="宋体" w:eastAsia="宋体" w:hint="default"/>
          <w:b/>
          <w:bCs/>
          <w:spacing w:val="-103"/>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3"/>
          <w:sz w:val="28"/>
          <w:szCs w:val="28"/>
        </w:rPr>
        <w:t> </w:t>
      </w:r>
      <w:r>
        <w:rPr>
          <w:rFonts w:ascii="宋体" w:hAnsi="宋体" w:cs="宋体" w:eastAsia="宋体" w:hint="default"/>
          <w:b/>
          <w:bCs/>
          <w:sz w:val="28"/>
          <w:szCs w:val="28"/>
        </w:rPr>
        <w:t>年年度权</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益分配方案时股权登记日的总股本（剔除回购股份）为基数，向全体股东按每</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Times New Roman" w:hAnsi="Times New Roman" w:cs="Times New Roman" w:eastAsia="Times New Roman" w:hint="default"/>
          <w:b/>
          <w:bCs/>
          <w:w w:val="99"/>
          <w:sz w:val="28"/>
          <w:szCs w:val="28"/>
        </w:rPr>
        <w:t>10 </w:t>
      </w:r>
      <w:r>
        <w:rPr>
          <w:rFonts w:ascii="宋体" w:hAnsi="宋体" w:cs="宋体" w:eastAsia="宋体" w:hint="default"/>
          <w:b/>
          <w:bCs/>
          <w:w w:val="99"/>
          <w:sz w:val="28"/>
          <w:szCs w:val="28"/>
        </w:rPr>
        <w:t>股派发现金红利人民币 </w:t>
      </w:r>
      <w:r>
        <w:rPr>
          <w:rFonts w:ascii="Times New Roman" w:hAnsi="Times New Roman" w:cs="Times New Roman" w:eastAsia="Times New Roman" w:hint="default"/>
          <w:b/>
          <w:bCs/>
          <w:w w:val="99"/>
          <w:sz w:val="28"/>
          <w:szCs w:val="28"/>
        </w:rPr>
        <w:t>0.25</w:t>
      </w:r>
      <w:r>
        <w:rPr>
          <w:rFonts w:ascii="Times New Roman" w:hAnsi="Times New Roman" w:cs="Times New Roman" w:eastAsia="Times New Roman" w:hint="default"/>
          <w:b/>
          <w:bCs/>
          <w:spacing w:val="37"/>
          <w:w w:val="99"/>
          <w:sz w:val="28"/>
          <w:szCs w:val="28"/>
        </w:rPr>
        <w:t> </w:t>
      </w:r>
      <w:r>
        <w:rPr>
          <w:rFonts w:ascii="宋体" w:hAnsi="宋体" w:cs="宋体" w:eastAsia="宋体" w:hint="default"/>
          <w:b/>
          <w:bCs/>
          <w:spacing w:val="-7"/>
          <w:w w:val="99"/>
          <w:sz w:val="28"/>
          <w:szCs w:val="28"/>
        </w:rPr>
        <w:t>元（含税），不送红股，也不以资本公积金转增</w:t>
      </w:r>
      <w:r>
        <w:rPr>
          <w:rFonts w:ascii="宋体" w:hAnsi="宋体" w:cs="宋体" w:eastAsia="宋体" w:hint="default"/>
          <w:b/>
          <w:bCs/>
          <w:w w:val="99"/>
          <w:sz w:val="28"/>
          <w:szCs w:val="28"/>
        </w:rPr>
        <w:t> </w:t>
      </w:r>
      <w:r>
        <w:rPr>
          <w:rFonts w:ascii="宋体" w:hAnsi="宋体" w:cs="宋体" w:eastAsia="宋体" w:hint="default"/>
          <w:b/>
          <w:bCs/>
          <w:sz w:val="28"/>
          <w:szCs w:val="28"/>
        </w:rPr>
        <w:t>股本，剩余未分配利润结转入下一年度。</w:t>
      </w:r>
      <w:r>
        <w:rPr>
          <w:rFonts w:ascii="宋体" w:hAnsi="宋体" w:cs="宋体" w:eastAsia="宋体" w:hint="default"/>
          <w:sz w:val="28"/>
          <w:szCs w:val="28"/>
        </w:rPr>
      </w:r>
    </w:p>
    <w:p>
      <w:pPr>
        <w:spacing w:after="0" w:line="393"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147" w:right="412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214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pStyle w:val="Heading1"/>
        <w:spacing w:line="240" w:lineRule="auto" w:before="649"/>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pStyle w:val="Heading2"/>
        <w:spacing w:line="240" w:lineRule="auto" w:before="509"/>
        <w:ind w:right="0"/>
        <w:jc w:val="left"/>
        <w:rPr>
          <w:b w:val="0"/>
          <w:bCs w:val="0"/>
        </w:rPr>
      </w:pPr>
      <w:r>
        <w:rPr/>
        <w:pict>
          <v:group style="position:absolute;margin-left:172.339996pt;margin-top:138.885620pt;width:361.5pt;height:19.650pt;mso-position-horizontal-relative:page;mso-position-vertical-relative:paragraph;z-index:-1243024" coordorigin="3447,2778" coordsize="7230,393">
            <v:shape style="position:absolute;left:3447;top:2778;width:7230;height:393" coordorigin="3447,2778" coordsize="7230,393" path="m3447,3170l10676,3170,10676,2778,3447,2778,3447,3170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万达信息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300168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万达信息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Wonders </w:t>
            </w:r>
            <w:r>
              <w:rPr>
                <w:rFonts w:ascii="Times New Roman"/>
                <w:sz w:val="18"/>
              </w:rPr>
              <w:t>Information Co.,</w:t>
            </w:r>
            <w:r>
              <w:rPr>
                <w:rFonts w:ascii="Times New Roman"/>
                <w:spacing w:val="5"/>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3"/>
                <w:sz w:val="18"/>
              </w:rPr>
              <w:t>Wonders</w:t>
            </w:r>
            <w:r>
              <w:rPr>
                <w:rFonts w:ascii="Times New Roman"/>
                <w:spacing w:val="4"/>
                <w:sz w:val="18"/>
              </w:rPr>
              <w:t> </w:t>
            </w:r>
            <w:r>
              <w:rPr>
                <w:rFonts w:ascii="Times New Roman"/>
                <w:sz w:val="18"/>
              </w:rPr>
              <w:t>Information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史一兵</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上海市桂平路 </w:t>
            </w:r>
            <w:r>
              <w:rPr>
                <w:rFonts w:ascii="Times New Roman" w:hAnsi="Times New Roman" w:cs="Times New Roman" w:eastAsia="Times New Roman" w:hint="default"/>
                <w:sz w:val="18"/>
                <w:szCs w:val="18"/>
              </w:rPr>
              <w:t>481  </w:t>
            </w:r>
            <w:r>
              <w:rPr>
                <w:rFonts w:ascii="宋体" w:hAnsi="宋体" w:cs="宋体" w:eastAsia="宋体" w:hint="default"/>
                <w:sz w:val="18"/>
                <w:szCs w:val="18"/>
              </w:rPr>
              <w:t>号 </w:t>
            </w:r>
            <w:r>
              <w:rPr>
                <w:rFonts w:ascii="Times New Roman" w:hAnsi="Times New Roman" w:cs="Times New Roman" w:eastAsia="Times New Roman" w:hint="default"/>
                <w:sz w:val="18"/>
                <w:szCs w:val="18"/>
              </w:rPr>
              <w:t>20  </w:t>
            </w:r>
            <w:r>
              <w:rPr>
                <w:rFonts w:ascii="宋体" w:hAnsi="宋体" w:cs="宋体" w:eastAsia="宋体" w:hint="default"/>
                <w:sz w:val="18"/>
                <w:szCs w:val="18"/>
              </w:rPr>
              <w:t>号楼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上海市联航路 </w:t>
            </w:r>
            <w:r>
              <w:rPr>
                <w:rFonts w:ascii="Times New Roman" w:hAnsi="Times New Roman" w:cs="Times New Roman" w:eastAsia="Times New Roman" w:hint="default"/>
                <w:sz w:val="18"/>
                <w:szCs w:val="18"/>
              </w:rPr>
              <w:t>1518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201112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http://www.wondersgroup.com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bl>
    <w:p>
      <w:pPr>
        <w:spacing w:line="240" w:lineRule="auto" w:before="2"/>
        <w:rPr>
          <w:rFonts w:ascii="宋体" w:hAnsi="宋体" w:cs="宋体" w:eastAsia="宋体" w:hint="default"/>
          <w:b/>
          <w:bCs/>
          <w:sz w:val="20"/>
          <w:szCs w:val="20"/>
        </w:rPr>
      </w:pPr>
    </w:p>
    <w:p>
      <w:pPr>
        <w:pStyle w:val="Heading2"/>
        <w:spacing w:line="240" w:lineRule="auto"/>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王雯钰</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上海市联航路 </w:t>
            </w:r>
            <w:r>
              <w:rPr>
                <w:rFonts w:ascii="Times New Roman" w:hAnsi="Times New Roman" w:cs="Times New Roman" w:eastAsia="Times New Roman" w:hint="default"/>
                <w:sz w:val="18"/>
                <w:szCs w:val="18"/>
              </w:rPr>
              <w:t>1518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上海市联航路 </w:t>
            </w:r>
            <w:r>
              <w:rPr>
                <w:rFonts w:ascii="Times New Roman" w:hAnsi="Times New Roman" w:cs="Times New Roman" w:eastAsia="Times New Roman" w:hint="default"/>
                <w:sz w:val="18"/>
                <w:szCs w:val="18"/>
              </w:rPr>
              <w:t>1518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15921621686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15921621686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021-32140588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021-32140588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 《上海证券报</w:t>
            </w:r>
            <w:r>
              <w:rPr>
                <w:rFonts w:ascii="宋体" w:hAnsi="宋体" w:cs="宋体" w:eastAsia="宋体" w:hint="default"/>
                <w:spacing w:val="-90"/>
                <w:sz w:val="18"/>
                <w:szCs w:val="18"/>
              </w:rPr>
              <w:t>》</w:t>
            </w:r>
            <w:r>
              <w:rPr>
                <w:rFonts w:ascii="宋体" w:hAnsi="宋体" w:cs="宋体" w:eastAsia="宋体" w:hint="default"/>
                <w:sz w:val="18"/>
                <w:szCs w:val="18"/>
              </w:rPr>
              <w:t>、 《证券时报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上海市南京西路 </w:t>
            </w:r>
            <w:r>
              <w:rPr>
                <w:rFonts w:ascii="Times New Roman" w:hAnsi="Times New Roman" w:cs="Times New Roman" w:eastAsia="Times New Roman" w:hint="default"/>
                <w:sz w:val="18"/>
                <w:szCs w:val="18"/>
              </w:rPr>
              <w:t>1600  </w:t>
            </w:r>
            <w:r>
              <w:rPr>
                <w:rFonts w:ascii="宋体" w:hAnsi="宋体" w:cs="宋体" w:eastAsia="宋体" w:hint="default"/>
                <w:sz w:val="18"/>
                <w:szCs w:val="18"/>
              </w:rPr>
              <w:t>号 </w:t>
            </w:r>
            <w:r>
              <w:rPr>
                <w:rFonts w:ascii="Times New Roman" w:hAnsi="Times New Roman" w:cs="Times New Roman" w:eastAsia="Times New Roman" w:hint="default"/>
                <w:sz w:val="18"/>
                <w:szCs w:val="18"/>
              </w:rPr>
              <w:t>5  </w:t>
            </w:r>
            <w:r>
              <w:rPr>
                <w:rFonts w:ascii="宋体" w:hAnsi="宋体" w:cs="宋体" w:eastAsia="宋体" w:hint="default"/>
                <w:sz w:val="18"/>
                <w:szCs w:val="18"/>
              </w:rPr>
              <w:t>楼、深圳证券交易所</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黄晔，吴旻</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瑞信方正证券有限责任公司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北京市西城区金融大街甲九 号金融街中心南楼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沈睟、宋斌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广州市天河区珠江西路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号广</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州国际金融中心主塔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李孝君、石建华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2,204,681,762.59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2,415,482,575.09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2,075,038,837.09</w:t>
            </w:r>
          </w:p>
        </w:tc>
      </w:tr>
      <w:tr>
        <w:trPr>
          <w:trHeight w:val="63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231,999,258.41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326,506,950.26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238,273,171.08</w:t>
            </w:r>
          </w:p>
        </w:tc>
      </w:tr>
      <w:tr>
        <w:trPr>
          <w:trHeight w:val="63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161,127,827.47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243,354,172.32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240,009,931.07</w:t>
            </w:r>
          </w:p>
        </w:tc>
      </w:tr>
      <w:tr>
        <w:trPr>
          <w:trHeight w:val="63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72,256,130.59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-234,039,910.73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115,167,030.68</w:t>
            </w: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0.2189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0.3167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-30.88%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0.2343</w:t>
            </w: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0.2146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0.2320</w:t>
            </w:r>
          </w:p>
        </w:tc>
      </w:tr>
      <w:tr>
        <w:trPr>
          <w:trHeight w:val="32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13.39%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2"/>
                <w:sz w:val="18"/>
              </w:rPr>
              <w:t>11.30%</w:t>
            </w: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7,820,192,006.25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8,003,876,625.67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6,027,402,592.06</w:t>
            </w:r>
          </w:p>
        </w:tc>
      </w:tr>
      <w:tr>
        <w:trPr>
          <w:trHeight w:val="63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3,632,726,941.60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2,752,502,872.43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2,276,058,761.61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308,212,981.93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701,708,778.49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557,639,297.64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637,120,704.53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4,907,737.20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72,289,552.78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74,799,397.56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80,002,570.87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3,666,040.58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33,572,728.59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69,863,199.97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54,025,858.32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-652,739,391.04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157,904,106.73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-47,485,659.48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2" w:right="0"/>
              <w:jc w:val="left"/>
              <w:rPr>
                <w:rFonts w:ascii="Times New Roman" w:hAnsi="Times New Roman" w:cs="Times New Roman" w:eastAsia="Times New Roman" w:hint="default"/>
                <w:sz w:val="18"/>
                <w:szCs w:val="18"/>
              </w:rPr>
            </w:pPr>
            <w:r>
              <w:rPr>
                <w:rFonts w:ascii="Times New Roman"/>
                <w:sz w:val="18"/>
              </w:rPr>
              <w:t>614,577,074.38</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-26,616.58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-101,381.93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-101,763.72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30,903,180.24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24,130,755.33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21,725,625.51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167,949.81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-26,410.29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64,639.76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-1,143,712.32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20,104,592.90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-20,315,252.63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股权处置收益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46,590,169.75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55,433,883.09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5,369,934.13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15,204,332.54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2,992,302.59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249,605.83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1,184,328.62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117,706.32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70,871,430.94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83,152,777.94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-1,736,759.99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16" w:lineRule="auto" w:before="102"/>
        <w:ind w:left="514" w:right="0" w:hanging="360"/>
        <w:jc w:val="left"/>
      </w:pPr>
      <w:r>
        <w:rPr/>
        <w:t>（一）公司的主要业务 </w:t>
      </w:r>
      <w:r>
        <w:rPr>
          <w:spacing w:val="-2"/>
        </w:rPr>
        <w:t>公司紧紧围绕民生服务与智慧城市两大核心领域，不断强化在医疗健康、民生保障、政务管理与服务、平安城市等行业</w:t>
      </w:r>
    </w:p>
    <w:p>
      <w:pPr>
        <w:pStyle w:val="BodyText"/>
        <w:spacing w:line="307" w:lineRule="auto" w:before="19"/>
        <w:ind w:right="1129"/>
        <w:jc w:val="both"/>
      </w:pPr>
      <w:r>
        <w:rPr>
          <w:spacing w:val="-2"/>
        </w:rPr>
        <w:t>的核心优势，持续投入资源，巩固公司在云服务、大数据和人工智能等方面的竞争优势，以更好地促进政务信息资源及民生</w:t>
      </w:r>
      <w:r>
        <w:rPr>
          <w:spacing w:val="-66"/>
        </w:rPr>
        <w:t> </w:t>
      </w:r>
      <w:r>
        <w:rPr>
          <w:spacing w:val="-66"/>
        </w:rPr>
      </w:r>
      <w:r>
        <w:rPr>
          <w:spacing w:val="-2"/>
        </w:rPr>
        <w:t>服务资源共享互认，提高政府服务效率，不断完善服务民生的功能；深入参与推动</w:t>
      </w:r>
      <w:r>
        <w:rPr>
          <w:rFonts w:ascii="Times New Roman" w:hAnsi="Times New Roman" w:cs="Times New Roman" w:eastAsia="Times New Roman" w:hint="default"/>
          <w:spacing w:val="-2"/>
        </w:rPr>
        <w:t>“</w:t>
      </w:r>
      <w:r>
        <w:rPr>
          <w:spacing w:val="-2"/>
        </w:rPr>
        <w:t>三医联动</w:t>
      </w:r>
      <w:r>
        <w:rPr>
          <w:rFonts w:ascii="Times New Roman" w:hAnsi="Times New Roman" w:cs="Times New Roman" w:eastAsia="Times New Roman" w:hint="default"/>
          <w:spacing w:val="-2"/>
        </w:rPr>
        <w:t>”</w:t>
      </w:r>
      <w:r>
        <w:rPr>
          <w:spacing w:val="-2"/>
        </w:rPr>
        <w:t>、医共体、医联体等方面的建</w:t>
      </w:r>
      <w:r>
        <w:rPr>
          <w:spacing w:val="-47"/>
        </w:rPr>
        <w:t> </w:t>
      </w:r>
      <w:r>
        <w:rPr>
          <w:spacing w:val="-47"/>
        </w:rPr>
      </w:r>
      <w:r>
        <w:rPr>
          <w:spacing w:val="-2"/>
        </w:rPr>
        <w:t>设，积极为智慧医疗、智慧医院作出贡献。</w:t>
      </w:r>
      <w:r>
        <w:rPr>
          <w:rFonts w:ascii="Times New Roman" w:hAnsi="Times New Roman" w:cs="Times New Roman" w:eastAsia="Times New Roman" w:hint="default"/>
          <w:spacing w:val="-2"/>
        </w:rPr>
        <w:t>2018</w:t>
      </w:r>
      <w:r>
        <w:rPr>
          <w:spacing w:val="-2"/>
        </w:rPr>
        <w:t>年，公司不断拓展用户基础，优化业务结构，积极通过创新业务推动收入来</w:t>
      </w:r>
      <w:r>
        <w:rPr>
          <w:spacing w:val="-63"/>
        </w:rPr>
        <w:t> </w:t>
      </w:r>
      <w:r>
        <w:rPr>
          <w:spacing w:val="-63"/>
        </w:rPr>
      </w:r>
      <w:r>
        <w:rPr/>
        <w:t>源的多元化。</w:t>
      </w:r>
    </w:p>
    <w:p>
      <w:pPr>
        <w:pStyle w:val="BodyText"/>
        <w:spacing w:line="240" w:lineRule="auto" w:before="26"/>
        <w:ind w:right="0"/>
        <w:jc w:val="both"/>
      </w:pPr>
      <w:r>
        <w:rPr/>
        <w:t>一、民生服务</w:t>
      </w:r>
    </w:p>
    <w:p>
      <w:pPr>
        <w:pStyle w:val="BodyText"/>
        <w:spacing w:line="240" w:lineRule="auto" w:before="76"/>
        <w:ind w:right="0"/>
        <w:jc w:val="both"/>
      </w:pPr>
      <w:r>
        <w:rPr>
          <w:rFonts w:ascii="Times New Roman" w:hAnsi="Times New Roman" w:cs="Times New Roman" w:eastAsia="Times New Roman" w:hint="default"/>
        </w:rPr>
        <w:t>1</w:t>
      </w:r>
      <w:r>
        <w:rPr/>
        <w:t>、医疗健康</w:t>
      </w:r>
    </w:p>
    <w:p>
      <w:pPr>
        <w:pStyle w:val="BodyText"/>
        <w:spacing w:line="319" w:lineRule="auto" w:before="63"/>
        <w:ind w:right="0" w:firstLine="360"/>
        <w:jc w:val="left"/>
      </w:pPr>
      <w:r>
        <w:rPr>
          <w:spacing w:val="-2"/>
        </w:rPr>
        <w:t>公司自</w:t>
      </w:r>
      <w:r>
        <w:rPr>
          <w:rFonts w:ascii="宋体" w:hAnsi="宋体" w:cs="宋体" w:eastAsia="宋体" w:hint="default"/>
          <w:spacing w:val="-2"/>
        </w:rPr>
        <w:t>1997</w:t>
      </w:r>
      <w:r>
        <w:rPr>
          <w:spacing w:val="-2"/>
        </w:rPr>
        <w:t>年进入医疗卫生领域以来，经过</w:t>
      </w:r>
      <w:r>
        <w:rPr>
          <w:rFonts w:ascii="宋体" w:hAnsi="宋体" w:cs="宋体" w:eastAsia="宋体" w:hint="default"/>
          <w:spacing w:val="-2"/>
        </w:rPr>
        <w:t>20</w:t>
      </w:r>
      <w:r>
        <w:rPr>
          <w:spacing w:val="-2"/>
        </w:rPr>
        <w:t>多年的发展和积累，已在“医疗、医保、医药”三医领域建立了全方位的</w:t>
      </w:r>
      <w:r>
        <w:rPr/>
        <w:t> 软件和数据平台服务能力，奠定了坚实的用户基础，为</w:t>
      </w:r>
      <w:r>
        <w:rPr>
          <w:rFonts w:ascii="宋体" w:hAnsi="宋体" w:cs="宋体" w:eastAsia="宋体" w:hint="default"/>
        </w:rPr>
        <w:t>6</w:t>
      </w:r>
      <w:r>
        <w:rPr/>
        <w:t>亿多人提供医疗健康服务。万达信息医疗健康行业的解决方案定位 于构建政府、医疗卫生机构和市场相互协调发展的生态圈，应用大数据分析、互联网</w:t>
      </w:r>
      <w:r>
        <w:rPr>
          <w:rFonts w:ascii="宋体" w:hAnsi="宋体" w:cs="宋体" w:eastAsia="宋体" w:hint="default"/>
        </w:rPr>
        <w:t>+</w:t>
      </w:r>
      <w:r>
        <w:rPr/>
        <w:t>技术、人工智能等，实现健康服务惠 </w:t>
      </w:r>
      <w:r>
        <w:rPr>
          <w:spacing w:val="-7"/>
        </w:rPr>
        <w:t>民。根据</w:t>
      </w:r>
      <w:r>
        <w:rPr>
          <w:rFonts w:ascii="宋体" w:hAnsi="宋体" w:cs="宋体" w:eastAsia="宋体" w:hint="default"/>
          <w:spacing w:val="-7"/>
        </w:rPr>
        <w:t>2018</w:t>
      </w:r>
      <w:r>
        <w:rPr>
          <w:spacing w:val="-7"/>
        </w:rPr>
        <w:t>年</w:t>
      </w:r>
      <w:r>
        <w:rPr>
          <w:rFonts w:ascii="宋体" w:hAnsi="宋体" w:cs="宋体" w:eastAsia="宋体" w:hint="default"/>
          <w:spacing w:val="-7"/>
        </w:rPr>
        <w:t>4</w:t>
      </w:r>
      <w:r>
        <w:rPr>
          <w:spacing w:val="-7"/>
        </w:rPr>
        <w:t>月国务院常务会议审议通过的《关于促进“互联网</w:t>
      </w:r>
      <w:r>
        <w:rPr>
          <w:rFonts w:ascii="宋体" w:hAnsi="宋体" w:cs="宋体" w:eastAsia="宋体" w:hint="default"/>
          <w:spacing w:val="-7"/>
        </w:rPr>
        <w:t>+</w:t>
      </w:r>
      <w:r>
        <w:rPr>
          <w:spacing w:val="-7"/>
        </w:rPr>
        <w:t>医疗健康”发展的意见》，公司积极开拓在“三医联动”、</w:t>
      </w:r>
      <w:r>
        <w:rPr>
          <w:spacing w:val="-33"/>
        </w:rPr>
        <w:t> </w:t>
      </w:r>
      <w:r>
        <w:rPr>
          <w:spacing w:val="-33"/>
        </w:rPr>
      </w:r>
      <w:r>
        <w:rPr/>
        <w:t>“互联网</w:t>
      </w:r>
      <w:r>
        <w:rPr>
          <w:rFonts w:ascii="宋体" w:hAnsi="宋体" w:cs="宋体" w:eastAsia="宋体" w:hint="default"/>
        </w:rPr>
        <w:t>+</w:t>
      </w:r>
      <w:r>
        <w:rPr/>
        <w:t>医疗健康”、</w:t>
      </w:r>
      <w:r>
        <w:rPr>
          <w:rFonts w:ascii="宋体" w:hAnsi="宋体" w:cs="宋体" w:eastAsia="宋体" w:hint="default"/>
        </w:rPr>
        <w:t>DRGs</w:t>
      </w:r>
      <w:r>
        <w:rPr/>
        <w:t>大数据模式等方面的产品与服务。</w:t>
      </w:r>
    </w:p>
    <w:p>
      <w:pPr>
        <w:pStyle w:val="BodyText"/>
        <w:spacing w:line="240" w:lineRule="auto" w:before="17"/>
        <w:ind w:right="0"/>
        <w:jc w:val="both"/>
      </w:pPr>
      <w:r>
        <w:rPr/>
        <w:t>（</w:t>
      </w:r>
      <w:r>
        <w:rPr>
          <w:rFonts w:ascii="Times New Roman" w:hAnsi="Times New Roman" w:cs="Times New Roman" w:eastAsia="Times New Roman" w:hint="default"/>
        </w:rPr>
        <w:t>1</w:t>
      </w:r>
      <w:r>
        <w:rPr/>
        <w:t>）三医领域</w:t>
      </w:r>
    </w:p>
    <w:p>
      <w:pPr>
        <w:pStyle w:val="BodyText"/>
        <w:spacing w:line="316" w:lineRule="auto" w:before="63"/>
        <w:ind w:right="0" w:firstLine="360"/>
        <w:jc w:val="left"/>
      </w:pPr>
      <w:r>
        <w:rPr>
          <w:spacing w:val="-2"/>
        </w:rPr>
        <w:t>根据国家医疗保障局的管理需求和工作部署，公司充分发挥在医疗卫生、医保和医药领域长期扎实积累的优势，不断通</w:t>
      </w:r>
      <w:r>
        <w:rPr/>
        <w:t> 过新产品和新服务，深度参与“三医联动”、分级诊疗、医共体和医联体等方面的改革。</w:t>
      </w:r>
    </w:p>
    <w:p>
      <w:pPr>
        <w:pStyle w:val="BodyText"/>
        <w:spacing w:line="316" w:lineRule="auto" w:before="19"/>
        <w:ind w:right="1129" w:firstLine="360"/>
        <w:jc w:val="both"/>
      </w:pPr>
      <w:r>
        <w:rPr>
          <w:spacing w:val="-2"/>
        </w:rPr>
        <w:t>在医疗卫生领域，公司建设的医院系统、基层卫生系统、区域卫生平台、公共卫生系统、远程诊疗等业务系统服务了全</w:t>
      </w:r>
      <w:r>
        <w:rPr/>
        <w:t> </w:t>
      </w:r>
      <w:r>
        <w:rPr>
          <w:spacing w:val="-2"/>
        </w:rPr>
        <w:t>国</w:t>
      </w:r>
      <w:r>
        <w:rPr>
          <w:rFonts w:ascii="宋体" w:hAnsi="宋体" w:cs="宋体" w:eastAsia="宋体" w:hint="default"/>
          <w:spacing w:val="-2"/>
        </w:rPr>
        <w:t>6</w:t>
      </w:r>
      <w:r>
        <w:rPr>
          <w:spacing w:val="-2"/>
        </w:rPr>
        <w:t>亿人群。公司是区域卫生市场的领导者，覆盖了全国近</w:t>
      </w:r>
      <w:r>
        <w:rPr>
          <w:rFonts w:ascii="宋体" w:hAnsi="宋体" w:cs="宋体" w:eastAsia="宋体" w:hint="default"/>
          <w:spacing w:val="-2"/>
        </w:rPr>
        <w:t>20</w:t>
      </w:r>
      <w:r>
        <w:rPr>
          <w:spacing w:val="-2"/>
        </w:rPr>
        <w:t>个省份、近</w:t>
      </w:r>
      <w:r>
        <w:rPr>
          <w:rFonts w:ascii="宋体" w:hAnsi="宋体" w:cs="宋体" w:eastAsia="宋体" w:hint="default"/>
          <w:spacing w:val="-2"/>
        </w:rPr>
        <w:t>200</w:t>
      </w:r>
      <w:r>
        <w:rPr>
          <w:spacing w:val="-2"/>
        </w:rPr>
        <w:t>个地市、</w:t>
      </w:r>
      <w:r>
        <w:rPr>
          <w:rFonts w:ascii="宋体" w:hAnsi="宋体" w:cs="宋体" w:eastAsia="宋体" w:hint="default"/>
          <w:spacing w:val="-2"/>
        </w:rPr>
        <w:t>1000</w:t>
      </w:r>
      <w:r>
        <w:rPr>
          <w:spacing w:val="-2"/>
        </w:rPr>
        <w:t>余个区县；公司是医疗市场的领先</w:t>
      </w:r>
      <w:r>
        <w:rPr>
          <w:spacing w:val="-57"/>
        </w:rPr>
        <w:t> </w:t>
      </w:r>
      <w:r>
        <w:rPr>
          <w:spacing w:val="-57"/>
        </w:rPr>
      </w:r>
      <w:r>
        <w:rPr>
          <w:spacing w:val="-2"/>
        </w:rPr>
        <w:t>者，公司承建的医院系统覆盖了</w:t>
      </w:r>
      <w:r>
        <w:rPr>
          <w:rFonts w:ascii="宋体" w:hAnsi="宋体" w:cs="宋体" w:eastAsia="宋体" w:hint="default"/>
          <w:spacing w:val="-2"/>
        </w:rPr>
        <w:t>43</w:t>
      </w:r>
      <w:r>
        <w:rPr>
          <w:spacing w:val="-2"/>
        </w:rPr>
        <w:t>家三级以上医院、</w:t>
      </w:r>
      <w:r>
        <w:rPr>
          <w:rFonts w:ascii="宋体" w:hAnsi="宋体" w:cs="宋体" w:eastAsia="宋体" w:hint="default"/>
          <w:spacing w:val="-2"/>
        </w:rPr>
        <w:t>76</w:t>
      </w:r>
      <w:r>
        <w:rPr>
          <w:spacing w:val="-2"/>
        </w:rPr>
        <w:t>家二级医院、</w:t>
      </w:r>
      <w:r>
        <w:rPr>
          <w:rFonts w:ascii="宋体" w:hAnsi="宋体" w:cs="宋体" w:eastAsia="宋体" w:hint="default"/>
          <w:spacing w:val="-2"/>
        </w:rPr>
        <w:t>1200</w:t>
      </w:r>
      <w:r>
        <w:rPr>
          <w:spacing w:val="-2"/>
        </w:rPr>
        <w:t>余家社区（乡镇卫生院以及养老院）、</w:t>
      </w:r>
      <w:r>
        <w:rPr>
          <w:rFonts w:ascii="宋体" w:hAnsi="宋体" w:cs="宋体" w:eastAsia="宋体" w:hint="default"/>
          <w:spacing w:val="-2"/>
        </w:rPr>
        <w:t>8000</w:t>
      </w:r>
      <w:r>
        <w:rPr>
          <w:spacing w:val="-2"/>
        </w:rPr>
        <w:t>余家社</w:t>
      </w:r>
      <w:r>
        <w:rPr>
          <w:spacing w:val="-55"/>
        </w:rPr>
        <w:t> </w:t>
      </w:r>
      <w:r>
        <w:rPr>
          <w:spacing w:val="-2"/>
        </w:rPr>
        <w:t>区卫生服务站（村卫生室）；公司是公共卫生市场的改革者，创新的公共卫生服务模式服务覆盖国家级、省级、地市级、区</w:t>
      </w:r>
      <w:r>
        <w:rPr>
          <w:spacing w:val="-71"/>
        </w:rPr>
        <w:t> </w:t>
      </w:r>
      <w:r>
        <w:rPr>
          <w:spacing w:val="-71"/>
        </w:rPr>
      </w:r>
      <w:r>
        <w:rPr/>
        <w:t>县级客户，客户数量超过</w:t>
      </w:r>
      <w:r>
        <w:rPr>
          <w:rFonts w:ascii="宋体" w:hAnsi="宋体" w:cs="宋体" w:eastAsia="宋体" w:hint="default"/>
        </w:rPr>
        <w:t>1200</w:t>
      </w:r>
      <w:r>
        <w:rPr/>
        <w:t>个。</w:t>
      </w:r>
    </w:p>
    <w:p>
      <w:pPr>
        <w:pStyle w:val="BodyText"/>
        <w:spacing w:line="316" w:lineRule="auto" w:before="19"/>
        <w:ind w:right="1132" w:firstLine="360"/>
        <w:jc w:val="both"/>
      </w:pPr>
      <w:r>
        <w:rPr/>
        <w:t>公司不断投入核心资源，持续开发建设新一代医疗信息系统，覆盖医院信息平台、平台化</w:t>
      </w:r>
      <w:r>
        <w:rPr>
          <w:rFonts w:ascii="宋体" w:hAnsi="宋体" w:cs="宋体" w:eastAsia="宋体" w:hint="default"/>
        </w:rPr>
        <w:t>HIS</w:t>
      </w:r>
      <w:r>
        <w:rPr/>
        <w:t>、结构化电子病历、平台 </w:t>
      </w:r>
      <w:r>
        <w:rPr>
          <w:spacing w:val="-4"/>
        </w:rPr>
        <w:t>化</w:t>
      </w:r>
      <w:r>
        <w:rPr>
          <w:rFonts w:ascii="宋体" w:hAnsi="宋体" w:cs="宋体" w:eastAsia="宋体" w:hint="default"/>
          <w:spacing w:val="-4"/>
        </w:rPr>
        <w:t>HRP</w:t>
      </w:r>
      <w:r>
        <w:rPr>
          <w:spacing w:val="-4"/>
        </w:rPr>
        <w:t>、多院区管理的数据中心、统一的知识和权限管理以及医疗大数据分析等应用，以支持分级诊疗、“三医联动”、“互</w:t>
      </w:r>
      <w:r>
        <w:rPr>
          <w:spacing w:val="-40"/>
        </w:rPr>
        <w:t> </w:t>
      </w:r>
      <w:r>
        <w:rPr>
          <w:spacing w:val="-40"/>
        </w:rPr>
      </w:r>
      <w:r>
        <w:rPr/>
        <w:t>联网</w:t>
      </w:r>
      <w:r>
        <w:rPr>
          <w:rFonts w:ascii="宋体" w:hAnsi="宋体" w:cs="宋体" w:eastAsia="宋体" w:hint="default"/>
        </w:rPr>
        <w:t>+</w:t>
      </w:r>
      <w:r>
        <w:rPr/>
        <w:t>医疗健康”等稳定扩展。</w:t>
      </w:r>
    </w:p>
    <w:p>
      <w:pPr>
        <w:pStyle w:val="BodyText"/>
        <w:spacing w:line="316" w:lineRule="auto" w:before="19"/>
        <w:ind w:right="1032" w:firstLine="360"/>
        <w:jc w:val="left"/>
      </w:pPr>
      <w:r>
        <w:rPr/>
        <w:t>在医保领域，公司建设的实时结算、异地结算、医保控费等业务系统覆盖了全国</w:t>
      </w:r>
      <w:r>
        <w:rPr>
          <w:rFonts w:ascii="宋体" w:hAnsi="宋体" w:cs="宋体" w:eastAsia="宋体" w:hint="default"/>
        </w:rPr>
        <w:t>10</w:t>
      </w:r>
      <w:r>
        <w:rPr/>
        <w:t>多个省市、</w:t>
      </w:r>
      <w:r>
        <w:rPr>
          <w:rFonts w:ascii="宋体" w:hAnsi="宋体" w:cs="宋体" w:eastAsia="宋体" w:hint="default"/>
        </w:rPr>
        <w:t>30</w:t>
      </w:r>
      <w:r>
        <w:rPr/>
        <w:t>多个地市、</w:t>
      </w:r>
      <w:r>
        <w:rPr>
          <w:rFonts w:ascii="宋体" w:hAnsi="宋体" w:cs="宋体" w:eastAsia="宋体" w:hint="default"/>
        </w:rPr>
        <w:t>100</w:t>
      </w:r>
      <w:r>
        <w:rPr/>
        <w:t>余个统 筹区域，服务了全国</w:t>
      </w:r>
      <w:r>
        <w:rPr>
          <w:rFonts w:ascii="宋体" w:hAnsi="宋体" w:cs="宋体" w:eastAsia="宋体" w:hint="default"/>
        </w:rPr>
        <w:t>3.5</w:t>
      </w:r>
      <w:r>
        <w:rPr/>
        <w:t>亿人群。公司在宁波承建的医保监管系统得到了国务院的肯定，医保监控已成功推广至全国近百个 </w:t>
      </w:r>
      <w:r>
        <w:rPr>
          <w:spacing w:val="-2"/>
        </w:rPr>
        <w:t>统筹区域。</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月，公司承建的全国首个异地就医门诊实时结算平台——长三角跨区域就医门诊费用直接结算系统上线</w:t>
      </w:r>
      <w:r>
        <w:rPr>
          <w:spacing w:val="-58"/>
        </w:rPr>
        <w:t> </w:t>
      </w:r>
      <w:r>
        <w:rPr>
          <w:spacing w:val="-58"/>
        </w:rPr>
      </w:r>
      <w:r>
        <w:rPr/>
        <w:t>运行，八地互通门诊直接结算，长三角“医保一体化”取得了实质性进展。公司参与国家目录标准制定，获得国家级</w:t>
      </w:r>
      <w:r>
        <w:rPr>
          <w:rFonts w:ascii="宋体" w:hAnsi="宋体" w:cs="宋体" w:eastAsia="宋体" w:hint="default"/>
        </w:rPr>
        <w:t>DRGs </w:t>
      </w:r>
      <w:r>
        <w:rPr>
          <w:spacing w:val="-2"/>
        </w:rPr>
        <w:t>分组授权，利用大数据突破传统医疗费用计算方式，积极参与建设新一代医保支付系统。公司探索建设的广州医保按病种付</w:t>
      </w:r>
      <w:r>
        <w:rPr>
          <w:spacing w:val="-66"/>
        </w:rPr>
        <w:t> </w:t>
      </w:r>
      <w:r>
        <w:rPr>
          <w:spacing w:val="-66"/>
        </w:rPr>
      </w:r>
      <w:r>
        <w:rPr/>
        <w:t>费模式基于大数据理念，利用本地海量数据资源，还原医疗服务流程，经过多轮的收敛、归并，形成</w:t>
      </w:r>
      <w:r>
        <w:rPr>
          <w:rFonts w:ascii="宋体" w:hAnsi="宋体" w:cs="宋体" w:eastAsia="宋体" w:hint="default"/>
        </w:rPr>
        <w:t>12000</w:t>
      </w:r>
      <w:r>
        <w:rPr/>
        <w:t>个病种组合，拟 </w:t>
      </w:r>
      <w:r>
        <w:rPr>
          <w:spacing w:val="-2"/>
        </w:rPr>
        <w:t>算地区支付标准。</w:t>
      </w:r>
      <w:r>
        <w:rPr>
          <w:rFonts w:ascii="宋体" w:hAnsi="宋体" w:cs="宋体" w:eastAsia="宋体" w:hint="default"/>
          <w:spacing w:val="-2"/>
        </w:rPr>
        <w:t>DRGs</w:t>
      </w:r>
      <w:r>
        <w:rPr>
          <w:spacing w:val="-2"/>
        </w:rPr>
        <w:t>广州大数据模式有望在全国逐步推广。同时，公司充分利用大数据资源与服务方面的优势，在坚持数</w:t>
      </w:r>
      <w:r>
        <w:rPr>
          <w:spacing w:val="-61"/>
        </w:rPr>
        <w:t> </w:t>
      </w:r>
      <w:r>
        <w:rPr>
          <w:spacing w:val="-61"/>
        </w:rPr>
      </w:r>
      <w:r>
        <w:rPr>
          <w:spacing w:val="-2"/>
        </w:rPr>
        <w:t>据使用的合法性、安全性与合规性的原则下，积极开拓与各大保险公司在保险产品的开发营销、保险核保和理赔等方面开展</w:t>
      </w:r>
      <w:r>
        <w:rPr>
          <w:spacing w:val="-66"/>
        </w:rPr>
        <w:t> </w:t>
      </w:r>
      <w:r>
        <w:rPr>
          <w:spacing w:val="-66"/>
        </w:rPr>
      </w:r>
      <w:r>
        <w:rPr/>
        <w:t>紧密合作，打通医疗管理部门与各大商业机构的数据鸿沟，以不断拓展公司在企业端和个人端的用户基础，优化用户结构，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22" w:hanging="360"/>
        <w:jc w:val="left"/>
      </w:pPr>
      <w:r>
        <w:rPr/>
        <w:t>通过新的商业模式不断增加可持续性的现金流收入。 在医药领域，公司承建了全国级的全国药品临床试验管理平台，以及省级核心平台上海市招采配用一体化平台（</w:t>
      </w:r>
      <w:r>
        <w:rPr>
          <w:rFonts w:ascii="宋体" w:hAnsi="宋体" w:cs="宋体" w:eastAsia="宋体" w:hint="default"/>
        </w:rPr>
        <w:t>4+7</w:t>
      </w:r>
      <w:r>
        <w:rPr/>
        <w:t>带</w:t>
      </w:r>
    </w:p>
    <w:p>
      <w:pPr>
        <w:pStyle w:val="BodyText"/>
        <w:spacing w:line="316" w:lineRule="auto" w:before="19"/>
        <w:ind w:right="1131"/>
        <w:jc w:val="both"/>
      </w:pPr>
      <w:r>
        <w:rPr>
          <w:spacing w:val="-2"/>
        </w:rPr>
        <w:t>量采购平台）。上海市的阳光采购平台，对接了全国近</w:t>
      </w:r>
      <w:r>
        <w:rPr>
          <w:rFonts w:ascii="宋体" w:hAnsi="宋体" w:cs="宋体" w:eastAsia="宋体" w:hint="default"/>
          <w:spacing w:val="-2"/>
        </w:rPr>
        <w:t>6500</w:t>
      </w:r>
      <w:r>
        <w:rPr>
          <w:spacing w:val="-2"/>
        </w:rPr>
        <w:t>家医药企业、上海本地</w:t>
      </w:r>
      <w:r>
        <w:rPr>
          <w:rFonts w:ascii="宋体" w:hAnsi="宋体" w:cs="宋体" w:eastAsia="宋体" w:hint="default"/>
          <w:spacing w:val="-2"/>
        </w:rPr>
        <w:t>1500</w:t>
      </w:r>
      <w:r>
        <w:rPr>
          <w:spacing w:val="-2"/>
        </w:rPr>
        <w:t>余家医疗机构，真正实现了药品采购</w:t>
      </w:r>
      <w:r>
        <w:rPr>
          <w:spacing w:val="-59"/>
        </w:rPr>
        <w:t> </w:t>
      </w:r>
      <w:r>
        <w:rPr>
          <w:spacing w:val="-59"/>
        </w:rPr>
      </w:r>
      <w:r>
        <w:rPr>
          <w:spacing w:val="-2"/>
        </w:rPr>
        <w:t>的两票制，减少了中间流通环节，目前采购平台月均交易额超过</w:t>
      </w:r>
      <w:r>
        <w:rPr>
          <w:rFonts w:ascii="宋体" w:hAnsi="宋体" w:cs="宋体" w:eastAsia="宋体" w:hint="default"/>
          <w:spacing w:val="-2"/>
        </w:rPr>
        <w:t>50</w:t>
      </w:r>
      <w:r>
        <w:rPr>
          <w:spacing w:val="-2"/>
        </w:rPr>
        <w:t>亿元，取得了良好的经济和社会效益。根据国家医疗保障</w:t>
      </w:r>
      <w:r>
        <w:rPr>
          <w:spacing w:val="-64"/>
        </w:rPr>
        <w:t> </w:t>
      </w:r>
      <w:r>
        <w:rPr>
          <w:spacing w:val="-64"/>
        </w:rPr>
      </w:r>
      <w:r>
        <w:rPr/>
        <w:t>局的管理要求，这种药品集中采购模式有望在全国推广。同时，公司与上海、河北、福建、陕西、四川、浙江等省市的近</w:t>
      </w:r>
      <w:r>
        <w:rPr>
          <w:rFonts w:ascii="宋体" w:hAnsi="宋体" w:cs="宋体" w:eastAsia="宋体" w:hint="default"/>
        </w:rPr>
        <w:t>5 </w:t>
      </w:r>
      <w:r>
        <w:rPr/>
        <w:t>万家药店达成医药</w:t>
      </w:r>
      <w:r>
        <w:rPr>
          <w:rFonts w:ascii="宋体" w:hAnsi="宋体" w:cs="宋体" w:eastAsia="宋体" w:hint="default"/>
        </w:rPr>
        <w:t>O2O</w:t>
      </w:r>
      <w:r>
        <w:rPr/>
        <w:t>供应协议，为全面实施医药分开、处方共享和药品外配打下坚实的基础。公司积极实施向公众服务的 </w:t>
      </w:r>
      <w:r>
        <w:rPr>
          <w:spacing w:val="-2"/>
        </w:rPr>
        <w:t>医药云平台，链接医院、药店和患者，优化患者购药流程，实现处方外配、网上购药、线上比价、在线支付和药品追溯等功</w:t>
      </w:r>
      <w:r>
        <w:rPr>
          <w:spacing w:val="-72"/>
        </w:rPr>
        <w:t> </w:t>
      </w:r>
      <w:r>
        <w:rPr>
          <w:spacing w:val="-72"/>
        </w:rPr>
      </w:r>
      <w:r>
        <w:rPr/>
        <w:t>能，在为医院、药店、患者提供智慧互联服务的同时，有助于公司拓展用户和优化收入结构。</w:t>
      </w:r>
    </w:p>
    <w:p>
      <w:pPr>
        <w:pStyle w:val="BodyText"/>
        <w:spacing w:line="300" w:lineRule="auto" w:before="19"/>
        <w:ind w:left="514" w:right="1122" w:hanging="360"/>
        <w:jc w:val="left"/>
      </w:pPr>
      <w:r>
        <w:rPr/>
        <w:t>（</w:t>
      </w:r>
      <w:r>
        <w:rPr>
          <w:rFonts w:ascii="Times New Roman" w:hAnsi="Times New Roman" w:cs="Times New Roman" w:eastAsia="Times New Roman" w:hint="default"/>
        </w:rPr>
        <w:t>2</w:t>
      </w:r>
      <w:r>
        <w:rPr/>
        <w:t>）健康云</w:t>
      </w:r>
      <w:r>
        <w:rPr>
          <w:rFonts w:ascii="Times New Roman" w:hAnsi="Times New Roman" w:cs="Times New Roman" w:eastAsia="Times New Roman" w:hint="default"/>
        </w:rPr>
        <w:t>——</w:t>
      </w:r>
      <w:r>
        <w:rPr/>
        <w:t>城市级</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服务平台初见成效 </w:t>
      </w:r>
      <w:r>
        <w:rPr>
          <w:rFonts w:ascii="宋体" w:hAnsi="宋体" w:cs="宋体" w:eastAsia="宋体" w:hint="default"/>
        </w:rPr>
        <w:t>2014</w:t>
      </w:r>
      <w:r>
        <w:rPr/>
        <w:t>年公司提出了“互联网</w:t>
      </w:r>
      <w:r>
        <w:rPr>
          <w:rFonts w:ascii="宋体" w:hAnsi="宋体" w:cs="宋体" w:eastAsia="宋体" w:hint="default"/>
        </w:rPr>
        <w:t>+</w:t>
      </w:r>
      <w:r>
        <w:rPr/>
        <w:t>产业”发展战略，开启了新一轮战略研发。经过</w:t>
      </w:r>
      <w:r>
        <w:rPr>
          <w:rFonts w:ascii="宋体" w:hAnsi="宋体" w:cs="宋体" w:eastAsia="宋体" w:hint="default"/>
        </w:rPr>
        <w:t>4</w:t>
      </w:r>
      <w:r>
        <w:rPr/>
        <w:t>年的持续研发投入，公司的“互联网</w:t>
      </w:r>
      <w:r>
        <w:rPr>
          <w:rFonts w:ascii="宋体" w:hAnsi="宋体" w:cs="宋体" w:eastAsia="宋体" w:hint="default"/>
        </w:rPr>
        <w:t>+</w:t>
      </w:r>
      <w:r>
        <w:rPr/>
        <w:t>医</w:t>
      </w:r>
    </w:p>
    <w:p>
      <w:pPr>
        <w:pStyle w:val="BodyText"/>
        <w:spacing w:line="316" w:lineRule="auto" w:before="31"/>
        <w:ind w:right="1043"/>
        <w:jc w:val="both"/>
      </w:pPr>
      <w:r>
        <w:rPr>
          <w:spacing w:val="-4"/>
        </w:rPr>
        <w:t>疗健康”服务平台“健康云”，已在多地投入建设和运营。健康云连接市民、家庭医生、临床医生和公共卫生业务管理人员，</w:t>
      </w:r>
      <w:r>
        <w:rPr>
          <w:spacing w:val="-48"/>
        </w:rPr>
        <w:t> </w:t>
      </w:r>
      <w:r>
        <w:rPr>
          <w:spacing w:val="-48"/>
        </w:rPr>
      </w:r>
      <w:r>
        <w:rPr/>
        <w:t>实现“家庭签约、慢病服务、自主管理、亲情关爱”的线上及线下融合的服务流程。</w:t>
      </w:r>
    </w:p>
    <w:p>
      <w:pPr>
        <w:pStyle w:val="BodyText"/>
        <w:spacing w:line="316" w:lineRule="auto" w:before="19"/>
        <w:ind w:right="0" w:firstLine="360"/>
        <w:jc w:val="left"/>
      </w:pPr>
      <w:r>
        <w:rPr/>
        <w:t>作为城市级医疗健康服务的互联网总入口，健康云平台连接三医核心业务，基于公司云平台，逐步打造了互联网</w:t>
      </w:r>
      <w:r>
        <w:rPr>
          <w:rFonts w:ascii="宋体" w:hAnsi="宋体" w:cs="宋体" w:eastAsia="宋体" w:hint="default"/>
        </w:rPr>
        <w:t>+</w:t>
      </w:r>
      <w:r>
        <w:rPr/>
        <w:t>医疗 健康</w:t>
      </w:r>
      <w:r>
        <w:rPr>
          <w:rFonts w:ascii="宋体" w:hAnsi="宋体" w:cs="宋体" w:eastAsia="宋体" w:hint="default"/>
        </w:rPr>
        <w:t>&amp;</w:t>
      </w:r>
      <w:r>
        <w:rPr/>
        <w:t>大数据服务平台。健康云平台实现了诊前、诊中、诊后以及慢病管理的全流程服务，提供统一认证、统一支付、电子 </w:t>
      </w:r>
      <w:r>
        <w:rPr>
          <w:spacing w:val="-4"/>
        </w:rPr>
        <w:t>处方、网上商城、商保服务、互联网医院等基本服务，在健康评估、疾病筛查、就医智能辅助等方面进一步发挥成效。同时，</w:t>
      </w:r>
      <w:r>
        <w:rPr>
          <w:spacing w:val="-46"/>
        </w:rPr>
        <w:t> </w:t>
      </w:r>
      <w:r>
        <w:rPr>
          <w:spacing w:val="-46"/>
        </w:rPr>
      </w:r>
      <w:r>
        <w:rPr>
          <w:spacing w:val="-2"/>
        </w:rPr>
        <w:t>健康云平台作为城市级健康大数据平台，向社会各界开放增值服务的接入，可接入包括直营和产业合作等互联网入口，为传</w:t>
      </w:r>
      <w:r>
        <w:rPr>
          <w:spacing w:val="-66"/>
        </w:rPr>
        <w:t> </w:t>
      </w:r>
      <w:r>
        <w:rPr>
          <w:spacing w:val="-66"/>
        </w:rPr>
      </w:r>
      <w:r>
        <w:rPr/>
        <w:t>统行业接入互联网赋能。</w:t>
      </w:r>
    </w:p>
    <w:p>
      <w:pPr>
        <w:pStyle w:val="BodyText"/>
        <w:spacing w:line="316" w:lineRule="auto" w:before="19"/>
        <w:ind w:right="1129" w:firstLine="360"/>
        <w:jc w:val="both"/>
      </w:pPr>
      <w:r>
        <w:rPr>
          <w:spacing w:val="-2"/>
        </w:rPr>
        <w:t>健康云平台上线以来，取得了良好的社会效益，目前已在上海、台州、宁波、义乌、温州、北京昌平区、四川省投入建</w:t>
      </w:r>
      <w:r>
        <w:rPr/>
        <w:t> 设，其中，上海和台州的健康云已进入运营期。“上海健康云”已成为上海“互联网</w:t>
      </w:r>
      <w:r>
        <w:rPr>
          <w:rFonts w:ascii="宋体" w:hAnsi="宋体" w:cs="宋体" w:eastAsia="宋体" w:hint="default"/>
        </w:rPr>
        <w:t>+</w:t>
      </w:r>
      <w:r>
        <w:rPr/>
        <w:t>医疗健康”唯一入口，实现了对上海 </w:t>
      </w:r>
      <w:r>
        <w:rPr>
          <w:rFonts w:ascii="宋体" w:hAnsi="宋体" w:cs="宋体" w:eastAsia="宋体" w:hint="default"/>
          <w:spacing w:val="-2"/>
        </w:rPr>
        <w:t>16</w:t>
      </w:r>
      <w:r>
        <w:rPr>
          <w:spacing w:val="-2"/>
        </w:rPr>
        <w:t>个区的服务全覆盖，注册总用户数突破</w:t>
      </w:r>
      <w:r>
        <w:rPr>
          <w:rFonts w:ascii="宋体" w:hAnsi="宋体" w:cs="宋体" w:eastAsia="宋体" w:hint="default"/>
          <w:spacing w:val="-2"/>
        </w:rPr>
        <w:t>370</w:t>
      </w:r>
      <w:r>
        <w:rPr>
          <w:spacing w:val="-2"/>
        </w:rPr>
        <w:t>万人，注册医生数</w:t>
      </w:r>
      <w:r>
        <w:rPr>
          <w:rFonts w:ascii="宋体" w:hAnsi="宋体" w:cs="宋体" w:eastAsia="宋体" w:hint="default"/>
          <w:spacing w:val="-2"/>
        </w:rPr>
        <w:t>12000</w:t>
      </w:r>
      <w:r>
        <w:rPr>
          <w:spacing w:val="-2"/>
        </w:rPr>
        <w:t>余人，为百万慢性病患者提供闭环管理服务。“台州健</w:t>
      </w:r>
      <w:r>
        <w:rPr>
          <w:spacing w:val="-57"/>
        </w:rPr>
        <w:t> </w:t>
      </w:r>
      <w:r>
        <w:rPr>
          <w:spacing w:val="-57"/>
        </w:rPr>
      </w:r>
      <w:r>
        <w:rPr>
          <w:spacing w:val="-2"/>
        </w:rPr>
        <w:t>康云”是台州市“互联网</w:t>
      </w:r>
      <w:r>
        <w:rPr>
          <w:rFonts w:ascii="宋体" w:hAnsi="宋体" w:cs="宋体" w:eastAsia="宋体" w:hint="default"/>
          <w:spacing w:val="-2"/>
        </w:rPr>
        <w:t>+</w:t>
      </w:r>
      <w:r>
        <w:rPr>
          <w:spacing w:val="-2"/>
        </w:rPr>
        <w:t>医疗健康”官方唯一承运方，注册总用户数突破</w:t>
      </w:r>
      <w:r>
        <w:rPr>
          <w:rFonts w:ascii="宋体" w:hAnsi="宋体" w:cs="宋体" w:eastAsia="宋体" w:hint="default"/>
          <w:spacing w:val="-2"/>
        </w:rPr>
        <w:t>70</w:t>
      </w:r>
      <w:r>
        <w:rPr>
          <w:spacing w:val="-2"/>
        </w:rPr>
        <w:t>万人，对接全市</w:t>
      </w:r>
      <w:r>
        <w:rPr>
          <w:rFonts w:ascii="宋体" w:hAnsi="宋体" w:cs="宋体" w:eastAsia="宋体" w:hint="default"/>
          <w:spacing w:val="-2"/>
        </w:rPr>
        <w:t>200</w:t>
      </w:r>
      <w:r>
        <w:rPr>
          <w:spacing w:val="-2"/>
        </w:rPr>
        <w:t>余家医疗机构，健康卡发卡</w:t>
      </w:r>
      <w:r>
        <w:rPr>
          <w:spacing w:val="-61"/>
        </w:rPr>
        <w:t> </w:t>
      </w:r>
      <w:r>
        <w:rPr>
          <w:spacing w:val="-61"/>
        </w:rPr>
      </w:r>
      <w:r>
        <w:rPr>
          <w:rFonts w:ascii="宋体" w:hAnsi="宋体" w:cs="宋体" w:eastAsia="宋体" w:hint="default"/>
        </w:rPr>
        <w:t>405</w:t>
      </w:r>
      <w:r>
        <w:rPr/>
        <w:t>万张，电子发票出票超过</w:t>
      </w:r>
      <w:r>
        <w:rPr>
          <w:rFonts w:ascii="宋体" w:hAnsi="宋体" w:cs="宋体" w:eastAsia="宋体" w:hint="default"/>
        </w:rPr>
        <w:t>1000</w:t>
      </w:r>
      <w:r>
        <w:rPr/>
        <w:t>万张。公司正在将健康云平台的成功模式快速复制到其他省市，公司的用户结构和收入结 构也将随之更加多元化。</w:t>
      </w:r>
    </w:p>
    <w:p>
      <w:pPr>
        <w:pStyle w:val="BodyText"/>
        <w:spacing w:line="240" w:lineRule="auto" w:before="19"/>
        <w:ind w:right="0"/>
        <w:jc w:val="left"/>
      </w:pPr>
      <w:r>
        <w:rPr>
          <w:rFonts w:ascii="Times New Roman" w:hAnsi="Times New Roman" w:cs="Times New Roman" w:eastAsia="Times New Roman" w:hint="default"/>
        </w:rPr>
        <w:t>2</w:t>
      </w:r>
      <w:r>
        <w:rPr/>
        <w:t>、民生保障</w:t>
      </w:r>
    </w:p>
    <w:p>
      <w:pPr>
        <w:pStyle w:val="BodyText"/>
        <w:spacing w:line="316" w:lineRule="auto" w:before="63"/>
        <w:ind w:right="1050" w:firstLine="360"/>
        <w:jc w:val="left"/>
      </w:pPr>
      <w:r>
        <w:rPr/>
        <w:t>紧紧围绕我国人力资源和民生保障事业的发展进程，万达信息所建立的民生工程信息化解决方案技术先进、部署灵活、 安全可靠，该解决方案以人社部平台框架为基础，以公司自主研发的人社一体化</w:t>
      </w:r>
      <w:r>
        <w:rPr>
          <w:rFonts w:ascii="宋体" w:hAnsi="宋体" w:cs="宋体" w:eastAsia="宋体" w:hint="default"/>
        </w:rPr>
        <w:t>WSSIP</w:t>
      </w:r>
      <w:r>
        <w:rPr/>
        <w:t>平台为支撑，坚持“一个（云计算） 中心、两个规范体系”，覆盖就业、社会保障、人才队伍建设、劳动关系等领域，公司全力构筑</w:t>
      </w:r>
      <w:r>
        <w:rPr>
          <w:rFonts w:ascii="宋体" w:hAnsi="宋体" w:cs="宋体" w:eastAsia="宋体" w:hint="default"/>
        </w:rPr>
        <w:t>AI-SI</w:t>
      </w:r>
      <w:r>
        <w:rPr/>
        <w:t>智慧民生服务体系， 打造民生保障基础能力（</w:t>
      </w:r>
      <w:r>
        <w:rPr>
          <w:rFonts w:ascii="宋体" w:hAnsi="宋体" w:cs="宋体" w:eastAsia="宋体" w:hint="default"/>
        </w:rPr>
        <w:t>Abllity</w:t>
      </w:r>
      <w:r>
        <w:rPr/>
        <w:t>）、技术革新（</w:t>
      </w:r>
      <w:r>
        <w:rPr>
          <w:rFonts w:ascii="宋体" w:hAnsi="宋体" w:cs="宋体" w:eastAsia="宋体" w:hint="default"/>
        </w:rPr>
        <w:t>Innovation</w:t>
      </w:r>
      <w:r>
        <w:rPr/>
        <w:t>）、场景化服务（</w:t>
      </w:r>
      <w:r>
        <w:rPr>
          <w:rFonts w:ascii="宋体" w:hAnsi="宋体" w:cs="宋体" w:eastAsia="宋体" w:hint="default"/>
        </w:rPr>
        <w:t>Scene</w:t>
      </w:r>
      <w:r>
        <w:rPr/>
        <w:t>）以及智能物联（</w:t>
      </w:r>
      <w:r>
        <w:rPr>
          <w:rFonts w:ascii="宋体" w:hAnsi="宋体" w:cs="宋体" w:eastAsia="宋体" w:hint="default"/>
        </w:rPr>
        <w:t>Iot</w:t>
      </w:r>
      <w:r>
        <w:rPr/>
        <w:t>）四大系列产品 和服务，推动民生保障服务升级，引领行业发展。</w:t>
      </w:r>
    </w:p>
    <w:p>
      <w:pPr>
        <w:pStyle w:val="BodyText"/>
        <w:spacing w:line="316" w:lineRule="auto" w:before="19"/>
        <w:ind w:right="0" w:firstLine="360"/>
        <w:jc w:val="left"/>
      </w:pPr>
      <w:r>
        <w:rPr>
          <w:spacing w:val="-2"/>
        </w:rPr>
        <w:t>在报告期内，公司积极参与人社部和民政部等国家级平台建设，不断在四川、青海、山东、内蒙古等地拓展省级平台的</w:t>
      </w:r>
      <w:r>
        <w:rPr/>
        <w:t> </w:t>
      </w:r>
      <w:r>
        <w:rPr>
          <w:spacing w:val="-2"/>
        </w:rPr>
        <w:t>建设；公司充分发挥在大数据领域的技术优势，在镇江、温州等地大力推动大数据平台的建设与创新应用，以数据流不断促</w:t>
      </w:r>
      <w:r>
        <w:rPr>
          <w:spacing w:val="-66"/>
        </w:rPr>
        <w:t> </w:t>
      </w:r>
      <w:r>
        <w:rPr>
          <w:spacing w:val="-66"/>
        </w:rPr>
      </w:r>
      <w:r>
        <w:rPr>
          <w:spacing w:val="-4"/>
        </w:rPr>
        <w:t>进民生保障服务效率的提升；公司根据用户的需求，持续研发与大数据、云计算相关的产品及服务，通过承接在上海、青岛、</w:t>
      </w:r>
      <w:r>
        <w:rPr>
          <w:spacing w:val="-44"/>
        </w:rPr>
        <w:t> </w:t>
      </w:r>
      <w:r>
        <w:rPr>
          <w:spacing w:val="-44"/>
        </w:rPr>
      </w:r>
      <w:r>
        <w:rPr/>
        <w:t>重庆、宁波等地的核心民生保障项目，通过在深圳成功上线的千万级</w:t>
      </w:r>
      <w:r>
        <w:rPr>
          <w:rFonts w:ascii="宋体" w:hAnsi="宋体" w:cs="宋体" w:eastAsia="宋体" w:hint="default"/>
        </w:rPr>
        <w:t>LEAF6</w:t>
      </w:r>
      <w:r>
        <w:rPr/>
        <w:t>分布式社保系统，不断以基于新技术的新模式， 优化民生保障的管理与服务。</w:t>
      </w:r>
    </w:p>
    <w:p>
      <w:pPr>
        <w:pStyle w:val="BodyText"/>
        <w:spacing w:line="316" w:lineRule="auto" w:before="19"/>
        <w:ind w:right="1131" w:firstLine="360"/>
        <w:jc w:val="both"/>
      </w:pPr>
      <w:r>
        <w:rPr>
          <w:spacing w:val="-2"/>
        </w:rPr>
        <w:t>当今，老年人消费市场增长强劲，老龄产业有望成为经济发展新的增长点。根据国务院《关于全面放开养老服务市场提</w:t>
      </w:r>
      <w:r>
        <w:rPr/>
        <w:t> 升养老服务质量的若干意见》，公司利用在民生保障行业深耕的能力和经验，结合“互联网</w:t>
      </w:r>
      <w:r>
        <w:rPr>
          <w:rFonts w:ascii="宋体" w:hAnsi="宋体" w:cs="宋体" w:eastAsia="宋体" w:hint="default"/>
        </w:rPr>
        <w:t>+</w:t>
      </w:r>
      <w:r>
        <w:rPr/>
        <w:t>护理”的创新试点，公司建设 </w:t>
      </w:r>
      <w:r>
        <w:rPr>
          <w:spacing w:val="-2"/>
        </w:rPr>
        <w:t>的养老云综合服务平台，专门从事智慧养老产品的研发和运营服务。该综合服务平台主要包括六大平台：面向政府管理机构</w:t>
      </w:r>
      <w:r>
        <w:rPr>
          <w:spacing w:val="-66"/>
        </w:rPr>
        <w:t> </w:t>
      </w:r>
      <w:r>
        <w:rPr>
          <w:spacing w:val="-66"/>
        </w:rPr>
      </w:r>
      <w:r>
        <w:rPr>
          <w:spacing w:val="-2"/>
        </w:rPr>
        <w:t>的医养结合管理云平台、面向政府管理机构与保险公司的长期护理保险综合信息管理云平台、面向地产养老企业的地产颐养</w:t>
      </w:r>
      <w:r>
        <w:rPr>
          <w:spacing w:val="-64"/>
        </w:rPr>
        <w:t> </w:t>
      </w:r>
      <w:r>
        <w:rPr>
          <w:spacing w:val="-64"/>
        </w:rPr>
      </w:r>
      <w:r>
        <w:rPr>
          <w:spacing w:val="-2"/>
        </w:rPr>
        <w:t>社区管理云平台、面向养老机构的养老机构管理云平台、面向政府管理机构及运营公司的社区综合为老服务云平台以及面向</w:t>
      </w:r>
      <w:r>
        <w:rPr>
          <w:spacing w:val="-64"/>
        </w:rPr>
        <w:t> </w:t>
      </w:r>
      <w:r>
        <w:rPr>
          <w:spacing w:val="-64"/>
        </w:rPr>
      </w:r>
      <w:r>
        <w:rPr>
          <w:spacing w:val="-2"/>
        </w:rPr>
        <w:t>护理服务机构的居家护理机构管理云平台。目前，“养老云”综合服务平台已覆盖上海、重庆、温州、烟台、义乌等多个省</w:t>
      </w:r>
      <w:r>
        <w:rPr>
          <w:spacing w:val="-66"/>
        </w:rPr>
        <w:t> </w:t>
      </w:r>
      <w:r>
        <w:rPr>
          <w:spacing w:val="-66"/>
        </w:rPr>
      </w:r>
      <w:r>
        <w:rPr/>
        <w:t>市政府管理部门以及多地养老机构。</w:t>
      </w:r>
    </w:p>
    <w:p>
      <w:pPr>
        <w:pStyle w:val="BodyText"/>
        <w:spacing w:line="316" w:lineRule="auto" w:before="19"/>
        <w:ind w:right="1133" w:firstLine="360"/>
        <w:jc w:val="both"/>
      </w:pPr>
      <w:r>
        <w:rPr>
          <w:spacing w:val="-2"/>
        </w:rPr>
        <w:t>公司致力于通过在大数据、云计算和人工智能等领域的持续投入，以智能物联与智慧养老相融合，建立面向政府全过程</w:t>
      </w:r>
      <w:r>
        <w:rPr/>
        <w:t> 监督的监管平台、面向企业或社区的养老经营平台、以及面向老年人群的</w:t>
      </w:r>
      <w:r>
        <w:rPr>
          <w:rFonts w:ascii="宋体" w:hAnsi="宋体" w:cs="宋体" w:eastAsia="宋体" w:hint="default"/>
        </w:rPr>
        <w:t>O2O</w:t>
      </w:r>
      <w:r>
        <w:rPr/>
        <w:t>平台，从而为老年人群的养老提供功能丰富、 高效的智能监测、康复和看护等一站式的智慧养老服务。</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t>在智慧教育行业，万达信息围绕市民出生前后起步的早教、</w:t>
      </w:r>
      <w:r>
        <w:rPr>
          <w:rFonts w:ascii="宋体" w:hAnsi="宋体" w:cs="宋体" w:eastAsia="宋体" w:hint="default"/>
        </w:rPr>
        <w:t>K12</w:t>
      </w:r>
      <w:r>
        <w:rPr/>
        <w:t>阶段的普教、成长过程的职业教育和高等教育以及退休 </w:t>
      </w:r>
      <w:r>
        <w:rPr>
          <w:spacing w:val="-2"/>
        </w:rPr>
        <w:t>后的老年教育，为每个人建立终身教育的学习档案。万达信息植根于丰富的教育科研资源，建设教育数据中心、教育资源中</w:t>
      </w:r>
      <w:r>
        <w:rPr>
          <w:spacing w:val="-66"/>
        </w:rPr>
        <w:t> </w:t>
      </w:r>
      <w:r>
        <w:rPr>
          <w:spacing w:val="-66"/>
        </w:rPr>
      </w:r>
      <w:r>
        <w:rPr/>
        <w:t>心和服务中心，致力于成为最专业、最优秀的教育信息化整体解决方案供应商，为教育改革提供有力的支持和保障。</w:t>
      </w:r>
    </w:p>
    <w:p>
      <w:pPr>
        <w:pStyle w:val="BodyText"/>
        <w:spacing w:line="319" w:lineRule="auto" w:before="19"/>
        <w:ind w:right="1130" w:firstLine="360"/>
        <w:jc w:val="both"/>
      </w:pPr>
      <w:r>
        <w:rPr>
          <w:spacing w:val="-2"/>
        </w:rPr>
        <w:t>在智慧环保行业，万达信息创新服务形式和内容，依托环保综合云，整合环保业务、数据、流程和设备，形成以物联网</w:t>
      </w:r>
      <w:r>
        <w:rPr/>
        <w:t> </w:t>
      </w:r>
      <w:r>
        <w:rPr>
          <w:spacing w:val="-2"/>
        </w:rPr>
        <w:t>和大数据应用为核心的“智慧环保”解决方案。面向政府提供精准的物联监测数据和多元的智慧监管手段，利用多模式环境</w:t>
      </w:r>
      <w:r>
        <w:rPr>
          <w:spacing w:val="-65"/>
        </w:rPr>
        <w:t> </w:t>
      </w:r>
      <w:r>
        <w:rPr>
          <w:spacing w:val="-65"/>
        </w:rPr>
      </w:r>
      <w:r>
        <w:rPr>
          <w:spacing w:val="-2"/>
        </w:rPr>
        <w:t>质量评估模型以及大数据分析，科学决策污染管控方案，实现对污染源和大环境的精细化管理；面向企业提供污染排放管控</w:t>
      </w:r>
      <w:r>
        <w:rPr>
          <w:spacing w:val="-65"/>
        </w:rPr>
        <w:t> </w:t>
      </w:r>
      <w:r>
        <w:rPr>
          <w:spacing w:val="-65"/>
        </w:rPr>
      </w:r>
      <w:r>
        <w:rPr>
          <w:spacing w:val="-2"/>
        </w:rPr>
        <w:t>监督、自行信息公开和环保行为信用评价服务；面向公众，提供对环境状况知情与监督服务，提升环境数据在公众服务领域</w:t>
      </w:r>
      <w:r>
        <w:rPr>
          <w:spacing w:val="-66"/>
        </w:rPr>
        <w:t> </w:t>
      </w:r>
      <w:r>
        <w:rPr>
          <w:spacing w:val="-66"/>
        </w:rPr>
      </w:r>
      <w:r>
        <w:rPr/>
        <w:t>的应用和共享价值。</w:t>
      </w:r>
    </w:p>
    <w:p>
      <w:pPr>
        <w:pStyle w:val="BodyText"/>
        <w:spacing w:line="316" w:lineRule="auto" w:before="17"/>
        <w:ind w:right="1131" w:firstLine="360"/>
        <w:jc w:val="both"/>
      </w:pPr>
      <w:r>
        <w:rPr>
          <w:spacing w:val="-2"/>
        </w:rPr>
        <w:t>在文化旅游行业，万达信息以智慧“文化云”技术为核心贯穿应用形成“智慧文化”，在数字图书馆、数字化校园、数</w:t>
      </w:r>
      <w:r>
        <w:rPr/>
        <w:t> </w:t>
      </w:r>
      <w:r>
        <w:rPr>
          <w:spacing w:val="-2"/>
        </w:rPr>
        <w:t>字博物馆、数字档案馆等领域形成智慧应用的核心竞争力，同时提供文化创意平台、展览展示设计施工、文化类项目咨询与</w:t>
      </w:r>
      <w:r>
        <w:rPr>
          <w:spacing w:val="-66"/>
        </w:rPr>
        <w:t> </w:t>
      </w:r>
      <w:r>
        <w:rPr>
          <w:spacing w:val="-66"/>
        </w:rPr>
      </w:r>
      <w:r>
        <w:rPr>
          <w:spacing w:val="-2"/>
        </w:rPr>
        <w:t>运营服务等。结合智慧旅游，策划有文化创意的旅游产品和主题活动，提升用户体验，带动文化和旅游相关产业发展，提升</w:t>
      </w:r>
      <w:r>
        <w:rPr>
          <w:spacing w:val="-66"/>
        </w:rPr>
        <w:t> </w:t>
      </w:r>
      <w:r>
        <w:rPr>
          <w:spacing w:val="-66"/>
        </w:rPr>
      </w:r>
      <w:r>
        <w:rPr/>
        <w:t>城市的品牌形象，在增加旅游经济效益的同时体现城市的人文魅力。</w:t>
      </w:r>
    </w:p>
    <w:p>
      <w:pPr>
        <w:pStyle w:val="BodyText"/>
        <w:spacing w:line="240" w:lineRule="auto" w:before="19"/>
        <w:ind w:right="0"/>
        <w:jc w:val="left"/>
      </w:pPr>
      <w:r>
        <w:rPr/>
        <w:t>二、智慧城市</w:t>
      </w:r>
    </w:p>
    <w:p>
      <w:pPr>
        <w:pStyle w:val="BodyText"/>
        <w:spacing w:line="316" w:lineRule="auto" w:before="76"/>
        <w:ind w:right="1132" w:firstLine="360"/>
        <w:jc w:val="both"/>
      </w:pPr>
      <w:r>
        <w:rPr>
          <w:rFonts w:ascii="宋体" w:hAnsi="宋体" w:cs="宋体" w:eastAsia="宋体" w:hint="default"/>
          <w:spacing w:val="-2"/>
        </w:rPr>
        <w:t>2018</w:t>
      </w:r>
      <w:r>
        <w:rPr>
          <w:spacing w:val="-2"/>
        </w:rPr>
        <w:t>年，国家发布《智慧城市信息技术运营指南》，该指南有助于提升智慧城市信息化建设水平和建设质量，有助于规</w:t>
      </w:r>
      <w:r>
        <w:rPr/>
        <w:t> </w:t>
      </w:r>
      <w:r>
        <w:rPr>
          <w:spacing w:val="-2"/>
        </w:rPr>
        <w:t>范智慧城市市场。公司作为国内智慧城市领域的领军企业，充分抓住良好的发展机遇，全面巩固和夯实在智慧城市领域的优</w:t>
      </w:r>
      <w:r>
        <w:rPr>
          <w:spacing w:val="-66"/>
        </w:rPr>
        <w:t> </w:t>
      </w:r>
      <w:r>
        <w:rPr>
          <w:spacing w:val="-66"/>
        </w:rPr>
      </w:r>
      <w:r>
        <w:rPr/>
        <w:t>势地位。</w:t>
      </w:r>
    </w:p>
    <w:p>
      <w:pPr>
        <w:pStyle w:val="BodyText"/>
        <w:spacing w:line="300" w:lineRule="auto" w:before="19"/>
        <w:ind w:left="514" w:right="1118" w:hanging="360"/>
        <w:jc w:val="left"/>
      </w:pPr>
      <w:r>
        <w:rPr>
          <w:rFonts w:ascii="Times New Roman" w:hAnsi="Times New Roman" w:cs="Times New Roman" w:eastAsia="Times New Roman" w:hint="default"/>
        </w:rPr>
        <w:t>1</w:t>
      </w:r>
      <w:r>
        <w:rPr/>
        <w:t>、政务管理与服务 </w:t>
      </w:r>
      <w:r>
        <w:rPr>
          <w:spacing w:val="-2"/>
        </w:rPr>
        <w:t>万达信息长期以来为政府相关部门提供信息化解决方案，以满足政府各职能部门不断提升的对管理和服务的要求，支持</w:t>
      </w:r>
    </w:p>
    <w:p>
      <w:pPr>
        <w:pStyle w:val="BodyText"/>
        <w:spacing w:line="316" w:lineRule="auto" w:before="31"/>
        <w:ind w:right="1118"/>
        <w:jc w:val="left"/>
      </w:pPr>
      <w:r>
        <w:rPr>
          <w:spacing w:val="-2"/>
        </w:rPr>
        <w:t>政务资源的梳理、架构政府信息资源目录体系，以实现政务资源共享与业务协同，以优化政务服务流程，提升政府管理决策</w:t>
      </w:r>
      <w:r>
        <w:rPr>
          <w:spacing w:val="-66"/>
        </w:rPr>
        <w:t> </w:t>
      </w:r>
      <w:r>
        <w:rPr>
          <w:spacing w:val="-66"/>
        </w:rPr>
      </w:r>
      <w:r>
        <w:rPr/>
        <w:t>效率。</w:t>
      </w:r>
    </w:p>
    <w:p>
      <w:pPr>
        <w:pStyle w:val="BodyText"/>
        <w:spacing w:line="316" w:lineRule="auto" w:before="19"/>
        <w:ind w:right="1131" w:firstLine="360"/>
        <w:jc w:val="both"/>
      </w:pPr>
      <w:r>
        <w:rPr>
          <w:spacing w:val="-2"/>
        </w:rPr>
        <w:t>公司建设的上海“一网通办”总门户通过整合各部门碎片化、条线化的政务服务事项前端受理功能，建设全市政务服务</w:t>
      </w:r>
      <w:r>
        <w:rPr/>
        <w:t> </w:t>
      </w:r>
      <w:r>
        <w:rPr>
          <w:spacing w:val="-2"/>
        </w:rPr>
        <w:t>统一受理平台。“一网通办”总门户构建了“横向到边，覆盖各委办局部门；纵向到底，拓展社区基层”的三级一体化对外</w:t>
      </w:r>
      <w:r>
        <w:rPr>
          <w:spacing w:val="-67"/>
        </w:rPr>
        <w:t> </w:t>
      </w:r>
      <w:r>
        <w:rPr>
          <w:spacing w:val="-67"/>
        </w:rPr>
      </w:r>
      <w:r>
        <w:rPr>
          <w:spacing w:val="-2"/>
        </w:rPr>
        <w:t>服务门户。通过与各区行政服务中心、社区事务受理中心现场服务系统的对接，实现了线上线下的一体化联动服务。政务服</w:t>
      </w:r>
      <w:r>
        <w:rPr>
          <w:spacing w:val="-66"/>
        </w:rPr>
        <w:t> </w:t>
      </w:r>
      <w:r>
        <w:rPr>
          <w:spacing w:val="-66"/>
        </w:rPr>
      </w:r>
      <w:r>
        <w:rPr>
          <w:spacing w:val="-5"/>
        </w:rPr>
        <w:t>务“一号通、一窗办、一次成”，让企业群众办事从“跑多个部门”变成“找一个窗口”，从“提交纸质材料”变为部门“采</w:t>
      </w:r>
      <w:r>
        <w:rPr>
          <w:spacing w:val="-85"/>
        </w:rPr>
        <w:t> </w:t>
      </w:r>
      <w:r>
        <w:rPr>
          <w:spacing w:val="-85"/>
        </w:rPr>
      </w:r>
      <w:r>
        <w:rPr/>
        <w:t>信电子证照”，政务服务也由传统的</w:t>
      </w:r>
      <w:r>
        <w:rPr>
          <w:rFonts w:ascii="宋体" w:hAnsi="宋体" w:cs="宋体" w:eastAsia="宋体" w:hint="default"/>
        </w:rPr>
        <w:t>8</w:t>
      </w:r>
      <w:r>
        <w:rPr/>
        <w:t>小时拓展到</w:t>
      </w:r>
      <w:r>
        <w:rPr>
          <w:rFonts w:ascii="宋体" w:hAnsi="宋体" w:cs="宋体" w:eastAsia="宋体" w:hint="default"/>
        </w:rPr>
        <w:t>24</w:t>
      </w:r>
      <w:r>
        <w:rPr/>
        <w:t>小时不打烊，“最多跑一次，不见面审批”得以实现。“一网通办”模 式正成为国家主推的一体化在线政务服务模式。</w:t>
      </w:r>
    </w:p>
    <w:p>
      <w:pPr>
        <w:pStyle w:val="BodyText"/>
        <w:spacing w:line="316" w:lineRule="auto" w:before="19"/>
        <w:ind w:right="1132" w:firstLine="360"/>
        <w:jc w:val="both"/>
      </w:pPr>
      <w:r>
        <w:rPr>
          <w:spacing w:val="-2"/>
        </w:rPr>
        <w:t>在“一网通办”基础上，万达信息建设的“市民云”是一个基于实名制用户管理的“一站式”城市服务平台，是一个超</w:t>
      </w:r>
      <w:r>
        <w:rPr/>
        <w:t> </w:t>
      </w:r>
      <w:r>
        <w:rPr>
          <w:spacing w:val="-2"/>
        </w:rPr>
        <w:t>级</w:t>
      </w:r>
      <w:r>
        <w:rPr>
          <w:rFonts w:ascii="宋体" w:hAnsi="宋体" w:cs="宋体" w:eastAsia="宋体" w:hint="default"/>
          <w:spacing w:val="-2"/>
        </w:rPr>
        <w:t>APP</w:t>
      </w:r>
      <w:r>
        <w:rPr>
          <w:spacing w:val="-2"/>
        </w:rPr>
        <w:t>，也是城市服务的总入口，通过“云</w:t>
      </w:r>
      <w:r>
        <w:rPr>
          <w:rFonts w:ascii="宋体" w:hAnsi="宋体" w:cs="宋体" w:eastAsia="宋体" w:hint="default"/>
          <w:spacing w:val="-2"/>
        </w:rPr>
        <w:t>+</w:t>
      </w:r>
      <w:r>
        <w:rPr>
          <w:spacing w:val="-2"/>
        </w:rPr>
        <w:t>端”方式，汇聚各类政府服务和社会服务。“市民云”不仅接入各类个人数据和</w:t>
      </w:r>
      <w:r>
        <w:rPr>
          <w:spacing w:val="-63"/>
        </w:rPr>
        <w:t> </w:t>
      </w:r>
      <w:r>
        <w:rPr>
          <w:spacing w:val="-63"/>
        </w:rPr>
      </w:r>
      <w:r>
        <w:rPr>
          <w:spacing w:val="-2"/>
        </w:rPr>
        <w:t>公共服务数据，还为各类服务机构提供云平台和运营支撑。“市民云”在上海、成都、海口、柳州、扬州和长沙落地并逐步</w:t>
      </w:r>
      <w:r>
        <w:rPr>
          <w:spacing w:val="-66"/>
        </w:rPr>
        <w:t> </w:t>
      </w:r>
      <w:r>
        <w:rPr>
          <w:spacing w:val="-66"/>
        </w:rPr>
      </w:r>
      <w:r>
        <w:rPr>
          <w:spacing w:val="-2"/>
        </w:rPr>
        <w:t>投入运营，覆盖人口</w:t>
      </w:r>
      <w:r>
        <w:rPr>
          <w:rFonts w:ascii="宋体" w:hAnsi="宋体" w:cs="宋体" w:eastAsia="宋体" w:hint="default"/>
          <w:spacing w:val="-2"/>
        </w:rPr>
        <w:t>6000</w:t>
      </w:r>
      <w:r>
        <w:rPr>
          <w:spacing w:val="-2"/>
        </w:rPr>
        <w:t>余万，其中上海“随申办市民云”截至目前注册用户已超过</w:t>
      </w:r>
      <w:r>
        <w:rPr>
          <w:rFonts w:ascii="宋体" w:hAnsi="宋体" w:cs="宋体" w:eastAsia="宋体" w:hint="default"/>
          <w:spacing w:val="-2"/>
        </w:rPr>
        <w:t>1100</w:t>
      </w:r>
      <w:r>
        <w:rPr>
          <w:spacing w:val="-2"/>
        </w:rPr>
        <w:t>万，成为全国首个千万级用户的公</w:t>
      </w:r>
      <w:r>
        <w:rPr>
          <w:spacing w:val="-58"/>
        </w:rPr>
        <w:t> </w:t>
      </w:r>
      <w:r>
        <w:rPr>
          <w:spacing w:val="-58"/>
        </w:rPr>
      </w:r>
      <w:r>
        <w:rPr/>
        <w:t>共服务平台。报告期内，上海“随申办市民云”新增对接</w:t>
      </w:r>
      <w:r>
        <w:rPr>
          <w:rFonts w:ascii="宋体" w:hAnsi="宋体" w:cs="宋体" w:eastAsia="宋体" w:hint="default"/>
        </w:rPr>
        <w:t>10</w:t>
      </w:r>
      <w:r>
        <w:rPr/>
        <w:t>个市级部门，目前已实现了与</w:t>
      </w:r>
      <w:r>
        <w:rPr>
          <w:rFonts w:ascii="宋体" w:hAnsi="宋体" w:cs="宋体" w:eastAsia="宋体" w:hint="default"/>
        </w:rPr>
        <w:t>43</w:t>
      </w:r>
      <w:r>
        <w:rPr/>
        <w:t>个市级部门的对接，共计</w:t>
      </w:r>
      <w:r>
        <w:rPr>
          <w:rFonts w:ascii="宋体" w:hAnsi="宋体" w:cs="宋体" w:eastAsia="宋体" w:hint="default"/>
        </w:rPr>
        <w:t>358</w:t>
      </w:r>
      <w:r>
        <w:rPr/>
        <w:t>项 的服务。</w:t>
      </w:r>
    </w:p>
    <w:p>
      <w:pPr>
        <w:pStyle w:val="BodyText"/>
        <w:spacing w:line="316" w:lineRule="auto" w:before="19"/>
        <w:ind w:right="1141" w:firstLine="360"/>
        <w:jc w:val="both"/>
      </w:pPr>
      <w:r>
        <w:rPr/>
        <w:t>公司建设的“市民云</w:t>
      </w:r>
      <w:r>
        <w:rPr>
          <w:rFonts w:ascii="宋体" w:hAnsi="宋体" w:cs="宋体" w:eastAsia="宋体" w:hint="default"/>
        </w:rPr>
        <w:t>+</w:t>
      </w:r>
      <w:r>
        <w:rPr/>
        <w:t>一网通办”平台示范效应愈加显著，根据国务院《关于加快推进全国一体化在线政务服务平台建 设的指导意见》，公司将在长三角地区深入拓展示范区域，并继续在全国推广。</w:t>
      </w:r>
    </w:p>
    <w:p>
      <w:pPr>
        <w:pStyle w:val="BodyText"/>
        <w:spacing w:line="316" w:lineRule="auto" w:before="19"/>
        <w:ind w:right="0" w:firstLine="360"/>
        <w:jc w:val="left"/>
      </w:pPr>
      <w:r>
        <w:rPr>
          <w:spacing w:val="-4"/>
        </w:rPr>
        <w:t>公司作为城市级数据运营商，面对建设智慧城市和实施信息惠民的大好机遇，持续大力推进智慧城市核心业务系统建设，</w:t>
      </w:r>
      <w:r>
        <w:rPr/>
        <w:t> </w:t>
      </w:r>
      <w:r>
        <w:rPr>
          <w:spacing w:val="-2"/>
        </w:rPr>
        <w:t>倡导建设智慧云脑——城市一体化系统</w:t>
      </w:r>
      <w:r>
        <w:rPr>
          <w:rFonts w:ascii="宋体" w:hAnsi="宋体" w:cs="宋体" w:eastAsia="宋体" w:hint="default"/>
          <w:spacing w:val="-2"/>
        </w:rPr>
        <w:t>CRP</w:t>
      </w:r>
      <w:r>
        <w:rPr>
          <w:spacing w:val="-2"/>
        </w:rPr>
        <w:t>（</w:t>
      </w:r>
      <w:r>
        <w:rPr>
          <w:rFonts w:ascii="宋体" w:hAnsi="宋体" w:cs="宋体" w:eastAsia="宋体" w:hint="default"/>
          <w:spacing w:val="-2"/>
        </w:rPr>
        <w:t>CityResourcePlanning)</w:t>
      </w:r>
      <w:r>
        <w:rPr>
          <w:spacing w:val="-2"/>
        </w:rPr>
        <w:t>，提升城市治理能力，并以此不断优化收入结构和用户</w:t>
      </w:r>
      <w:r>
        <w:rPr>
          <w:spacing w:val="-42"/>
        </w:rPr>
        <w:t> </w:t>
      </w:r>
      <w:r>
        <w:rPr>
          <w:spacing w:val="-42"/>
        </w:rPr>
      </w:r>
      <w:r>
        <w:rPr/>
        <w:t>结构，发展新的商业模式，不断拓展现金流收入。</w:t>
      </w:r>
    </w:p>
    <w:p>
      <w:pPr>
        <w:pStyle w:val="BodyText"/>
        <w:spacing w:line="240" w:lineRule="auto" w:before="19"/>
        <w:ind w:right="0"/>
        <w:jc w:val="left"/>
      </w:pPr>
      <w:r>
        <w:rPr>
          <w:rFonts w:ascii="Times New Roman" w:hAnsi="Times New Roman" w:cs="Times New Roman" w:eastAsia="Times New Roman" w:hint="default"/>
        </w:rPr>
        <w:t>2</w:t>
      </w:r>
      <w:r>
        <w:rPr/>
        <w:t>、平安城市</w:t>
      </w:r>
    </w:p>
    <w:p>
      <w:pPr>
        <w:pStyle w:val="BodyText"/>
        <w:spacing w:line="316" w:lineRule="auto" w:before="63"/>
        <w:ind w:right="1130" w:firstLine="360"/>
        <w:jc w:val="both"/>
      </w:pPr>
      <w:r>
        <w:rPr>
          <w:spacing w:val="-2"/>
        </w:rPr>
        <w:t>万达信息在政法行业多年实践积累，拥有智慧交通与智慧监控系列平台的核心技术，通过对大数据、云计算、物联网和</w:t>
      </w:r>
      <w:r>
        <w:rPr/>
        <w:t> </w:t>
      </w:r>
      <w:r>
        <w:rPr>
          <w:spacing w:val="-2"/>
        </w:rPr>
        <w:t>移动互联技术的应用，结合政法委、公安、检察、法院、司法行政（含矫正、监狱、戒毒）等专业解决方案，加强对现实世</w:t>
      </w:r>
      <w:r>
        <w:rPr>
          <w:spacing w:val="-71"/>
        </w:rPr>
        <w:t> </w:t>
      </w:r>
      <w:r>
        <w:rPr>
          <w:spacing w:val="-71"/>
        </w:rPr>
      </w:r>
      <w:r>
        <w:rPr>
          <w:spacing w:val="-2"/>
        </w:rPr>
        <w:t>界和虚拟世界的管理，实现全方位的社会治安综合治理、交通管理、风险隐患监测预警和处置防控，协助各级政府应对社会</w:t>
      </w:r>
      <w:r>
        <w:rPr>
          <w:spacing w:val="-66"/>
        </w:rPr>
        <w:t> </w:t>
      </w:r>
      <w:r>
        <w:rPr>
          <w:spacing w:val="-66"/>
        </w:rPr>
      </w:r>
      <w:r>
        <w:rPr>
          <w:spacing w:val="-2"/>
        </w:rPr>
        <w:t>矛盾和突发公共事件的管理与处置，实现城市运营常态化管理、监测和预警。突发事件发生时的快速响应、科学决策、指挥</w:t>
      </w:r>
      <w:r>
        <w:rPr>
          <w:spacing w:val="-66"/>
        </w:rPr>
        <w:t> </w:t>
      </w:r>
      <w:r>
        <w:rPr>
          <w:spacing w:val="-66"/>
        </w:rPr>
      </w:r>
      <w:r>
        <w:rPr>
          <w:spacing w:val="-2"/>
        </w:rPr>
        <w:t>调度、向公众提供有效救助和服务；事后进行评估管理，为政府建立起“平战结合”的公共安全管理体系，提升城市常态运</w:t>
      </w:r>
      <w:r>
        <w:rPr>
          <w:spacing w:val="-67"/>
        </w:rPr>
        <w:t> </w:t>
      </w:r>
      <w:r>
        <w:rPr>
          <w:spacing w:val="-67"/>
        </w:rPr>
      </w:r>
      <w:r>
        <w:rPr>
          <w:spacing w:val="-2"/>
        </w:rPr>
        <w:t>营、突发事件应急响应和综合管理水平。同时，通过整合公司大数据、云计算服务能力，融合</w:t>
      </w:r>
      <w:r>
        <w:rPr>
          <w:rFonts w:ascii="宋体" w:hAnsi="宋体" w:cs="宋体" w:eastAsia="宋体" w:hint="default"/>
          <w:spacing w:val="-2"/>
        </w:rPr>
        <w:t>O2O</w:t>
      </w:r>
      <w:r>
        <w:rPr>
          <w:spacing w:val="-2"/>
        </w:rPr>
        <w:t>、</w:t>
      </w:r>
      <w:r>
        <w:rPr>
          <w:rFonts w:ascii="宋体" w:hAnsi="宋体" w:cs="宋体" w:eastAsia="宋体" w:hint="default"/>
          <w:spacing w:val="-2"/>
        </w:rPr>
        <w:t>F2C</w:t>
      </w:r>
      <w:r>
        <w:rPr>
          <w:spacing w:val="-2"/>
        </w:rPr>
        <w:t>等新兴模式，为公共</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领域提供“互联网</w:t>
      </w:r>
      <w:r>
        <w:rPr>
          <w:rFonts w:ascii="宋体" w:hAnsi="宋体" w:cs="宋体" w:eastAsia="宋体" w:hint="default"/>
        </w:rPr>
        <w:t>+</w:t>
      </w:r>
      <w:r>
        <w:rPr/>
        <w:t>视频”的运营服务，在安全防范、远程音视频服务、可视化管理等方面提供运营级服务。</w:t>
      </w:r>
    </w:p>
    <w:p>
      <w:pPr>
        <w:spacing w:line="240" w:lineRule="auto" w:before="0"/>
        <w:rPr>
          <w:rFonts w:ascii="宋体" w:hAnsi="宋体" w:cs="宋体" w:eastAsia="宋体" w:hint="default"/>
          <w:sz w:val="18"/>
          <w:szCs w:val="18"/>
        </w:rPr>
      </w:pPr>
    </w:p>
    <w:p>
      <w:pPr>
        <w:pStyle w:val="BodyText"/>
        <w:spacing w:line="316" w:lineRule="auto" w:before="153"/>
        <w:ind w:left="514" w:right="0" w:hanging="360"/>
        <w:jc w:val="left"/>
      </w:pPr>
      <w:r>
        <w:rPr/>
        <w:t>（二）行业发展阶段以及公司的行业地位 </w:t>
      </w:r>
      <w:r>
        <w:rPr>
          <w:rFonts w:ascii="宋体" w:hAnsi="宋体" w:cs="宋体" w:eastAsia="宋体" w:hint="default"/>
          <w:spacing w:val="-2"/>
        </w:rPr>
        <w:t>20</w:t>
      </w:r>
      <w:r>
        <w:rPr>
          <w:spacing w:val="-2"/>
        </w:rPr>
        <w:t>多年来，万达信息在医疗健康、民生保障、政务管理与政务服务、平安城市等领域积累了丰富的行业经验，奠定了坚</w:t>
      </w:r>
    </w:p>
    <w:p>
      <w:pPr>
        <w:pStyle w:val="BodyText"/>
        <w:spacing w:line="316" w:lineRule="auto" w:before="19"/>
        <w:ind w:right="0"/>
        <w:jc w:val="left"/>
      </w:pPr>
      <w:r>
        <w:rPr>
          <w:spacing w:val="-2"/>
        </w:rPr>
        <w:t>实的用户基础。公司建立了多个行业信息化标杆，帮助行业改善流程，提升服务能力。公司积极创新，充分运用大数据、云</w:t>
      </w:r>
      <w:r>
        <w:rPr>
          <w:spacing w:val="-67"/>
        </w:rPr>
        <w:t> </w:t>
      </w:r>
      <w:r>
        <w:rPr>
          <w:spacing w:val="-67"/>
        </w:rPr>
      </w:r>
      <w:r>
        <w:rPr/>
        <w:t>计算和人工智能等领域的新技术，持续增强公司在“互联网</w:t>
      </w:r>
      <w:r>
        <w:rPr>
          <w:rFonts w:ascii="宋体" w:hAnsi="宋体" w:cs="宋体" w:eastAsia="宋体" w:hint="default"/>
        </w:rPr>
        <w:t>+</w:t>
      </w:r>
      <w:r>
        <w:rPr/>
        <w:t>行业”的线上线下融合的产品与服务核心优势。</w:t>
      </w:r>
    </w:p>
    <w:p>
      <w:pPr>
        <w:pStyle w:val="BodyText"/>
        <w:spacing w:line="316" w:lineRule="auto" w:before="19"/>
        <w:ind w:right="0" w:firstLine="360"/>
        <w:jc w:val="left"/>
      </w:pPr>
      <w:r>
        <w:rPr/>
        <w:t>在软件能力成熟度方面，公司是国内首家整体通过</w:t>
      </w:r>
      <w:r>
        <w:rPr>
          <w:rFonts w:ascii="宋体" w:hAnsi="宋体" w:cs="宋体" w:eastAsia="宋体" w:hint="default"/>
        </w:rPr>
        <w:t>CMMI5</w:t>
      </w:r>
      <w:r>
        <w:rPr/>
        <w:t>认证的企业，是国家首批集成与服务大型一级企业和国家国产 </w:t>
      </w:r>
      <w:r>
        <w:rPr>
          <w:spacing w:val="-2"/>
        </w:rPr>
        <w:t>化替代骨干企业。公司是国家规划布局内重点软件企业、国家发改委高新技术产业化示范工程企业，</w:t>
      </w:r>
      <w:r>
        <w:rPr>
          <w:rFonts w:ascii="宋体" w:hAnsi="宋体" w:cs="宋体" w:eastAsia="宋体" w:hint="default"/>
          <w:spacing w:val="-2"/>
        </w:rPr>
        <w:t>2011</w:t>
      </w:r>
      <w:r>
        <w:rPr>
          <w:spacing w:val="-2"/>
        </w:rPr>
        <w:t>年起连续多年被评</w:t>
      </w:r>
      <w:r>
        <w:rPr>
          <w:spacing w:val="-61"/>
        </w:rPr>
        <w:t> </w:t>
      </w:r>
      <w:r>
        <w:rPr>
          <w:spacing w:val="-4"/>
        </w:rPr>
        <w:t>为中国十大创新软件企业、国家第四批创新型试点企业、中国软件和信息服务十大领军企业、中国软件业务收入前百家企业，</w:t>
      </w:r>
      <w:r>
        <w:rPr>
          <w:spacing w:val="-44"/>
        </w:rPr>
        <w:t> </w:t>
      </w:r>
      <w:r>
        <w:rPr>
          <w:spacing w:val="-44"/>
        </w:rPr>
      </w:r>
      <w:r>
        <w:rPr/>
        <w:t>全国第一批通过</w:t>
      </w:r>
      <w:r>
        <w:rPr>
          <w:rFonts w:ascii="宋体" w:hAnsi="宋体" w:cs="宋体" w:eastAsia="宋体" w:hint="default"/>
        </w:rPr>
        <w:t>ITSS</w:t>
      </w:r>
      <w:r>
        <w:rPr/>
        <w:t>符合性评估企业。</w:t>
      </w:r>
    </w:p>
    <w:p>
      <w:pPr>
        <w:pStyle w:val="BodyText"/>
        <w:spacing w:line="316" w:lineRule="auto" w:before="19"/>
        <w:ind w:right="1130" w:firstLine="360"/>
        <w:jc w:val="both"/>
      </w:pPr>
      <w:r>
        <w:rPr/>
        <w:t>在标准化工作方面，公司作为</w:t>
      </w:r>
      <w:r>
        <w:rPr>
          <w:rFonts w:ascii="宋体" w:hAnsi="宋体" w:cs="宋体" w:eastAsia="宋体" w:hint="default"/>
        </w:rPr>
        <w:t>ITSS</w:t>
      </w:r>
      <w:r>
        <w:rPr/>
        <w:t>集成实施工作组组长单位，牵头制定了</w:t>
      </w:r>
      <w:r>
        <w:rPr>
          <w:rFonts w:ascii="宋体" w:hAnsi="宋体" w:cs="宋体" w:eastAsia="宋体" w:hint="default"/>
        </w:rPr>
        <w:t>ITSS</w:t>
      </w:r>
      <w:r>
        <w:rPr/>
        <w:t>集成实施系列标准，并牵头</w:t>
      </w:r>
      <w:r>
        <w:rPr>
          <w:rFonts w:ascii="宋体" w:hAnsi="宋体" w:cs="宋体" w:eastAsia="宋体" w:hint="default"/>
        </w:rPr>
        <w:t>/</w:t>
      </w:r>
      <w:r>
        <w:rPr/>
        <w:t>参与了包括 </w:t>
      </w:r>
      <w:r>
        <w:rPr>
          <w:spacing w:val="-2"/>
        </w:rPr>
        <w:t>电子政务、软件工程、大数据、云计算、人工智能、国产化等多项国家及行业标准的制定。通过将产品研制过程中积累的标</w:t>
      </w:r>
      <w:r>
        <w:rPr>
          <w:spacing w:val="-67"/>
        </w:rPr>
        <w:t> </w:t>
      </w:r>
      <w:r>
        <w:rPr>
          <w:spacing w:val="-67"/>
        </w:rPr>
      </w:r>
      <w:r>
        <w:rPr/>
        <w:t>准化经验与行业分享，推动产业高质量发展，提升行业信息化标准水平。</w:t>
      </w:r>
    </w:p>
    <w:p>
      <w:pPr>
        <w:pStyle w:val="BodyText"/>
        <w:spacing w:line="316" w:lineRule="auto" w:before="19"/>
        <w:ind w:right="1130" w:firstLine="360"/>
        <w:jc w:val="both"/>
      </w:pPr>
      <w:r>
        <w:rPr>
          <w:spacing w:val="-2"/>
        </w:rPr>
        <w:t>在技术创新方面，公司获批建设三个国家级创新平台。公司被认定为“国家级企业技术中心”，是科技部批复组建的唯</w:t>
      </w:r>
      <w:r>
        <w:rPr/>
        <w:t> </w:t>
      </w:r>
      <w:r>
        <w:rPr>
          <w:spacing w:val="-2"/>
        </w:rPr>
        <w:t>一的卫生信息化领域“国家卫生信息共享技术及应用工程技术研究中心”的依托单位，也是国家发改委批复组建的唯一一个</w:t>
      </w:r>
      <w:r>
        <w:rPr>
          <w:spacing w:val="-66"/>
        </w:rPr>
        <w:t> </w:t>
      </w:r>
      <w:r>
        <w:rPr>
          <w:spacing w:val="-66"/>
        </w:rPr>
      </w:r>
      <w:r>
        <w:rPr>
          <w:spacing w:val="-2"/>
        </w:rPr>
        <w:t>国家级医疗大数据应用领域的创新平台“医疗大数据应用技术国家工程实验室”联合牵头单位。通过这些国家级创新平台的</w:t>
      </w:r>
      <w:r>
        <w:rPr>
          <w:spacing w:val="-66"/>
        </w:rPr>
        <w:t> </w:t>
      </w:r>
      <w:r>
        <w:rPr>
          <w:spacing w:val="-66"/>
        </w:rPr>
      </w:r>
      <w:r>
        <w:rPr>
          <w:spacing w:val="-2"/>
        </w:rPr>
        <w:t>建设，公司积极投入云计算、大数据分析、人工智能、区块链、新型物联网、边缘计算等新兴共性技术攻关研发以及与智慧</w:t>
      </w:r>
      <w:r>
        <w:rPr>
          <w:spacing w:val="-67"/>
        </w:rPr>
        <w:t> </w:t>
      </w:r>
      <w:r>
        <w:rPr>
          <w:spacing w:val="-67"/>
        </w:rPr>
      </w:r>
      <w:r>
        <w:rPr/>
        <w:t>城市各行业的深度融合与赋能，进行方案设计和产品研发创新，探索新的业务模式，开展产学研合作和技术服务。</w:t>
      </w:r>
    </w:p>
    <w:p>
      <w:pPr>
        <w:pStyle w:val="BodyText"/>
        <w:spacing w:line="316" w:lineRule="auto" w:before="19"/>
        <w:ind w:right="0" w:firstLine="360"/>
        <w:jc w:val="left"/>
      </w:pPr>
      <w:r>
        <w:rPr>
          <w:spacing w:val="-4"/>
        </w:rPr>
        <w:t>在大数据技术方面，公司完成了对</w:t>
      </w:r>
      <w:r>
        <w:rPr>
          <w:rFonts w:ascii="宋体" w:hAnsi="宋体" w:cs="宋体" w:eastAsia="宋体" w:hint="default"/>
          <w:spacing w:val="-4"/>
        </w:rPr>
        <w:t>PB</w:t>
      </w:r>
      <w:r>
        <w:rPr>
          <w:spacing w:val="-4"/>
        </w:rPr>
        <w:t>级用户数据资产的运营与管控。公司已经研发完成了围绕大数据“聚、存、管、用”</w:t>
      </w:r>
      <w:r>
        <w:rPr/>
        <w:t> 的</w:t>
      </w:r>
      <w:r>
        <w:rPr>
          <w:rFonts w:ascii="宋体" w:hAnsi="宋体" w:cs="宋体" w:eastAsia="宋体" w:hint="default"/>
        </w:rPr>
        <w:t>4</w:t>
      </w:r>
      <w:r>
        <w:rPr/>
        <w:t>条成熟技术产品线，落地</w:t>
      </w:r>
      <w:r>
        <w:rPr>
          <w:rFonts w:ascii="宋体" w:hAnsi="宋体" w:cs="宋体" w:eastAsia="宋体" w:hint="default"/>
        </w:rPr>
        <w:t>20</w:t>
      </w:r>
      <w:r>
        <w:rPr/>
        <w:t>多个实施和科研项目，研发完成</w:t>
      </w:r>
      <w:r>
        <w:rPr>
          <w:rFonts w:ascii="宋体" w:hAnsi="宋体" w:cs="宋体" w:eastAsia="宋体" w:hint="default"/>
        </w:rPr>
        <w:t>20</w:t>
      </w:r>
      <w:r>
        <w:rPr/>
        <w:t>多个行业分析服务产品，牵头承担了</w:t>
      </w:r>
      <w:r>
        <w:rPr>
          <w:rFonts w:ascii="宋体" w:hAnsi="宋体" w:cs="宋体" w:eastAsia="宋体" w:hint="default"/>
        </w:rPr>
        <w:t>2</w:t>
      </w:r>
      <w:r>
        <w:rPr/>
        <w:t>项</w:t>
      </w:r>
      <w:r>
        <w:rPr>
          <w:rFonts w:ascii="宋体" w:hAnsi="宋体" w:cs="宋体" w:eastAsia="宋体" w:hint="default"/>
        </w:rPr>
        <w:t>863</w:t>
      </w:r>
      <w:r>
        <w:rPr/>
        <w:t>计划生物医学 </w:t>
      </w:r>
      <w:r>
        <w:rPr>
          <w:spacing w:val="-2"/>
        </w:rPr>
        <w:t>大数据项目，沉淀了十几个自主知识产权。在云计算领域，公司提供全层级的行业云方案，提供</w:t>
      </w:r>
      <w:r>
        <w:rPr>
          <w:rFonts w:ascii="宋体" w:hAnsi="宋体" w:cs="宋体" w:eastAsia="宋体" w:hint="default"/>
          <w:spacing w:val="-2"/>
        </w:rPr>
        <w:t>8</w:t>
      </w:r>
      <w:r>
        <w:rPr>
          <w:spacing w:val="-2"/>
        </w:rPr>
        <w:t>大类、</w:t>
      </w:r>
      <w:r>
        <w:rPr>
          <w:rFonts w:ascii="宋体" w:hAnsi="宋体" w:cs="宋体" w:eastAsia="宋体" w:hint="default"/>
          <w:spacing w:val="-2"/>
        </w:rPr>
        <w:t>100</w:t>
      </w:r>
      <w:r>
        <w:rPr>
          <w:spacing w:val="-2"/>
        </w:rPr>
        <w:t>多项服务，快速</w:t>
      </w:r>
      <w:r>
        <w:rPr>
          <w:spacing w:val="-64"/>
        </w:rPr>
        <w:t> </w:t>
      </w:r>
      <w:r>
        <w:rPr>
          <w:spacing w:val="-64"/>
        </w:rPr>
      </w:r>
      <w:r>
        <w:rPr/>
        <w:t>拓展云平台服务业务，聚焦国内最好的政务云与医疗云，提供全层级服务目录，公司云平台获得可信云行业奖。</w:t>
      </w:r>
    </w:p>
    <w:p>
      <w:pPr>
        <w:pStyle w:val="BodyText"/>
        <w:spacing w:line="316" w:lineRule="auto" w:before="19"/>
        <w:ind w:right="1032" w:firstLine="360"/>
        <w:jc w:val="left"/>
      </w:pPr>
      <w:r>
        <w:rPr/>
        <w:t>在人工智能领域，公司是“中国人工智能产业发展联盟”理事单位，积极承办</w:t>
      </w:r>
      <w:r>
        <w:rPr>
          <w:rFonts w:ascii="宋体" w:hAnsi="宋体" w:cs="宋体" w:eastAsia="宋体" w:hint="default"/>
        </w:rPr>
        <w:t>2018</w:t>
      </w:r>
      <w:r>
        <w:rPr/>
        <w:t>世界人工智能大会智能医疗分论坛， </w:t>
      </w:r>
      <w:r>
        <w:rPr>
          <w:spacing w:val="-2"/>
        </w:rPr>
        <w:t>全面展示</w:t>
      </w:r>
      <w:r>
        <w:rPr>
          <w:rFonts w:ascii="宋体" w:hAnsi="宋体" w:cs="宋体" w:eastAsia="宋体" w:hint="default"/>
          <w:spacing w:val="-2"/>
        </w:rPr>
        <w:t>AI</w:t>
      </w:r>
      <w:r>
        <w:rPr>
          <w:spacing w:val="-2"/>
        </w:rPr>
        <w:t>技术在市民服务、政务、医疗、养老、政法、教育等智慧城市各领域的成果，检察官运行智能监管平台还荣获了</w:t>
      </w:r>
      <w:r>
        <w:rPr>
          <w:spacing w:val="-66"/>
        </w:rPr>
        <w:t> </w:t>
      </w:r>
      <w:r>
        <w:rPr>
          <w:spacing w:val="-66"/>
        </w:rPr>
      </w:r>
      <w:r>
        <w:rPr>
          <w:spacing w:val="-2"/>
        </w:rPr>
        <w:t>“</w:t>
      </w:r>
      <w:r>
        <w:rPr>
          <w:rFonts w:ascii="宋体" w:hAnsi="宋体" w:cs="宋体" w:eastAsia="宋体" w:hint="default"/>
          <w:spacing w:val="-2"/>
        </w:rPr>
        <w:t>2018</w:t>
      </w:r>
      <w:r>
        <w:rPr>
          <w:spacing w:val="-2"/>
        </w:rPr>
        <w:t>年全国政法智能化智慧检务十大创新案例”，病理</w:t>
      </w:r>
      <w:r>
        <w:rPr>
          <w:rFonts w:ascii="宋体" w:hAnsi="宋体" w:cs="宋体" w:eastAsia="宋体" w:hint="default"/>
          <w:spacing w:val="-2"/>
        </w:rPr>
        <w:t>AI</w:t>
      </w:r>
      <w:r>
        <w:rPr>
          <w:spacing w:val="-2"/>
        </w:rPr>
        <w:t>诊断技术获“</w:t>
      </w:r>
      <w:r>
        <w:rPr>
          <w:rFonts w:ascii="宋体" w:hAnsi="宋体" w:cs="宋体" w:eastAsia="宋体" w:hint="default"/>
          <w:spacing w:val="-2"/>
        </w:rPr>
        <w:t>2018</w:t>
      </w:r>
      <w:r>
        <w:rPr>
          <w:spacing w:val="-2"/>
        </w:rPr>
        <w:t>世界人工智能创新大赛—人工智能卓医创新挑</w:t>
      </w:r>
      <w:r>
        <w:rPr>
          <w:spacing w:val="-57"/>
        </w:rPr>
        <w:t> </w:t>
      </w:r>
      <w:r>
        <w:rPr/>
        <w:t>战赛”总决赛第四，病理赛道第二。</w:t>
      </w:r>
    </w:p>
    <w:p>
      <w:pPr>
        <w:pStyle w:val="BodyText"/>
        <w:spacing w:line="316" w:lineRule="auto" w:before="19"/>
        <w:ind w:right="1130" w:firstLine="360"/>
        <w:jc w:val="both"/>
      </w:pPr>
      <w:r>
        <w:rPr>
          <w:spacing w:val="-2"/>
        </w:rPr>
        <w:t>另外，公司是上海市大数据交易中心的发起人和股东单位，以及上海市大数据产业技术创新战略联盟的理事长单位。公</w:t>
      </w:r>
      <w:r>
        <w:rPr/>
        <w:t> </w:t>
      </w:r>
      <w:r>
        <w:rPr>
          <w:spacing w:val="-2"/>
        </w:rPr>
        <w:t>司还是多个国家和地方大数据、人工智能、云计算联盟的理事长、副理事长、理事单位，与产业链上下游单位合作研究，与</w:t>
      </w:r>
      <w:r>
        <w:rPr>
          <w:spacing w:val="-67"/>
        </w:rPr>
        <w:t> </w:t>
      </w:r>
      <w:r>
        <w:rPr>
          <w:spacing w:val="-67"/>
        </w:rPr>
      </w:r>
      <w:r>
        <w:rPr>
          <w:spacing w:val="-2"/>
        </w:rPr>
        <w:t>北京大学、复旦大学、上海交通大学、中国科学技术大学、北京航空航天大学等众多高校科研机构联合研发攻关，推进产学</w:t>
      </w:r>
      <w:r>
        <w:rPr>
          <w:spacing w:val="-66"/>
        </w:rPr>
        <w:t> </w:t>
      </w:r>
      <w:r>
        <w:rPr>
          <w:spacing w:val="-66"/>
        </w:rPr>
      </w:r>
      <w:r>
        <w:rPr/>
        <w:t>研结合与科技成果转化，深度结合既有行业场景，实现与城市经济社会发展深度融合。</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7725"/>
      </w:tblGrid>
      <w:tr>
        <w:trPr>
          <w:trHeight w:val="186"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5" w:type="dxa"/>
            <w:vMerge w:val="restart"/>
            <w:tcBorders>
              <w:top w:val="single" w:sz="4" w:space="0" w:color="000000"/>
              <w:left w:val="single" w:sz="10" w:space="0" w:color="D2D2D2"/>
              <w:right w:val="single" w:sz="4" w:space="0" w:color="000000"/>
            </w:tcBorders>
          </w:tcPr>
          <w:p>
            <w:pPr>
              <w:pStyle w:val="TableParagraph"/>
              <w:spacing w:line="300" w:lineRule="auto" w:before="51"/>
              <w:ind w:left="15" w:right="-48"/>
              <w:jc w:val="left"/>
              <w:rPr>
                <w:rFonts w:ascii="宋体" w:hAnsi="宋体" w:cs="宋体" w:eastAsia="宋体" w:hint="default"/>
                <w:sz w:val="18"/>
                <w:szCs w:val="18"/>
              </w:rPr>
            </w:pPr>
            <w:r>
              <w:rPr>
                <w:rFonts w:ascii="宋体" w:hAnsi="宋体" w:cs="宋体" w:eastAsia="宋体" w:hint="default"/>
                <w:sz w:val="18"/>
                <w:szCs w:val="18"/>
              </w:rPr>
              <w:t>较年初增加了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49.77%</w:t>
            </w:r>
            <w:r>
              <w:rPr>
                <w:rFonts w:ascii="宋体" w:hAnsi="宋体" w:cs="宋体" w:eastAsia="宋体" w:hint="default"/>
                <w:sz w:val="18"/>
                <w:szCs w:val="18"/>
              </w:rPr>
              <w:t>，主要系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、新增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家联营投资企业；</w:t>
            </w:r>
            <w:r>
              <w:rPr>
                <w:rFonts w:ascii="Times New Roman" w:hAnsi="Times New Roman" w:cs="Times New Roman" w:eastAsia="Times New Roman" w:hint="default"/>
                <w:sz w:val="18"/>
                <w:szCs w:val="18"/>
              </w:rPr>
              <w:t>2</w:t>
            </w:r>
            <w:r>
              <w:rPr>
                <w:rFonts w:ascii="宋体" w:hAnsi="宋体" w:cs="宋体" w:eastAsia="宋体" w:hint="default"/>
                <w:sz w:val="18"/>
                <w:szCs w:val="18"/>
              </w:rPr>
              <w:t>、原子公司上海万达全程健康服务有 限公司（原名）因增资而导致股权被动稀释，不再享有控制权，公司由成本法转权益法进行核算。</w:t>
            </w:r>
          </w:p>
        </w:tc>
      </w:tr>
      <w:tr>
        <w:trPr>
          <w:trHeight w:val="39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725" w:type="dxa"/>
            <w:vMerge/>
            <w:tcBorders>
              <w:left w:val="single" w:sz="10" w:space="0" w:color="D2D2D2"/>
              <w:right w:val="single" w:sz="4" w:space="0" w:color="000000"/>
            </w:tcBorders>
          </w:tcPr>
          <w:p>
            <w:pPr/>
          </w:p>
        </w:tc>
      </w:tr>
      <w:tr>
        <w:trPr>
          <w:trHeight w:val="161"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5" w:type="dxa"/>
            <w:vMerge/>
            <w:tcBorders>
              <w:left w:val="single" w:sz="10" w:space="0" w:color="D2D2D2"/>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7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7725"/>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44.29%</w:t>
            </w:r>
            <w:r>
              <w:rPr>
                <w:rFonts w:ascii="宋体" w:hAnsi="宋体" w:cs="宋体" w:eastAsia="宋体" w:hint="default"/>
                <w:sz w:val="18"/>
                <w:szCs w:val="18"/>
              </w:rPr>
              <w:t>，主要系开发支出的投入与归还银行借款所致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56.83%</w:t>
            </w:r>
            <w:r>
              <w:rPr>
                <w:rFonts w:ascii="宋体" w:hAnsi="宋体" w:cs="宋体" w:eastAsia="宋体" w:hint="default"/>
                <w:sz w:val="18"/>
                <w:szCs w:val="18"/>
              </w:rPr>
              <w:t>，主要系赎回了低风险理财产品所致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172.56%</w:t>
            </w:r>
            <w:r>
              <w:rPr>
                <w:rFonts w:ascii="宋体" w:hAnsi="宋体" w:cs="宋体" w:eastAsia="宋体" w:hint="default"/>
                <w:sz w:val="18"/>
                <w:szCs w:val="18"/>
              </w:rPr>
              <w:t>，主要系报告期新一代智慧城市一体化平台及应用系统建设项目的投入所致</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33.03%</w:t>
            </w:r>
            <w:r>
              <w:rPr>
                <w:rFonts w:ascii="宋体" w:hAnsi="宋体" w:cs="宋体" w:eastAsia="宋体" w:hint="default"/>
                <w:sz w:val="18"/>
                <w:szCs w:val="18"/>
              </w:rPr>
              <w:t>，主要系原子公司上海万达全程健康服务有限公司（原名）股权稀释，不再控 制，由权益法转成本法而减少了其资产的并入所致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35.49%</w:t>
            </w:r>
            <w:r>
              <w:rPr>
                <w:rFonts w:ascii="宋体" w:hAnsi="宋体" w:cs="宋体" w:eastAsia="宋体" w:hint="default"/>
                <w:sz w:val="18"/>
                <w:szCs w:val="18"/>
              </w:rPr>
              <w:t>，主要系报告期子公司相关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项目验收增加以及未到收款节点共同影响所致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投资性房地产为本期新增，主要系报告期控股子公司将经营使用的自有办公房用于出租所致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46.18%</w:t>
            </w:r>
            <w:r>
              <w:rPr>
                <w:rFonts w:ascii="宋体" w:hAnsi="宋体" w:cs="宋体" w:eastAsia="宋体" w:hint="default"/>
                <w:sz w:val="18"/>
                <w:szCs w:val="18"/>
              </w:rPr>
              <w:t>，主要系报告期公司相关项目收入确认所致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89.56%</w:t>
            </w:r>
            <w:r>
              <w:rPr>
                <w:rFonts w:ascii="宋体" w:hAnsi="宋体" w:cs="宋体" w:eastAsia="宋体" w:hint="default"/>
                <w:sz w:val="18"/>
                <w:szCs w:val="18"/>
              </w:rPr>
              <w:t>，主要系报告期公司支付相关期初薪酬所致</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73.18%</w:t>
            </w:r>
            <w:r>
              <w:rPr>
                <w:rFonts w:ascii="宋体" w:hAnsi="宋体" w:cs="宋体" w:eastAsia="宋体" w:hint="default"/>
                <w:sz w:val="18"/>
                <w:szCs w:val="18"/>
              </w:rPr>
              <w:t>，主要系报告期公司长期借款中一年内到期的借款金额增加所致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，主要系报告期公司上年末发行的可转换债券在本期全部转股所致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32.89%</w:t>
            </w:r>
            <w:r>
              <w:rPr>
                <w:rFonts w:ascii="宋体" w:hAnsi="宋体" w:cs="宋体" w:eastAsia="宋体" w:hint="default"/>
                <w:sz w:val="18"/>
                <w:szCs w:val="18"/>
              </w:rPr>
              <w:t>，主要系待转销项税额增加所致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318.63%</w:t>
            </w:r>
            <w:r>
              <w:rPr>
                <w:rFonts w:ascii="宋体" w:hAnsi="宋体" w:cs="宋体" w:eastAsia="宋体" w:hint="default"/>
                <w:sz w:val="18"/>
                <w:szCs w:val="18"/>
              </w:rPr>
              <w:t>，主要系报告期公司上年末发行的可转换债券在本期全部转股所致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，主要系报告期公司上年末发行的可转换债券在本期全部转股所致</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63.44%</w:t>
            </w:r>
            <w:r>
              <w:rPr>
                <w:rFonts w:ascii="宋体" w:hAnsi="宋体" w:cs="宋体" w:eastAsia="宋体" w:hint="default"/>
                <w:sz w:val="18"/>
                <w:szCs w:val="18"/>
              </w:rPr>
              <w:t>，主要是报告期公司处置子公司以及股份稀释失去控制权等共同影响所致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240" w:lineRule="auto" w:before="115"/>
        <w:ind w:right="0"/>
        <w:jc w:val="left"/>
      </w:pPr>
      <w:r>
        <w:rPr/>
        <w:t>（一）行业优势</w:t>
      </w:r>
    </w:p>
    <w:p>
      <w:pPr>
        <w:pStyle w:val="BodyText"/>
        <w:spacing w:line="316" w:lineRule="auto" w:before="76"/>
        <w:ind w:right="0" w:firstLine="444"/>
        <w:jc w:val="left"/>
      </w:pPr>
      <w:r>
        <w:rPr/>
        <w:t>万达信息作为国内领先的智慧城市领军企业，依托在城市领域二十余年的行业经验积累，在医疗健康、民生保障、 </w:t>
      </w:r>
      <w:r>
        <w:rPr>
          <w:spacing w:val="-1"/>
        </w:rPr>
        <w:t>政务管理与服务、平安城市等智慧城市的十多个关键行业形成了丰富积累和深厚沉淀，拥有最全面的智慧城市行业覆盖，</w:t>
      </w:r>
      <w:r>
        <w:rPr>
          <w:spacing w:val="-69"/>
        </w:rPr>
        <w:t> </w:t>
      </w:r>
      <w:r>
        <w:rPr>
          <w:spacing w:val="-69"/>
        </w:rPr>
      </w:r>
      <w:r>
        <w:rPr/>
        <w:t>并奠定了坚实的用户基础。在医疗健康、民生保障、政务管理与服务、平安城市等相关行业的大规模数据整合、共享与 业务协同方面，具有突出的行业软件与服务优势。</w:t>
      </w:r>
    </w:p>
    <w:p>
      <w:pPr>
        <w:pStyle w:val="BodyText"/>
        <w:spacing w:line="300" w:lineRule="auto" w:before="19"/>
        <w:ind w:right="1398" w:firstLine="444"/>
        <w:jc w:val="left"/>
      </w:pPr>
      <w:r>
        <w:rPr/>
        <w:t>公司建立了多个行业信息化标杆，帮助行业改善流程，提升服务能力。截至目前，公司为超过</w:t>
      </w:r>
      <w:r>
        <w:rPr>
          <w:rFonts w:ascii="Times New Roman" w:hAnsi="Times New Roman" w:cs="Times New Roman" w:eastAsia="Times New Roman" w:hint="default"/>
        </w:rPr>
        <w:t>6</w:t>
      </w:r>
      <w:r>
        <w:rPr/>
        <w:t>亿人口提供医疗健 康服务，其中</w:t>
      </w:r>
      <w:r>
        <w:rPr>
          <w:rFonts w:ascii="Times New Roman" w:hAnsi="Times New Roman" w:cs="Times New Roman" w:eastAsia="Times New Roman" w:hint="default"/>
        </w:rPr>
        <w:t>5</w:t>
      </w:r>
      <w:r>
        <w:rPr/>
        <w:t>亿人的健康档案已经实现数据化。</w:t>
      </w:r>
    </w:p>
    <w:p>
      <w:pPr>
        <w:pStyle w:val="BodyText"/>
        <w:spacing w:line="316" w:lineRule="auto" w:before="13"/>
        <w:ind w:right="1118" w:firstLine="444"/>
        <w:jc w:val="left"/>
      </w:pPr>
      <w:r>
        <w:rPr>
          <w:spacing w:val="-1"/>
        </w:rPr>
        <w:t>通过遍布全国的销售服务网络、专业创新的技术服务支持团队以及优于业界的服务标准，为广大客户提供更优质贴</w:t>
      </w:r>
      <w:r>
        <w:rPr/>
        <w:t> 心的服务。</w:t>
      </w:r>
    </w:p>
    <w:p>
      <w:pPr>
        <w:spacing w:line="240" w:lineRule="auto" w:before="4"/>
        <w:rPr>
          <w:rFonts w:ascii="宋体" w:hAnsi="宋体" w:cs="宋体" w:eastAsia="宋体" w:hint="default"/>
          <w:sz w:val="25"/>
          <w:szCs w:val="25"/>
        </w:rPr>
      </w:pPr>
    </w:p>
    <w:p>
      <w:pPr>
        <w:pStyle w:val="BodyText"/>
        <w:spacing w:line="240" w:lineRule="auto"/>
        <w:ind w:right="0"/>
        <w:jc w:val="left"/>
      </w:pPr>
      <w:r>
        <w:rPr/>
        <w:t>（二）技术优势</w:t>
      </w:r>
    </w:p>
    <w:p>
      <w:pPr>
        <w:pStyle w:val="BodyText"/>
        <w:spacing w:line="316" w:lineRule="auto" w:before="76"/>
        <w:ind w:right="1486" w:firstLine="440"/>
        <w:jc w:val="both"/>
      </w:pPr>
      <w:r>
        <w:rPr/>
        <w:t>公司一直以来注重研发和核心技术的积累，持续跟踪并推动云计算、大数据、人工智能、物联网、区块链、新型 </w:t>
      </w:r>
      <w:r>
        <w:rPr>
          <w:spacing w:val="-2"/>
        </w:rPr>
        <w:t>物联网、边缘计算等新的技术在各行业的融合和应用，并研发形成云计算平台、大数据支撑平台、人工智能平台等基础</w:t>
      </w:r>
      <w:r>
        <w:rPr>
          <w:spacing w:val="-65"/>
        </w:rPr>
        <w:t> </w:t>
      </w:r>
      <w:r>
        <w:rPr>
          <w:spacing w:val="-65"/>
        </w:rPr>
      </w:r>
      <w:r>
        <w:rPr/>
        <w:t>平台。公司目前已拥有</w:t>
      </w:r>
      <w:r>
        <w:rPr>
          <w:rFonts w:ascii="Times New Roman" w:hAnsi="Times New Roman" w:cs="Times New Roman" w:eastAsia="Times New Roman" w:hint="default"/>
        </w:rPr>
        <w:t>600</w:t>
      </w:r>
      <w:r>
        <w:rPr/>
        <w:t>余项具备自主知识产权的软件产品和软件著作权、</w:t>
      </w:r>
      <w:r>
        <w:rPr>
          <w:rFonts w:ascii="Times New Roman" w:hAnsi="Times New Roman" w:cs="Times New Roman" w:eastAsia="Times New Roman" w:hint="default"/>
        </w:rPr>
        <w:t>19</w:t>
      </w:r>
      <w:r>
        <w:rPr/>
        <w:t>项国内外专利技术；承担着</w:t>
      </w:r>
      <w:r>
        <w:rPr>
          <w:rFonts w:ascii="Times New Roman" w:hAnsi="Times New Roman" w:cs="Times New Roman" w:eastAsia="Times New Roman" w:hint="default"/>
        </w:rPr>
        <w:t>20</w:t>
      </w:r>
      <w:r>
        <w:rPr/>
        <w:t>余项国家</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各类标准及指南、近</w:t>
      </w:r>
      <w:r>
        <w:rPr>
          <w:rFonts w:ascii="Times New Roman" w:hAnsi="Times New Roman" w:cs="Times New Roman" w:eastAsia="Times New Roman" w:hint="default"/>
          <w:spacing w:val="-2"/>
        </w:rPr>
        <w:t>10</w:t>
      </w:r>
      <w:r>
        <w:rPr>
          <w:spacing w:val="-2"/>
        </w:rPr>
        <w:t>项上海市及其他地方各类标准的制定工作；并先后获得</w:t>
      </w:r>
      <w:r>
        <w:rPr>
          <w:rFonts w:ascii="Times New Roman" w:hAnsi="Times New Roman" w:cs="Times New Roman" w:eastAsia="Times New Roman" w:hint="default"/>
          <w:spacing w:val="-2"/>
        </w:rPr>
        <w:t>2</w:t>
      </w:r>
      <w:r>
        <w:rPr>
          <w:spacing w:val="-2"/>
        </w:rPr>
        <w:t>项国家科技进步二等奖、</w:t>
      </w:r>
      <w:r>
        <w:rPr>
          <w:rFonts w:ascii="Times New Roman" w:hAnsi="Times New Roman" w:cs="Times New Roman" w:eastAsia="Times New Roman" w:hint="default"/>
          <w:spacing w:val="-2"/>
        </w:rPr>
        <w:t>1</w:t>
      </w:r>
      <w:r>
        <w:rPr>
          <w:spacing w:val="-2"/>
        </w:rPr>
        <w:t>项教育部科技</w:t>
      </w:r>
      <w:r>
        <w:rPr>
          <w:spacing w:val="-62"/>
        </w:rPr>
        <w:t> </w:t>
      </w:r>
      <w:r>
        <w:rPr/>
        <w:t>进步一等奖、</w:t>
      </w:r>
      <w:r>
        <w:rPr>
          <w:rFonts w:ascii="Times New Roman" w:hAnsi="Times New Roman" w:cs="Times New Roman" w:eastAsia="Times New Roman" w:hint="default"/>
        </w:rPr>
        <w:t>5</w:t>
      </w:r>
      <w:r>
        <w:rPr/>
        <w:t>项上海市科技进步一等奖，为企业的可持续创新能力提供了坚强动力。</w:t>
      </w:r>
    </w:p>
    <w:p>
      <w:pPr>
        <w:pStyle w:val="BodyText"/>
        <w:spacing w:line="316" w:lineRule="auto" w:before="13"/>
        <w:ind w:right="1434" w:firstLine="480"/>
        <w:jc w:val="both"/>
      </w:pPr>
      <w:r>
        <w:rPr/>
        <w:t>公司将技术结合各行业场景，实现技术到产业的转化。在支撑自身业务的基础上，公司已逐步开始向第三方进行 技术、能力和服务输出。</w:t>
      </w:r>
    </w:p>
    <w:p>
      <w:pPr>
        <w:spacing w:line="240" w:lineRule="auto" w:before="4"/>
        <w:rPr>
          <w:rFonts w:ascii="宋体" w:hAnsi="宋体" w:cs="宋体" w:eastAsia="宋体" w:hint="default"/>
          <w:sz w:val="25"/>
          <w:szCs w:val="25"/>
        </w:rPr>
      </w:pPr>
    </w:p>
    <w:p>
      <w:pPr>
        <w:pStyle w:val="BodyText"/>
        <w:spacing w:line="316" w:lineRule="auto"/>
        <w:ind w:left="634" w:right="1398" w:hanging="360"/>
        <w:jc w:val="left"/>
      </w:pPr>
      <w:r>
        <w:rPr/>
        <w:t>（三）人才优势 多年的运营与技术研发，不仅使得公司在技术、规模、客户、营销等方面具备核心优势，更在相关业务领域积累</w:t>
      </w:r>
    </w:p>
    <w:p>
      <w:pPr>
        <w:pStyle w:val="BodyText"/>
        <w:spacing w:line="316" w:lineRule="auto" w:before="19"/>
        <w:ind w:right="0"/>
        <w:jc w:val="left"/>
      </w:pPr>
      <w:r>
        <w:rPr>
          <w:spacing w:val="-1"/>
        </w:rPr>
        <w:t>了大批人才。公司重视岗位培训与考核，形成了一支架构完备、有良好梯队配置的专业工作团队，无论是研发团队、销</w:t>
      </w:r>
      <w:r>
        <w:rPr>
          <w:spacing w:val="-58"/>
        </w:rPr>
        <w:t> </w:t>
      </w:r>
      <w:r>
        <w:rPr>
          <w:spacing w:val="-58"/>
        </w:rPr>
      </w:r>
      <w:r>
        <w:rPr/>
        <w:t>售团队还是服务团队都具备良好的知识水平、职业素养和服务精神，能够为客户提供专业周到的服务。</w:t>
      </w:r>
    </w:p>
    <w:p>
      <w:pPr>
        <w:pStyle w:val="BodyText"/>
        <w:spacing w:line="316" w:lineRule="auto" w:before="19"/>
        <w:ind w:right="1428" w:firstLine="480"/>
        <w:jc w:val="both"/>
      </w:pPr>
      <w:r>
        <w:rPr/>
        <w:t>公司制定了良好的人才激励机制，通过营造良好企业文化、合理制定薪酬方案、实施股权激励及员工持股计划等 </w:t>
      </w:r>
      <w:r>
        <w:rPr>
          <w:spacing w:val="-1"/>
        </w:rPr>
        <w:t>多种方式激发员工的工作热情，增强团队凝聚力，形成了稳固的以关键技术带头人为核心的多层次技术人才梯队，极大</w:t>
      </w:r>
      <w:r>
        <w:rPr>
          <w:spacing w:val="-56"/>
        </w:rPr>
        <w:t> </w:t>
      </w:r>
      <w:r>
        <w:rPr>
          <w:spacing w:val="-56"/>
        </w:rPr>
      </w:r>
      <w:r>
        <w:rPr/>
        <w:t>地保障了公司研发能力的不断巩固和加强。</w:t>
      </w:r>
    </w:p>
    <w:p>
      <w:pPr>
        <w:spacing w:line="240" w:lineRule="auto" w:before="4"/>
        <w:rPr>
          <w:rFonts w:ascii="宋体" w:hAnsi="宋体" w:cs="宋体" w:eastAsia="宋体" w:hint="default"/>
          <w:sz w:val="25"/>
          <w:szCs w:val="25"/>
        </w:rPr>
      </w:pPr>
    </w:p>
    <w:p>
      <w:pPr>
        <w:pStyle w:val="BodyText"/>
        <w:spacing w:line="240" w:lineRule="auto"/>
        <w:ind w:left="274" w:right="0"/>
        <w:jc w:val="left"/>
      </w:pPr>
      <w:r>
        <w:rPr>
          <w:rFonts w:ascii="Times New Roman" w:hAnsi="Times New Roman" w:cs="Times New Roman" w:eastAsia="Times New Roman" w:hint="default"/>
        </w:rPr>
        <w:t>1</w:t>
      </w:r>
      <w:r>
        <w:rPr/>
        <w:t>、专利</w:t>
      </w:r>
    </w:p>
    <w:p>
      <w:pPr>
        <w:pStyle w:val="BodyText"/>
        <w:spacing w:line="240" w:lineRule="auto" w:before="63"/>
        <w:ind w:left="634" w:right="0"/>
        <w:jc w:val="left"/>
      </w:pPr>
      <w:r>
        <w:rPr/>
        <w:t>报告期内，新增授权专利</w:t>
      </w:r>
      <w:r>
        <w:rPr>
          <w:rFonts w:ascii="Times New Roman" w:hAnsi="Times New Roman" w:cs="Times New Roman" w:eastAsia="Times New Roman" w:hint="default"/>
        </w:rPr>
        <w:t>5</w:t>
      </w:r>
      <w:r>
        <w:rPr/>
        <w:t>项，具体如下：</w:t>
      </w:r>
    </w:p>
    <w:p>
      <w:pPr>
        <w:spacing w:line="240" w:lineRule="auto" w:before="13"/>
        <w:rPr>
          <w:rFonts w:ascii="宋体" w:hAnsi="宋体" w:cs="宋体" w:eastAsia="宋体" w:hint="default"/>
          <w:sz w:val="3"/>
          <w:szCs w:val="3"/>
        </w:rPr>
      </w:pPr>
    </w:p>
    <w:tbl>
      <w:tblPr>
        <w:tblW w:w="0" w:type="auto"/>
        <w:jc w:val="left"/>
        <w:tblInd w:w="247" w:type="dxa"/>
        <w:tblLayout w:type="fixed"/>
        <w:tblCellMar>
          <w:top w:w="0" w:type="dxa"/>
          <w:left w:w="0" w:type="dxa"/>
          <w:bottom w:w="0" w:type="dxa"/>
          <w:right w:w="0" w:type="dxa"/>
        </w:tblCellMar>
        <w:tblLook w:val="01E0"/>
      </w:tblPr>
      <w:tblGrid>
        <w:gridCol w:w="600"/>
        <w:gridCol w:w="2960"/>
        <w:gridCol w:w="1133"/>
        <w:gridCol w:w="1277"/>
        <w:gridCol w:w="2009"/>
        <w:gridCol w:w="1134"/>
      </w:tblGrid>
      <w:tr>
        <w:trPr>
          <w:trHeight w:val="347" w:hRule="exact"/>
        </w:trPr>
        <w:tc>
          <w:tcPr>
            <w:tcW w:w="6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62"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9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96"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236"/>
              <w:jc w:val="righ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b/>
                <w:bCs/>
                <w:sz w:val="18"/>
                <w:szCs w:val="18"/>
              </w:rPr>
              <w:t>证书日</w:t>
            </w:r>
            <w:r>
              <w:rPr>
                <w:rFonts w:ascii="宋体" w:hAnsi="宋体" w:cs="宋体" w:eastAsia="宋体" w:hint="default"/>
                <w:sz w:val="18"/>
                <w:szCs w:val="18"/>
              </w:rPr>
            </w:r>
          </w:p>
        </w:tc>
        <w:tc>
          <w:tcPr>
            <w:tcW w:w="20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98" w:right="0"/>
              <w:jc w:val="center"/>
              <w:rPr>
                <w:rFonts w:ascii="宋体" w:hAnsi="宋体" w:cs="宋体" w:eastAsia="宋体" w:hint="default"/>
                <w:sz w:val="18"/>
                <w:szCs w:val="18"/>
              </w:rPr>
            </w:pPr>
            <w:r>
              <w:rPr>
                <w:rFonts w:ascii="宋体" w:hAnsi="宋体" w:cs="宋体" w:eastAsia="宋体" w:hint="default"/>
                <w:b/>
                <w:bCs/>
                <w:sz w:val="18"/>
                <w:szCs w:val="18"/>
              </w:rPr>
              <w:t>授权专利号</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48"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r>
      <w:tr>
        <w:trPr>
          <w:trHeight w:val="659"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Times New Roman"/>
                <w:sz w:val="18"/>
              </w:rPr>
              <w:t>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40"/>
              <w:jc w:val="left"/>
              <w:rPr>
                <w:rFonts w:ascii="宋体" w:hAnsi="宋体" w:cs="宋体" w:eastAsia="宋体" w:hint="default"/>
                <w:sz w:val="18"/>
                <w:szCs w:val="18"/>
              </w:rPr>
            </w:pPr>
            <w:r>
              <w:rPr>
                <w:rFonts w:ascii="宋体" w:hAnsi="宋体" w:cs="宋体" w:eastAsia="宋体" w:hint="default"/>
                <w:sz w:val="18"/>
                <w:szCs w:val="18"/>
              </w:rPr>
              <w:t>一种卫生信息共享文档模板缓冲存 储的编辑方法</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2015.12.3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2018.06.26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ZL201510880784.6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发明专利</w:t>
            </w:r>
          </w:p>
        </w:tc>
      </w:tr>
      <w:tr>
        <w:trPr>
          <w:trHeight w:val="347"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疾病特征智能匹配方法</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6"/>
              <w:jc w:val="right"/>
              <w:rPr>
                <w:rFonts w:ascii="Times New Roman" w:hAnsi="Times New Roman" w:cs="Times New Roman" w:eastAsia="Times New Roman" w:hint="default"/>
                <w:sz w:val="18"/>
                <w:szCs w:val="18"/>
              </w:rPr>
            </w:pPr>
            <w:r>
              <w:rPr>
                <w:rFonts w:ascii="Times New Roman"/>
                <w:sz w:val="18"/>
              </w:rPr>
              <w:t>2015.6.11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3" w:right="0"/>
              <w:jc w:val="left"/>
              <w:rPr>
                <w:rFonts w:ascii="Times New Roman" w:hAnsi="Times New Roman" w:cs="Times New Roman" w:eastAsia="Times New Roman" w:hint="default"/>
                <w:sz w:val="18"/>
                <w:szCs w:val="18"/>
              </w:rPr>
            </w:pPr>
            <w:r>
              <w:rPr>
                <w:rFonts w:ascii="Times New Roman"/>
                <w:sz w:val="18"/>
              </w:rPr>
              <w:t>2018.10.16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ZL201510319351.3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0" w:right="0"/>
              <w:jc w:val="left"/>
              <w:rPr>
                <w:rFonts w:ascii="宋体" w:hAnsi="宋体" w:cs="宋体" w:eastAsia="宋体" w:hint="default"/>
                <w:sz w:val="18"/>
                <w:szCs w:val="18"/>
              </w:rPr>
            </w:pPr>
            <w:r>
              <w:rPr>
                <w:rFonts w:ascii="宋体" w:hAnsi="宋体" w:cs="宋体" w:eastAsia="宋体" w:hint="default"/>
                <w:sz w:val="18"/>
                <w:szCs w:val="18"/>
              </w:rPr>
              <w:t>发明专利</w:t>
            </w:r>
          </w:p>
        </w:tc>
      </w:tr>
      <w:tr>
        <w:trPr>
          <w:trHeight w:val="660"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Times New Roman"/>
                <w:sz w:val="18"/>
              </w:rPr>
              <w:t>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40"/>
              <w:jc w:val="left"/>
              <w:rPr>
                <w:rFonts w:ascii="宋体" w:hAnsi="宋体" w:cs="宋体" w:eastAsia="宋体" w:hint="default"/>
                <w:sz w:val="18"/>
                <w:szCs w:val="18"/>
              </w:rPr>
            </w:pPr>
            <w:r>
              <w:rPr>
                <w:rFonts w:ascii="宋体" w:hAnsi="宋体" w:cs="宋体" w:eastAsia="宋体" w:hint="default"/>
                <w:sz w:val="18"/>
                <w:szCs w:val="18"/>
              </w:rPr>
              <w:t>一种医疗隐私数据自加密及解密的 方法</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2015.12.3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2018.10.16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ZL201510876310.4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发明专利</w:t>
            </w:r>
          </w:p>
        </w:tc>
      </w:tr>
      <w:tr>
        <w:trPr>
          <w:trHeight w:val="659"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Times New Roman"/>
                <w:sz w:val="18"/>
              </w:rPr>
              <w:t>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 w:right="240"/>
              <w:jc w:val="left"/>
              <w:rPr>
                <w:rFonts w:ascii="宋体" w:hAnsi="宋体" w:cs="宋体" w:eastAsia="宋体" w:hint="default"/>
                <w:sz w:val="18"/>
                <w:szCs w:val="18"/>
              </w:rPr>
            </w:pPr>
            <w:r>
              <w:rPr>
                <w:rFonts w:ascii="宋体" w:hAnsi="宋体" w:cs="宋体" w:eastAsia="宋体" w:hint="default"/>
                <w:sz w:val="18"/>
                <w:szCs w:val="18"/>
              </w:rPr>
              <w:t>一种基于语义模型的医疗指标体系 的构建方法</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2015.12.3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2018.10.16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ZL201510880722.5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发明专利</w:t>
            </w:r>
          </w:p>
        </w:tc>
      </w:tr>
      <w:tr>
        <w:trPr>
          <w:trHeight w:val="659"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Times New Roman"/>
                <w:sz w:val="18"/>
              </w:rPr>
              <w:t>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40"/>
              <w:jc w:val="left"/>
              <w:rPr>
                <w:rFonts w:ascii="宋体" w:hAnsi="宋体" w:cs="宋体" w:eastAsia="宋体" w:hint="default"/>
                <w:sz w:val="18"/>
                <w:szCs w:val="18"/>
              </w:rPr>
            </w:pPr>
            <w:r>
              <w:rPr>
                <w:rFonts w:ascii="宋体" w:hAnsi="宋体" w:cs="宋体" w:eastAsia="宋体" w:hint="default"/>
                <w:sz w:val="18"/>
                <w:szCs w:val="18"/>
              </w:rPr>
              <w:t>基于降维组合分类算法非计划性再 入院风险评估预测模型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2015.12.3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2018.11.6</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ZL201510876357.0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发明专利</w:t>
            </w:r>
          </w:p>
        </w:tc>
      </w:tr>
    </w:tbl>
    <w:p>
      <w:pPr>
        <w:pStyle w:val="BodyText"/>
        <w:spacing w:line="240" w:lineRule="auto" w:before="10"/>
        <w:ind w:right="0"/>
        <w:jc w:val="left"/>
      </w:pPr>
      <w:r>
        <w:rPr>
          <w:rFonts w:ascii="Times New Roman" w:hAnsi="Times New Roman" w:cs="Times New Roman" w:eastAsia="Times New Roman" w:hint="default"/>
        </w:rPr>
        <w:t>2</w:t>
      </w:r>
      <w:r>
        <w:rPr/>
        <w:t>、知识产权</w:t>
      </w:r>
    </w:p>
    <w:p>
      <w:pPr>
        <w:pStyle w:val="BodyText"/>
        <w:spacing w:line="240" w:lineRule="auto" w:before="63"/>
        <w:ind w:left="514" w:right="0"/>
        <w:jc w:val="left"/>
      </w:pPr>
      <w:r>
        <w:rPr/>
        <w:t>报告期内，新增软件著作权</w:t>
      </w:r>
      <w:r>
        <w:rPr>
          <w:rFonts w:ascii="Times New Roman" w:hAnsi="Times New Roman" w:cs="Times New Roman" w:eastAsia="Times New Roman" w:hint="default"/>
        </w:rPr>
        <w:t>147</w:t>
      </w:r>
      <w:r>
        <w:rPr/>
        <w:t>项，具体如下：</w:t>
      </w:r>
    </w:p>
    <w:p>
      <w:pPr>
        <w:spacing w:line="240" w:lineRule="auto" w:before="1"/>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592"/>
        <w:gridCol w:w="5781"/>
        <w:gridCol w:w="1571"/>
        <w:gridCol w:w="1216"/>
      </w:tblGrid>
      <w:tr>
        <w:trPr>
          <w:trHeight w:val="322" w:hRule="exact"/>
        </w:trPr>
        <w:tc>
          <w:tcPr>
            <w:tcW w:w="592"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781"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571"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216" w:type="dxa"/>
            <w:tcBorders>
              <w:top w:val="single" w:sz="4" w:space="0" w:color="000000"/>
              <w:left w:val="single" w:sz="4" w:space="0" w:color="000000"/>
              <w:bottom w:val="single" w:sz="4" w:space="0" w:color="000000"/>
              <w:right w:val="single" w:sz="4" w:space="0" w:color="000000"/>
            </w:tcBorders>
            <w:shd w:val="clear" w:color="auto" w:fill="959595"/>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万达医保智能提示软件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2018SR008353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万达医保服务监控软件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2018SR008332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2018.1.4</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万达信息资源集成平台软件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2018SR045229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2018.1.19</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万达渠道管理平台软件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2018SR047410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2018.1.22</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万达信息长护险护理服务信息管理软件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2018SR048822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2018.1.22</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万达运营数据报表平台软件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2018SR048826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2018.1.22</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万达信息临床科研协作数据系统应用软件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2018SR058930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万达信息区域共享服务管理平台软件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2018SR051452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2018.1.23</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万达信息一体机操作系统应用软件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2018SR051479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2018.1.23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w:t>
            </w:r>
            <w:r>
              <w:rPr>
                <w:rFonts w:ascii="Times New Roman" w:hAnsi="Times New Roman" w:cs="Times New Roman" w:eastAsia="Times New Roman" w:hint="default"/>
                <w:sz w:val="18"/>
                <w:szCs w:val="18"/>
              </w:rPr>
              <w:t>-</w:t>
            </w:r>
            <w:r>
              <w:rPr>
                <w:rFonts w:ascii="宋体" w:hAnsi="宋体" w:cs="宋体" w:eastAsia="宋体" w:hint="default"/>
                <w:sz w:val="18"/>
                <w:szCs w:val="18"/>
              </w:rPr>
              <w:t>集中监控与管理软件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2018SR051490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数据统计平台软件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2018SR051532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2018.1.23</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万达信息档案数字化加工安全管理软件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2018SR050596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2018.1.22</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万达信息元数据影像加工管理软件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2018SR050493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2018.1.22</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CDP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文件持续备份软件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2018SR050406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2018.1.22</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万达信息电子文件封装管理软件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2018SR050313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2018.1.22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92"/>
        <w:gridCol w:w="5781"/>
        <w:gridCol w:w="1571"/>
        <w:gridCol w:w="1216"/>
      </w:tblGrid>
      <w:tr>
        <w:trPr>
          <w:trHeight w:val="317" w:hRule="exact"/>
        </w:trPr>
        <w:tc>
          <w:tcPr>
            <w:tcW w:w="5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16</w:t>
            </w:r>
          </w:p>
        </w:tc>
        <w:tc>
          <w:tcPr>
            <w:tcW w:w="5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粮食行业信息资源集成平台软件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2018SR087894</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17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粮食业务基础平台软件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2018SR087919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18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万达信息区域数据交换平台软件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2018SR087758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2018.2.2</w:t>
            </w:r>
          </w:p>
        </w:tc>
      </w:tr>
      <w:tr>
        <w:trPr>
          <w:trHeight w:val="355"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1"/>
              <w:jc w:val="right"/>
              <w:rPr>
                <w:rFonts w:ascii="Times New Roman" w:hAnsi="Times New Roman" w:cs="Times New Roman" w:eastAsia="Times New Roman" w:hint="default"/>
                <w:sz w:val="18"/>
                <w:szCs w:val="18"/>
              </w:rPr>
            </w:pPr>
            <w:r>
              <w:rPr>
                <w:rFonts w:ascii="Times New Roman"/>
                <w:sz w:val="18"/>
              </w:rPr>
              <w:t>19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万达安全可靠办公运维软件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0" w:right="0"/>
              <w:jc w:val="left"/>
              <w:rPr>
                <w:rFonts w:ascii="Times New Roman" w:hAnsi="Times New Roman" w:cs="Times New Roman" w:eastAsia="Times New Roman" w:hint="default"/>
                <w:sz w:val="18"/>
                <w:szCs w:val="18"/>
              </w:rPr>
            </w:pPr>
            <w:r>
              <w:rPr>
                <w:rFonts w:ascii="Times New Roman"/>
                <w:sz w:val="18"/>
              </w:rPr>
              <w:t>2018SR108208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2018.2.11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1"/>
              <w:jc w:val="right"/>
              <w:rPr>
                <w:rFonts w:ascii="Times New Roman" w:hAnsi="Times New Roman" w:cs="Times New Roman" w:eastAsia="Times New Roman" w:hint="default"/>
                <w:sz w:val="18"/>
                <w:szCs w:val="18"/>
              </w:rPr>
            </w:pPr>
            <w:r>
              <w:rPr>
                <w:rFonts w:ascii="Times New Roman"/>
                <w:sz w:val="18"/>
              </w:rPr>
              <w:t>20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万达安全可靠机关园地软件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0" w:right="0"/>
              <w:jc w:val="left"/>
              <w:rPr>
                <w:rFonts w:ascii="Times New Roman" w:hAnsi="Times New Roman" w:cs="Times New Roman" w:eastAsia="Times New Roman" w:hint="default"/>
                <w:sz w:val="18"/>
                <w:szCs w:val="18"/>
              </w:rPr>
            </w:pPr>
            <w:r>
              <w:rPr>
                <w:rFonts w:ascii="Times New Roman"/>
                <w:sz w:val="18"/>
              </w:rPr>
              <w:t>2018SR108092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2018.2.11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21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万达信息行业大数据管理平台软件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2018SR107721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22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万达信息行业大数据智能分析处理平台软件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2018SR108098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2018.2.11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23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万达信息医疗行业大数据管理平台软件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2018SR108097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2018.2.11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24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万达信息居民健康卡跨域主索引平台软件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2018SR122613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25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万达信息虚拟（电子）居民健康卡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2018SR122601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2018.2.24</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26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万达信息青少年体育素养大数据公共服务软件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2018SR122596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2018.2.24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27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万达信息青少年体育素养大数据管控软件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2018SR122590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28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万达信息日志处理系统应用软件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2018SR125513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2018.2.26</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29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万达信息故障处理系统应用软件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2018SR125512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2018.2.26</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30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全程心管家综合管理软件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2018SR125510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2018.2.26</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31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全程心管家医生端移动软件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2018SR125511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2018.2.26</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32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万达信息青少年体育素养评价体系管理软件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2018SR124807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2018.2.26</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33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万达信息青少年体育素养智能评价分析软件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2018SR125420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2018.2.26</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34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万达跨地区传染病疫情联防联控协同平台软件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2018SR137723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2018.3.2</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35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万达安全可靠电子公文软件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2018SR144331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2018.3.5</w:t>
            </w:r>
          </w:p>
        </w:tc>
      </w:tr>
      <w:tr>
        <w:trPr>
          <w:trHeight w:val="368"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1"/>
              <w:jc w:val="right"/>
              <w:rPr>
                <w:rFonts w:ascii="Times New Roman" w:hAnsi="Times New Roman" w:cs="Times New Roman" w:eastAsia="Times New Roman" w:hint="default"/>
                <w:sz w:val="18"/>
                <w:szCs w:val="18"/>
              </w:rPr>
            </w:pPr>
            <w:r>
              <w:rPr>
                <w:rFonts w:ascii="Times New Roman"/>
                <w:sz w:val="18"/>
              </w:rPr>
              <w:t>36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万达安全可靠电子政务公文签批软件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0" w:right="0"/>
              <w:jc w:val="left"/>
              <w:rPr>
                <w:rFonts w:ascii="Times New Roman" w:hAnsi="Times New Roman" w:cs="Times New Roman" w:eastAsia="Times New Roman" w:hint="default"/>
                <w:sz w:val="18"/>
                <w:szCs w:val="18"/>
              </w:rPr>
            </w:pPr>
            <w:r>
              <w:rPr>
                <w:rFonts w:ascii="Times New Roman"/>
                <w:sz w:val="18"/>
              </w:rPr>
              <w:t>2018SR144329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2018.3.5</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37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万达信息居民健康卡虚拟化应用管理软件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2018SR148586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2018.3.7</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38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万达信息医疗大数据稽核监管应用软件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2018SR170466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2018.3.15</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39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万达信息分级诊疗家庭医生签约平台软件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2018SR184131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2018.3.20</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40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全程肾管家综合管理软件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2018SR173115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2018.3.16</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41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病历信息格式化管理软件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2018SR174620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2018.3.16</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42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万达信息场馆智能化信息集成总线软件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2018SR210975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2018.3.27</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43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万达信息观众服务导览软件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2018SR210867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2018.3.27</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44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万达安全可靠代码扫描软件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2018SR223492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2018.3.30</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45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全程心管家患者端移动软件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2018SR238788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2018.4.9</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46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万达信息可信溯源融合平台软件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2018SR243097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2018.4.11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47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万达信息可信溯源融合平台企业网页端软件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2018SR245823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2018.4.11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48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万达信息可信溯源融合平台企业手机端软件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2018SR243104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2018.4.11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49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万达信息可信溯源融合平台监管网页端软件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2018SR243088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2018.4.11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50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万达信息可信溯源融合平台监管手机端软件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2018SR244588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2018.4.11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51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万达信息可信溯源融合平台公众手机端软件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2018SR246004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2018.4.11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52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万达信息公共服务自助语音服务软件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2018SR249256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2018.4.12</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53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万达信息中华创世神话沉浸式系列课件</w:t>
            </w:r>
            <w:r>
              <w:rPr>
                <w:rFonts w:ascii="Times New Roman" w:hAnsi="Times New Roman" w:cs="Times New Roman" w:eastAsia="Times New Roman" w:hint="default"/>
                <w:sz w:val="18"/>
                <w:szCs w:val="18"/>
              </w:rPr>
              <w:t>——</w:t>
            </w:r>
            <w:r>
              <w:rPr>
                <w:rFonts w:ascii="宋体" w:hAnsi="宋体" w:cs="宋体" w:eastAsia="宋体" w:hint="default"/>
                <w:sz w:val="18"/>
                <w:szCs w:val="18"/>
              </w:rPr>
              <w:t>后羿射日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2018SR303266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2018.5.4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54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万达信息文物保护修复检验检测管理软件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2018SR303283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55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全程肾管家患者端移动软件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2018SR296473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z w:val="18"/>
              </w:rPr>
              <w:t>56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全程肾管家医生端移动软件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2018SR297505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2018.5.2</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57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万达信息纳税人画像系统应用软件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2018SR369662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2018.5.23</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1"/>
              <w:jc w:val="right"/>
              <w:rPr>
                <w:rFonts w:ascii="Times New Roman" w:hAnsi="Times New Roman" w:cs="Times New Roman" w:eastAsia="Times New Roman" w:hint="default"/>
                <w:sz w:val="18"/>
                <w:szCs w:val="18"/>
              </w:rPr>
            </w:pPr>
            <w:r>
              <w:rPr>
                <w:rFonts w:ascii="Times New Roman"/>
                <w:sz w:val="18"/>
              </w:rPr>
              <w:t>58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万达信息税务大数据管理系统应用软件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2018SR369665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92"/>
        <w:gridCol w:w="5781"/>
        <w:gridCol w:w="1571"/>
        <w:gridCol w:w="1216"/>
      </w:tblGrid>
      <w:tr>
        <w:trPr>
          <w:trHeight w:val="317" w:hRule="exact"/>
        </w:trPr>
        <w:tc>
          <w:tcPr>
            <w:tcW w:w="5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59</w:t>
            </w:r>
          </w:p>
        </w:tc>
        <w:tc>
          <w:tcPr>
            <w:tcW w:w="5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万达信息纳税人关系图谱分析应用软件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2018SR371257</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万达信息税务实时风险管理软件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2018SR387576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2018.5.28</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61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万达信息社保卡银行端制卡维护应用软件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2018SR392815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2018.5.29</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万达信息社会保障卡平台网点服务软件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2018SR390141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2018.5.28</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万达信息社会保障卡平台微服务软件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2018SR394795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2018.5.29</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64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万达信息市民卡统一支付平台系统应用软件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2018SR392096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2018.5.29</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万达信息发票服务平台软件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2018SR404300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2018.5.31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万达信息出入境政务服务和大数据监管软件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2018SR405702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2018.5.31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67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万达信息公安执法办案和治安管理平台软件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2018SR405699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2018.5.31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万达信息监所教育改造平台软件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2018SR405698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2018.5.31</w:t>
            </w:r>
          </w:p>
        </w:tc>
      </w:tr>
      <w:tr>
        <w:trPr>
          <w:trHeight w:val="395"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69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万达信息监所生卫管理平台软件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0" w:right="0"/>
              <w:jc w:val="left"/>
              <w:rPr>
                <w:rFonts w:ascii="Times New Roman" w:hAnsi="Times New Roman" w:cs="Times New Roman" w:eastAsia="Times New Roman" w:hint="default"/>
                <w:sz w:val="18"/>
                <w:szCs w:val="18"/>
              </w:rPr>
            </w:pPr>
            <w:r>
              <w:rPr>
                <w:rFonts w:ascii="Times New Roman"/>
                <w:sz w:val="18"/>
              </w:rPr>
              <w:t>2018SR405695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2018.5.31</w:t>
            </w:r>
          </w:p>
        </w:tc>
      </w:tr>
      <w:tr>
        <w:trPr>
          <w:trHeight w:val="415"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70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万达信息监狱狱政管理平台软件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0" w:right="0"/>
              <w:jc w:val="left"/>
              <w:rPr>
                <w:rFonts w:ascii="Times New Roman" w:hAnsi="Times New Roman" w:cs="Times New Roman" w:eastAsia="Times New Roman" w:hint="default"/>
                <w:sz w:val="18"/>
                <w:szCs w:val="18"/>
              </w:rPr>
            </w:pPr>
            <w:r>
              <w:rPr>
                <w:rFonts w:ascii="Times New Roman"/>
                <w:sz w:val="18"/>
              </w:rPr>
              <w:t>2018SR405692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2018.5.31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万达信息案辅和检务大数据平台软件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2018SR405682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2018.5.31</w:t>
            </w:r>
          </w:p>
        </w:tc>
      </w:tr>
      <w:tr>
        <w:trPr>
          <w:trHeight w:val="38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72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万达信息检察机关为民服务平台软件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0" w:right="0"/>
              <w:jc w:val="left"/>
              <w:rPr>
                <w:rFonts w:ascii="Times New Roman" w:hAnsi="Times New Roman" w:cs="Times New Roman" w:eastAsia="Times New Roman" w:hint="default"/>
                <w:sz w:val="18"/>
                <w:szCs w:val="18"/>
              </w:rPr>
            </w:pPr>
            <w:r>
              <w:rPr>
                <w:rFonts w:ascii="Times New Roman"/>
                <w:sz w:val="18"/>
              </w:rPr>
              <w:t>2018SR405688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2108.5.31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73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万达信息政法业务协同和大数据维稳平台软件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2018SR405685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2018.5.31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挂号预约管理终端软件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2018SR430410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2018.6.7</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万达信息企业服务云平台软件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2018SR388013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2018.5.28</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76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万达信息事中事后综合监管平台软件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2018SR388026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2018.5.28</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万达信息市场监管行政处罚信息系统应用软件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2018SR387796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2018.5.28</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万达信息民政业务数据海平台软件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2018SR458016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2018.6.19</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79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万达信息区域临检平台软件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2018SR453490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2018.3.2</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万达信息电子病历智能全文检索应用软件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2018SR476932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2018.6.25</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万达信息快赔保软件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2018SR483286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2018.6.26</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万达信息云核保软件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2018SR482657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2018.6.26</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PaaS </w:t>
            </w:r>
            <w:r>
              <w:rPr>
                <w:rFonts w:ascii="宋体" w:hAnsi="宋体" w:cs="宋体" w:eastAsia="宋体" w:hint="default"/>
                <w:sz w:val="18"/>
                <w:szCs w:val="18"/>
              </w:rPr>
              <w:t>云管理平台软件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2018SR508045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2018.7.3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万达信息培训报名管理应用软件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2018SR472975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2018.6.22</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万达信息物业收费管理应用软件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2018SR480316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2018.6.25</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万达信息分级诊疗双向转诊平台软件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2018SR541568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万达信息健康城市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2018SR568111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2018.7.19</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万达信息健康云运营管理软件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2018SR567665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2018.7.19</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万达信息健康云综合管理软件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2018SR571953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2018.7.20</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万达信息大数据精准健康管理平台软件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2018SR603281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2018.7.31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91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万达信息基于大数据的慢病管理平台软件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2018SR603029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2018.7.31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万达信息慢病大数据管理平台软件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2018SR610685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2018.8.2</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万达信息分级诊疗运行评价平台软件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2018SR615959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2018.8.3</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94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万达信息健康商城软件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2018SR641913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2018.8.13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万达信息中小企业第三方电子商务软件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2018SR641918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2018.8.13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万达信息临床检验知识库软件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2018SR643017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2018.8.13</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97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万达信息临床事中审方管理系统应用软件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0" w:right="0"/>
              <w:jc w:val="left"/>
              <w:rPr>
                <w:rFonts w:ascii="Times New Roman" w:hAnsi="Times New Roman" w:cs="Times New Roman" w:eastAsia="Times New Roman" w:hint="default"/>
                <w:sz w:val="18"/>
                <w:szCs w:val="18"/>
              </w:rPr>
            </w:pPr>
            <w:r>
              <w:rPr>
                <w:rFonts w:ascii="Times New Roman"/>
                <w:sz w:val="18"/>
              </w:rPr>
              <w:t>2018SR643051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2018.8.13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万达信息区域处方点评及用药监管软件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2018SR642962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2018.8.13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万达信息智慧校园服务平台软件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2018SR643019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2018.8.13</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万达信息大数据协同管理系统应用软件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2018SR655244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2018.8.16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92"/>
        <w:gridCol w:w="5781"/>
        <w:gridCol w:w="1571"/>
        <w:gridCol w:w="1216"/>
      </w:tblGrid>
      <w:tr>
        <w:trPr>
          <w:trHeight w:val="317" w:hRule="exact"/>
        </w:trPr>
        <w:tc>
          <w:tcPr>
            <w:tcW w:w="5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101</w:t>
            </w:r>
          </w:p>
        </w:tc>
        <w:tc>
          <w:tcPr>
            <w:tcW w:w="5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万达信息社会保障卡线上服务平台软件 </w:t>
            </w:r>
            <w:r>
              <w:rPr>
                <w:rFonts w:ascii="Times New Roman" w:hAnsi="Times New Roman" w:cs="Times New Roman" w:eastAsia="Times New Roman" w:hint="default"/>
                <w:sz w:val="18"/>
                <w:szCs w:val="18"/>
              </w:rPr>
              <w:t>V3.0</w:t>
            </w:r>
          </w:p>
        </w:tc>
        <w:tc>
          <w:tcPr>
            <w:tcW w:w="1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2018SR663114</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2018.8.20</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万达信息数据共享交换平台软件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V6.0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2018SR702178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2018.8.31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万达信息数据湖云平台软件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2018SR702188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2018.8.31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万达信息区域处方前置审核管理系统应用软件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2018SR672135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2018.8.22</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万达信息税务事中事后管理软件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2018SR695694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2018.8.30</w:t>
            </w:r>
          </w:p>
        </w:tc>
      </w:tr>
      <w:tr>
        <w:trPr>
          <w:trHeight w:val="385"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106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万达信息智慧城市运行管理中心综合管理平台软件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0" w:right="0"/>
              <w:jc w:val="left"/>
              <w:rPr>
                <w:rFonts w:ascii="Times New Roman" w:hAnsi="Times New Roman" w:cs="Times New Roman" w:eastAsia="Times New Roman" w:hint="default"/>
                <w:sz w:val="18"/>
                <w:szCs w:val="18"/>
              </w:rPr>
            </w:pPr>
            <w:r>
              <w:rPr>
                <w:rFonts w:ascii="Times New Roman"/>
                <w:sz w:val="18"/>
              </w:rPr>
              <w:t>2018SR656243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2018.8.16</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万达信息城市管理网格化移动巡查执法平台软件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2018SR669078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2018.8.21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万达信息机动车尾气遥感监测与移动终端软件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2018SR693604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2018.8.29</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万达信息临床知识库统一管理平台软件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2018SR715936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2018.9.5</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万达信息健康云居民端移动软件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2018SR757662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2018.9.18</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万达信息定位监护平台软件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2018SR748924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2018.9.14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万达信息亲人定位监护软件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2018SR743752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2018.9.13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万达信息养护机构自助点餐管理软件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2018SR752707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2018.9.17</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万达信息长者日间照料信息管理软件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2018SR743417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2018.9.13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万达信息长者照护之家信息管理软件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2018SR748427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2018.9.14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万达信息公共卫生监管平台软件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2018SR743469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2018.9.13</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万达信息药品监管平台软件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2018SR747048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2018.9.14</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万达信息医改监测平台软件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2018SR743479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2018.9.13</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万达信息区域人口健康信息平台集成门户软件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2018SR746751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2018.9.14</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w:t>
            </w:r>
            <w:r>
              <w:rPr>
                <w:rFonts w:ascii="Times New Roman" w:hAnsi="Times New Roman" w:cs="Times New Roman" w:eastAsia="Times New Roman" w:hint="default"/>
                <w:sz w:val="18"/>
                <w:szCs w:val="18"/>
              </w:rPr>
              <w:t>-</w:t>
            </w:r>
            <w:r>
              <w:rPr>
                <w:rFonts w:ascii="宋体" w:hAnsi="宋体" w:cs="宋体" w:eastAsia="宋体" w:hint="default"/>
                <w:sz w:val="18"/>
                <w:szCs w:val="18"/>
              </w:rPr>
              <w:t>临床文档结构管理软件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2018SR786200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2018.9.27</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w:t>
            </w:r>
            <w:r>
              <w:rPr>
                <w:rFonts w:ascii="Times New Roman" w:hAnsi="Times New Roman" w:cs="Times New Roman" w:eastAsia="Times New Roman" w:hint="default"/>
                <w:sz w:val="18"/>
                <w:szCs w:val="18"/>
              </w:rPr>
              <w:t>-</w:t>
            </w:r>
            <w:r>
              <w:rPr>
                <w:rFonts w:ascii="宋体" w:hAnsi="宋体" w:cs="宋体" w:eastAsia="宋体" w:hint="default"/>
                <w:sz w:val="18"/>
                <w:szCs w:val="18"/>
              </w:rPr>
              <w:t>数据质量控制软件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2018SR776996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2018.9.25</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万达信息医疗质量监管平台软件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2018SR775516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2018.9.25</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万达信息中医药监管平台软件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2018SR775518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2018.9.25</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万达信息区域平台数据安全管控平台软件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2018SR776995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2018.9.25</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万达信息网站群内容管理应用软件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2018SR787939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2018.9.28</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万达信息市民云移动消息管理系统应用软件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2018SR784125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2018.9.27</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万达信息市民云数据大屏系统应用软件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2018SR790792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2018.9.29</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万达信息市民云人工智能应用系统应用软件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2018SR783443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2018.9.27</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万达信息市民云电子证件平台应用软件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2018SR790785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2018.9.29</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万达信息移动综合管理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2018SR788171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2018.9.28</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万达信息长护险上门服务管理软件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2018SR811534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2018.10.11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w:t>
            </w:r>
            <w:r>
              <w:rPr>
                <w:rFonts w:ascii="Times New Roman" w:hAnsi="Times New Roman" w:cs="Times New Roman" w:eastAsia="Times New Roman" w:hint="default"/>
                <w:sz w:val="18"/>
                <w:szCs w:val="18"/>
              </w:rPr>
              <w:t>-</w:t>
            </w:r>
            <w:r>
              <w:rPr>
                <w:rFonts w:ascii="宋体" w:hAnsi="宋体" w:cs="宋体" w:eastAsia="宋体" w:hint="default"/>
                <w:sz w:val="18"/>
                <w:szCs w:val="18"/>
              </w:rPr>
              <w:t>底层一体化管理软件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2018SR811222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2018.10.11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万达信息基层医院补偿机制改革系统应用软件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2018SR810993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2018.10.11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134</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万达信息精神卫生信息管理系统应用软件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2018SR811014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2018.10.11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万达信息家庭医生签约系统应用软件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2018SR811010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2018.10.11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万达信息公共卫生信息管理平台软件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2018SR811003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2018.10.11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长期护理保险经办平台软件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2018SR857053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2018.10.10</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138</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万达信息公共服务数据交换软件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2018SR870685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2018.10.31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139</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万达信息智能在线服务生成软件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2018SR870615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2018.10.31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140</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万达信息健康云医生端移动软件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2018SR876158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2018.11.1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141</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万达信息医疗健康患者画像系统应用软件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2018SR870662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2018.10.31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142</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万达信息大数据任务调度管理系统应用软件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2018SR870677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2018.10.31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143</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的数据交换管理软件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2018SR901678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2018.11.12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92"/>
        <w:gridCol w:w="5781"/>
        <w:gridCol w:w="1571"/>
        <w:gridCol w:w="1216"/>
      </w:tblGrid>
      <w:tr>
        <w:trPr>
          <w:trHeight w:val="317" w:hRule="exact"/>
        </w:trPr>
        <w:tc>
          <w:tcPr>
            <w:tcW w:w="5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144</w:t>
            </w:r>
          </w:p>
        </w:tc>
        <w:tc>
          <w:tcPr>
            <w:tcW w:w="5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万达信息残疾人综合服务信息系统应用软件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2018SR991000</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2018.12.7</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145</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万达信息专业技术人才管理服务平台软件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2018SR1001167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2018.12.11</w:t>
            </w:r>
          </w:p>
        </w:tc>
      </w:tr>
      <w:tr>
        <w:trPr>
          <w:trHeight w:val="323"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146</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万达信息高层次人才综合服务平台系统应用软件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2018SR1001177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2018.12.11</w:t>
            </w:r>
          </w:p>
        </w:tc>
      </w:tr>
      <w:tr>
        <w:trPr>
          <w:trHeight w:val="322" w:hRule="exact"/>
        </w:trPr>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147</w:t>
            </w:r>
          </w:p>
        </w:tc>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万达信息档案数字化加工系统应用软件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2018SR960632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2018.9.20</w:t>
            </w:r>
          </w:p>
        </w:tc>
      </w:tr>
    </w:tbl>
    <w:p>
      <w:pPr>
        <w:spacing w:line="240" w:lineRule="auto" w:before="1"/>
        <w:rPr>
          <w:rFonts w:ascii="Times New Roman" w:hAnsi="Times New Roman" w:cs="Times New Roman" w:eastAsia="Times New Roman" w:hint="default"/>
          <w:sz w:val="25"/>
          <w:szCs w:val="25"/>
        </w:rPr>
      </w:pPr>
    </w:p>
    <w:p>
      <w:pPr>
        <w:pStyle w:val="BodyText"/>
        <w:spacing w:line="300" w:lineRule="auto" w:before="44"/>
        <w:ind w:left="514" w:right="1118" w:hanging="360"/>
        <w:jc w:val="left"/>
      </w:pPr>
      <w:r>
        <w:rPr>
          <w:rFonts w:ascii="Times New Roman" w:hAnsi="Times New Roman" w:cs="Times New Roman" w:eastAsia="Times New Roman" w:hint="default"/>
        </w:rPr>
        <w:t>3</w:t>
      </w:r>
      <w:r>
        <w:rPr/>
        <w:t>、核心技术人员 </w:t>
      </w:r>
      <w:r>
        <w:rPr>
          <w:spacing w:val="-3"/>
        </w:rPr>
        <w:t>报告期内，公司的核心技术团队稳定，且不断有各类创新型人才加盟。公司形成了稳定的核心技术人才梯队，其中，</w:t>
      </w:r>
    </w:p>
    <w:p>
      <w:pPr>
        <w:pStyle w:val="BodyText"/>
        <w:spacing w:line="300" w:lineRule="auto" w:before="31"/>
        <w:ind w:right="0"/>
        <w:jc w:val="left"/>
      </w:pPr>
      <w:r>
        <w:rPr>
          <w:spacing w:val="-1"/>
        </w:rPr>
        <w:t>国务院特殊津贴专家</w:t>
      </w:r>
      <w:r>
        <w:rPr>
          <w:rFonts w:ascii="Times New Roman" w:hAnsi="Times New Roman" w:cs="Times New Roman" w:eastAsia="Times New Roman" w:hint="default"/>
          <w:spacing w:val="-1"/>
        </w:rPr>
        <w:t>4</w:t>
      </w:r>
      <w:r>
        <w:rPr>
          <w:spacing w:val="-1"/>
        </w:rPr>
        <w:t>人、上海市领军人才</w:t>
      </w:r>
      <w:r>
        <w:rPr>
          <w:rFonts w:ascii="Times New Roman" w:hAnsi="Times New Roman" w:cs="Times New Roman" w:eastAsia="Times New Roman" w:hint="default"/>
          <w:spacing w:val="-1"/>
        </w:rPr>
        <w:t>3</w:t>
      </w:r>
      <w:r>
        <w:rPr>
          <w:spacing w:val="-1"/>
        </w:rPr>
        <w:t>人、教授级高级工程师</w:t>
      </w:r>
      <w:r>
        <w:rPr>
          <w:rFonts w:ascii="Times New Roman" w:hAnsi="Times New Roman" w:cs="Times New Roman" w:eastAsia="Times New Roman" w:hint="default"/>
          <w:spacing w:val="-1"/>
        </w:rPr>
        <w:t>8</w:t>
      </w:r>
      <w:r>
        <w:rPr>
          <w:spacing w:val="-1"/>
        </w:rPr>
        <w:t>人、国家科技部专项入库专家</w:t>
      </w:r>
      <w:r>
        <w:rPr>
          <w:rFonts w:ascii="Times New Roman" w:hAnsi="Times New Roman" w:cs="Times New Roman" w:eastAsia="Times New Roman" w:hint="default"/>
          <w:spacing w:val="-1"/>
        </w:rPr>
        <w:t>6</w:t>
      </w:r>
      <w:r>
        <w:rPr>
          <w:spacing w:val="-1"/>
        </w:rPr>
        <w:t>人、上海市优秀技术</w:t>
      </w:r>
      <w:r>
        <w:rPr>
          <w:spacing w:val="-56"/>
        </w:rPr>
        <w:t> </w:t>
      </w:r>
      <w:r>
        <w:rPr>
          <w:spacing w:val="-56"/>
        </w:rPr>
      </w:r>
      <w:r>
        <w:rPr/>
        <w:t>带头人</w:t>
      </w:r>
      <w:r>
        <w:rPr>
          <w:rFonts w:ascii="Times New Roman" w:hAnsi="Times New Roman" w:cs="Times New Roman" w:eastAsia="Times New Roman" w:hint="default"/>
        </w:rPr>
        <w:t>3</w:t>
      </w:r>
      <w:r>
        <w:rPr/>
        <w:t>人、上海工匠</w:t>
      </w:r>
      <w:r>
        <w:rPr>
          <w:rFonts w:ascii="Times New Roman" w:hAnsi="Times New Roman" w:cs="Times New Roman" w:eastAsia="Times New Roman" w:hint="default"/>
        </w:rPr>
        <w:t>2</w:t>
      </w:r>
      <w:r>
        <w:rPr/>
        <w:t>人、上海市青年启明星</w:t>
      </w:r>
      <w:r>
        <w:rPr>
          <w:rFonts w:ascii="Times New Roman" w:hAnsi="Times New Roman" w:cs="Times New Roman" w:eastAsia="Times New Roman" w:hint="default"/>
        </w:rPr>
        <w:t>4</w:t>
      </w:r>
      <w:r>
        <w:rPr/>
        <w:t>人、上海市软件行业标兵</w:t>
      </w:r>
      <w:r>
        <w:rPr>
          <w:rFonts w:ascii="Times New Roman" w:hAnsi="Times New Roman" w:cs="Times New Roman" w:eastAsia="Times New Roman" w:hint="default"/>
        </w:rPr>
        <w:t>28</w:t>
      </w:r>
      <w:r>
        <w:rPr/>
        <w:t>人。</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62" w:firstLine="360"/>
        <w:jc w:val="left"/>
      </w:pPr>
      <w:r>
        <w:rPr>
          <w:rFonts w:ascii="Times New Roman" w:hAnsi="Times New Roman" w:cs="Times New Roman" w:eastAsia="Times New Roman" w:hint="default"/>
        </w:rPr>
        <w:t>2018</w:t>
      </w:r>
      <w:r>
        <w:rPr/>
        <w:t>年，公司继续秉承</w:t>
      </w:r>
      <w:r>
        <w:rPr>
          <w:rFonts w:ascii="Times New Roman" w:hAnsi="Times New Roman" w:cs="Times New Roman" w:eastAsia="Times New Roman" w:hint="default"/>
        </w:rPr>
        <w:t>“</w:t>
      </w:r>
      <w:r>
        <w:rPr/>
        <w:t>让信息化为人们创造更美好的生活</w:t>
      </w:r>
      <w:r>
        <w:rPr>
          <w:rFonts w:ascii="Times New Roman" w:hAnsi="Times New Roman" w:cs="Times New Roman" w:eastAsia="Times New Roman" w:hint="default"/>
        </w:rPr>
        <w:t>”</w:t>
      </w:r>
      <w:r>
        <w:rPr/>
        <w:t>的宗旨，全面推进各领域基础系统建设和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 报告期内，公司实现营业收入</w:t>
      </w:r>
      <w:r>
        <w:rPr>
          <w:rFonts w:ascii="Times New Roman" w:hAnsi="Times New Roman" w:cs="Times New Roman" w:eastAsia="Times New Roman" w:hint="default"/>
        </w:rPr>
        <w:t>2,204,681,762.59</w:t>
      </w:r>
      <w:r>
        <w:rPr/>
        <w:t>元，较上年同期下降</w:t>
      </w:r>
      <w:r>
        <w:rPr>
          <w:rFonts w:ascii="Times New Roman" w:hAnsi="Times New Roman" w:cs="Times New Roman" w:eastAsia="Times New Roman" w:hint="default"/>
        </w:rPr>
        <w:t>8.73%</w:t>
      </w:r>
      <w:r>
        <w:rPr/>
        <w:t>；归属于上市公司股东的净利润</w:t>
      </w:r>
      <w:r>
        <w:rPr>
          <w:rFonts w:ascii="Times New Roman" w:hAnsi="Times New Roman" w:cs="Times New Roman" w:eastAsia="Times New Roman" w:hint="default"/>
        </w:rPr>
        <w:t>231,999,258.41</w:t>
      </w:r>
      <w:r>
        <w:rPr/>
        <w:t>元，</w:t>
      </w:r>
      <w:r>
        <w:rPr>
          <w:spacing w:val="1"/>
        </w:rPr>
        <w:t> </w:t>
      </w:r>
      <w:r>
        <w:rPr/>
        <w:t>较上年同期下降</w:t>
      </w:r>
      <w:r>
        <w:rPr>
          <w:rFonts w:ascii="Times New Roman" w:hAnsi="Times New Roman" w:cs="Times New Roman" w:eastAsia="Times New Roman" w:hint="default"/>
        </w:rPr>
        <w:t>28.95%</w:t>
      </w:r>
      <w:r>
        <w:rPr/>
        <w:t>；经营活动产生的现金流量净额</w:t>
      </w:r>
      <w:r>
        <w:rPr>
          <w:rFonts w:ascii="Times New Roman" w:hAnsi="Times New Roman" w:cs="Times New Roman" w:eastAsia="Times New Roman" w:hint="default"/>
        </w:rPr>
        <w:t>75,934,274.16</w:t>
      </w:r>
      <w:r>
        <w:rPr/>
        <w:t>元，较上年同期增长</w:t>
      </w:r>
      <w:r>
        <w:rPr>
          <w:rFonts w:ascii="Times New Roman" w:hAnsi="Times New Roman" w:cs="Times New Roman" w:eastAsia="Times New Roman" w:hint="default"/>
        </w:rPr>
        <w:t>132.45%</w:t>
      </w:r>
      <w:r>
        <w:rPr/>
        <w:t>。</w:t>
      </w:r>
    </w:p>
    <w:p>
      <w:pPr>
        <w:pStyle w:val="BodyText"/>
        <w:spacing w:line="300" w:lineRule="auto" w:before="13"/>
        <w:ind w:right="1122" w:firstLine="360"/>
        <w:jc w:val="left"/>
      </w:pPr>
      <w:r>
        <w:rPr>
          <w:spacing w:val="-2"/>
        </w:rPr>
        <w:t>报告期内公司业绩下降的主要原因有：（</w:t>
      </w:r>
      <w:r>
        <w:rPr>
          <w:rFonts w:ascii="Times New Roman" w:hAnsi="Times New Roman" w:cs="Times New Roman" w:eastAsia="Times New Roman" w:hint="default"/>
          <w:spacing w:val="-2"/>
        </w:rPr>
        <w:t>1</w:t>
      </w:r>
      <w:r>
        <w:rPr>
          <w:spacing w:val="-2"/>
        </w:rPr>
        <w:t>）部分重点项目在</w:t>
      </w:r>
      <w:r>
        <w:rPr>
          <w:rFonts w:ascii="Times New Roman" w:hAnsi="Times New Roman" w:cs="Times New Roman" w:eastAsia="Times New Roman" w:hint="default"/>
          <w:spacing w:val="-2"/>
        </w:rPr>
        <w:t>2018</w:t>
      </w:r>
      <w:r>
        <w:rPr>
          <w:spacing w:val="-2"/>
        </w:rPr>
        <w:t>年先行实施，未在本报告期内确认收入；（</w:t>
      </w:r>
      <w:r>
        <w:rPr>
          <w:rFonts w:ascii="Times New Roman" w:hAnsi="Times New Roman" w:cs="Times New Roman" w:eastAsia="Times New Roman" w:hint="default"/>
          <w:spacing w:val="-2"/>
        </w:rPr>
        <w:t>2</w:t>
      </w:r>
      <w:r>
        <w:rPr>
          <w:spacing w:val="-2"/>
        </w:rPr>
        <w:t>）受去杠</w:t>
      </w:r>
      <w:r>
        <w:rPr/>
        <w:t> 杆宏观环境影响，公司主动收缩全资子公司四川浩特通信有限公司的业务规模，报告期内四川浩特亏损</w:t>
      </w:r>
      <w:r>
        <w:rPr>
          <w:rFonts w:ascii="Times New Roman" w:hAnsi="Times New Roman" w:cs="Times New Roman" w:eastAsia="Times New Roman" w:hint="default"/>
        </w:rPr>
        <w:t>4,473.51</w:t>
      </w:r>
      <w:r>
        <w:rPr/>
        <w:t>万元，上年 同期四川浩特净利润为盈利</w:t>
      </w:r>
      <w:r>
        <w:rPr>
          <w:rFonts w:ascii="Times New Roman" w:hAnsi="Times New Roman" w:cs="Times New Roman" w:eastAsia="Times New Roman" w:hint="default"/>
        </w:rPr>
        <w:t>953.94</w:t>
      </w:r>
      <w:r>
        <w:rPr/>
        <w:t>万元。同时公司全额计提商誉减值</w:t>
      </w:r>
      <w:r>
        <w:rPr>
          <w:rFonts w:ascii="Times New Roman" w:hAnsi="Times New Roman" w:cs="Times New Roman" w:eastAsia="Times New Roman" w:hint="default"/>
        </w:rPr>
        <w:t>1,015.30</w:t>
      </w:r>
      <w:r>
        <w:rPr/>
        <w:t>万元，合计影响净利润</w:t>
      </w:r>
      <w:r>
        <w:rPr>
          <w:rFonts w:ascii="Times New Roman" w:hAnsi="Times New Roman" w:cs="Times New Roman" w:eastAsia="Times New Roman" w:hint="default"/>
        </w:rPr>
        <w:t>5,488.81</w:t>
      </w:r>
      <w:r>
        <w:rPr/>
        <w:t>万元；（</w:t>
      </w:r>
      <w:r>
        <w:rPr>
          <w:rFonts w:ascii="Times New Roman" w:hAnsi="Times New Roman" w:cs="Times New Roman" w:eastAsia="Times New Roman" w:hint="default"/>
        </w:rPr>
        <w:t>3</w:t>
      </w:r>
      <w:r>
        <w:rPr/>
        <w:t>）摊 销</w:t>
      </w:r>
      <w:r>
        <w:rPr>
          <w:rFonts w:ascii="Times New Roman" w:hAnsi="Times New Roman" w:cs="Times New Roman" w:eastAsia="Times New Roman" w:hint="default"/>
        </w:rPr>
        <w:t>2018</w:t>
      </w:r>
      <w:r>
        <w:rPr/>
        <w:t>年度股票期权激励成本金额</w:t>
      </w:r>
      <w:r>
        <w:rPr>
          <w:rFonts w:ascii="Times New Roman" w:hAnsi="Times New Roman" w:cs="Times New Roman" w:eastAsia="Times New Roman" w:hint="default"/>
        </w:rPr>
        <w:t>2,768.65</w:t>
      </w:r>
      <w:r>
        <w:rPr/>
        <w:t>万元；（</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年度非经常性损益</w:t>
      </w:r>
      <w:r>
        <w:rPr>
          <w:rFonts w:ascii="Times New Roman" w:hAnsi="Times New Roman" w:cs="Times New Roman" w:eastAsia="Times New Roman" w:hint="default"/>
        </w:rPr>
        <w:t>7,087.14</w:t>
      </w:r>
      <w:r>
        <w:rPr/>
        <w:t>万元，较上年同期相比下降</w:t>
      </w:r>
      <w:r>
        <w:rPr>
          <w:rFonts w:ascii="Times New Roman" w:hAnsi="Times New Roman" w:cs="Times New Roman" w:eastAsia="Times New Roman" w:hint="default"/>
        </w:rPr>
        <w:t>1,228.13 </w:t>
      </w:r>
      <w:r>
        <w:rPr/>
        <w:t>万元。</w:t>
      </w:r>
    </w:p>
    <w:p>
      <w:pPr>
        <w:pStyle w:val="BodyText"/>
        <w:spacing w:line="309" w:lineRule="auto" w:before="31"/>
        <w:ind w:right="1132" w:firstLine="360"/>
        <w:jc w:val="both"/>
      </w:pPr>
      <w:r>
        <w:rPr>
          <w:spacing w:val="-2"/>
        </w:rPr>
        <w:t>报告期内，公司通过进一步加强现金流管理，使公司经营性现金流情况有显著改善。同时，公司加大对外投资管理，集</w:t>
      </w:r>
      <w:r>
        <w:rPr/>
        <w:t> 中优势资源投入核心业务，主动调减资金占用大、回报时间长的</w:t>
      </w:r>
      <w:r>
        <w:rPr>
          <w:rFonts w:ascii="Times New Roman" w:hAnsi="Times New Roman" w:cs="Times New Roman" w:eastAsia="Times New Roman" w:hint="default"/>
        </w:rPr>
        <w:t>BT</w:t>
      </w:r>
      <w:r>
        <w:rPr/>
        <w:t>项目规模，使得公司核心软件和服务类收入持续增长， 主营业务竞争力进一步加强，用户基数和市场份额均有所扩大，收入结构不断优化。</w:t>
      </w:r>
    </w:p>
    <w:p>
      <w:pPr>
        <w:pStyle w:val="BodyText"/>
        <w:spacing w:line="300" w:lineRule="auto" w:before="24"/>
        <w:ind w:right="1130" w:firstLine="360"/>
        <w:jc w:val="both"/>
      </w:pPr>
      <w:r>
        <w:rPr/>
        <w:t>公司自</w:t>
      </w:r>
      <w:r>
        <w:rPr>
          <w:rFonts w:ascii="Times New Roman" w:hAnsi="Times New Roman" w:cs="Times New Roman" w:eastAsia="Times New Roman" w:hint="default"/>
        </w:rPr>
        <w:t>2014</w:t>
      </w:r>
      <w:r>
        <w:rPr/>
        <w:t>年启动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产业</w:t>
      </w:r>
      <w:r>
        <w:rPr>
          <w:rFonts w:ascii="Times New Roman" w:hAnsi="Times New Roman" w:cs="Times New Roman" w:eastAsia="Times New Roman" w:hint="default"/>
        </w:rPr>
        <w:t>”</w:t>
      </w:r>
      <w:r>
        <w:rPr/>
        <w:t>发展战略以来，重点投入云平台以及人工智能等核心技术的研发。随着基于城市级大 数据的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入口</w:t>
      </w:r>
      <w:r>
        <w:rPr>
          <w:rFonts w:ascii="Times New Roman" w:hAnsi="Times New Roman" w:cs="Times New Roman" w:eastAsia="Times New Roman" w:hint="default"/>
        </w:rPr>
        <w:t>——“</w:t>
      </w:r>
      <w:r>
        <w:rPr/>
        <w:t>市民云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医疗健康云</w:t>
      </w:r>
      <w:r>
        <w:rPr>
          <w:rFonts w:ascii="Times New Roman" w:hAnsi="Times New Roman" w:cs="Times New Roman" w:eastAsia="Times New Roman" w:hint="default"/>
        </w:rPr>
        <w:t>”</w:t>
      </w:r>
      <w:r>
        <w:rPr/>
        <w:t>等平台相继投入市场，在服务好政府客户的基础上，公司通过云服 </w:t>
      </w:r>
      <w:r>
        <w:rPr>
          <w:spacing w:val="-1"/>
        </w:rPr>
        <w:t>务、大数据产品等创新业务，积极与各级政府和医院、保险、金融等用户开展深度合作，打造丰富的应用场景，服务</w:t>
      </w:r>
      <w:r>
        <w:rPr>
          <w:rFonts w:ascii="Times New Roman" w:hAnsi="Times New Roman" w:cs="Times New Roman" w:eastAsia="Times New Roman" w:hint="default"/>
          <w:spacing w:val="-1"/>
        </w:rPr>
        <w:t>B</w:t>
      </w:r>
      <w:r>
        <w:rPr>
          <w:spacing w:val="-1"/>
        </w:rPr>
        <w:t>端和</w:t>
      </w:r>
      <w:r>
        <w:rPr>
          <w:spacing w:val="-61"/>
        </w:rPr>
        <w:t> </w:t>
      </w:r>
      <w:r>
        <w:rPr>
          <w:rFonts w:ascii="Times New Roman" w:hAnsi="Times New Roman" w:cs="Times New Roman" w:eastAsia="Times New Roman" w:hint="default"/>
        </w:rPr>
        <w:t>C</w:t>
      </w:r>
      <w:r>
        <w:rPr/>
        <w:t>端用户。</w:t>
      </w:r>
    </w:p>
    <w:p>
      <w:pPr>
        <w:pStyle w:val="BodyText"/>
        <w:spacing w:line="307" w:lineRule="auto" w:before="13"/>
        <w:ind w:right="1130" w:firstLine="360"/>
        <w:jc w:val="both"/>
      </w:pPr>
      <w:r>
        <w:rPr>
          <w:spacing w:val="-2"/>
        </w:rPr>
        <w:t>报告期内，公司民生服务以及智慧城市领域的软件产品和服务收入继续呈现稳步增长态势。三医联动改革带来大量新需</w:t>
      </w:r>
      <w:r>
        <w:rPr/>
        <w:t> </w:t>
      </w:r>
      <w:r>
        <w:rPr>
          <w:spacing w:val="-1"/>
        </w:rPr>
        <w:t>求，各大城市医联体</w:t>
      </w:r>
      <w:r>
        <w:rPr>
          <w:rFonts w:ascii="Times New Roman" w:hAnsi="Times New Roman" w:cs="Times New Roman" w:eastAsia="Times New Roman" w:hint="default"/>
          <w:spacing w:val="-1"/>
        </w:rPr>
        <w:t>/</w:t>
      </w:r>
      <w:r>
        <w:rPr>
          <w:spacing w:val="-1"/>
        </w:rPr>
        <w:t>医共体建设需求旺盛；国家医保局</w:t>
      </w:r>
      <w:r>
        <w:rPr>
          <w:rFonts w:ascii="Times New Roman" w:hAnsi="Times New Roman" w:cs="Times New Roman" w:eastAsia="Times New Roman" w:hint="default"/>
          <w:spacing w:val="-1"/>
        </w:rPr>
        <w:t>4+7</w:t>
      </w:r>
      <w:r>
        <w:rPr>
          <w:spacing w:val="-1"/>
        </w:rPr>
        <w:t>带量采购试点基于公司建设的上海阳光医药采购平台开展；公司</w:t>
      </w:r>
      <w:r>
        <w:rPr>
          <w:spacing w:val="-88"/>
        </w:rPr>
        <w:t> </w:t>
      </w:r>
      <w:r>
        <w:rPr>
          <w:spacing w:val="-88"/>
        </w:rPr>
      </w:r>
      <w:r>
        <w:rPr>
          <w:spacing w:val="-2"/>
        </w:rPr>
        <w:t>在上海市卫计委基于大数据的公立医院评价（病种指数）上的成功实践，已在广州医保顺利落地，由公司建设完成的基于大</w:t>
      </w:r>
      <w:r>
        <w:rPr>
          <w:spacing w:val="-66"/>
        </w:rPr>
        <w:t> </w:t>
      </w:r>
      <w:r>
        <w:rPr>
          <w:spacing w:val="-66"/>
        </w:rPr>
      </w:r>
      <w:r>
        <w:rPr>
          <w:spacing w:val="-1"/>
        </w:rPr>
        <w:t>数据</w:t>
      </w:r>
      <w:r>
        <w:rPr>
          <w:rFonts w:ascii="Times New Roman" w:hAnsi="Times New Roman" w:cs="Times New Roman" w:eastAsia="Times New Roman" w:hint="default"/>
          <w:spacing w:val="-1"/>
        </w:rPr>
        <w:t>DRG</w:t>
      </w:r>
      <w:r>
        <w:rPr>
          <w:spacing w:val="-1"/>
        </w:rPr>
        <w:t>的医保分值付费和基金监管系统，得到了国家医保局的认可。随着政府部门数据互联互通要求的提升，互联网</w:t>
      </w:r>
      <w:r>
        <w:rPr>
          <w:rFonts w:ascii="Times New Roman" w:hAnsi="Times New Roman" w:cs="Times New Roman" w:eastAsia="Times New Roman" w:hint="default"/>
          <w:spacing w:val="-1"/>
        </w:rPr>
        <w:t>+</w:t>
      </w:r>
      <w:r>
        <w:rPr>
          <w:spacing w:val="-1"/>
        </w:rPr>
        <w:t>政</w:t>
      </w:r>
      <w:r>
        <w:rPr>
          <w:spacing w:val="-62"/>
        </w:rPr>
        <w:t> </w:t>
      </w:r>
      <w:r>
        <w:rPr>
          <w:spacing w:val="-2"/>
        </w:rPr>
        <w:t>务服务，互联网</w:t>
      </w:r>
      <w:r>
        <w:rPr>
          <w:rFonts w:ascii="Times New Roman" w:hAnsi="Times New Roman" w:cs="Times New Roman" w:eastAsia="Times New Roman" w:hint="default"/>
          <w:spacing w:val="-2"/>
        </w:rPr>
        <w:t>+</w:t>
      </w:r>
      <w:r>
        <w:rPr>
          <w:spacing w:val="-2"/>
        </w:rPr>
        <w:t>护理服务等也不断给公司的业务带来新的增量。</w:t>
      </w:r>
      <w:r>
        <w:rPr>
          <w:rFonts w:ascii="Times New Roman" w:hAnsi="Times New Roman" w:cs="Times New Roman" w:eastAsia="Times New Roman" w:hint="default"/>
          <w:spacing w:val="-2"/>
        </w:rPr>
        <w:t>“</w:t>
      </w:r>
      <w:r>
        <w:rPr>
          <w:spacing w:val="-2"/>
        </w:rPr>
        <w:t>一网通办</w:t>
      </w:r>
      <w:r>
        <w:rPr>
          <w:rFonts w:ascii="Times New Roman" w:hAnsi="Times New Roman" w:cs="Times New Roman" w:eastAsia="Times New Roman" w:hint="default"/>
          <w:spacing w:val="-2"/>
        </w:rPr>
        <w:t>”+“</w:t>
      </w:r>
      <w:r>
        <w:rPr>
          <w:spacing w:val="-2"/>
        </w:rPr>
        <w:t>市民云</w:t>
      </w:r>
      <w:r>
        <w:rPr>
          <w:rFonts w:ascii="Times New Roman" w:hAnsi="Times New Roman" w:cs="Times New Roman" w:eastAsia="Times New Roman" w:hint="default"/>
          <w:spacing w:val="-2"/>
        </w:rPr>
        <w:t>”</w:t>
      </w:r>
      <w:r>
        <w:rPr>
          <w:spacing w:val="-2"/>
        </w:rPr>
        <w:t>系列平台示范效应显著，已陆续在多</w:t>
      </w:r>
      <w:r>
        <w:rPr>
          <w:spacing w:val="-43"/>
        </w:rPr>
        <w:t> </w:t>
      </w:r>
      <w:r>
        <w:rPr>
          <w:spacing w:val="-43"/>
        </w:rPr>
      </w:r>
      <w:r>
        <w:rPr/>
        <w:t>个省会级城市落地。</w:t>
      </w:r>
    </w:p>
    <w:p>
      <w:pPr>
        <w:pStyle w:val="BodyText"/>
        <w:spacing w:line="240" w:lineRule="auto" w:before="26"/>
        <w:ind w:left="514" w:right="0"/>
        <w:jc w:val="left"/>
      </w:pPr>
      <w:r>
        <w:rPr/>
        <w:t>报告期内，公司创新业务</w:t>
      </w:r>
      <w:r>
        <w:rPr>
          <w:rFonts w:ascii="Times New Roman" w:hAnsi="Times New Roman" w:cs="Times New Roman" w:eastAsia="Times New Roman" w:hint="default"/>
        </w:rPr>
        <w:t>——</w:t>
      </w:r>
      <w:r>
        <w:rPr/>
        <w:t>各大云平台也实现了非线性增长，为公司转型为城市级大数据运营商打下了良好的基础。</w:t>
      </w:r>
    </w:p>
    <w:p>
      <w:pPr>
        <w:pStyle w:val="BodyText"/>
        <w:spacing w:line="300" w:lineRule="auto" w:before="63"/>
        <w:ind w:right="0" w:firstLine="36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w:t>
      </w:r>
      <w:r>
        <w:rPr>
          <w:spacing w:val="-1"/>
        </w:rPr>
        <w:t>市民云</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w:t>
      </w:r>
      <w:r>
        <w:rPr>
          <w:spacing w:val="-1"/>
        </w:rPr>
        <w:t>市民云</w:t>
      </w:r>
      <w:r>
        <w:rPr>
          <w:rFonts w:ascii="Times New Roman" w:hAnsi="Times New Roman" w:cs="Times New Roman" w:eastAsia="Times New Roman" w:hint="default"/>
          <w:spacing w:val="-1"/>
        </w:rPr>
        <w:t>”</w:t>
      </w:r>
      <w:r>
        <w:rPr>
          <w:spacing w:val="-1"/>
        </w:rPr>
        <w:t>在上海、成都、海口、柳州、扬州和长沙落地并逐步投入运营，覆盖人口</w:t>
      </w:r>
      <w:r>
        <w:rPr>
          <w:rFonts w:ascii="Times New Roman" w:hAnsi="Times New Roman" w:cs="Times New Roman" w:eastAsia="Times New Roman" w:hint="default"/>
          <w:spacing w:val="-1"/>
        </w:rPr>
        <w:t>6000</w:t>
      </w:r>
      <w:r>
        <w:rPr>
          <w:spacing w:val="-1"/>
        </w:rPr>
        <w:t>余万。</w:t>
      </w:r>
      <w:r>
        <w:rPr/>
        <w:t> 其中上海</w:t>
      </w:r>
      <w:r>
        <w:rPr>
          <w:rFonts w:ascii="Times New Roman" w:hAnsi="Times New Roman" w:cs="Times New Roman" w:eastAsia="Times New Roman" w:hint="default"/>
        </w:rPr>
        <w:t>“</w:t>
      </w:r>
      <w:r>
        <w:rPr/>
        <w:t>随申办市民云</w:t>
      </w:r>
      <w:r>
        <w:rPr>
          <w:rFonts w:ascii="Times New Roman" w:hAnsi="Times New Roman" w:cs="Times New Roman" w:eastAsia="Times New Roman" w:hint="default"/>
        </w:rPr>
        <w:t>”</w:t>
      </w:r>
      <w:r>
        <w:rPr/>
        <w:t>截至目前注册用户已超过</w:t>
      </w:r>
      <w:r>
        <w:rPr>
          <w:rFonts w:ascii="Times New Roman" w:hAnsi="Times New Roman" w:cs="Times New Roman" w:eastAsia="Times New Roman" w:hint="default"/>
        </w:rPr>
        <w:t>1100</w:t>
      </w:r>
      <w:r>
        <w:rPr/>
        <w:t>万，成为全国首个千万级用户的公共服务平台。报告期内，上海</w:t>
      </w:r>
      <w:r>
        <w:rPr>
          <w:rFonts w:ascii="Times New Roman" w:hAnsi="Times New Roman" w:cs="Times New Roman" w:eastAsia="Times New Roman" w:hint="default"/>
        </w:rPr>
        <w:t>“</w:t>
      </w:r>
      <w:r>
        <w:rPr/>
        <w:t>随 申办市民云</w:t>
      </w:r>
      <w:r>
        <w:rPr>
          <w:rFonts w:ascii="Times New Roman" w:hAnsi="Times New Roman" w:cs="Times New Roman" w:eastAsia="Times New Roman" w:hint="default"/>
        </w:rPr>
        <w:t>”</w:t>
      </w:r>
      <w:r>
        <w:rPr/>
        <w:t>新增对接</w:t>
      </w:r>
      <w:r>
        <w:rPr>
          <w:rFonts w:ascii="Times New Roman" w:hAnsi="Times New Roman" w:cs="Times New Roman" w:eastAsia="Times New Roman" w:hint="default"/>
        </w:rPr>
        <w:t>10</w:t>
      </w:r>
      <w:r>
        <w:rPr/>
        <w:t>个市级部门，目前已实现了与</w:t>
      </w:r>
      <w:r>
        <w:rPr>
          <w:rFonts w:ascii="Times New Roman" w:hAnsi="Times New Roman" w:cs="Times New Roman" w:eastAsia="Times New Roman" w:hint="default"/>
        </w:rPr>
        <w:t>43</w:t>
      </w:r>
      <w:r>
        <w:rPr/>
        <w:t>个市级部门的对接，共计</w:t>
      </w:r>
      <w:r>
        <w:rPr>
          <w:rFonts w:ascii="Times New Roman" w:hAnsi="Times New Roman" w:cs="Times New Roman" w:eastAsia="Times New Roman" w:hint="default"/>
        </w:rPr>
        <w:t>358</w:t>
      </w:r>
      <w:r>
        <w:rPr/>
        <w:t>项的服务。</w:t>
      </w:r>
    </w:p>
    <w:p>
      <w:pPr>
        <w:pStyle w:val="BodyText"/>
        <w:spacing w:line="300" w:lineRule="auto" w:before="13"/>
        <w:ind w:right="1139"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健康云</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年，公司与上海卫计委签署了</w:t>
      </w:r>
      <w:r>
        <w:rPr>
          <w:rFonts w:ascii="Times New Roman" w:hAnsi="Times New Roman" w:cs="Times New Roman" w:eastAsia="Times New Roman" w:hint="default"/>
        </w:rPr>
        <w:t>“5+5”</w:t>
      </w:r>
      <w:r>
        <w:rPr/>
        <w:t>战略合作协议，</w:t>
      </w:r>
      <w:r>
        <w:rPr>
          <w:rFonts w:ascii="Times New Roman" w:hAnsi="Times New Roman" w:cs="Times New Roman" w:eastAsia="Times New Roman" w:hint="default"/>
        </w:rPr>
        <w:t>“</w:t>
      </w:r>
      <w:r>
        <w:rPr/>
        <w:t>健康云</w:t>
      </w:r>
      <w:r>
        <w:rPr>
          <w:rFonts w:ascii="Times New Roman" w:hAnsi="Times New Roman" w:cs="Times New Roman" w:eastAsia="Times New Roman" w:hint="default"/>
        </w:rPr>
        <w:t>”</w:t>
      </w:r>
      <w:r>
        <w:rPr/>
        <w:t>成为上海</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唯一入 口，完成了对上海</w:t>
      </w:r>
      <w:r>
        <w:rPr>
          <w:rFonts w:ascii="Times New Roman" w:hAnsi="Times New Roman" w:cs="Times New Roman" w:eastAsia="Times New Roman" w:hint="default"/>
        </w:rPr>
        <w:t>16</w:t>
      </w:r>
      <w:r>
        <w:rPr/>
        <w:t>个区，</w:t>
      </w:r>
      <w:r>
        <w:rPr>
          <w:rFonts w:ascii="Times New Roman" w:hAnsi="Times New Roman" w:cs="Times New Roman" w:eastAsia="Times New Roman" w:hint="default"/>
        </w:rPr>
        <w:t>241</w:t>
      </w:r>
      <w:r>
        <w:rPr/>
        <w:t>家社区的服务全覆盖，注册总用户数突破</w:t>
      </w:r>
      <w:r>
        <w:rPr>
          <w:rFonts w:ascii="Times New Roman" w:hAnsi="Times New Roman" w:cs="Times New Roman" w:eastAsia="Times New Roman" w:hint="default"/>
        </w:rPr>
        <w:t>370</w:t>
      </w:r>
      <w:r>
        <w:rPr/>
        <w:t>万人，注册医生数</w:t>
      </w:r>
      <w:r>
        <w:rPr>
          <w:rFonts w:ascii="Times New Roman" w:hAnsi="Times New Roman" w:cs="Times New Roman" w:eastAsia="Times New Roman" w:hint="default"/>
        </w:rPr>
        <w:t>12000</w:t>
      </w:r>
      <w:r>
        <w:rPr/>
        <w:t>余人，累计部署了超过 </w:t>
      </w:r>
      <w:r>
        <w:rPr>
          <w:rFonts w:ascii="Times New Roman" w:hAnsi="Times New Roman" w:cs="Times New Roman" w:eastAsia="Times New Roman" w:hint="default"/>
        </w:rPr>
        <w:t>2700</w:t>
      </w:r>
      <w:r>
        <w:rPr/>
        <w:t>套健康物联网设备，为近百万糖尿病患者提供闭环管理服务。</w:t>
      </w:r>
    </w:p>
    <w:p>
      <w:pPr>
        <w:pStyle w:val="BodyText"/>
        <w:spacing w:line="300" w:lineRule="auto" w:before="13"/>
        <w:ind w:right="1130" w:firstLine="360"/>
        <w:jc w:val="both"/>
      </w:pPr>
      <w:r>
        <w:rPr>
          <w:spacing w:val="-1"/>
        </w:rPr>
        <w:t>公司与台州卫计委签署了战略协议，成为台州市</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医疗健康</w:t>
      </w:r>
      <w:r>
        <w:rPr>
          <w:rFonts w:ascii="Times New Roman" w:hAnsi="Times New Roman" w:cs="Times New Roman" w:eastAsia="Times New Roman" w:hint="default"/>
          <w:spacing w:val="-1"/>
        </w:rPr>
        <w:t>”</w:t>
      </w:r>
      <w:r>
        <w:rPr>
          <w:spacing w:val="-1"/>
        </w:rPr>
        <w:t>官方唯一承运方，</w:t>
      </w:r>
      <w:r>
        <w:rPr>
          <w:rFonts w:ascii="Times New Roman" w:hAnsi="Times New Roman" w:cs="Times New Roman" w:eastAsia="Times New Roman" w:hint="default"/>
          <w:spacing w:val="-1"/>
        </w:rPr>
        <w:t>“</w:t>
      </w:r>
      <w:r>
        <w:rPr>
          <w:spacing w:val="-1"/>
        </w:rPr>
        <w:t>健康台州</w:t>
      </w:r>
      <w:r>
        <w:rPr>
          <w:rFonts w:ascii="Times New Roman" w:hAnsi="Times New Roman" w:cs="Times New Roman" w:eastAsia="Times New Roman" w:hint="default"/>
          <w:spacing w:val="-1"/>
        </w:rPr>
        <w:t>”</w:t>
      </w:r>
      <w:r>
        <w:rPr>
          <w:spacing w:val="-1"/>
        </w:rPr>
        <w:t>全面实践了基于</w:t>
      </w:r>
      <w:r>
        <w:rPr>
          <w:rFonts w:ascii="Times New Roman" w:hAnsi="Times New Roman" w:cs="Times New Roman" w:eastAsia="Times New Roman" w:hint="default"/>
          <w:spacing w:val="-1"/>
        </w:rPr>
        <w:t>“</w:t>
      </w:r>
      <w:r>
        <w:rPr>
          <w:spacing w:val="-1"/>
        </w:rPr>
        <w:t>三医</w:t>
      </w:r>
      <w:r>
        <w:rPr/>
        <w:t> 联动</w:t>
      </w:r>
      <w:r>
        <w:rPr>
          <w:rFonts w:ascii="Times New Roman" w:hAnsi="Times New Roman" w:cs="Times New Roman" w:eastAsia="Times New Roman" w:hint="default"/>
        </w:rPr>
        <w:t>”</w:t>
      </w:r>
      <w:r>
        <w:rPr/>
        <w:t>的未来医疗新模式，注册总用户数突破</w:t>
      </w:r>
      <w:r>
        <w:rPr>
          <w:rFonts w:ascii="Times New Roman" w:hAnsi="Times New Roman" w:cs="Times New Roman" w:eastAsia="Times New Roman" w:hint="default"/>
        </w:rPr>
        <w:t>70</w:t>
      </w:r>
      <w:r>
        <w:rPr/>
        <w:t>万人，对接全市</w:t>
      </w:r>
      <w:r>
        <w:rPr>
          <w:rFonts w:ascii="Times New Roman" w:hAnsi="Times New Roman" w:cs="Times New Roman" w:eastAsia="Times New Roman" w:hint="default"/>
        </w:rPr>
        <w:t>200</w:t>
      </w:r>
      <w:r>
        <w:rPr/>
        <w:t>余家医疗机构，健康卡发卡</w:t>
      </w:r>
      <w:r>
        <w:rPr>
          <w:rFonts w:ascii="Times New Roman" w:hAnsi="Times New Roman" w:cs="Times New Roman" w:eastAsia="Times New Roman" w:hint="default"/>
        </w:rPr>
        <w:t>405</w:t>
      </w:r>
      <w:r>
        <w:rPr/>
        <w:t>万张，电子发票出票超过 </w:t>
      </w:r>
      <w:r>
        <w:rPr>
          <w:rFonts w:ascii="Times New Roman" w:hAnsi="Times New Roman" w:cs="Times New Roman" w:eastAsia="Times New Roman" w:hint="default"/>
        </w:rPr>
        <w:t>1000</w:t>
      </w:r>
      <w:r>
        <w:rPr/>
        <w:t>万张。</w:t>
      </w:r>
    </w:p>
    <w:p>
      <w:pPr>
        <w:pStyle w:val="BodyText"/>
        <w:spacing w:line="300" w:lineRule="auto" w:before="13"/>
        <w:ind w:right="1089" w:firstLine="360"/>
        <w:jc w:val="both"/>
      </w:pPr>
      <w:r>
        <w:rPr/>
        <w:t>在上海</w:t>
      </w:r>
      <w:r>
        <w:rPr>
          <w:rFonts w:ascii="Times New Roman" w:hAnsi="Times New Roman" w:cs="Times New Roman" w:eastAsia="Times New Roman" w:hint="default"/>
        </w:rPr>
        <w:t>“</w:t>
      </w:r>
      <w:r>
        <w:rPr/>
        <w:t>健康云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健康台州</w:t>
      </w:r>
      <w:r>
        <w:rPr>
          <w:rFonts w:ascii="Times New Roman" w:hAnsi="Times New Roman" w:cs="Times New Roman" w:eastAsia="Times New Roman" w:hint="default"/>
        </w:rPr>
        <w:t>”</w:t>
      </w:r>
      <w:r>
        <w:rPr/>
        <w:t>模式成功运营的基础上，公司一方面进一步丰富服务应用，如互联网医院、远程医疗等， 另一方面积极向外拓展，将成功模式快速复制到其他省市。</w:t>
      </w:r>
    </w:p>
    <w:p>
      <w:pPr>
        <w:pStyle w:val="BodyText"/>
        <w:spacing w:line="300" w:lineRule="auto" w:before="31"/>
        <w:ind w:right="1131" w:firstLine="36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w:t>
      </w:r>
      <w:r>
        <w:rPr>
          <w:spacing w:val="-1"/>
        </w:rPr>
        <w:t>医药云</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医药云</w:t>
      </w:r>
      <w:r>
        <w:rPr>
          <w:rFonts w:ascii="Times New Roman" w:hAnsi="Times New Roman" w:cs="Times New Roman" w:eastAsia="Times New Roman" w:hint="default"/>
          <w:spacing w:val="-1"/>
        </w:rPr>
        <w:t>”</w:t>
      </w:r>
      <w:r>
        <w:rPr>
          <w:spacing w:val="-1"/>
        </w:rPr>
        <w:t>是基于</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医疗健康</w:t>
      </w:r>
      <w:r>
        <w:rPr>
          <w:rFonts w:ascii="Times New Roman" w:hAnsi="Times New Roman" w:cs="Times New Roman" w:eastAsia="Times New Roman" w:hint="default"/>
          <w:spacing w:val="-1"/>
        </w:rPr>
        <w:t>”</w:t>
      </w:r>
      <w:r>
        <w:rPr>
          <w:spacing w:val="-1"/>
        </w:rPr>
        <w:t>以及大数据服务平台的处方信息共享平台和医药电商服务平台，它</w:t>
      </w:r>
      <w:r>
        <w:rPr/>
        <w:t> </w:t>
      </w:r>
      <w:r>
        <w:rPr>
          <w:spacing w:val="-5"/>
        </w:rPr>
        <w:t>以医院为核心，连通了全国千余家医疗机构和上万家社会药房，基于合理用药、多源便民的原则，实现了药品到家闭环。</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年平台实现流水</w:t>
      </w:r>
      <w:r>
        <w:rPr>
          <w:rFonts w:ascii="Times New Roman" w:hAnsi="Times New Roman" w:cs="Times New Roman" w:eastAsia="Times New Roman" w:hint="default"/>
        </w:rPr>
        <w:t>1.2</w:t>
      </w:r>
      <w:r>
        <w:rPr/>
        <w:t>亿元，医药云开始获得运营收益。</w:t>
      </w:r>
    </w:p>
    <w:p>
      <w:pPr>
        <w:pStyle w:val="BodyText"/>
        <w:spacing w:line="300" w:lineRule="auto" w:before="13"/>
        <w:ind w:right="1131"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养老云</w:t>
      </w:r>
      <w:r>
        <w:rPr>
          <w:rFonts w:ascii="Times New Roman" w:hAnsi="Times New Roman" w:cs="Times New Roman" w:eastAsia="Times New Roman" w:hint="default"/>
        </w:rPr>
        <w:t>”</w:t>
      </w:r>
      <w:r>
        <w:rPr/>
        <w:t>：公司在上海、重庆、温州、烟台、义乌等多个城市开展养老创新服务，基于养老云平台，已为</w:t>
      </w:r>
      <w:r>
        <w:rPr>
          <w:rFonts w:ascii="Times New Roman" w:hAnsi="Times New Roman" w:cs="Times New Roman" w:eastAsia="Times New Roman" w:hint="default"/>
        </w:rPr>
        <w:t>40</w:t>
      </w:r>
      <w:r>
        <w:rPr/>
        <w:t>多个 </w:t>
      </w:r>
      <w:r>
        <w:rPr>
          <w:spacing w:val="-2"/>
        </w:rPr>
        <w:t>养老机构提供智慧养老服务管理，累计注册用户近十万人，在支撑政府部门落实长护险、医养结合惠民举措、帮助政府部门</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对服务过程进行有效监管方面，发挥了重要作用。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6"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5"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308,212,981.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701,708,778.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557,639,297.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637,120,704.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275,652,309.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595,796,620.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501,759,311.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1,042,274,33</w:t>
            </w:r>
          </w:p>
          <w:p>
            <w:pPr>
              <w:pStyle w:val="TableParagraph"/>
              <w:spacing w:line="240" w:lineRule="auto" w:before="105"/>
              <w:ind w:left="653" w:right="0"/>
              <w:jc w:val="left"/>
              <w:rPr>
                <w:rFonts w:ascii="Times New Roman" w:hAnsi="Times New Roman" w:cs="Times New Roman" w:eastAsia="Times New Roman" w:hint="default"/>
                <w:sz w:val="18"/>
                <w:szCs w:val="18"/>
              </w:rPr>
            </w:pPr>
            <w:r>
              <w:rPr>
                <w:rFonts w:ascii="Times New Roman"/>
                <w:sz w:val="18"/>
              </w:rPr>
              <w:t>3.44</w:t>
            </w:r>
          </w:p>
        </w:tc>
      </w:tr>
      <w:tr>
        <w:trPr>
          <w:trHeight w:val="391"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5"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4,907,737.20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72,289,552.7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74,799,397.5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80,002,570.8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4,403,088.11</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33,883,814.2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72,958,648.1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215,261,399.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57" w:lineRule="auto" w:before="51"/>
        <w:ind w:right="-20"/>
        <w:jc w:val="left"/>
      </w:pPr>
      <w:r>
        <w:rPr/>
        <w:t>说明经营季节性（或周期性）发生的原因及波动风险 无</w:t>
      </w:r>
    </w:p>
    <w:p>
      <w:pPr>
        <w:pStyle w:val="BodyText"/>
        <w:spacing w:line="240" w:lineRule="auto" w:before="29"/>
        <w:ind w:right="-20"/>
        <w:jc w:val="left"/>
      </w:pPr>
      <w:r>
        <w:rPr/>
        <w:t>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295" w:space="462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5"/>
        <w:gridCol w:w="1488"/>
        <w:gridCol w:w="1592"/>
        <w:gridCol w:w="1597"/>
        <w:gridCol w:w="1588"/>
        <w:gridCol w:w="1598"/>
      </w:tblGrid>
      <w:tr>
        <w:trPr>
          <w:trHeight w:val="206" w:hRule="exact"/>
        </w:trPr>
        <w:tc>
          <w:tcPr>
            <w:tcW w:w="17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705" w:type="dxa"/>
            <w:vMerge w:val="restart"/>
            <w:tcBorders>
              <w:top w:val="nil" w:sz="6" w:space="0" w:color="auto"/>
              <w:left w:val="single" w:sz="4" w:space="0" w:color="000000"/>
              <w:right w:val="single" w:sz="4" w:space="0" w:color="000000"/>
            </w:tcBorders>
            <w:shd w:val="clear" w:color="auto" w:fill="D2D2D2"/>
          </w:tcPr>
          <w:p>
            <w:pPr/>
          </w:p>
        </w:tc>
        <w:tc>
          <w:tcPr>
            <w:tcW w:w="3080"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705" w:type="dxa"/>
            <w:vMerge/>
            <w:tcBorders>
              <w:left w:val="single" w:sz="4" w:space="0" w:color="000000"/>
              <w:bottom w:val="nil" w:sz="6" w:space="0" w:color="auto"/>
              <w:right w:val="single" w:sz="4" w:space="0" w:color="000000"/>
            </w:tcBorders>
            <w:shd w:val="clear" w:color="auto" w:fill="D2D2D2"/>
          </w:tcPr>
          <w:p>
            <w:pP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7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8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2,204,681,762.59</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2,415,482,575.09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民生服务合计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824,930,911.12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755,165,703.37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31.26%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智慧城市及其他合计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1,379,750,851.47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1,660,316,871.72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68.74%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1,063,955,386.52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1,040,866,737.92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43.09%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运营服务收入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462,705,640.29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388,365,904.19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19.14%</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678,020,735.78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986,249,932.98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40.83%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2,204,681,762.59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2,414,983,379.57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99.98%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-8.71%</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499,195.52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0"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3"/>
        <w:ind w:right="5830"/>
        <w:jc w:val="left"/>
      </w:pPr>
      <w:r>
        <w:rPr/>
        <w:t>软件与信息技术服务业</w:t>
      </w:r>
    </w:p>
    <w:p>
      <w:pPr>
        <w:pStyle w:val="BodyText"/>
        <w:spacing w:line="240" w:lineRule="auto" w:before="116"/>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pict>
          <v:group style="position:absolute;margin-left:119.100006pt;margin-top:100.601715pt;width:72.9pt;height:20.8pt;mso-position-horizontal-relative:page;mso-position-vertical-relative:paragraph;z-index:-1242976" coordorigin="2382,2012" coordsize="1458,416">
            <v:group style="position:absolute;left:2517;top:2023;width:2;height:393" coordorigin="2517,2023" coordsize="2,393">
              <v:shape style="position:absolute;left:2517;top:2023;width:2;height:393" coordorigin="2517,2023" coordsize="0,393" path="m2517,2023l2517,2416e" filled="false" stroked="true" strokeweight="1.140pt" strokecolor="#ffffff">
                <v:path arrowok="t"/>
              </v:shape>
            </v:group>
            <v:group style="position:absolute;left:2529;top:2023;width:1311;height:393" coordorigin="2529,2023" coordsize="1311,393">
              <v:shape style="position:absolute;left:2529;top:2023;width:1311;height:393" coordorigin="2529,2023" coordsize="1311,393" path="m2529,2416l3839,2416,3839,2023,2529,2023,2529,2416xe" filled="true" fillcolor="#ffffff" stroked="false">
                <v:path arrowok="t"/>
                <v:fill type="solid"/>
              </v:shape>
              <v:shape style="position:absolute;left:2382;top:2012;width:1458;height:416" type="#_x0000_t202" filled="false" stroked="false">
                <v:textbox inset="0,0,0,0">
                  <w:txbxContent>
                    <w:p>
                      <w:pPr>
                        <w:spacing w:before="6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69"/>
        <w:gridCol w:w="129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824,930,911.12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481,622,214.75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智慧城市（其他</w:t>
            </w:r>
          </w:p>
        </w:tc>
        <w:tc>
          <w:tcPr>
            <w:tcW w:w="69" w:type="dxa"/>
            <w:tcBorders>
              <w:top w:val="single" w:sz="4" w:space="0" w:color="000000"/>
              <w:left w:val="single" w:sz="4" w:space="0" w:color="000000"/>
              <w:bottom w:val="single" w:sz="4" w:space="0" w:color="000000"/>
              <w:right w:val="nil" w:sz="6" w:space="0" w:color="auto"/>
            </w:tcBorders>
          </w:tcPr>
          <w:p>
            <w:pPr/>
          </w:p>
        </w:tc>
        <w:tc>
          <w:tcPr>
            <w:tcW w:w="1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 w:right="0"/>
              <w:jc w:val="left"/>
              <w:rPr>
                <w:rFonts w:ascii="Times New Roman" w:hAnsi="Times New Roman" w:cs="Times New Roman" w:eastAsia="Times New Roman" w:hint="default"/>
                <w:sz w:val="18"/>
                <w:szCs w:val="18"/>
              </w:rPr>
            </w:pPr>
            <w:r>
              <w:rPr>
                <w:rFonts w:ascii="Times New Roman"/>
                <w:sz w:val="18"/>
              </w:rPr>
              <w:t>1,379,750,851.47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742,072,978.24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1,063,955,386.52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498,181,202.50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运营服务收入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462,705,640.29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218,235,263.52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678,020,735.78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507,278,726.97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境内经营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2,203,436,272.94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1,220,374,414.86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境外经营</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2,307,280.13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3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599,178,315.90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8" w:right="0"/>
              <w:jc w:val="left"/>
              <w:rPr>
                <w:rFonts w:ascii="Times New Roman" w:hAnsi="Times New Roman" w:cs="Times New Roman" w:eastAsia="Times New Roman" w:hint="default"/>
                <w:sz w:val="18"/>
                <w:szCs w:val="18"/>
              </w:rPr>
            </w:pPr>
            <w:r>
              <w:rPr>
                <w:rFonts w:ascii="Times New Roman"/>
                <w:sz w:val="18"/>
              </w:rPr>
              <w:t>48.96%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805,115,421.91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54.24%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7" w:right="0"/>
              <w:jc w:val="left"/>
              <w:rPr>
                <w:rFonts w:ascii="Times New Roman" w:hAnsi="Times New Roman" w:cs="Times New Roman" w:eastAsia="Times New Roman" w:hint="default"/>
                <w:sz w:val="18"/>
                <w:szCs w:val="18"/>
              </w:rPr>
            </w:pPr>
            <w:r>
              <w:rPr>
                <w:rFonts w:ascii="Times New Roman"/>
                <w:sz w:val="18"/>
              </w:rPr>
              <w:t>-25.58%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458,153,519.10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500,348,779.07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开发费用等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166,363,357.99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178,892,831.71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1,223,695,192.99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1,484,357,032.69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-17.56%</w:t>
            </w:r>
          </w:p>
        </w:tc>
      </w:tr>
    </w:tbl>
    <w:p>
      <w:pPr>
        <w:pStyle w:val="BodyText"/>
        <w:spacing w:line="240" w:lineRule="auto" w:before="51"/>
        <w:ind w:right="0"/>
        <w:jc w:val="left"/>
      </w:pPr>
      <w:r>
        <w:rPr/>
        <w:t>行业分类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240,259,665.11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239,283,229.65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130,195,698.91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129,984,765.14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开发费用等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111,166,850.73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111,079,166.30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pacing w:val="-9"/>
                <w:sz w:val="18"/>
                <w:szCs w:val="18"/>
              </w:rPr>
              <w:t>智慧城市（其他）</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358,918,650.79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565,832,192.26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pacing w:val="-9"/>
                <w:sz w:val="18"/>
                <w:szCs w:val="18"/>
              </w:rPr>
              <w:t>智慧城市（其他）</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327,957,820.19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370,364,013.93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pacing w:val="-9"/>
                <w:sz w:val="18"/>
                <w:szCs w:val="18"/>
              </w:rPr>
              <w:t>智慧城市（其他）</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开发费用等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55,196,507.26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67,813,665.41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1,223,695,192.99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1,484,357,032.69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-17.56%</w:t>
            </w:r>
          </w:p>
        </w:tc>
      </w:tr>
    </w:tbl>
    <w:p>
      <w:pPr>
        <w:pStyle w:val="BodyText"/>
        <w:spacing w:line="357" w:lineRule="auto" w:before="51"/>
        <w:ind w:right="10392"/>
        <w:jc w:val="left"/>
      </w:pPr>
      <w:r>
        <w:rPr/>
        <w:pict>
          <v:group style="position:absolute;margin-left:125.419998pt;margin-top:-80.988289pt;width:66.75pt;height:60.9pt;mso-position-horizontal-relative:page;mso-position-vertical-relative:paragraph;z-index:-1242952" coordorigin="2508,-1620" coordsize="1335,1218">
            <v:group style="position:absolute;left:2520;top:-1608;width:2;height:392" coordorigin="2520,-1608" coordsize="2,392">
              <v:shape style="position:absolute;left:2520;top:-1608;width:2;height:392" coordorigin="2520,-1608" coordsize="0,392" path="m2520,-1608l2520,-1217e" filled="false" stroked="true" strokeweight="1.140pt" strokecolor="#ffffff">
                <v:path arrowok="t"/>
              </v:shape>
            </v:group>
            <v:group style="position:absolute;left:2531;top:-1608;width:1312;height:392" coordorigin="2531,-1608" coordsize="1312,392">
              <v:shape style="position:absolute;left:2531;top:-1608;width:1312;height:392" coordorigin="2531,-1608" coordsize="1312,392" path="m2531,-1217l3843,-1217,3843,-1608,2531,-1608,2531,-1217xe" filled="true" fillcolor="#ffffff" stroked="false">
                <v:path arrowok="t"/>
                <v:fill type="solid"/>
              </v:shape>
            </v:group>
            <v:group style="position:absolute;left:2520;top:-1206;width:2;height:392" coordorigin="2520,-1206" coordsize="2,392">
              <v:shape style="position:absolute;left:2520;top:-1206;width:2;height:392" coordorigin="2520,-1206" coordsize="0,392" path="m2520,-1206l2520,-815e" filled="false" stroked="true" strokeweight="1.140pt" strokecolor="#ffffff">
                <v:path arrowok="t"/>
              </v:shape>
            </v:group>
            <v:group style="position:absolute;left:2531;top:-1206;width:1312;height:392" coordorigin="2531,-1206" coordsize="1312,392">
              <v:shape style="position:absolute;left:2531;top:-1206;width:1312;height:392" coordorigin="2531,-1206" coordsize="1312,392" path="m2531,-815l3843,-815,3843,-1206,2531,-1206,2531,-815xe" filled="true" fillcolor="#ffffff" stroked="false">
                <v:path arrowok="t"/>
                <v:fill type="solid"/>
              </v:shape>
            </v:group>
            <v:group style="position:absolute;left:2520;top:-804;width:2;height:392" coordorigin="2520,-804" coordsize="2,392">
              <v:shape style="position:absolute;left:2520;top:-804;width:2;height:392" coordorigin="2520,-804" coordsize="0,392" path="m2520,-804l2520,-413e" filled="false" stroked="true" strokeweight="1.140pt" strokecolor="#ffffff">
                <v:path arrowok="t"/>
              </v:shape>
            </v:group>
            <v:group style="position:absolute;left:2531;top:-804;width:1312;height:392" coordorigin="2531,-804" coordsize="1312,392">
              <v:shape style="position:absolute;left:2531;top:-804;width:1312;height:392" coordorigin="2531,-804" coordsize="1312,392" path="m2531,-413l3843,-413,3843,-804,2531,-804,2531,-413xe" filled="true" fillcolor="#ffffff" stroked="false">
                <v:path arrowok="t"/>
                <v:fill type="solid"/>
              </v:shape>
            </v:group>
            <w10:wrap type="none"/>
          </v:group>
        </w:pict>
      </w:r>
      <w:r>
        <w:rPr/>
        <w:t>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2"/>
        <w:ind w:right="7332"/>
        <w:jc w:val="left"/>
      </w:pPr>
      <w:r>
        <w:rPr>
          <w:rFonts w:ascii="Times New Roman" w:hAnsi="Times New Roman" w:cs="Times New Roman" w:eastAsia="Times New Roman" w:hint="default"/>
        </w:rPr>
        <w:t>1</w:t>
      </w:r>
      <w:r>
        <w:rPr/>
        <w:t>）处置子公司 单次处置对子公司投资即丧失控制权的情形</w:t>
      </w:r>
    </w:p>
    <w:p>
      <w:pPr>
        <w:spacing w:line="240" w:lineRule="auto" w:before="5"/>
        <w:rPr>
          <w:rFonts w:ascii="宋体" w:hAnsi="宋体" w:cs="宋体" w:eastAsia="宋体" w:hint="default"/>
          <w:sz w:val="9"/>
          <w:szCs w:val="9"/>
        </w:rPr>
      </w:pPr>
    </w:p>
    <w:p>
      <w:pPr>
        <w:spacing w:line="3226" w:lineRule="exact"/>
        <w:ind w:left="154"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6094619" cy="204911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6094619" cy="2049113"/>
                    </a:xfrm>
                    <a:prstGeom prst="rect">
                      <a:avLst/>
                    </a:prstGeom>
                  </pic:spPr>
                </pic:pic>
              </a:graphicData>
            </a:graphic>
          </wp:inline>
        </w:drawing>
      </w:r>
      <w:r>
        <w:rPr>
          <w:rFonts w:ascii="宋体" w:hAnsi="宋体" w:cs="宋体" w:eastAsia="宋体" w:hint="default"/>
          <w:position w:val="-64"/>
          <w:sz w:val="20"/>
          <w:szCs w:val="20"/>
        </w:rPr>
      </w:r>
    </w:p>
    <w:p>
      <w:pPr>
        <w:pStyle w:val="BodyText"/>
        <w:spacing w:line="300" w:lineRule="auto" w:before="115"/>
        <w:ind w:left="514" w:right="1197" w:hanging="360"/>
        <w:jc w:val="left"/>
      </w:pPr>
      <w:r>
        <w:rPr>
          <w:rFonts w:ascii="Times New Roman" w:hAnsi="Times New Roman" w:cs="Times New Roman" w:eastAsia="Times New Roman" w:hint="default"/>
        </w:rPr>
        <w:t>2</w:t>
      </w:r>
      <w:r>
        <w:rPr/>
        <w:t>）其他原因的合并范围变动 投资设立子公司上海耀学信息科技有限公司，注册资本人民币</w:t>
      </w:r>
      <w:r>
        <w:rPr>
          <w:rFonts w:ascii="Times New Roman" w:hAnsi="Times New Roman" w:cs="Times New Roman" w:eastAsia="Times New Roman" w:hint="default"/>
        </w:rPr>
        <w:t>100.00</w:t>
      </w:r>
      <w:r>
        <w:rPr/>
        <w:t>万元，本期实际已出资</w:t>
      </w:r>
      <w:r>
        <w:rPr>
          <w:rFonts w:ascii="Times New Roman" w:hAnsi="Times New Roman" w:cs="Times New Roman" w:eastAsia="Times New Roman" w:hint="default"/>
        </w:rPr>
        <w:t>51.00</w:t>
      </w:r>
      <w:r>
        <w:rPr/>
        <w:t>万元持股</w:t>
      </w:r>
      <w:r>
        <w:rPr>
          <w:rFonts w:ascii="Times New Roman" w:hAnsi="Times New Roman" w:cs="Times New Roman" w:eastAsia="Times New Roman" w:hint="default"/>
        </w:rPr>
        <w:t>51.00%</w:t>
      </w:r>
      <w:r>
        <w:rPr/>
        <w:t>。上</w:t>
      </w:r>
    </w:p>
    <w:p>
      <w:pPr>
        <w:pStyle w:val="BodyText"/>
        <w:spacing w:line="300" w:lineRule="auto" w:before="13"/>
        <w:ind w:right="1242"/>
        <w:jc w:val="left"/>
      </w:pPr>
      <w:r>
        <w:rPr/>
        <w:t>海耀学信息科技有限公司已于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日办妥工商登记手续并领取了统一社会信用代码为</w:t>
      </w:r>
      <w:r>
        <w:rPr>
          <w:rFonts w:ascii="Times New Roman" w:hAnsi="Times New Roman" w:cs="Times New Roman" w:eastAsia="Times New Roman" w:hint="default"/>
        </w:rPr>
        <w:t>91310104MA1FRBXL18</w:t>
      </w:r>
      <w:r>
        <w:rPr/>
        <w:t>号营 业执照。</w:t>
      </w:r>
    </w:p>
    <w:p>
      <w:pPr>
        <w:pStyle w:val="BodyText"/>
        <w:spacing w:line="300" w:lineRule="auto" w:before="31"/>
        <w:ind w:left="514" w:right="4182"/>
        <w:jc w:val="left"/>
      </w:pPr>
      <w:r>
        <w:rPr/>
        <w:t>原孙公司上海易可思复高数码科技有限公司于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月完成工商注销手续。 原孙公司湖南凯歌医疗移动信息服务有限公司于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月完成工商注销手续。</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302,125,464.77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13.71%</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上海申康医院发展中心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101,055,000.68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上海市人力资源和社会保障局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78,863,445.96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上海市工商局及各区市场监管局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44,177,591.22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深圳市医学信息中心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41,026,415.08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上海市公安局浦东分局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37,003,011.83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302,125,464.77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13.71%</w:t>
            </w:r>
          </w:p>
        </w:tc>
      </w:tr>
    </w:tbl>
    <w:p>
      <w:pPr>
        <w:pStyle w:val="BodyText"/>
        <w:spacing w:line="240" w:lineRule="auto" w:before="51"/>
        <w:ind w:right="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205,590,447.80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上海黎阳信息科技有限公司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35,788,925.00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上海多融科技发展有限公司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24,455,519.00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24,423,167.00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成都威路特光电技术有限公司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19,972,836.80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上海智建电子工程有限公司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18,138,891.70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122,779,339.50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103,737,812.12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108,186,492.59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374,653,835.13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281,510,583.52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33.09%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主要系报告期股权激励费用、无形资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产摊销费用增加所致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155,271,452.69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117,696,497.02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31.93%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主要系报告期公司业务增加而需增 加的银行借款利息所致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91,768,408.70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75,439,332.56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15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公司历来重视研究开发的投入，</w:t>
      </w:r>
      <w:r>
        <w:rPr>
          <w:rFonts w:ascii="Times New Roman" w:hAnsi="Times New Roman" w:cs="Times New Roman" w:eastAsia="Times New Roman" w:hint="default"/>
        </w:rPr>
        <w:t>2018</w:t>
      </w:r>
      <w:r>
        <w:rPr/>
        <w:t>年度公司总研发投入</w:t>
      </w:r>
      <w:r>
        <w:rPr>
          <w:rFonts w:ascii="Times New Roman" w:hAnsi="Times New Roman" w:cs="Times New Roman" w:eastAsia="Times New Roman" w:hint="default"/>
        </w:rPr>
        <w:t>583,361,495.62</w:t>
      </w:r>
      <w:r>
        <w:rPr/>
        <w:t>元，占</w:t>
      </w:r>
      <w:r>
        <w:rPr>
          <w:rFonts w:ascii="Times New Roman" w:hAnsi="Times New Roman" w:cs="Times New Roman" w:eastAsia="Times New Roman" w:hint="default"/>
        </w:rPr>
        <w:t>2018</w:t>
      </w:r>
      <w:r>
        <w:rPr/>
        <w:t>年度营业收入的</w:t>
      </w:r>
      <w:r>
        <w:rPr>
          <w:rFonts w:ascii="Times New Roman" w:hAnsi="Times New Roman" w:cs="Times New Roman" w:eastAsia="Times New Roman" w:hint="default"/>
        </w:rPr>
        <w:t>26.46%</w:t>
      </w:r>
      <w:r>
        <w:rPr/>
        <w:t>，其中募集</w:t>
      </w:r>
    </w:p>
    <w:p>
      <w:pPr>
        <w:pStyle w:val="BodyText"/>
        <w:spacing w:line="230" w:lineRule="exact"/>
        <w:ind w:right="0"/>
        <w:jc w:val="left"/>
      </w:pPr>
      <w:r>
        <w:rPr/>
        <w:t>资金投入金额为</w:t>
      </w:r>
      <w:r>
        <w:rPr>
          <w:rFonts w:ascii="Times New Roman" w:hAnsi="Times New Roman" w:cs="Times New Roman" w:eastAsia="Times New Roman" w:hint="default"/>
        </w:rPr>
        <w:t>448,420,537.25</w:t>
      </w:r>
      <w:r>
        <w:rPr/>
        <w:t>元。</w:t>
      </w:r>
      <w:r>
        <w:rPr>
          <w:rFonts w:ascii="Times New Roman" w:hAnsi="Times New Roman" w:cs="Times New Roman" w:eastAsia="Times New Roman" w:hint="default"/>
        </w:rPr>
        <w:t>2017</w:t>
      </w:r>
      <w:r>
        <w:rPr/>
        <w:t>年度公司总研发投入</w:t>
      </w:r>
      <w:r>
        <w:rPr>
          <w:rFonts w:ascii="Times New Roman" w:hAnsi="Times New Roman" w:cs="Times New Roman" w:eastAsia="Times New Roman" w:hint="default"/>
        </w:rPr>
        <w:t>303,982,600.99</w:t>
      </w:r>
      <w:r>
        <w:rPr/>
        <w:t>元，占</w:t>
      </w:r>
      <w:r>
        <w:rPr>
          <w:rFonts w:ascii="Times New Roman" w:hAnsi="Times New Roman" w:cs="Times New Roman" w:eastAsia="Times New Roman" w:hint="default"/>
        </w:rPr>
        <w:t>2017</w:t>
      </w:r>
      <w:r>
        <w:rPr/>
        <w:t>年度营业收入的</w:t>
      </w:r>
      <w:r>
        <w:rPr>
          <w:rFonts w:ascii="Times New Roman" w:hAnsi="Times New Roman" w:cs="Times New Roman" w:eastAsia="Times New Roman" w:hint="default"/>
        </w:rPr>
        <w:t>12.58%</w:t>
      </w:r>
      <w:r>
        <w:rPr/>
        <w:t>，均为公司自</w:t>
      </w:r>
    </w:p>
    <w:p>
      <w:pPr>
        <w:pStyle w:val="BodyText"/>
        <w:spacing w:line="300" w:lineRule="auto" w:before="63"/>
        <w:ind w:right="1197"/>
        <w:jc w:val="left"/>
      </w:pPr>
      <w:r>
        <w:rPr/>
        <w:t>行投入的研发费用。</w:t>
      </w:r>
      <w:r>
        <w:rPr>
          <w:rFonts w:ascii="Times New Roman" w:hAnsi="Times New Roman" w:cs="Times New Roman" w:eastAsia="Times New Roman" w:hint="default"/>
        </w:rPr>
        <w:t>2016</w:t>
      </w:r>
      <w:r>
        <w:rPr/>
        <w:t>年度公司总研发投入</w:t>
      </w:r>
      <w:r>
        <w:rPr>
          <w:rFonts w:ascii="Times New Roman" w:hAnsi="Times New Roman" w:cs="Times New Roman" w:eastAsia="Times New Roman" w:hint="default"/>
        </w:rPr>
        <w:t>380,940,168.39</w:t>
      </w:r>
      <w:r>
        <w:rPr/>
        <w:t>元，均为公司自行投入的研发费用，占</w:t>
      </w:r>
      <w:r>
        <w:rPr>
          <w:rFonts w:ascii="Times New Roman" w:hAnsi="Times New Roman" w:cs="Times New Roman" w:eastAsia="Times New Roman" w:hint="default"/>
        </w:rPr>
        <w:t>2016</w:t>
      </w:r>
      <w:r>
        <w:rPr/>
        <w:t>年度营业收入的 </w:t>
      </w:r>
      <w:r>
        <w:rPr>
          <w:rFonts w:ascii="Times New Roman" w:hAnsi="Times New Roman" w:cs="Times New Roman" w:eastAsia="Times New Roman" w:hint="default"/>
        </w:rPr>
        <w:t>18.36%</w:t>
      </w:r>
      <w:r>
        <w:rPr/>
        <w:t>。公司继续保持了对核心行业产品的研发力度，为公司未来的业务扩展奠定扎实的基础。公司还集中力量研究了基 于物联网、移动互联网、大数据技术等的各类信息技术基础，探索了不少新业务，也积累了多项的相关知识产权。</w:t>
      </w:r>
    </w:p>
    <w:p>
      <w:pPr>
        <w:pStyle w:val="BodyText"/>
        <w:spacing w:line="240" w:lineRule="auto" w:before="72"/>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583,361,495.62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303,982,600.99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380,940,168.39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469,613,835.55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168,858,139.58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257,761,573.40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9"/>
        <w:jc w:val="left"/>
      </w:pPr>
      <w:r>
        <w:rPr/>
        <w:t>研发投入总额占营业收入的比重较上年发生显著变化的原因</w:t>
      </w:r>
    </w:p>
    <w:p>
      <w:pPr>
        <w:pStyle w:val="BodyText"/>
        <w:spacing w:line="338" w:lineRule="auto" w:before="117"/>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新一代智慧城市一体化平台 及应用系统建设项目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418,047,081.42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功能实施阶段</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新一代智慧医疗一体化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HIS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平 台及应用系统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19,432,330.81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功能开发阶段</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智慧养老综合服务平台及其 智能物联云平台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10,941,125.02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功能开发阶段</w:t>
            </w:r>
          </w:p>
        </w:tc>
      </w:tr>
    </w:tbl>
    <w:p>
      <w:pPr>
        <w:pStyle w:val="BodyText"/>
        <w:spacing w:line="300" w:lineRule="auto" w:before="10"/>
        <w:ind w:left="514" w:right="0" w:hanging="360"/>
        <w:jc w:val="left"/>
      </w:pPr>
      <w:r>
        <w:rPr/>
        <w:t>注</w:t>
      </w:r>
      <w:r>
        <w:rPr>
          <w:rFonts w:ascii="Times New Roman" w:hAnsi="Times New Roman" w:cs="Times New Roman" w:eastAsia="Times New Roman" w:hint="default"/>
        </w:rPr>
        <w:t>1</w:t>
      </w:r>
      <w:r>
        <w:rPr/>
        <w:t>：新一代智慧城市一体化平台及应用系统建设项目情况说明 </w:t>
      </w:r>
      <w:r>
        <w:rPr>
          <w:spacing w:val="-2"/>
        </w:rPr>
        <w:t>本项目建设内容为：（一）基于智慧城市总体解决方案，研发新一代智慧城市一体化平台及应用系统，重点包括城市一</w:t>
      </w:r>
    </w:p>
    <w:p>
      <w:pPr>
        <w:pStyle w:val="BodyText"/>
        <w:spacing w:line="307" w:lineRule="auto" w:before="31"/>
        <w:ind w:right="0"/>
        <w:jc w:val="left"/>
      </w:pPr>
      <w:r>
        <w:rPr>
          <w:spacing w:val="-1"/>
        </w:rPr>
        <w:t>体化信息平台（</w:t>
      </w:r>
      <w:r>
        <w:rPr>
          <w:rFonts w:ascii="Times New Roman" w:hAnsi="Times New Roman" w:cs="Times New Roman" w:eastAsia="Times New Roman" w:hint="default"/>
          <w:spacing w:val="-1"/>
        </w:rPr>
        <w:t>iGWIM</w:t>
      </w:r>
      <w:r>
        <w:rPr>
          <w:spacing w:val="-1"/>
        </w:rPr>
        <w:t>）、智慧城市云平台（</w:t>
      </w:r>
      <w:r>
        <w:rPr>
          <w:rFonts w:ascii="Times New Roman" w:hAnsi="Times New Roman" w:cs="Times New Roman" w:eastAsia="Times New Roman" w:hint="default"/>
          <w:spacing w:val="-1"/>
        </w:rPr>
        <w:t>iCP</w:t>
      </w:r>
      <w:r>
        <w:rPr>
          <w:spacing w:val="-1"/>
        </w:rPr>
        <w:t>）、智慧城市大数据平台（</w:t>
      </w:r>
      <w:r>
        <w:rPr>
          <w:rFonts w:ascii="Times New Roman" w:hAnsi="Times New Roman" w:cs="Times New Roman" w:eastAsia="Times New Roman" w:hint="default"/>
          <w:spacing w:val="-1"/>
        </w:rPr>
        <w:t>iBDP</w:t>
      </w:r>
      <w:r>
        <w:rPr>
          <w:spacing w:val="-1"/>
        </w:rPr>
        <w:t>）、城市智能运行中心系统（</w:t>
      </w:r>
      <w:r>
        <w:rPr>
          <w:rFonts w:ascii="Times New Roman" w:hAnsi="Times New Roman" w:cs="Times New Roman" w:eastAsia="Times New Roman" w:hint="default"/>
          <w:spacing w:val="-1"/>
        </w:rPr>
        <w:t>IOC</w:t>
      </w:r>
      <w:r>
        <w:rPr>
          <w:spacing w:val="-1"/>
        </w:rPr>
        <w:t>）、政</w:t>
      </w:r>
      <w:r>
        <w:rPr>
          <w:spacing w:val="-56"/>
        </w:rPr>
        <w:t> </w:t>
      </w:r>
      <w:r>
        <w:rPr/>
        <w:t>务云协同应用系统（</w:t>
      </w:r>
      <w:r>
        <w:rPr>
          <w:rFonts w:ascii="Times New Roman" w:hAnsi="Times New Roman" w:cs="Times New Roman" w:eastAsia="Times New Roman" w:hint="default"/>
        </w:rPr>
        <w:t>iGOV</w:t>
      </w:r>
      <w:r>
        <w:rPr/>
        <w:t>）、市民云服务系统（</w:t>
      </w:r>
      <w:r>
        <w:rPr>
          <w:rFonts w:ascii="Times New Roman" w:hAnsi="Times New Roman" w:cs="Times New Roman" w:eastAsia="Times New Roman" w:hint="default"/>
        </w:rPr>
        <w:t>iCity</w:t>
      </w:r>
      <w:r>
        <w:rPr/>
        <w:t>）六个重点软件产品，支持在各城市以城市私有云建设、</w:t>
      </w:r>
      <w:r>
        <w:rPr>
          <w:rFonts w:ascii="Times New Roman" w:hAnsi="Times New Roman" w:cs="Times New Roman" w:eastAsia="Times New Roman" w:hint="default"/>
        </w:rPr>
        <w:t>PPP</w:t>
      </w:r>
      <w:r>
        <w:rPr/>
        <w:t>合作模 </w:t>
      </w:r>
      <w:r>
        <w:rPr>
          <w:spacing w:val="-2"/>
        </w:rPr>
        <w:t>式与租赁在线运营服务等多种模式落地；（二）购置软硬件设备，建设上海云计算中心、上海云计算副中心、成都云计算中</w:t>
      </w:r>
      <w:r>
        <w:rPr>
          <w:spacing w:val="-67"/>
        </w:rPr>
        <w:t> </w:t>
      </w:r>
      <w:r>
        <w:rPr>
          <w:spacing w:val="-67"/>
        </w:rPr>
      </w:r>
      <w:r>
        <w:rPr/>
        <w:t>心，支撑新一代智慧城市一体化平台及应用系统，提供云服务。</w:t>
      </w:r>
    </w:p>
    <w:p>
      <w:pPr>
        <w:pStyle w:val="BodyText"/>
        <w:spacing w:line="316" w:lineRule="auto" w:before="26"/>
        <w:ind w:right="0" w:firstLine="360"/>
        <w:jc w:val="left"/>
      </w:pPr>
      <w:r>
        <w:rPr>
          <w:spacing w:val="-2"/>
        </w:rPr>
        <w:t>本项目将依托公司目前所拥有的相关领域的核心技术和成功经验，进行自主研发和集成创新，在行业基础系统的软件开</w:t>
      </w:r>
      <w:r>
        <w:rPr/>
        <w:t> </w:t>
      </w:r>
      <w:r>
        <w:rPr>
          <w:spacing w:val="-2"/>
        </w:rPr>
        <w:t>发与系统集成业务基础上，加大投入基于云计算模式的在线服务，建设城市级的云中心和云端应用，云中心主要建设城市一</w:t>
      </w:r>
      <w:r>
        <w:rPr>
          <w:spacing w:val="-66"/>
        </w:rPr>
        <w:t> </w:t>
      </w:r>
      <w:r>
        <w:rPr>
          <w:spacing w:val="-66"/>
        </w:rPr>
      </w:r>
      <w:r>
        <w:rPr>
          <w:spacing w:val="-2"/>
        </w:rPr>
        <w:t>体化信息平台、城市云平台和城市大数据平台，云端应用包括以市民为中心的市民云服务系统、面向行政管理与服务的政务</w:t>
      </w:r>
      <w:r>
        <w:rPr>
          <w:spacing w:val="-66"/>
        </w:rPr>
        <w:t> </w:t>
      </w:r>
      <w:r>
        <w:rPr>
          <w:spacing w:val="-66"/>
        </w:rPr>
      </w:r>
      <w:r>
        <w:rPr>
          <w:spacing w:val="-4"/>
        </w:rPr>
        <w:t>云协同应用系统和面向社会治理的城市智能运行中心系统，逐步消除“数据孤岛”和“行业烟囱”现象，实现信息共享融通。</w:t>
      </w:r>
      <w:r>
        <w:rPr>
          <w:spacing w:val="-44"/>
        </w:rPr>
        <w:t> </w:t>
      </w:r>
      <w:r>
        <w:rPr>
          <w:spacing w:val="-44"/>
        </w:rPr>
      </w:r>
      <w:r>
        <w:rPr>
          <w:spacing w:val="-2"/>
        </w:rPr>
        <w:t>公司业务模式也将在信息化项目服务的基础上，扩展云服务模式的公共服务运营业务，包括部署于当地的智慧城市私有云运</w:t>
      </w:r>
      <w:r>
        <w:rPr>
          <w:spacing w:val="-64"/>
        </w:rPr>
        <w:t> </w:t>
      </w:r>
      <w:r>
        <w:rPr>
          <w:spacing w:val="-64"/>
        </w:rPr>
      </w:r>
      <w:r>
        <w:rPr/>
        <w:t>营服务、基于</w:t>
      </w:r>
      <w:r>
        <w:rPr>
          <w:rFonts w:ascii="宋体" w:hAnsi="宋体" w:cs="宋体" w:eastAsia="宋体" w:hint="default"/>
        </w:rPr>
        <w:t>PPP</w:t>
      </w:r>
      <w:r>
        <w:rPr/>
        <w:t>模式的联合运营服务以及部署于上海及成都的智慧城市公有云运营服务。 注</w:t>
      </w:r>
      <w:r>
        <w:rPr>
          <w:rFonts w:ascii="Times New Roman" w:hAnsi="Times New Roman" w:cs="Times New Roman" w:eastAsia="Times New Roman" w:hint="default"/>
        </w:rPr>
        <w:t>2</w:t>
      </w:r>
      <w:r>
        <w:rPr/>
        <w:t>：新一代智慧医疗一体化</w:t>
      </w:r>
      <w:r>
        <w:rPr>
          <w:rFonts w:ascii="Times New Roman" w:hAnsi="Times New Roman" w:cs="Times New Roman" w:eastAsia="Times New Roman" w:hint="default"/>
        </w:rPr>
        <w:t>HIS</w:t>
      </w:r>
      <w:r>
        <w:rPr/>
        <w:t>平台及应用系统情况说明</w:t>
      </w:r>
    </w:p>
    <w:p>
      <w:pPr>
        <w:pStyle w:val="BodyText"/>
        <w:spacing w:line="316" w:lineRule="auto"/>
        <w:ind w:right="1131" w:firstLine="360"/>
        <w:jc w:val="both"/>
      </w:pPr>
      <w:r>
        <w:rPr/>
        <w:t>本项目建设内容为：基于智慧医疗总体解决方案，研发新一代智慧医疗一体化</w:t>
      </w:r>
      <w:r>
        <w:rPr>
          <w:rFonts w:ascii="宋体" w:hAnsi="宋体" w:cs="宋体" w:eastAsia="宋体" w:hint="default"/>
        </w:rPr>
        <w:t>HIS</w:t>
      </w:r>
      <w:r>
        <w:rPr/>
        <w:t>服务平台及应用系统，重点包含智慧 </w:t>
      </w:r>
      <w:r>
        <w:rPr>
          <w:spacing w:val="-2"/>
        </w:rPr>
        <w:t>医疗云诊所服务平台、智慧医疗云社区服务平台、智慧医疗云医院信息平台和智慧医疗云协同服务平台等四个服务平台。同</w:t>
      </w:r>
      <w:r>
        <w:rPr>
          <w:spacing w:val="-65"/>
        </w:rPr>
        <w:t> </w:t>
      </w:r>
      <w:r>
        <w:rPr>
          <w:spacing w:val="-65"/>
        </w:rPr>
      </w:r>
      <w:r>
        <w:rPr/>
        <w:t>时，建设一主一辅两个智慧医疗云计算中心，支撑前述四个服务平台的相关应用。</w:t>
      </w:r>
    </w:p>
    <w:p>
      <w:pPr>
        <w:pStyle w:val="BodyText"/>
        <w:spacing w:line="316" w:lineRule="auto" w:before="19"/>
        <w:ind w:right="0" w:firstLine="360"/>
        <w:jc w:val="left"/>
      </w:pPr>
      <w:r>
        <w:rPr>
          <w:spacing w:val="-2"/>
        </w:rPr>
        <w:t>公司拟借助移动互联网、大数据与云计算等技术，构建一个标准化、智能化、系统化的立体式医疗信息化生态系统，以</w:t>
      </w:r>
      <w:r>
        <w:rPr/>
        <w:t> 实现线上线下服务一体化以及医前、医中、医后服务一体化的双闭环以及不同医疗机构的信息互联互通。</w:t>
      </w:r>
    </w:p>
    <w:p>
      <w:pPr>
        <w:pStyle w:val="BodyText"/>
        <w:spacing w:line="316" w:lineRule="auto" w:before="19"/>
        <w:ind w:right="1122" w:firstLine="360"/>
        <w:jc w:val="left"/>
      </w:pPr>
      <w:r>
        <w:rPr/>
        <w:t>公司拟建设的新一代智慧医疗一体化</w:t>
      </w:r>
      <w:r>
        <w:rPr>
          <w:rFonts w:ascii="宋体" w:hAnsi="宋体" w:cs="宋体" w:eastAsia="宋体" w:hint="default"/>
        </w:rPr>
        <w:t>HIS</w:t>
      </w:r>
      <w:r>
        <w:rPr/>
        <w:t>服务平台及应用系统项目在系统构架、功能性、信息互联互通等方面有显著的 优势。在系统构架方面，新一代智慧医疗一体化</w:t>
      </w:r>
      <w:r>
        <w:rPr>
          <w:rFonts w:ascii="宋体" w:hAnsi="宋体" w:cs="宋体" w:eastAsia="宋体" w:hint="default"/>
        </w:rPr>
        <w:t>HIS</w:t>
      </w:r>
      <w:r>
        <w:rPr/>
        <w:t>系统具有更强的兼容开放性，模块扩展性强，能接入基于新语言与新技 术的软件与应用；在功能上，新一代智慧医疗一体化</w:t>
      </w:r>
      <w:r>
        <w:rPr>
          <w:rFonts w:ascii="宋体" w:hAnsi="宋体" w:cs="宋体" w:eastAsia="宋体" w:hint="default"/>
        </w:rPr>
        <w:t>HIS</w:t>
      </w:r>
      <w:r>
        <w:rPr/>
        <w:t>系统功能覆盖广阔，从门诊、急诊、药房等服务管理、重症监护、 </w:t>
      </w:r>
      <w:r>
        <w:rPr>
          <w:spacing w:val="-2"/>
        </w:rPr>
        <w:t>手术等医疗管理延伸至临床决策辅助，从家庭医生、远程会诊、一键转诊延伸至疾病预防与管理，实现线上线下服务一体化</w:t>
      </w:r>
      <w:r>
        <w:rPr>
          <w:spacing w:val="-66"/>
        </w:rPr>
        <w:t> </w:t>
      </w:r>
      <w:r>
        <w:rPr>
          <w:spacing w:val="-66"/>
        </w:rPr>
      </w:r>
      <w:r>
        <w:rPr/>
        <w:t>以及医前、医中、医后服务一体化的双闭环；在信息互联互通方面，新一代智慧医疗一体化</w:t>
      </w:r>
      <w:r>
        <w:rPr>
          <w:rFonts w:ascii="宋体" w:hAnsi="宋体" w:cs="宋体" w:eastAsia="宋体" w:hint="default"/>
        </w:rPr>
        <w:t>HIS</w:t>
      </w:r>
      <w:r>
        <w:rPr/>
        <w:t>系统实现了各医疗机构内部 </w:t>
      </w:r>
      <w:r>
        <w:rPr>
          <w:spacing w:val="-2"/>
        </w:rPr>
        <w:t>的横向整合和跨区域的纵向资源整合。一方面该项目通过云诊所、云社区、云医院三大服务平台横向整合资源，实现医疗机</w:t>
      </w:r>
      <w:r>
        <w:rPr>
          <w:spacing w:val="-66"/>
        </w:rPr>
        <w:t> </w:t>
      </w:r>
      <w:r>
        <w:rPr>
          <w:spacing w:val="-66"/>
        </w:rPr>
      </w:r>
      <w:r>
        <w:rPr>
          <w:spacing w:val="-2"/>
        </w:rPr>
        <w:t>构内部跨部门、跨学科的数据共享与协作；另一方面，在云计算中心的强大计算能力支持下，通过云协同服务平台纵向整合</w:t>
      </w:r>
      <w:r>
        <w:rPr>
          <w:spacing w:val="-66"/>
        </w:rPr>
        <w:t> </w:t>
      </w:r>
      <w:r>
        <w:rPr>
          <w:spacing w:val="-66"/>
        </w:rPr>
      </w:r>
      <w:r>
        <w:rPr/>
        <w:t>区域内医疗资源，形成统一平台，打通各级医疗机构的外部壁垒，实现数据互联互通以及移动化的医疗信息服务。 注</w:t>
      </w:r>
      <w:r>
        <w:rPr>
          <w:rFonts w:ascii="Times New Roman" w:hAnsi="Times New Roman" w:cs="Times New Roman" w:eastAsia="Times New Roman" w:hint="default"/>
        </w:rPr>
        <w:t>3</w:t>
      </w:r>
      <w:r>
        <w:rPr/>
        <w:t>：智慧养老综合服务平台及其智能物联云平台情况说明</w:t>
      </w:r>
    </w:p>
    <w:p>
      <w:pPr>
        <w:pStyle w:val="BodyText"/>
        <w:spacing w:line="316" w:lineRule="auto"/>
        <w:ind w:right="1131" w:firstLine="360"/>
        <w:jc w:val="both"/>
      </w:pPr>
      <w:r>
        <w:rPr>
          <w:spacing w:val="-2"/>
        </w:rPr>
        <w:t>本项目建设内容为：基于智慧养老总体解决方案，研发智慧养老综合服务平台及其智能物联云平台项目，重点包括医养</w:t>
      </w:r>
      <w:r>
        <w:rPr/>
        <w:t> </w:t>
      </w:r>
      <w:r>
        <w:rPr>
          <w:spacing w:val="-2"/>
        </w:rPr>
        <w:t>结合服务管理云平台、长期护理保险综合信息管理云平台、社区综合为老服务云平台、居家护理机构管理云平台、养老机构</w:t>
      </w:r>
      <w:r>
        <w:rPr>
          <w:spacing w:val="-66"/>
        </w:rPr>
        <w:t> </w:t>
      </w:r>
      <w:r>
        <w:rPr>
          <w:spacing w:val="-66"/>
        </w:rPr>
      </w:r>
      <w:r>
        <w:rPr>
          <w:spacing w:val="-2"/>
        </w:rPr>
        <w:t>管理云平台、养老地产颐养社区管理云平台和智能物联云平台及其产品。其中，研发的智能物联产品涵盖智能监护设备、智</w:t>
      </w:r>
      <w:r>
        <w:rPr>
          <w:spacing w:val="-66"/>
        </w:rPr>
        <w:t> </w:t>
      </w:r>
      <w:r>
        <w:rPr>
          <w:spacing w:val="-66"/>
        </w:rPr>
      </w:r>
      <w:r>
        <w:rPr/>
        <w:t>能安防监控设备、智能陪护设备三大产品线。</w:t>
      </w:r>
    </w:p>
    <w:p>
      <w:pPr>
        <w:pStyle w:val="BodyText"/>
        <w:spacing w:line="316" w:lineRule="auto" w:before="19"/>
        <w:ind w:right="0" w:firstLine="360"/>
        <w:jc w:val="left"/>
      </w:pPr>
      <w:r>
        <w:rPr>
          <w:spacing w:val="-2"/>
        </w:rPr>
        <w:t>智慧养老综合服务平台及其智能物联云平台项目的建设，面向政府、企业、社区、个人等主体，实现对现有智慧养老信</w:t>
      </w:r>
      <w:r>
        <w:rPr/>
        <w:t> </w:t>
      </w:r>
      <w:r>
        <w:rPr>
          <w:spacing w:val="-2"/>
        </w:rPr>
        <w:t>息化需求的全覆盖，建立面向政府全过程监督的监管平台、面向企业或社区高效的养老经营平台、面向老年人群的</w:t>
      </w:r>
      <w:r>
        <w:rPr>
          <w:rFonts w:ascii="宋体" w:hAnsi="宋体" w:cs="宋体" w:eastAsia="宋体" w:hint="default"/>
          <w:spacing w:val="-2"/>
        </w:rPr>
        <w:t>O2O</w:t>
      </w:r>
      <w:r>
        <w:rPr>
          <w:spacing w:val="-2"/>
        </w:rPr>
        <w:t>平台，</w:t>
      </w:r>
      <w:r>
        <w:rPr>
          <w:spacing w:val="-61"/>
        </w:rPr>
        <w:t> </w:t>
      </w:r>
      <w:r>
        <w:rPr>
          <w:spacing w:val="-2"/>
        </w:rPr>
        <w:t>为老年人群提供功能丰富的智能监测、安防和看护等一站式的智慧养老服务，通过平台技术使得居家养老、社区养老成为可</w:t>
      </w:r>
      <w:r>
        <w:rPr>
          <w:spacing w:val="-66"/>
        </w:rPr>
        <w:t> </w:t>
      </w:r>
      <w:r>
        <w:rPr>
          <w:spacing w:val="-66"/>
        </w:rPr>
      </w:r>
      <w:r>
        <w:rPr>
          <w:spacing w:val="-2"/>
        </w:rPr>
        <w:t>能，解决养老服务资源不足、政府全过程监管、老年人群需求无法精准响应等众多社会问题，强化资源配置整合，提升机构</w:t>
      </w:r>
      <w:r>
        <w:rPr>
          <w:spacing w:val="-66"/>
        </w:rPr>
        <w:t> </w:t>
      </w:r>
      <w:r>
        <w:rPr>
          <w:spacing w:val="-66"/>
        </w:rPr>
      </w:r>
      <w:r>
        <w:rPr>
          <w:spacing w:val="-2"/>
        </w:rPr>
        <w:t>的服务管理效率，建立起有效的全程监控及服务网络，形成服务闭环和完整的服务生态体系，推动和促进整个智慧养老行业</w:t>
      </w:r>
      <w:r>
        <w:rPr>
          <w:spacing w:val="-66"/>
        </w:rPr>
        <w:t> </w:t>
      </w:r>
      <w:r>
        <w:rPr>
          <w:spacing w:val="-66"/>
        </w:rPr>
      </w:r>
      <w:r>
        <w:rPr/>
        <w:t>的产业升级和发展。</w:t>
      </w:r>
    </w:p>
    <w:p>
      <w:pPr>
        <w:pStyle w:val="BodyText"/>
        <w:spacing w:line="316" w:lineRule="auto" w:before="19"/>
        <w:ind w:right="1131" w:firstLine="360"/>
        <w:jc w:val="both"/>
      </w:pPr>
      <w:r>
        <w:rPr>
          <w:spacing w:val="-2"/>
        </w:rPr>
        <w:t>智能物联云平台顺应“万物互联”的物联网发展趋势，将不同类型、场景、空间的智能物联设备通过智能物联云平台进</w:t>
      </w:r>
      <w:r>
        <w:rPr/>
        <w:t> </w:t>
      </w:r>
      <w:r>
        <w:rPr>
          <w:spacing w:val="-2"/>
        </w:rPr>
        <w:t>行数据的汇集和整合，对接智慧养老综合服务平台为社区、居家、机构等不同养老服务主体提供智能监测、安防和看护等服</w:t>
      </w:r>
      <w:r>
        <w:rPr>
          <w:spacing w:val="-66"/>
        </w:rPr>
        <w:t> </w:t>
      </w:r>
      <w:r>
        <w:rPr>
          <w:spacing w:val="-66"/>
        </w:rPr>
      </w:r>
      <w:r>
        <w:rPr/>
        <w:t>务。</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项目将依托公司目前所拥有的民生保障领域核心技术和成功经验，进行自主研发和集成创新，在行业信息系统的业务基</w:t>
      </w:r>
      <w:r>
        <w:rPr/>
        <w:t> </w:t>
      </w:r>
      <w:r>
        <w:rPr>
          <w:spacing w:val="-2"/>
        </w:rPr>
        <w:t>础上，研发智慧养老综合服务平台及其智能物联云平台，重点包括医养结合服务管理云平台、长期护理保险综合信息管理云</w:t>
      </w:r>
      <w:r>
        <w:rPr>
          <w:spacing w:val="-65"/>
        </w:rPr>
        <w:t> </w:t>
      </w:r>
      <w:r>
        <w:rPr>
          <w:spacing w:val="-65"/>
        </w:rPr>
      </w:r>
      <w:r>
        <w:rPr>
          <w:spacing w:val="-2"/>
        </w:rPr>
        <w:t>平台、社区综合为老服务云平台、居家护理机构管理云平台、养老机构管理云平台、养老地产颐养社区管理云平台和智能物</w:t>
      </w:r>
      <w:r>
        <w:rPr>
          <w:spacing w:val="-66"/>
        </w:rPr>
        <w:t> </w:t>
      </w:r>
      <w:r>
        <w:rPr>
          <w:spacing w:val="-66"/>
        </w:rPr>
      </w:r>
      <w:r>
        <w:rPr/>
        <w:t>联云平台及其产品。</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2,195,736,724.74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1,940,027,082.05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2,123,480,594.15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2,174,066,992.78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72,256,130.59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-234,039,910.73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234,614,610.66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317,726,345.87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697,314,381.96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866,769,079.61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-462,699,771.30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-549,042,733.74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3,687,060,687.73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4,981,863,915.77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4,131,049,136.14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3,147,220,752.91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-443,988,448.41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1,834,643,162.86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-124.20%</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-834,320,121.84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1,051,436,503.02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-179.35%</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经营活动产生的现金流量净额</w:t>
      </w:r>
      <w:r>
        <w:rPr>
          <w:rFonts w:ascii="Times New Roman" w:hAnsi="Times New Roman" w:cs="Times New Roman" w:eastAsia="Times New Roman" w:hint="default"/>
        </w:rPr>
        <w:t>”</w:t>
      </w:r>
      <w:r>
        <w:rPr/>
        <w:t>较去年同期增长</w:t>
      </w:r>
      <w:r>
        <w:rPr>
          <w:rFonts w:ascii="Times New Roman" w:hAnsi="Times New Roman" w:cs="Times New Roman" w:eastAsia="Times New Roman" w:hint="default"/>
        </w:rPr>
        <w:t>130.87%</w:t>
      </w:r>
      <w:r>
        <w:rPr/>
        <w:t>，主要系报告期内收到的货款增加所致。</w:t>
      </w:r>
    </w:p>
    <w:p>
      <w:pPr>
        <w:pStyle w:val="BodyText"/>
        <w:spacing w:line="300" w:lineRule="auto" w:before="63"/>
        <w:ind w:right="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筹资活动产生的现金流量净额</w:t>
      </w:r>
      <w:r>
        <w:rPr>
          <w:rFonts w:ascii="Times New Roman" w:hAnsi="Times New Roman" w:cs="Times New Roman" w:eastAsia="Times New Roman" w:hint="default"/>
          <w:spacing w:val="-2"/>
        </w:rPr>
        <w:t>”</w:t>
      </w:r>
      <w:r>
        <w:rPr>
          <w:spacing w:val="-2"/>
        </w:rPr>
        <w:t>较去年同期下降</w:t>
      </w:r>
      <w:r>
        <w:rPr>
          <w:rFonts w:ascii="Times New Roman" w:hAnsi="Times New Roman" w:cs="Times New Roman" w:eastAsia="Times New Roman" w:hint="default"/>
          <w:spacing w:val="-2"/>
        </w:rPr>
        <w:t>124.20%</w:t>
      </w:r>
      <w:r>
        <w:rPr>
          <w:spacing w:val="-2"/>
        </w:rPr>
        <w:t>，主要系报告期内公司债务偿还加大以及上年同期发行可转换债</w:t>
      </w:r>
      <w:r>
        <w:rPr>
          <w:spacing w:val="-51"/>
        </w:rPr>
        <w:t> </w:t>
      </w:r>
      <w:r>
        <w:rPr>
          <w:spacing w:val="-51"/>
        </w:rPr>
      </w:r>
      <w:r>
        <w:rPr/>
        <w:t>券资金等共同影响所致。</w:t>
      </w:r>
    </w:p>
    <w:p>
      <w:pPr>
        <w:pStyle w:val="BodyText"/>
        <w:spacing w:line="240" w:lineRule="auto" w:before="72"/>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2227"/>
        <w:gridCol w:w="2259"/>
        <w:gridCol w:w="798"/>
        <w:gridCol w:w="290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161" w:hRule="exact"/>
        </w:trPr>
        <w:tc>
          <w:tcPr>
            <w:tcW w:w="1357"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57"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1,044,892,808.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13.36%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1,875,429,283.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-10.07%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1,530,034,738.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19.57%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1,183,277,649.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14.78%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4.79%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1,142,657,237.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14.61%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1,266,129,752.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15.82%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-1.21%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23,084,923.66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91,180,730.41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60,880,005.98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379,524,704.2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4.85%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437,063,022.05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5.46%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-0.61%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41,238,721.58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48,439,796.56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2,635,084,838.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33.70%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3,112,050,000.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38.88%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-5.18%</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622,350,634.3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494,083,702.34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6.17%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1.79%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69"/>
        <w:gridCol w:w="1167"/>
        <w:gridCol w:w="1149"/>
        <w:gridCol w:w="1153"/>
        <w:gridCol w:w="1148"/>
        <w:gridCol w:w="1161"/>
        <w:gridCol w:w="1153"/>
        <w:gridCol w:w="1154"/>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3"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12,108,512.95</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167,949.81</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1,956,838.57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10,319,624.19</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12,108,512.95</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167,949.81</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1,956,838.57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10,319,624.19</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2"/>
        <w:jc w:val="left"/>
      </w:pPr>
      <w:r>
        <w:rPr>
          <w:rFonts w:ascii="Times New Roman" w:hAnsi="Times New Roman" w:cs="Times New Roman" w:eastAsia="Times New Roman" w:hint="default"/>
        </w:rPr>
        <w:t>1</w:t>
      </w:r>
      <w:r>
        <w:rPr/>
        <w:t>）佳杰科技（上海）有限公司就其诉公司子公司四川浩特通信有限公司买卖合同纠纷案，向上海市长宁区人民法院申请对 </w:t>
      </w:r>
      <w:r>
        <w:rPr>
          <w:spacing w:val="-1"/>
        </w:rPr>
        <w:t>四川浩特通信有限公司上海浦东发展银行成都科华支行（账号：</w:t>
      </w:r>
      <w:r>
        <w:rPr>
          <w:rFonts w:ascii="Times New Roman" w:hAnsi="Times New Roman" w:cs="Times New Roman" w:eastAsia="Times New Roman" w:hint="default"/>
          <w:spacing w:val="-1"/>
        </w:rPr>
        <w:t>73030154800000511</w:t>
      </w:r>
      <w:r>
        <w:rPr>
          <w:spacing w:val="-1"/>
        </w:rPr>
        <w:t>）存款人民币</w:t>
      </w:r>
      <w:r>
        <w:rPr>
          <w:rFonts w:ascii="Times New Roman" w:hAnsi="Times New Roman" w:cs="Times New Roman" w:eastAsia="Times New Roman" w:hint="default"/>
          <w:spacing w:val="-1"/>
        </w:rPr>
        <w:t>2,120,000.00</w:t>
      </w:r>
      <w:r>
        <w:rPr>
          <w:spacing w:val="-1"/>
        </w:rPr>
        <w:t>元实施财产保</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2"/>
        <w:jc w:val="left"/>
      </w:pPr>
      <w:r>
        <w:rPr/>
        <w:t>全，现该案尚在审理中。 </w:t>
      </w:r>
      <w:r>
        <w:rPr>
          <w:rFonts w:ascii="Times New Roman" w:hAnsi="Times New Roman" w:cs="Times New Roman" w:eastAsia="Times New Roman" w:hint="default"/>
        </w:rPr>
        <w:t>2</w:t>
      </w:r>
      <w:r>
        <w:rPr/>
        <w:t>）四川利正信息技术有限公司就其诉公司子公司四川浩特通信有限公司买卖合同纠纷案，向成都高新区法院申请对四川浩 </w:t>
      </w:r>
      <w:r>
        <w:rPr>
          <w:spacing w:val="-1"/>
        </w:rPr>
        <w:t>特通信有限公司上海浦东发展银行成都科华支行（账号：</w:t>
      </w:r>
      <w:r>
        <w:rPr>
          <w:rFonts w:ascii="Times New Roman" w:hAnsi="Times New Roman" w:cs="Times New Roman" w:eastAsia="Times New Roman" w:hint="default"/>
          <w:spacing w:val="-1"/>
        </w:rPr>
        <w:t>73030154800000511</w:t>
      </w:r>
      <w:r>
        <w:rPr>
          <w:spacing w:val="-1"/>
        </w:rPr>
        <w:t>）存款人民币</w:t>
      </w:r>
      <w:r>
        <w:rPr>
          <w:rFonts w:ascii="Times New Roman" w:hAnsi="Times New Roman" w:cs="Times New Roman" w:eastAsia="Times New Roman" w:hint="default"/>
          <w:spacing w:val="-1"/>
        </w:rPr>
        <w:t>1,663,647.27</w:t>
      </w:r>
      <w:r>
        <w:rPr>
          <w:spacing w:val="-1"/>
        </w:rPr>
        <w:t>元实施财产保全，现</w:t>
      </w:r>
      <w:r>
        <w:rPr>
          <w:spacing w:val="-63"/>
        </w:rPr>
        <w:t> </w:t>
      </w:r>
      <w:r>
        <w:rPr>
          <w:spacing w:val="-63"/>
        </w:rPr>
      </w:r>
      <w:r>
        <w:rPr/>
        <w:t>该案尚在审理中。 </w:t>
      </w:r>
      <w:r>
        <w:rPr>
          <w:rFonts w:ascii="Times New Roman" w:hAnsi="Times New Roman" w:cs="Times New Roman" w:eastAsia="Times New Roman" w:hint="default"/>
          <w:spacing w:val="-1"/>
        </w:rPr>
        <w:t>3</w:t>
      </w:r>
      <w:r>
        <w:rPr>
          <w:spacing w:val="-1"/>
        </w:rPr>
        <w:t>）本公司全资子公司四川浩特通信有限公司与浙商银行股份有限公司成都分行签订借款合同【</w:t>
      </w:r>
      <w:r>
        <w:rPr>
          <w:rFonts w:ascii="Times New Roman" w:hAnsi="Times New Roman" w:cs="Times New Roman" w:eastAsia="Times New Roman" w:hint="default"/>
          <w:spacing w:val="-1"/>
        </w:rPr>
        <w:t>(20400000)</w:t>
      </w:r>
      <w:r>
        <w:rPr>
          <w:spacing w:val="-1"/>
        </w:rPr>
        <w:t>浙商银借字</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37"/>
        </w:rPr>
        <w:t> </w:t>
      </w:r>
      <w:r>
        <w:rPr>
          <w:spacing w:val="-3"/>
        </w:rPr>
        <w:t>第</w:t>
      </w:r>
      <w:r>
        <w:rPr>
          <w:rFonts w:ascii="Times New Roman" w:hAnsi="Times New Roman" w:cs="Times New Roman" w:eastAsia="Times New Roman" w:hint="default"/>
          <w:spacing w:val="-3"/>
        </w:rPr>
        <w:t>01076</w:t>
      </w:r>
      <w:r>
        <w:rPr>
          <w:spacing w:val="-3"/>
        </w:rPr>
        <w:t>号】，借款的担保方式为抵押，抵押合同【</w:t>
      </w:r>
      <w:r>
        <w:rPr>
          <w:rFonts w:ascii="Times New Roman" w:hAnsi="Times New Roman" w:cs="Times New Roman" w:eastAsia="Times New Roman" w:hint="default"/>
          <w:spacing w:val="-3"/>
        </w:rPr>
        <w:t>(651202)</w:t>
      </w:r>
      <w:r>
        <w:rPr>
          <w:spacing w:val="-3"/>
        </w:rPr>
        <w:t>浙商银高抵字</w:t>
      </w:r>
      <w:r>
        <w:rPr>
          <w:rFonts w:ascii="Times New Roman" w:hAnsi="Times New Roman" w:cs="Times New Roman" w:eastAsia="Times New Roman" w:hint="default"/>
          <w:spacing w:val="-3"/>
        </w:rPr>
        <w:t>(2017)</w:t>
      </w:r>
      <w:r>
        <w:rPr>
          <w:spacing w:val="-3"/>
        </w:rPr>
        <w:t>第</w:t>
      </w:r>
      <w:r>
        <w:rPr>
          <w:rFonts w:ascii="Times New Roman" w:hAnsi="Times New Roman" w:cs="Times New Roman" w:eastAsia="Times New Roman" w:hint="default"/>
          <w:spacing w:val="-3"/>
        </w:rPr>
        <w:t>00008</w:t>
      </w:r>
      <w:r>
        <w:rPr>
          <w:spacing w:val="-3"/>
        </w:rPr>
        <w:t>号】，抵押所担保的主债权为自</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8"/>
        </w:rPr>
        <w:t> </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日止，抵押物为四川浩特固定资产：房权证监证字第</w:t>
      </w:r>
      <w:r>
        <w:rPr>
          <w:rFonts w:ascii="Times New Roman" w:hAnsi="Times New Roman" w:cs="Times New Roman" w:eastAsia="Times New Roman" w:hint="default"/>
          <w:spacing w:val="-2"/>
        </w:rPr>
        <w:t>2746372</w:t>
      </w:r>
      <w:r>
        <w:rPr>
          <w:spacing w:val="-2"/>
        </w:rPr>
        <w:t>号、房权证监证字第</w:t>
      </w:r>
      <w:r>
        <w:rPr>
          <w:rFonts w:ascii="Times New Roman" w:hAnsi="Times New Roman" w:cs="Times New Roman" w:eastAsia="Times New Roman" w:hint="default"/>
          <w:spacing w:val="-2"/>
        </w:rPr>
        <w:t>1944971</w:t>
      </w:r>
      <w:r>
        <w:rPr>
          <w:spacing w:val="-2"/>
        </w:rPr>
        <w:t>号、房</w:t>
      </w:r>
      <w:r>
        <w:rPr>
          <w:spacing w:val="-42"/>
        </w:rPr>
        <w:t> </w:t>
      </w:r>
      <w:r>
        <w:rPr>
          <w:spacing w:val="-42"/>
        </w:rPr>
      </w:r>
      <w:r>
        <w:rPr>
          <w:spacing w:val="-2"/>
        </w:rPr>
        <w:t>权证监证字第</w:t>
      </w:r>
      <w:r>
        <w:rPr>
          <w:rFonts w:ascii="Times New Roman" w:hAnsi="Times New Roman" w:cs="Times New Roman" w:eastAsia="Times New Roman" w:hint="default"/>
          <w:spacing w:val="-2"/>
        </w:rPr>
        <w:t>1944966</w:t>
      </w:r>
      <w:r>
        <w:rPr>
          <w:spacing w:val="-2"/>
        </w:rPr>
        <w:t>号、房权证监证字第</w:t>
      </w:r>
      <w:r>
        <w:rPr>
          <w:rFonts w:ascii="Times New Roman" w:hAnsi="Times New Roman" w:cs="Times New Roman" w:eastAsia="Times New Roman" w:hint="default"/>
          <w:spacing w:val="-2"/>
        </w:rPr>
        <w:t>1944961</w:t>
      </w:r>
      <w:r>
        <w:rPr>
          <w:spacing w:val="-2"/>
        </w:rPr>
        <w:t>号、房权证监证字第</w:t>
      </w:r>
      <w:r>
        <w:rPr>
          <w:rFonts w:ascii="Times New Roman" w:hAnsi="Times New Roman" w:cs="Times New Roman" w:eastAsia="Times New Roman" w:hint="default"/>
          <w:spacing w:val="-2"/>
        </w:rPr>
        <w:t>1944943</w:t>
      </w:r>
      <w:r>
        <w:rPr>
          <w:spacing w:val="-2"/>
        </w:rPr>
        <w:t>号、房权证监证字第</w:t>
      </w:r>
      <w:r>
        <w:rPr>
          <w:rFonts w:ascii="Times New Roman" w:hAnsi="Times New Roman" w:cs="Times New Roman" w:eastAsia="Times New Roman" w:hint="default"/>
          <w:spacing w:val="-2"/>
        </w:rPr>
        <w:t>1944955</w:t>
      </w:r>
      <w:r>
        <w:rPr>
          <w:spacing w:val="-2"/>
        </w:rPr>
        <w:t>号、房权证监证</w:t>
      </w:r>
      <w:r>
        <w:rPr>
          <w:spacing w:val="-40"/>
        </w:rPr>
        <w:t> </w:t>
      </w:r>
      <w:r>
        <w:rPr>
          <w:spacing w:val="-40"/>
        </w:rPr>
      </w:r>
      <w:r>
        <w:rPr/>
        <w:t>字第</w:t>
      </w:r>
      <w:r>
        <w:rPr>
          <w:rFonts w:ascii="Times New Roman" w:hAnsi="Times New Roman" w:cs="Times New Roman" w:eastAsia="Times New Roman" w:hint="default"/>
        </w:rPr>
        <w:t>4001976</w:t>
      </w:r>
      <w:r>
        <w:rPr/>
        <w:t>号，被担保的主债权最高额为壹仟叁佰陆拾柒万伍仟零贰拾元整。 </w:t>
      </w:r>
      <w:r>
        <w:rPr>
          <w:rFonts w:ascii="Times New Roman" w:hAnsi="Times New Roman" w:cs="Times New Roman" w:eastAsia="Times New Roman" w:hint="default"/>
        </w:rPr>
        <w:t>4</w:t>
      </w:r>
      <w:r>
        <w:rPr/>
        <w:t>）本公司全资子公司四川浩特通信有限公司与浙商银行股份有限公司成都分行签订最高额抵押合同【</w:t>
      </w:r>
      <w:r>
        <w:rPr>
          <w:rFonts w:ascii="Times New Roman" w:hAnsi="Times New Roman" w:cs="Times New Roman" w:eastAsia="Times New Roman" w:hint="default"/>
        </w:rPr>
        <w:t>(651202)</w:t>
      </w:r>
      <w:r>
        <w:rPr/>
        <w:t>浙商银高抵 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00104</w:t>
      </w:r>
      <w:r>
        <w:rPr/>
        <w:t>号】，抵押所担保的主债权为自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日起至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日止，抵押物为四川浩特固定资产：房权 </w:t>
      </w:r>
      <w:r>
        <w:rPr>
          <w:spacing w:val="-2"/>
        </w:rPr>
        <w:t>证监证字第</w:t>
      </w:r>
      <w:r>
        <w:rPr>
          <w:rFonts w:ascii="Times New Roman" w:hAnsi="Times New Roman" w:cs="Times New Roman" w:eastAsia="Times New Roman" w:hint="default"/>
          <w:spacing w:val="-2"/>
        </w:rPr>
        <w:t>2746372</w:t>
      </w:r>
      <w:r>
        <w:rPr>
          <w:spacing w:val="-2"/>
        </w:rPr>
        <w:t>号、房权证监证字第</w:t>
      </w:r>
      <w:r>
        <w:rPr>
          <w:rFonts w:ascii="Times New Roman" w:hAnsi="Times New Roman" w:cs="Times New Roman" w:eastAsia="Times New Roman" w:hint="default"/>
          <w:spacing w:val="-2"/>
        </w:rPr>
        <w:t>1944971</w:t>
      </w:r>
      <w:r>
        <w:rPr>
          <w:spacing w:val="-2"/>
        </w:rPr>
        <w:t>号、房权证监证字第</w:t>
      </w:r>
      <w:r>
        <w:rPr>
          <w:rFonts w:ascii="Times New Roman" w:hAnsi="Times New Roman" w:cs="Times New Roman" w:eastAsia="Times New Roman" w:hint="default"/>
          <w:spacing w:val="-2"/>
        </w:rPr>
        <w:t>1944966</w:t>
      </w:r>
      <w:r>
        <w:rPr>
          <w:spacing w:val="-2"/>
        </w:rPr>
        <w:t>号、房权证监证字第</w:t>
      </w:r>
      <w:r>
        <w:rPr>
          <w:rFonts w:ascii="Times New Roman" w:hAnsi="Times New Roman" w:cs="Times New Roman" w:eastAsia="Times New Roman" w:hint="default"/>
          <w:spacing w:val="-2"/>
        </w:rPr>
        <w:t>1944961</w:t>
      </w:r>
      <w:r>
        <w:rPr>
          <w:spacing w:val="-2"/>
        </w:rPr>
        <w:t>号、房权证监证字</w:t>
      </w:r>
      <w:r>
        <w:rPr>
          <w:spacing w:val="-40"/>
        </w:rPr>
        <w:t> </w:t>
      </w:r>
      <w:r>
        <w:rPr>
          <w:spacing w:val="-40"/>
        </w:rPr>
      </w:r>
      <w:r>
        <w:rPr/>
        <w:t>第</w:t>
      </w:r>
      <w:r>
        <w:rPr>
          <w:rFonts w:ascii="Times New Roman" w:hAnsi="Times New Roman" w:cs="Times New Roman" w:eastAsia="Times New Roman" w:hint="default"/>
        </w:rPr>
        <w:t>1944943</w:t>
      </w:r>
      <w:r>
        <w:rPr/>
        <w:t>号、房权证监证字第</w:t>
      </w:r>
      <w:r>
        <w:rPr>
          <w:rFonts w:ascii="Times New Roman" w:hAnsi="Times New Roman" w:cs="Times New Roman" w:eastAsia="Times New Roman" w:hint="default"/>
        </w:rPr>
        <w:t>1944955</w:t>
      </w:r>
      <w:r>
        <w:rPr/>
        <w:t>号、房权证监证字第</w:t>
      </w:r>
      <w:r>
        <w:rPr>
          <w:rFonts w:ascii="Times New Roman" w:hAnsi="Times New Roman" w:cs="Times New Roman" w:eastAsia="Times New Roman" w:hint="default"/>
        </w:rPr>
        <w:t>4001976</w:t>
      </w:r>
      <w:r>
        <w:rPr/>
        <w:t>号，被担保的主债权最高额为壹仟叁佰陆拾柒万伍仟零 贰拾元整。</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83,545,500.00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pict>
          <v:group style="position:absolute;margin-left:126.32pt;margin-top:73.931717pt;width:32.6pt;height:160.550pt;mso-position-horizontal-relative:page;mso-position-vertical-relative:paragraph;z-index:-1242928" coordorigin="2526,1479" coordsize="652,3211">
            <v:group style="position:absolute;left:2526;top:1479;width:652;height:1092" coordorigin="2526,1479" coordsize="652,1092">
              <v:shape style="position:absolute;left:2526;top:1479;width:652;height:1092" coordorigin="2526,1479" coordsize="652,1092" path="m2526,2571l3178,2571,3178,1479,2526,1479,2526,2571xe" filled="true" fillcolor="#ffffff" stroked="false">
                <v:path arrowok="t"/>
                <v:fill type="solid"/>
              </v:shape>
            </v:group>
            <v:group style="position:absolute;left:2538;top:2571;width:2;height:393" coordorigin="2538,2571" coordsize="2,393">
              <v:shape style="position:absolute;left:2538;top:2571;width:2;height:393" coordorigin="2538,2571" coordsize="0,393" path="m2538,2571l2538,2963e" filled="false" stroked="true" strokeweight="1.140pt" strokecolor="#ffffff">
                <v:path arrowok="t"/>
              </v:shape>
            </v:group>
            <v:group style="position:absolute;left:2526;top:2963;width:652;height:1091" coordorigin="2526,2963" coordsize="652,1091">
              <v:shape style="position:absolute;left:2526;top:2963;width:652;height:1091" coordorigin="2526,2963" coordsize="652,1091" path="m2526,4054l3178,4054,3178,2963,2526,2963,2526,4054xe" filled="true" fillcolor="#ffffff" stroked="false">
                <v:path arrowok="t"/>
                <v:fill type="solid"/>
              </v:shape>
            </v:group>
            <v:group style="position:absolute;left:2549;top:2571;width:606;height:393" coordorigin="2549,2571" coordsize="606,393">
              <v:shape style="position:absolute;left:2549;top:2571;width:606;height:393" coordorigin="2549,2571" coordsize="606,393" path="m2549,2963l3155,2963,3155,2571,2549,2571,2549,2963xe" filled="true" fillcolor="#ffffff" stroked="false">
                <v:path arrowok="t"/>
                <v:fill type="solid"/>
              </v:shape>
            </v:group>
            <v:group style="position:absolute;left:2526;top:4065;width:652;height:625" coordorigin="2526,4065" coordsize="652,625">
              <v:shape style="position:absolute;left:2526;top:4065;width:652;height:625" coordorigin="2526,4065" coordsize="652,625" path="m2526,4689l3178,4689,3178,4065,2526,4065,2526,4689xe" filled="true" fillcolor="#ffffff" stroked="false">
                <v:path arrowok="t"/>
                <v:fill type="solid"/>
              </v:shape>
            </v:group>
            <w10:wrap type="none"/>
          </v:group>
        </w:pict>
      </w: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58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上海四 维医学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医学领 域内的 科技经 营业务 计算机 软硬件 的开发 销售。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77,760,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上海二 医投资 管理有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27,504,2</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04.00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成都天 府市民 云服务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3" w:right="20"/>
              <w:jc w:val="both"/>
              <w:rPr>
                <w:rFonts w:ascii="宋体" w:hAnsi="宋体" w:cs="宋体" w:eastAsia="宋体" w:hint="default"/>
                <w:sz w:val="18"/>
                <w:szCs w:val="18"/>
              </w:rPr>
            </w:pPr>
            <w:r>
              <w:rPr>
                <w:rFonts w:ascii="宋体" w:hAnsi="宋体" w:cs="宋体" w:eastAsia="宋体" w:hint="default"/>
                <w:sz w:val="18"/>
                <w:szCs w:val="18"/>
              </w:rPr>
              <w:t>数据处 理服务 计算机 软件开 </w:t>
            </w:r>
            <w:r>
              <w:rPr>
                <w:rFonts w:ascii="宋体" w:hAnsi="宋体" w:cs="宋体" w:eastAsia="宋体" w:hint="default"/>
                <w:spacing w:val="-21"/>
                <w:sz w:val="18"/>
                <w:szCs w:val="18"/>
              </w:rPr>
              <w:t>发，计算</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成都金 控数据 服务有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198,565.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26.32pt;margin-top:72.47998pt;width:32.6pt;height:95.7pt;mso-position-horizontal-relative:page;mso-position-vertical-relative:page;z-index:-1242904" coordorigin="2526,1450" coordsize="652,1914">
            <v:shape style="position:absolute;left:2526;top:1450;width:652;height:1914" coordorigin="2526,1450" coordsize="652,1914" path="m2526,3363l3178,3363,3178,1450,2526,1450,2526,3363xe" filled="true" fillcolor="#ffffff" stroked="false">
              <v:path arrowok="t"/>
              <v:fill type="solid"/>
            </v:shape>
            <w10:wrap type="none"/>
          </v:group>
        </w:pict>
      </w:r>
      <w:r>
        <w:rPr/>
        <w:pict>
          <v:group style="position:absolute;margin-left:126.32pt;margin-top:230.449982pt;width:31.45pt;height:20.8pt;mso-position-horizontal-relative:page;mso-position-vertical-relative:page;z-index:-1242880" coordorigin="2526,4609" coordsize="629,416">
            <v:group style="position:absolute;left:2538;top:4620;width:2;height:393" coordorigin="2538,4620" coordsize="2,393">
              <v:shape style="position:absolute;left:2538;top:4620;width:2;height:393" coordorigin="2538,4620" coordsize="0,393" path="m2538,4620l2538,5013e" filled="false" stroked="true" strokeweight="1.140pt" strokecolor="#ffffff">
                <v:path arrowok="t"/>
              </v:shape>
            </v:group>
            <v:group style="position:absolute;left:2549;top:4620;width:606;height:393" coordorigin="2549,4620" coordsize="606,393">
              <v:shape style="position:absolute;left:2549;top:4620;width:606;height:393" coordorigin="2549,4620" coordsize="606,393" path="m2549,5013l3155,5013,3155,4620,2549,4620,2549,501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923"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机硬件 销售和 技术服 </w:t>
            </w:r>
            <w:r>
              <w:rPr>
                <w:rFonts w:ascii="宋体" w:hAnsi="宋体" w:cs="宋体" w:eastAsia="宋体" w:hint="default"/>
                <w:spacing w:val="-21"/>
                <w:sz w:val="18"/>
                <w:szCs w:val="18"/>
              </w:rPr>
              <w:t>务，信息</w:t>
            </w:r>
            <w:r>
              <w:rPr>
                <w:rFonts w:ascii="宋体" w:hAnsi="宋体" w:cs="宋体" w:eastAsia="宋体" w:hint="default"/>
                <w:sz w:val="18"/>
                <w:szCs w:val="18"/>
              </w:rPr>
              <w:t> 系统集 成服务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19"/>
              <w:jc w:val="both"/>
              <w:rPr>
                <w:rFonts w:ascii="宋体" w:hAnsi="宋体" w:cs="宋体" w:eastAsia="宋体" w:hint="default"/>
                <w:sz w:val="18"/>
                <w:szCs w:val="18"/>
              </w:rPr>
            </w:pPr>
            <w:r>
              <w:rPr>
                <w:rFonts w:ascii="宋体" w:hAnsi="宋体" w:cs="宋体" w:eastAsia="宋体" w:hint="default"/>
                <w:sz w:val="18"/>
                <w:szCs w:val="18"/>
              </w:rPr>
              <w:t>上海耀 学信息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3"/>
              <w:jc w:val="left"/>
              <w:rPr>
                <w:rFonts w:ascii="宋体" w:hAnsi="宋体" w:cs="宋体" w:eastAsia="宋体" w:hint="default"/>
                <w:sz w:val="18"/>
                <w:szCs w:val="18"/>
              </w:rPr>
            </w:pPr>
            <w:r>
              <w:rPr>
                <w:rFonts w:ascii="宋体" w:hAnsi="宋体" w:cs="宋体" w:eastAsia="宋体" w:hint="default"/>
                <w:sz w:val="18"/>
                <w:szCs w:val="18"/>
              </w:rPr>
              <w:t>计算机 信息科 技领域 内的技 </w:t>
            </w:r>
            <w:r>
              <w:rPr>
                <w:rFonts w:ascii="宋体" w:hAnsi="宋体" w:cs="宋体" w:eastAsia="宋体" w:hint="default"/>
                <w:spacing w:val="-7"/>
                <w:sz w:val="18"/>
                <w:szCs w:val="18"/>
              </w:rPr>
              <w:t>术咨询、</w:t>
            </w:r>
            <w:r>
              <w:rPr>
                <w:rFonts w:ascii="宋体" w:hAnsi="宋体" w:cs="宋体" w:eastAsia="宋体" w:hint="default"/>
                <w:spacing w:val="-28"/>
                <w:sz w:val="18"/>
                <w:szCs w:val="18"/>
              </w:rPr>
              <w:t> </w:t>
            </w:r>
            <w:r>
              <w:rPr>
                <w:rFonts w:ascii="宋体" w:hAnsi="宋体" w:cs="宋体" w:eastAsia="宋体" w:hint="default"/>
                <w:sz w:val="18"/>
                <w:szCs w:val="18"/>
              </w:rPr>
              <w:t>技术开</w:t>
            </w:r>
            <w:r>
              <w:rPr>
                <w:rFonts w:ascii="宋体" w:hAnsi="宋体" w:cs="宋体" w:eastAsia="宋体" w:hint="default"/>
                <w:sz w:val="18"/>
                <w:szCs w:val="18"/>
              </w:rPr>
              <w:t> </w:t>
            </w:r>
            <w:r>
              <w:rPr>
                <w:rFonts w:ascii="宋体" w:hAnsi="宋体" w:cs="宋体" w:eastAsia="宋体" w:hint="default"/>
                <w:spacing w:val="-21"/>
                <w:sz w:val="18"/>
                <w:szCs w:val="18"/>
              </w:rPr>
              <w:t>发、技术</w:t>
            </w:r>
            <w:r>
              <w:rPr>
                <w:rFonts w:ascii="宋体" w:hAnsi="宋体" w:cs="宋体" w:eastAsia="宋体" w:hint="default"/>
                <w:sz w:val="18"/>
                <w:szCs w:val="18"/>
              </w:rPr>
              <w:t> </w:t>
            </w:r>
            <w:r>
              <w:rPr>
                <w:rFonts w:ascii="宋体" w:hAnsi="宋体" w:cs="宋体" w:eastAsia="宋体" w:hint="default"/>
                <w:spacing w:val="-21"/>
                <w:sz w:val="18"/>
                <w:szCs w:val="18"/>
              </w:rPr>
              <w:t>转让、技</w:t>
            </w:r>
            <w:r>
              <w:rPr>
                <w:rFonts w:ascii="宋体" w:hAnsi="宋体" w:cs="宋体" w:eastAsia="宋体" w:hint="default"/>
                <w:sz w:val="18"/>
                <w:szCs w:val="18"/>
              </w:rPr>
              <w:t> 术服务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1" w:right="0"/>
              <w:jc w:val="center"/>
              <w:rPr>
                <w:rFonts w:ascii="Times New Roman" w:hAnsi="Times New Roman" w:cs="Times New Roman" w:eastAsia="Times New Roman" w:hint="default"/>
                <w:sz w:val="18"/>
                <w:szCs w:val="18"/>
              </w:rPr>
            </w:pPr>
            <w:r>
              <w:rPr>
                <w:rFonts w:ascii="Times New Roman"/>
                <w:sz w:val="18"/>
              </w:rPr>
              <w:t>51.00%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63"/>
              <w:jc w:val="right"/>
              <w:rPr>
                <w:rFonts w:ascii="宋体" w:hAnsi="宋体" w:cs="宋体" w:eastAsia="宋体" w:hint="default"/>
                <w:sz w:val="18"/>
                <w:szCs w:val="18"/>
              </w:rPr>
            </w:pPr>
            <w:r>
              <w:rPr>
                <w:rFonts w:ascii="宋体" w:hAnsi="宋体" w:cs="宋体" w:eastAsia="宋体" w:hint="default"/>
                <w:sz w:val="18"/>
                <w:szCs w:val="18"/>
              </w:rPr>
              <w:t>徐臻</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上海信 医科技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33"/>
              <w:jc w:val="left"/>
              <w:rPr>
                <w:rFonts w:ascii="宋体" w:hAnsi="宋体" w:cs="宋体" w:eastAsia="宋体" w:hint="default"/>
                <w:sz w:val="18"/>
                <w:szCs w:val="18"/>
              </w:rPr>
            </w:pPr>
            <w:r>
              <w:rPr>
                <w:rFonts w:ascii="宋体" w:hAnsi="宋体" w:cs="宋体" w:eastAsia="宋体" w:hint="default"/>
                <w:sz w:val="18"/>
                <w:szCs w:val="18"/>
              </w:rPr>
              <w:t>计算机 </w:t>
            </w:r>
            <w:r>
              <w:rPr>
                <w:rFonts w:ascii="宋体" w:hAnsi="宋体" w:cs="宋体" w:eastAsia="宋体" w:hint="default"/>
                <w:spacing w:val="-21"/>
                <w:sz w:val="18"/>
                <w:szCs w:val="18"/>
              </w:rPr>
              <w:t>医药、数</w:t>
            </w:r>
            <w:r>
              <w:rPr>
                <w:rFonts w:ascii="宋体" w:hAnsi="宋体" w:cs="宋体" w:eastAsia="宋体" w:hint="default"/>
                <w:sz w:val="18"/>
                <w:szCs w:val="18"/>
              </w:rPr>
              <w:t> 据领域 内的技 </w:t>
            </w:r>
            <w:r>
              <w:rPr>
                <w:rFonts w:ascii="宋体" w:hAnsi="宋体" w:cs="宋体" w:eastAsia="宋体" w:hint="default"/>
                <w:spacing w:val="-7"/>
                <w:sz w:val="18"/>
                <w:szCs w:val="18"/>
              </w:rPr>
              <w:t>术开发，</w:t>
            </w:r>
            <w:r>
              <w:rPr>
                <w:rFonts w:ascii="宋体" w:hAnsi="宋体" w:cs="宋体" w:eastAsia="宋体" w:hint="default"/>
                <w:spacing w:val="-28"/>
                <w:sz w:val="18"/>
                <w:szCs w:val="18"/>
              </w:rPr>
              <w:t> </w:t>
            </w:r>
            <w:r>
              <w:rPr>
                <w:rFonts w:ascii="宋体" w:hAnsi="宋体" w:cs="宋体" w:eastAsia="宋体" w:hint="default"/>
                <w:sz w:val="18"/>
                <w:szCs w:val="18"/>
              </w:rPr>
              <w:t>技术咨</w:t>
            </w:r>
            <w:r>
              <w:rPr>
                <w:rFonts w:ascii="宋体" w:hAnsi="宋体" w:cs="宋体" w:eastAsia="宋体" w:hint="default"/>
                <w:sz w:val="18"/>
                <w:szCs w:val="18"/>
              </w:rPr>
              <w:t> </w:t>
            </w:r>
            <w:r>
              <w:rPr>
                <w:rFonts w:ascii="宋体" w:hAnsi="宋体" w:cs="宋体" w:eastAsia="宋体" w:hint="default"/>
                <w:spacing w:val="-21"/>
                <w:sz w:val="18"/>
                <w:szCs w:val="18"/>
              </w:rPr>
              <w:t>询，技术</w:t>
            </w:r>
            <w:r>
              <w:rPr>
                <w:rFonts w:ascii="宋体" w:hAnsi="宋体" w:cs="宋体" w:eastAsia="宋体" w:hint="default"/>
                <w:sz w:val="18"/>
                <w:szCs w:val="18"/>
              </w:rPr>
              <w:t> </w:t>
            </w:r>
            <w:r>
              <w:rPr>
                <w:rFonts w:ascii="宋体" w:hAnsi="宋体" w:cs="宋体" w:eastAsia="宋体" w:hint="default"/>
                <w:spacing w:val="-21"/>
                <w:sz w:val="18"/>
                <w:szCs w:val="18"/>
              </w:rPr>
              <w:t>转让，技</w:t>
            </w:r>
            <w:r>
              <w:rPr>
                <w:rFonts w:ascii="宋体" w:hAnsi="宋体" w:cs="宋体" w:eastAsia="宋体" w:hint="default"/>
                <w:sz w:val="18"/>
                <w:szCs w:val="18"/>
              </w:rPr>
              <w:t> 术服务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石河子 市泰凌 股权投 资合伙 企业</w:t>
            </w:r>
          </w:p>
          <w:p>
            <w:pPr>
              <w:pStyle w:val="TableParagraph"/>
              <w:spacing w:line="319"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张少 荣、冯 东雷、 张露怡</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85,070,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27,702,7</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69.12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group style="position:absolute;margin-left:126.32pt;margin-top:-224.386322pt;width:32.6pt;height:175.65pt;mso-position-horizontal-relative:page;mso-position-vertical-relative:paragraph;z-index:-1242856" coordorigin="2526,-4488" coordsize="652,3513">
            <v:group style="position:absolute;left:2526;top:-4488;width:652;height:1560" coordorigin="2526,-4488" coordsize="652,1560">
              <v:shape style="position:absolute;left:2526;top:-4488;width:652;height:1560" coordorigin="2526,-4488" coordsize="652,1560" path="m2526,-2928l3178,-2928,3178,-4488,2526,-4488,2526,-2928xe" filled="true" fillcolor="#ffffff" stroked="false">
                <v:path arrowok="t"/>
                <v:fill type="solid"/>
              </v:shape>
            </v:group>
            <v:group style="position:absolute;left:2538;top:-2928;width:2;height:393" coordorigin="2538,-2928" coordsize="2,393">
              <v:shape style="position:absolute;left:2538;top:-2928;width:2;height:393" coordorigin="2538,-2928" coordsize="0,393" path="m2538,-2928l2538,-2535e" filled="false" stroked="true" strokeweight="1.140pt" strokecolor="#ffffff">
                <v:path arrowok="t"/>
              </v:shape>
            </v:group>
            <v:group style="position:absolute;left:2526;top:-2535;width:652;height:1561" coordorigin="2526,-2535" coordsize="652,1561">
              <v:shape style="position:absolute;left:2526;top:-2535;width:652;height:1561" coordorigin="2526,-2535" coordsize="652,1561" path="m2526,-975l3178,-975,3178,-2535,2526,-2535,2526,-975xe" filled="true" fillcolor="#ffffff" stroked="false">
                <v:path arrowok="t"/>
                <v:fill type="solid"/>
              </v:shape>
            </v:group>
            <v:group style="position:absolute;left:2549;top:-2928;width:606;height:393" coordorigin="2549,-2928" coordsize="606,393">
              <v:shape style="position:absolute;left:2549;top:-2928;width:606;height:393" coordorigin="2549,-2928" coordsize="606,393" path="m2549,-2535l3155,-2535,3155,-2928,2549,-2928,2549,-2535xe" filled="true" fillcolor="#ffffff" stroked="false">
                <v:path arrowok="t"/>
                <v:fill type="solid"/>
              </v:shape>
            </v:group>
            <w10:wrap type="none"/>
          </v:group>
        </w:pict>
      </w: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公开发行 可转债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78,842.57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78,842.57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10,533.11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专户存储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88,396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78,842.57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78,842.57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10,533.11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923"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tabs>
                <w:tab w:pos="500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年度使用情况</w:t>
              <w:tab/>
              <w:t>使用金额</w:t>
            </w:r>
          </w:p>
          <w:p>
            <w:pPr>
              <w:pStyle w:val="TableParagraph"/>
              <w:tabs>
                <w:tab w:pos="442" w:val="left" w:leader="none"/>
                <w:tab w:pos="5033" w:val="left" w:leader="none"/>
              </w:tabs>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募集资金净额</w:t>
              <w:tab/>
            </w:r>
            <w:r>
              <w:rPr>
                <w:rFonts w:ascii="Times New Roman" w:hAnsi="Times New Roman" w:cs="Times New Roman" w:eastAsia="Times New Roman" w:hint="default"/>
                <w:sz w:val="18"/>
                <w:szCs w:val="18"/>
              </w:rPr>
              <w:t>883,960,000.00</w:t>
            </w:r>
          </w:p>
          <w:p>
            <w:pPr>
              <w:pStyle w:val="TableParagraph"/>
              <w:tabs>
                <w:tab w:pos="442" w:val="left" w:leader="none"/>
                <w:tab w:pos="5033" w:val="left" w:leader="none"/>
              </w:tabs>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加：收到募集资金存款利息</w:t>
            </w:r>
            <w:r>
              <w:rPr>
                <w:rFonts w:ascii="Times New Roman" w:hAnsi="Times New Roman" w:cs="Times New Roman" w:eastAsia="Times New Roman" w:hint="default"/>
                <w:sz w:val="18"/>
                <w:szCs w:val="18"/>
              </w:rPr>
              <w:tab/>
              <w:t>0.00</w:t>
            </w:r>
          </w:p>
          <w:p>
            <w:pPr>
              <w:pStyle w:val="TableParagraph"/>
              <w:tabs>
                <w:tab w:pos="442" w:val="left" w:leader="none"/>
                <w:tab w:pos="5063" w:val="left" w:leader="none"/>
              </w:tabs>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tab/>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日未使用募集资金余额</w:t>
              <w:tab/>
            </w:r>
            <w:r>
              <w:rPr>
                <w:rFonts w:ascii="Times New Roman" w:hAnsi="Times New Roman" w:cs="Times New Roman" w:eastAsia="Times New Roman" w:hint="default"/>
                <w:sz w:val="18"/>
                <w:szCs w:val="18"/>
              </w:rPr>
              <w:t>883,960,000.00</w:t>
            </w:r>
          </w:p>
          <w:p>
            <w:pPr>
              <w:pStyle w:val="TableParagraph"/>
              <w:tabs>
                <w:tab w:pos="442" w:val="left" w:leader="none"/>
                <w:tab w:pos="5093" w:val="left" w:leader="none"/>
              </w:tabs>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tab/>
            </w:r>
            <w:r>
              <w:rPr>
                <w:rFonts w:ascii="宋体" w:hAnsi="宋体" w:cs="宋体" w:eastAsia="宋体" w:hint="default"/>
                <w:sz w:val="18"/>
                <w:szCs w:val="18"/>
              </w:rPr>
              <w:t>减：置换前期以自有资金投入金额</w:t>
              <w:tab/>
            </w:r>
            <w:r>
              <w:rPr>
                <w:rFonts w:ascii="Times New Roman" w:hAnsi="Times New Roman" w:cs="Times New Roman" w:eastAsia="Times New Roman" w:hint="default"/>
                <w:sz w:val="18"/>
                <w:szCs w:val="18"/>
              </w:rPr>
              <w:t>140,518,428.58</w:t>
            </w:r>
          </w:p>
          <w:p>
            <w:pPr>
              <w:pStyle w:val="TableParagraph"/>
              <w:tabs>
                <w:tab w:pos="442" w:val="left" w:leader="none"/>
                <w:tab w:pos="5063" w:val="left" w:leader="none"/>
              </w:tabs>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tab/>
            </w:r>
            <w:r>
              <w:rPr>
                <w:rFonts w:ascii="宋体" w:hAnsi="宋体" w:cs="宋体" w:eastAsia="宋体" w:hint="default"/>
                <w:sz w:val="18"/>
                <w:szCs w:val="18"/>
              </w:rPr>
              <w:t>减：雅安智慧公共安全系统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项目投入</w:t>
              <w:tab/>
            </w:r>
            <w:r>
              <w:rPr>
                <w:rFonts w:ascii="Times New Roman" w:hAnsi="Times New Roman" w:cs="Times New Roman" w:eastAsia="Times New Roman" w:hint="default"/>
                <w:sz w:val="18"/>
                <w:szCs w:val="18"/>
              </w:rPr>
              <w:t>113,144,678.04</w:t>
            </w:r>
          </w:p>
          <w:p>
            <w:pPr>
              <w:pStyle w:val="TableParagraph"/>
              <w:tabs>
                <w:tab w:pos="442" w:val="left" w:leader="none"/>
              </w:tabs>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tab/>
            </w:r>
            <w:r>
              <w:rPr>
                <w:rFonts w:ascii="宋体" w:hAnsi="宋体" w:cs="宋体" w:eastAsia="宋体" w:hint="default"/>
                <w:sz w:val="18"/>
                <w:szCs w:val="18"/>
              </w:rPr>
              <w:t>减：新一代智慧城市一体化平台及应用系统建设项目投入</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434,762,645.96</w:t>
            </w:r>
          </w:p>
          <w:p>
            <w:pPr>
              <w:pStyle w:val="TableParagraph"/>
              <w:tabs>
                <w:tab w:pos="442" w:val="left" w:leader="none"/>
                <w:tab w:pos="5063" w:val="left" w:leader="none"/>
              </w:tabs>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tab/>
            </w:r>
            <w:r>
              <w:rPr>
                <w:rFonts w:ascii="宋体" w:hAnsi="宋体" w:cs="宋体" w:eastAsia="宋体" w:hint="default"/>
                <w:sz w:val="18"/>
                <w:szCs w:val="18"/>
              </w:rPr>
              <w:t>减：暂时补充流动资金</w:t>
              <w:tab/>
            </w:r>
            <w:r>
              <w:rPr>
                <w:rFonts w:ascii="Times New Roman" w:hAnsi="Times New Roman" w:cs="Times New Roman" w:eastAsia="Times New Roman" w:hint="default"/>
                <w:sz w:val="18"/>
                <w:szCs w:val="18"/>
              </w:rPr>
              <w:t>100,000,000.00</w:t>
            </w:r>
          </w:p>
          <w:p>
            <w:pPr>
              <w:pStyle w:val="TableParagraph"/>
              <w:tabs>
                <w:tab w:pos="442" w:val="left" w:leader="none"/>
                <w:tab w:pos="5123" w:val="left" w:leader="none"/>
              </w:tabs>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tab/>
            </w:r>
            <w:r>
              <w:rPr>
                <w:rFonts w:ascii="宋体" w:hAnsi="宋体" w:cs="宋体" w:eastAsia="宋体" w:hint="default"/>
                <w:sz w:val="18"/>
                <w:szCs w:val="18"/>
              </w:rPr>
              <w:t>减：支付银行账户手续费</w:t>
            </w:r>
            <w:r>
              <w:rPr>
                <w:rFonts w:ascii="Times New Roman" w:hAnsi="Times New Roman" w:cs="Times New Roman" w:eastAsia="Times New Roman" w:hint="default"/>
                <w:sz w:val="18"/>
                <w:szCs w:val="18"/>
              </w:rPr>
              <w:tab/>
              <w:t>200.00</w:t>
            </w:r>
          </w:p>
          <w:p>
            <w:pPr>
              <w:pStyle w:val="TableParagraph"/>
              <w:tabs>
                <w:tab w:pos="442" w:val="left" w:leader="none"/>
                <w:tab w:pos="5123" w:val="left" w:leader="none"/>
              </w:tabs>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tab/>
            </w:r>
            <w:r>
              <w:rPr>
                <w:rFonts w:ascii="宋体" w:hAnsi="宋体" w:cs="宋体" w:eastAsia="宋体" w:hint="default"/>
                <w:sz w:val="18"/>
                <w:szCs w:val="18"/>
              </w:rPr>
              <w:t>加：收到募集资金存款利息</w:t>
              <w:tab/>
            </w:r>
            <w:r>
              <w:rPr>
                <w:rFonts w:ascii="Times New Roman" w:hAnsi="Times New Roman" w:cs="Times New Roman" w:eastAsia="Times New Roman" w:hint="default"/>
                <w:sz w:val="18"/>
                <w:szCs w:val="18"/>
              </w:rPr>
              <w:t>9,797,043.89</w:t>
            </w:r>
          </w:p>
          <w:p>
            <w:pPr>
              <w:pStyle w:val="TableParagraph"/>
              <w:tabs>
                <w:tab w:pos="442" w:val="left" w:leader="none"/>
                <w:tab w:pos="5063" w:val="left" w:leader="none"/>
              </w:tabs>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tab/>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日未使用募集资金余额</w:t>
              <w:tab/>
            </w:r>
            <w:r>
              <w:rPr>
                <w:rFonts w:ascii="Times New Roman" w:hAnsi="Times New Roman" w:cs="Times New Roman" w:eastAsia="Times New Roman" w:hint="default"/>
                <w:sz w:val="18"/>
                <w:szCs w:val="18"/>
              </w:rPr>
              <w:t>105,331,091.31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165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新一代智慧城市一 体化平台及应用系 统建设项目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53,325.6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53,325.6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75.22%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雅安智慧公共安全 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15,516.9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15,516.9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88.67%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暂时补充流动资金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78,842.5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78,842.5</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2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367"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88,396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88,396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22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日，公司指定全资子公司四川浩特通信有限公司作为项目公司，与雅安市公 </w:t>
                        </w:r>
                        <w:r>
                          <w:rPr>
                            <w:rFonts w:ascii="宋体" w:hAnsi="宋体" w:cs="宋体" w:eastAsia="宋体" w:hint="default"/>
                            <w:spacing w:val="-2"/>
                            <w:sz w:val="18"/>
                            <w:szCs w:val="18"/>
                          </w:rPr>
                          <w:t>安局、雅安市经济和信息化委员会签订了《雅安智慧公共安全系统政府与社会资本合作采购</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w w:val="100"/>
                            <w:sz w:val="18"/>
                            <w:szCs w:val="18"/>
                          </w:rPr>
                          <w:t>项目合同》，即公司募集资金投资项目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雅安智慧公共安全系统</w:t>
                        </w:r>
                        <w:r>
                          <w:rPr>
                            <w:rFonts w:ascii="宋体" w:hAnsi="宋体" w:cs="宋体" w:eastAsia="宋体" w:hint="default"/>
                            <w:spacing w:val="-42"/>
                            <w:w w:val="100"/>
                            <w:sz w:val="18"/>
                            <w:szCs w:val="18"/>
                          </w:rPr>
                          <w:t> </w:t>
                        </w:r>
                        <w:r>
                          <w:rPr>
                            <w:rFonts w:ascii="Times New Roman" w:hAnsi="Times New Roman" w:cs="Times New Roman" w:eastAsia="Times New Roman" w:hint="default"/>
                            <w:w w:val="99"/>
                            <w:sz w:val="18"/>
                            <w:szCs w:val="18"/>
                          </w:rPr>
                          <w:t>PPP</w:t>
                        </w:r>
                        <w:r>
                          <w:rPr>
                            <w:rFonts w:ascii="Times New Roman" w:hAnsi="Times New Roman" w:cs="Times New Roman" w:eastAsia="Times New Roman" w:hint="default"/>
                            <w:spacing w:val="3"/>
                            <w:w w:val="99"/>
                            <w:sz w:val="18"/>
                            <w:szCs w:val="18"/>
                          </w:rPr>
                          <w:t> </w:t>
                        </w:r>
                        <w:r>
                          <w:rPr>
                            <w:rFonts w:ascii="宋体" w:hAnsi="宋体" w:cs="宋体" w:eastAsia="宋体" w:hint="default"/>
                            <w:w w:val="100"/>
                            <w:sz w:val="18"/>
                            <w:szCs w:val="18"/>
                          </w:rPr>
                          <w:t>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，建设期为</w:t>
                        </w:r>
                        <w:r>
                          <w:rPr>
                            <w:rFonts w:ascii="宋体" w:hAnsi="宋体" w:cs="宋体" w:eastAsia="宋体" w:hint="default"/>
                            <w:spacing w:val="-42"/>
                            <w:w w:val="10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85"/>
                            <w:sz w:val="18"/>
                            <w:szCs w:val="18"/>
                          </w:rPr>
                          <w:t> </w:t>
                        </w:r>
                        <w:r>
                          <w:rPr>
                            <w:rFonts w:ascii="宋体" w:hAnsi="宋体" w:cs="宋体" w:eastAsia="宋体" w:hint="default"/>
                            <w:sz w:val="18"/>
                            <w:szCs w:val="18"/>
                          </w:rPr>
                          <w:t>原计划</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日达到预定可使用状态。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日，公司第六届董事会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p>
                      <w:p>
                        <w:pPr>
                          <w:pStyle w:val="TableParagraph"/>
                          <w:spacing w:line="309" w:lineRule="auto" w:before="9"/>
                          <w:ind w:left="23" w:right="21"/>
                          <w:jc w:val="left"/>
                          <w:rPr>
                            <w:rFonts w:ascii="宋体" w:hAnsi="宋体" w:cs="宋体" w:eastAsia="宋体" w:hint="default"/>
                            <w:sz w:val="18"/>
                            <w:szCs w:val="18"/>
                          </w:rPr>
                        </w:pPr>
                        <w:r>
                          <w:rPr>
                            <w:rFonts w:ascii="宋体" w:hAnsi="宋体" w:cs="宋体" w:eastAsia="宋体" w:hint="default"/>
                            <w:sz w:val="18"/>
                            <w:szCs w:val="18"/>
                          </w:rPr>
                          <w:t>年第十一次临时会议、第六届监事会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年第七次临时会议分别审议通过了《万达信息股 </w:t>
                        </w:r>
                        <w:r>
                          <w:rPr>
                            <w:rFonts w:ascii="宋体" w:hAnsi="宋体" w:cs="宋体" w:eastAsia="宋体" w:hint="default"/>
                            <w:spacing w:val="-4"/>
                            <w:sz w:val="18"/>
                            <w:szCs w:val="18"/>
                          </w:rPr>
                          <w:t>份有限公司关于部分募集资金投资项目延期的议案》，独立董事发表了明确同意的独立意见</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保荐机构瑞信方正证券有限责任公司发表了《瑞信方正证券有限责任公司关于万达信息股份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有限公司部分募集资金投资项目延期的核查意见》，对本次部分募集资金投资项目延期事项</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无异议。根据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日公司披露的《关于部分募集资金投资项目延期的公告》（公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告编号：</w:t>
                        </w:r>
                        <w:r>
                          <w:rPr>
                            <w:rFonts w:ascii="Times New Roman" w:hAnsi="Times New Roman" w:cs="Times New Roman" w:eastAsia="Times New Roman" w:hint="default"/>
                            <w:spacing w:val="-3"/>
                            <w:sz w:val="18"/>
                            <w:szCs w:val="18"/>
                          </w:rPr>
                          <w:t>2018-060</w:t>
                        </w:r>
                        <w:r>
                          <w:rPr>
                            <w:rFonts w:ascii="宋体" w:hAnsi="宋体" w:cs="宋体" w:eastAsia="宋体" w:hint="default"/>
                            <w:spacing w:val="-3"/>
                            <w:sz w:val="18"/>
                            <w:szCs w:val="18"/>
                          </w:rPr>
                          <w:t>），受业主配套的部分辅助设施延迟，以及项目验收涉及政府部门流程管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理等因素影响，公司预计该项目将延期至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日前完成。</w:t>
                        </w:r>
                      </w:p>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雅安智慧公共安全系统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初验和终验，该项目于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日前完成，项目建设进度与已披露情况一致。</w:t>
                        </w:r>
                      </w:p>
                    </w:tc>
                  </w:tr>
                  <w:tr>
                    <w:trPr>
                      <w:trHeight w:val="714" w:hRule="exact"/>
                    </w:trPr>
                    <w:tc>
                      <w:tcPr>
                        <w:tcW w:w="16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635" w:type="dxa"/>
                        <w:gridSpan w:val="2"/>
                        <w:vMerge/>
                        <w:tcBorders>
                          <w:left w:val="single" w:sz="4" w:space="0" w:color="000000"/>
                          <w:bottom w:val="single" w:sz="4" w:space="0" w:color="FFFFFF"/>
                          <w:right w:val="single" w:sz="4" w:space="0" w:color="000000"/>
                        </w:tcBorders>
                        <w:shd w:val="clear" w:color="auto" w:fill="D2D2D2"/>
                      </w:tcPr>
                      <w:p>
                        <w:pP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年第五次临时会议，审议通过了《关于使用</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公开发行可转换公司债券募集资金置换已预先投入募投项目自筹资金的议案</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日，公司以自筹资金预先投入募投项目的实际金额为人民币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140,518,428.58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元，立 </w:t>
                        </w:r>
                        <w:r>
                          <w:rPr>
                            <w:rFonts w:ascii="宋体" w:hAnsi="宋体" w:cs="宋体" w:eastAsia="宋体" w:hint="default"/>
                            <w:spacing w:val="-2"/>
                            <w:sz w:val="18"/>
                            <w:szCs w:val="18"/>
                          </w:rPr>
                          <w:t>信会计师事务所（特殊普通合伙）对公司以自筹资金预先投入募投项目的实际情况进行了专</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项审核，并出具信会师报字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ZA10206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号《万达信息股份有限公司募集资金置换专项 </w:t>
                        </w:r>
                        <w:r>
                          <w:rPr>
                            <w:rFonts w:ascii="宋体" w:hAnsi="宋体" w:cs="宋体" w:eastAsia="宋体" w:hint="default"/>
                            <w:spacing w:val="-4"/>
                            <w:sz w:val="18"/>
                            <w:szCs w:val="18"/>
                          </w:rPr>
                          <w:t>鉴证报告》，鉴于本次公开发行可转换公司债券募集资金已到位，为提高募集资金使用效率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公司拟使用本次募集资金置换已预先投入募投项目的自筹资金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140,518,428.58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元。上述事项</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日从募集资金专户中置换完毕。</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7"/>
                          <w:ind w:left="22" w:right="160"/>
                          <w:jc w:val="left"/>
                          <w:rPr>
                            <w:rFonts w:ascii="宋体" w:hAnsi="宋体" w:cs="宋体" w:eastAsia="宋体" w:hint="default"/>
                            <w:sz w:val="18"/>
                            <w:szCs w:val="18"/>
                          </w:rPr>
                        </w:pPr>
                        <w:r>
                          <w:rPr>
                            <w:rFonts w:ascii="宋体" w:hAnsi="宋体" w:cs="宋体" w:eastAsia="宋体" w:hint="default"/>
                            <w:sz w:val="18"/>
                            <w:szCs w:val="18"/>
                          </w:rPr>
                          <w:t>用闲置募集资金暂 时补充流动资金情</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日召开公司第六届董事会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年第八次临时会议及公司第六届监事会</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23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年第四次临时会议，审议通过了《关于使用部分闲置募集资金暂时补充流动资金的议 </w:t>
            </w:r>
            <w:r>
              <w:rPr>
                <w:rFonts w:ascii="宋体" w:hAnsi="宋体" w:cs="宋体" w:eastAsia="宋体" w:hint="default"/>
                <w:spacing w:val="-3"/>
                <w:sz w:val="18"/>
                <w:szCs w:val="18"/>
              </w:rPr>
              <w:t>案》。同意公司在保证募集资金投资项目建设的资金需求、保证募集资金投资项目正常进行</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的前提下，使用不超过人民币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万元的闲置募集资金暂时补充流动资金，使用期限不超</w:t>
            </w:r>
          </w:p>
          <w:p>
            <w:pPr>
              <w:pStyle w:val="TableParagraph"/>
              <w:spacing w:line="240" w:lineRule="auto" w:before="6"/>
              <w:ind w:left="23" w:right="0"/>
              <w:jc w:val="both"/>
              <w:rPr>
                <w:rFonts w:ascii="宋体" w:hAnsi="宋体" w:cs="宋体" w:eastAsia="宋体" w:hint="default"/>
                <w:sz w:val="18"/>
                <w:szCs w:val="18"/>
              </w:rPr>
            </w:pPr>
            <w:r>
              <w:rPr>
                <w:rFonts w:ascii="宋体" w:hAnsi="宋体" w:cs="宋体" w:eastAsia="宋体" w:hint="default"/>
                <w:sz w:val="18"/>
                <w:szCs w:val="18"/>
              </w:rPr>
              <w:t>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个月，到期将归还至募集资金专户。</w:t>
            </w:r>
          </w:p>
          <w:p>
            <w:pPr>
              <w:pStyle w:val="TableParagraph"/>
              <w:spacing w:line="240" w:lineRule="auto" w:before="143"/>
              <w:ind w:left="23" w:right="0"/>
              <w:jc w:val="both"/>
              <w:rPr>
                <w:rFonts w:ascii="宋体" w:hAnsi="宋体" w:cs="宋体" w:eastAsia="宋体" w:hint="default"/>
                <w:sz w:val="18"/>
                <w:szCs w:val="18"/>
              </w:rPr>
            </w:pPr>
            <w:r>
              <w:rPr>
                <w:rFonts w:ascii="宋体" w:hAnsi="宋体" w:cs="宋体" w:eastAsia="宋体" w:hint="default"/>
                <w:sz w:val="18"/>
                <w:szCs w:val="18"/>
              </w:rPr>
              <w:t>公司分别于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w:t>
            </w:r>
          </w:p>
          <w:p>
            <w:pPr>
              <w:pStyle w:val="TableParagraph"/>
              <w:spacing w:line="302" w:lineRule="auto" w:before="61"/>
              <w:ind w:left="23" w:right="25"/>
              <w:jc w:val="both"/>
              <w:rPr>
                <w:rFonts w:ascii="宋体" w:hAnsi="宋体" w:cs="宋体" w:eastAsia="宋体" w:hint="default"/>
                <w:sz w:val="18"/>
                <w:szCs w:val="18"/>
              </w:rPr>
            </w:pPr>
            <w:r>
              <w:rPr>
                <w:rFonts w:ascii="宋体" w:hAnsi="宋体" w:cs="宋体" w:eastAsia="宋体" w:hint="default"/>
                <w:sz w:val="18"/>
                <w:szCs w:val="18"/>
              </w:rPr>
              <w:t>从专户转入公司基本户用于补充流动资金。截止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日公司尚未归还上述资金 至募集资金专项账户。</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483"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62"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上海四 维医学 科技有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9,720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西藏万 达华波 美信息 技术有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51.22%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446.57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宁波万达信 息系统有限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86,668.57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-2,929,413.7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-560,913.89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-560,913.89</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杭州万达信 息系统有限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635,518.79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-19,311,872.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-2,184,931.1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-2,127,409.5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美国万达信 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455,359.20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11,791,464.8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11,761,314.8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-1,761,677.7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-1,767,036.6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上海万达信 息系统有限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293,297,681.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155,675,336.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168,370,968.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2,442,764.85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2,443,674.09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深圳市万达 信息有限公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2,145,951.53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-12,924,084.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255,600.00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-4,720,038.3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-4,720,038.3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上海爱递吉 供应链管理 服务有限公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572,532.59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-14,528,071.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2,404,841.46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-2,108,669.5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-2,131,099.6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南京爱递吉 供应链管理 服务有限公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2,120,565.87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-1,119,450.5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-959.76</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上海万达信 息服务有限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8,624,931.13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8,601,091.78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696,762.82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659,849.72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659,535.32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上海卫生信 息工程技术 研究中心有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28,710,675.6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24,486,241.9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290,210.83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290,504.15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天津万达信 息技术有限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3,605,794.17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3,428,586.10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-1,831,253.4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-1,831,253.4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北京万达全 城信息系统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20,019,342.4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20,018,920.7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2,735.83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2,051.87</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上海格言管 理有限公司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501,075.50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501,075.50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921.71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四川浩特通 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66,886,471.5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1,294,126,51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197,695,193.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95,640,762.2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-45,025,381.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-44,735,051.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上海华奕医 疗信息技术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1,932,492.00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3,594,219.57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1,893,080.87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8,148,031.55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683,721.68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695,194.56</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宁波金唐软 件有限公司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316,539,370.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252,068,027.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157,858,839.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47,943,264.8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52,416,259.6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上海复高计 算机科技有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353,442,023.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329,900,796.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222,960,388.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91,304,410.4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79,543,300.0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湖南凯歌医 疗信息技术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11,693,986.1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8,024,403.31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16,087,892.2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620,046.55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676,637.81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上海市民信 箱信息服务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46,250,000.0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38,307,313.7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37,075,511.8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10,692,129.5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-1,008,030.2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110,416.44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湖南万达智 慧城市信息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10,506,583.3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7,492,309.70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-1,193,025.8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-1,193,025.8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永州市潇湘 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-22,954.81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-2,405.61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-2,405.61</w:t>
            </w:r>
            <w:r>
              <w:rPr>
                <w:rFonts w:ascii="Times New Roman"/>
                <w:sz w:val="18"/>
              </w:rPr>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万达云医疗 科技健康产 </w:t>
            </w:r>
            <w:r>
              <w:rPr>
                <w:rFonts w:ascii="宋体" w:hAnsi="宋体" w:cs="宋体" w:eastAsia="宋体" w:hint="default"/>
                <w:spacing w:val="-14"/>
                <w:sz w:val="18"/>
                <w:szCs w:val="18"/>
              </w:rPr>
              <w:t>业（上海）有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234,016.38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-1,585,297.6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-1,213,955.1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-2,657,029.6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-2,656,735.6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四川万达智 城云数据有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4,558,437.50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1,405,747.50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4,805.83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-2,930,066.4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-2,930,070.9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四川万达健 康数据有限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266,792.70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131,334.53</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-208,106.13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-208,106.13</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宁波市万达 数据应用服 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37,618,474.3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10,333,432.6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7,933,373.45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182,228.80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247,058.37</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万达志翔医 疗科技（北 </w:t>
            </w:r>
            <w:r>
              <w:rPr>
                <w:rFonts w:ascii="宋体" w:hAnsi="宋体" w:cs="宋体" w:eastAsia="宋体" w:hint="default"/>
                <w:spacing w:val="-14"/>
                <w:sz w:val="18"/>
                <w:szCs w:val="18"/>
              </w:rPr>
              <w:t>京）有限责任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25,540,620.6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25,225,353.9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580,189.62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-10,063,706.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-10,063,706.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上海耀学信 息科技有限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上海全程玖玖健康服务有限公司（原上 海万达全程健康服务有限公司）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股权稀释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增加投资收益金额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2268.44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增加投资收益金额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446.57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上海耀学信息科技有限公司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both"/>
      </w:pPr>
      <w:r>
        <w:rPr/>
        <w:t>主要控股参股公司情况说明</w:t>
      </w:r>
    </w:p>
    <w:p>
      <w:pPr>
        <w:pStyle w:val="BodyText"/>
        <w:spacing w:line="300" w:lineRule="auto" w:before="115"/>
        <w:ind w:right="1131"/>
        <w:jc w:val="both"/>
      </w:pPr>
      <w:r>
        <w:rPr>
          <w:spacing w:val="-1"/>
        </w:rPr>
        <w:t>（</w:t>
      </w:r>
      <w:r>
        <w:rPr>
          <w:rFonts w:ascii="Times New Roman" w:hAnsi="Times New Roman" w:cs="Times New Roman" w:eastAsia="Times New Roman" w:hint="default"/>
          <w:spacing w:val="-1"/>
        </w:rPr>
        <w:t>1</w:t>
      </w:r>
      <w:r>
        <w:rPr>
          <w:spacing w:val="-1"/>
        </w:rPr>
        <w:t>）上海浦江科技投资有限公司，注册资本</w:t>
      </w:r>
      <w:r>
        <w:rPr>
          <w:rFonts w:ascii="Times New Roman" w:hAnsi="Times New Roman" w:cs="Times New Roman" w:eastAsia="Times New Roman" w:hint="default"/>
          <w:spacing w:val="-1"/>
        </w:rPr>
        <w:t>2,700</w:t>
      </w:r>
      <w:r>
        <w:rPr>
          <w:spacing w:val="-1"/>
        </w:rPr>
        <w:t>万元，经营范围为实业投资，资产经营管理及咨询，房地产开发。本公司</w:t>
      </w:r>
      <w:r>
        <w:rPr>
          <w:spacing w:val="-71"/>
        </w:rPr>
        <w:t> </w:t>
      </w:r>
      <w:r>
        <w:rPr>
          <w:spacing w:val="-71"/>
        </w:rPr>
      </w:r>
      <w:r>
        <w:rPr/>
        <w:t>合计持股比例</w:t>
      </w:r>
      <w:r>
        <w:rPr>
          <w:rFonts w:ascii="Times New Roman" w:hAnsi="Times New Roman" w:cs="Times New Roman" w:eastAsia="Times New Roman" w:hint="default"/>
        </w:rPr>
        <w:t>25.93%</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45,804,498.05</w:t>
      </w:r>
      <w:r>
        <w:rPr/>
        <w:t>元，净资产</w:t>
      </w:r>
      <w:r>
        <w:rPr>
          <w:rFonts w:ascii="Times New Roman" w:hAnsi="Times New Roman" w:cs="Times New Roman" w:eastAsia="Times New Roman" w:hint="default"/>
        </w:rPr>
        <w:t>11,507,955.36</w:t>
      </w:r>
      <w:r>
        <w:rPr/>
        <w:t>元</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2,328,768.11</w:t>
      </w:r>
      <w:r>
        <w:rPr/>
        <w:t>元。</w:t>
      </w:r>
    </w:p>
    <w:p>
      <w:pPr>
        <w:pStyle w:val="BodyText"/>
        <w:spacing w:line="300" w:lineRule="auto" w:before="13"/>
        <w:ind w:right="1132"/>
        <w:jc w:val="both"/>
      </w:pPr>
      <w:r>
        <w:rPr>
          <w:spacing w:val="-2"/>
        </w:rPr>
        <w:t>（</w:t>
      </w:r>
      <w:r>
        <w:rPr>
          <w:rFonts w:ascii="Times New Roman" w:hAnsi="Times New Roman" w:cs="Times New Roman" w:eastAsia="Times New Roman" w:hint="default"/>
          <w:spacing w:val="-2"/>
        </w:rPr>
        <w:t>2</w:t>
      </w:r>
      <w:r>
        <w:rPr>
          <w:spacing w:val="-2"/>
        </w:rPr>
        <w:t>）上海昕鼎网络科技有限公司，注册资本</w:t>
      </w:r>
      <w:r>
        <w:rPr>
          <w:rFonts w:ascii="Times New Roman" w:hAnsi="Times New Roman" w:cs="Times New Roman" w:eastAsia="Times New Roman" w:hint="default"/>
          <w:spacing w:val="-2"/>
        </w:rPr>
        <w:t>3,462.12</w:t>
      </w:r>
      <w:r>
        <w:rPr>
          <w:spacing w:val="-2"/>
        </w:rPr>
        <w:t>万元，经营范围包括从事网络科技，计算机软件领域内的技术开发，技</w:t>
      </w:r>
      <w:r>
        <w:rPr>
          <w:spacing w:val="-58"/>
        </w:rPr>
        <w:t> </w:t>
      </w:r>
      <w:r>
        <w:rPr>
          <w:spacing w:val="-58"/>
        </w:rPr>
      </w:r>
      <w:r>
        <w:rPr/>
        <w:t>术服务，技术转让和技术培训，展览展示服务，会务服务，票务代理，通信设备（除地面卫星接收装置）</w:t>
      </w:r>
      <w:r>
        <w:rPr>
          <w:rFonts w:ascii="Times New Roman" w:hAnsi="Times New Roman" w:cs="Times New Roman" w:eastAsia="Times New Roman" w:hint="default"/>
        </w:rPr>
        <w:t>,</w:t>
      </w:r>
      <w:r>
        <w:rPr/>
        <w:t>商务咨询，投资 </w:t>
      </w:r>
      <w:r>
        <w:rPr>
          <w:spacing w:val="-2"/>
        </w:rPr>
        <w:t>咨询等。公司合计持股比例</w:t>
      </w:r>
      <w:r>
        <w:rPr>
          <w:rFonts w:ascii="Times New Roman" w:hAnsi="Times New Roman" w:cs="Times New Roman" w:eastAsia="Times New Roman" w:hint="default"/>
          <w:spacing w:val="-2"/>
        </w:rPr>
        <w:t>34.23%</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日总资产</w:t>
      </w:r>
      <w:r>
        <w:rPr>
          <w:rFonts w:ascii="Times New Roman" w:hAnsi="Times New Roman" w:cs="Times New Roman" w:eastAsia="Times New Roman" w:hint="default"/>
          <w:spacing w:val="-2"/>
        </w:rPr>
        <w:t>46,827,942.54</w:t>
      </w:r>
      <w:r>
        <w:rPr>
          <w:spacing w:val="-2"/>
        </w:rPr>
        <w:t>元，净资产</w:t>
      </w:r>
      <w:r>
        <w:rPr>
          <w:rFonts w:ascii="Times New Roman" w:hAnsi="Times New Roman" w:cs="Times New Roman" w:eastAsia="Times New Roman" w:hint="default"/>
          <w:spacing w:val="-2"/>
        </w:rPr>
        <w:t>44,111,672.24</w:t>
      </w:r>
      <w:r>
        <w:rPr>
          <w:spacing w:val="-2"/>
        </w:rPr>
        <w:t>元，净利润</w:t>
      </w:r>
      <w:r>
        <w:rPr>
          <w:rFonts w:ascii="Times New Roman" w:hAnsi="Times New Roman" w:cs="Times New Roman" w:eastAsia="Times New Roman" w:hint="default"/>
          <w:spacing w:val="-2"/>
        </w:rPr>
        <w:t>8,223,873.7</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元。</w:t>
      </w:r>
    </w:p>
    <w:p>
      <w:pPr>
        <w:pStyle w:val="BodyText"/>
        <w:spacing w:line="307" w:lineRule="auto" w:before="31"/>
        <w:ind w:right="1049"/>
        <w:jc w:val="left"/>
      </w:pPr>
      <w:r>
        <w:rPr/>
        <w:t>（</w:t>
      </w:r>
      <w:r>
        <w:rPr>
          <w:rFonts w:ascii="Times New Roman" w:hAnsi="Times New Roman" w:cs="Times New Roman" w:eastAsia="Times New Roman" w:hint="default"/>
        </w:rPr>
        <w:t>3</w:t>
      </w:r>
      <w:r>
        <w:rPr/>
        <w:t>）上海万达健青网络科技有限公司，注册资本</w:t>
      </w:r>
      <w:r>
        <w:rPr>
          <w:rFonts w:ascii="Times New Roman" w:hAnsi="Times New Roman" w:cs="Times New Roman" w:eastAsia="Times New Roman" w:hint="default"/>
        </w:rPr>
        <w:t>500</w:t>
      </w:r>
      <w:r>
        <w:rPr/>
        <w:t>万元，经营范围为软件开发、信息技术咨询服务、信息系统集成服务、 数据处理和存储服务与互联网信息服务；计算机及互联网信息技术转让、培训、承包、中介；社会经济咨询；互联网零售； 新兴行业中的大数据服务。本公司合计持股比例</w:t>
      </w:r>
      <w:r>
        <w:rPr>
          <w:rFonts w:ascii="Times New Roman" w:hAnsi="Times New Roman" w:cs="Times New Roman" w:eastAsia="Times New Roman" w:hint="default"/>
        </w:rPr>
        <w:t>36%</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471,607.74</w:t>
      </w:r>
      <w:r>
        <w:rPr/>
        <w:t>元，净资产</w:t>
      </w:r>
      <w:r>
        <w:rPr>
          <w:rFonts w:ascii="Times New Roman" w:hAnsi="Times New Roman" w:cs="Times New Roman" w:eastAsia="Times New Roman" w:hint="default"/>
        </w:rPr>
        <w:t>475,086.46</w:t>
      </w:r>
      <w:r>
        <w:rPr/>
        <w:t>元，净利 润</w:t>
      </w:r>
      <w:r>
        <w:rPr>
          <w:rFonts w:ascii="Times New Roman" w:hAnsi="Times New Roman" w:cs="Times New Roman" w:eastAsia="Times New Roman" w:hint="default"/>
        </w:rPr>
        <w:t>-5,171.37</w:t>
      </w:r>
      <w:r>
        <w:rPr/>
        <w:t>元。</w:t>
      </w:r>
    </w:p>
    <w:p>
      <w:pPr>
        <w:pStyle w:val="BodyText"/>
        <w:spacing w:line="309" w:lineRule="auto" w:before="7"/>
        <w:ind w:right="1040"/>
        <w:jc w:val="both"/>
      </w:pPr>
      <w:r>
        <w:rPr/>
        <w:t>（</w:t>
      </w:r>
      <w:r>
        <w:rPr>
          <w:rFonts w:ascii="Times New Roman" w:hAnsi="Times New Roman" w:cs="Times New Roman" w:eastAsia="Times New Roman" w:hint="default"/>
        </w:rPr>
        <w:t>4</w:t>
      </w:r>
      <w:r>
        <w:rPr/>
        <w:t>）上海久事智慧体育有限公司，注册资本</w:t>
      </w:r>
      <w:r>
        <w:rPr>
          <w:rFonts w:ascii="Times New Roman" w:hAnsi="Times New Roman" w:cs="Times New Roman" w:eastAsia="Times New Roman" w:hint="default"/>
        </w:rPr>
        <w:t>2,000</w:t>
      </w:r>
      <w:r>
        <w:rPr/>
        <w:t>万元，经营范围为体育科技和智能化产品领域内的技术开发、技术转让、 </w:t>
      </w:r>
      <w:r>
        <w:rPr>
          <w:spacing w:val="-2"/>
        </w:rPr>
        <w:t>技术咨询、技术服务，计算机及产品、电子产品、通讯设备的销售、商务咨询、商务服务、自有设备租赁，计算机信息系统</w:t>
      </w:r>
      <w:r>
        <w:rPr>
          <w:spacing w:val="-67"/>
        </w:rPr>
        <w:t> </w:t>
      </w:r>
      <w:r>
        <w:rPr>
          <w:spacing w:val="-67"/>
        </w:rPr>
      </w:r>
      <w:r>
        <w:rPr>
          <w:spacing w:val="-2"/>
        </w:rPr>
        <w:t>集成，建筑智能化建设工程设计与施工，弱电工程，票务代理，体育赛事策划，自有房屋租赁，体育产品开发与销售，广告</w:t>
      </w:r>
      <w:r>
        <w:rPr>
          <w:spacing w:val="-72"/>
        </w:rPr>
        <w:t> </w:t>
      </w:r>
      <w:r>
        <w:rPr>
          <w:spacing w:val="-72"/>
        </w:rPr>
      </w:r>
      <w:r>
        <w:rPr>
          <w:spacing w:val="-1"/>
        </w:rPr>
        <w:t>设计、制作、发布及代理。本公司合计持股比例</w:t>
      </w:r>
      <w:r>
        <w:rPr>
          <w:rFonts w:ascii="Times New Roman" w:hAnsi="Times New Roman" w:cs="Times New Roman" w:eastAsia="Times New Roman" w:hint="default"/>
          <w:spacing w:val="-1"/>
        </w:rPr>
        <w:t>34%</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22,931,310.38</w:t>
      </w:r>
      <w:r>
        <w:rPr>
          <w:spacing w:val="-1"/>
        </w:rPr>
        <w:t>元，净资产</w:t>
      </w:r>
      <w:r>
        <w:rPr>
          <w:rFonts w:ascii="Times New Roman" w:hAnsi="Times New Roman" w:cs="Times New Roman" w:eastAsia="Times New Roman" w:hint="default"/>
          <w:spacing w:val="-1"/>
        </w:rPr>
        <w:t>11,274,081.67</w:t>
      </w:r>
      <w:r>
        <w:rPr>
          <w:spacing w:val="-1"/>
        </w:rPr>
        <w:t>元，</w:t>
      </w:r>
      <w:r>
        <w:rPr>
          <w:spacing w:val="-74"/>
        </w:rPr>
        <w:t> </w:t>
      </w:r>
      <w:r>
        <w:rPr/>
        <w:t>净利润</w:t>
      </w:r>
      <w:r>
        <w:rPr>
          <w:rFonts w:ascii="Times New Roman" w:hAnsi="Times New Roman" w:cs="Times New Roman" w:eastAsia="Times New Roman" w:hint="default"/>
        </w:rPr>
        <w:t>-6,568,456.35</w:t>
      </w:r>
      <w:r>
        <w:rPr/>
        <w:t>元。</w:t>
      </w:r>
    </w:p>
    <w:p>
      <w:pPr>
        <w:pStyle w:val="BodyText"/>
        <w:spacing w:line="300" w:lineRule="auto" w:before="5"/>
        <w:ind w:right="1133"/>
        <w:jc w:val="both"/>
      </w:pPr>
      <w:r>
        <w:rPr/>
        <w:t>（</w:t>
      </w:r>
      <w:r>
        <w:rPr>
          <w:rFonts w:ascii="Times New Roman" w:hAnsi="Times New Roman" w:cs="Times New Roman" w:eastAsia="Times New Roman" w:hint="default"/>
        </w:rPr>
        <w:t>5</w:t>
      </w:r>
      <w:r>
        <w:rPr/>
        <w:t>）上海达保贵生信息科技股份有限公司，注册资本</w:t>
      </w:r>
      <w:r>
        <w:rPr>
          <w:rFonts w:ascii="Times New Roman" w:hAnsi="Times New Roman" w:cs="Times New Roman" w:eastAsia="Times New Roman" w:hint="default"/>
        </w:rPr>
        <w:t>10,000</w:t>
      </w:r>
      <w:r>
        <w:rPr/>
        <w:t>万元，经营范围为从事信息科技、软件科技、数据科技、计算 </w:t>
      </w:r>
      <w:r>
        <w:rPr>
          <w:spacing w:val="-2"/>
        </w:rPr>
        <w:t>机及互联网科技领域内的技术开发、技术转让、技术咨询、技术服务，数据处理，数据存储，经济信息咨询。本公司合计持</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股比例</w:t>
      </w:r>
      <w:r>
        <w:rPr>
          <w:rFonts w:ascii="Times New Roman" w:hAnsi="Times New Roman" w:cs="Times New Roman" w:eastAsia="Times New Roman" w:hint="default"/>
        </w:rPr>
        <w:t>40%</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33,823,690.52</w:t>
      </w:r>
      <w:r>
        <w:rPr/>
        <w:t>元，净资产</w:t>
      </w:r>
      <w:r>
        <w:rPr>
          <w:rFonts w:ascii="Times New Roman" w:hAnsi="Times New Roman" w:cs="Times New Roman" w:eastAsia="Times New Roman" w:hint="default"/>
        </w:rPr>
        <w:t>13,170,419.16</w:t>
      </w:r>
      <w:r>
        <w:rPr/>
        <w:t>元，净利润</w:t>
      </w:r>
      <w:r>
        <w:rPr>
          <w:rFonts w:ascii="Times New Roman" w:hAnsi="Times New Roman" w:cs="Times New Roman" w:eastAsia="Times New Roman" w:hint="default"/>
        </w:rPr>
        <w:t>-4,834,495.58</w:t>
      </w:r>
      <w:r>
        <w:rPr/>
        <w:t>元。</w:t>
      </w:r>
    </w:p>
    <w:p>
      <w:pPr>
        <w:pStyle w:val="BodyText"/>
        <w:spacing w:line="312" w:lineRule="auto" w:before="63"/>
        <w:ind w:right="1132"/>
        <w:jc w:val="both"/>
      </w:pPr>
      <w:r>
        <w:rPr/>
        <w:t>（</w:t>
      </w:r>
      <w:r>
        <w:rPr>
          <w:rFonts w:ascii="Times New Roman" w:hAnsi="Times New Roman" w:cs="Times New Roman" w:eastAsia="Times New Roman" w:hint="default"/>
        </w:rPr>
        <w:t>6</w:t>
      </w:r>
      <w:r>
        <w:rPr/>
        <w:t>）上海万达全程健康服务有限公司（原名），注册资本</w:t>
      </w:r>
      <w:r>
        <w:rPr>
          <w:rFonts w:ascii="Times New Roman" w:hAnsi="Times New Roman" w:cs="Times New Roman" w:eastAsia="Times New Roman" w:hint="default"/>
        </w:rPr>
        <w:t>4,027.5</w:t>
      </w:r>
      <w:r>
        <w:rPr/>
        <w:t>万元，经营范围为健康管理服务（不得从事诊疗活动）， </w:t>
      </w:r>
      <w:r>
        <w:rPr>
          <w:spacing w:val="-2"/>
        </w:rPr>
        <w:t>计算机专业领域内的技术咨询、技术开发、技术转让、技术服务、计算机及配件（除计算机信息系统安全专用产品）、机械</w:t>
      </w:r>
      <w:r>
        <w:rPr>
          <w:spacing w:val="-72"/>
        </w:rPr>
        <w:t> </w:t>
      </w:r>
      <w:r>
        <w:rPr>
          <w:spacing w:val="-72"/>
        </w:rPr>
      </w:r>
      <w:r>
        <w:rPr>
          <w:spacing w:val="-2"/>
        </w:rPr>
        <w:t>设备、仪器仪表、电子产品、通信设备、一类医疗器械的销售，经济信息咨询（除经纪），自有设备租赁（不得从事金融租</w:t>
      </w:r>
      <w:r>
        <w:rPr>
          <w:spacing w:val="-69"/>
        </w:rPr>
        <w:t> </w:t>
      </w:r>
      <w:r>
        <w:rPr>
          <w:spacing w:val="-69"/>
        </w:rPr>
      </w:r>
      <w:r>
        <w:rPr>
          <w:spacing w:val="-2"/>
        </w:rPr>
        <w:t>赁），计算机系统集成，医药咨询（不得从事诊疗活动），以下限分支机构经营：二类、三类医疗器械（详见许可证）的销</w:t>
      </w:r>
      <w:r>
        <w:rPr>
          <w:spacing w:val="-71"/>
        </w:rPr>
        <w:t> </w:t>
      </w:r>
      <w:r>
        <w:rPr>
          <w:spacing w:val="-71"/>
        </w:rPr>
      </w:r>
      <w:r>
        <w:rPr/>
        <w:t>售。本公司合计持股比例</w:t>
      </w:r>
      <w:r>
        <w:rPr>
          <w:rFonts w:ascii="Times New Roman" w:hAnsi="Times New Roman" w:cs="Times New Roman" w:eastAsia="Times New Roman" w:hint="default"/>
        </w:rPr>
        <w:t>22%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53,210,119.28</w:t>
      </w:r>
      <w:r>
        <w:rPr/>
        <w:t>元，净资产</w:t>
      </w:r>
      <w:r>
        <w:rPr>
          <w:rFonts w:ascii="Times New Roman" w:hAnsi="Times New Roman" w:cs="Times New Roman" w:eastAsia="Times New Roman" w:hint="default"/>
        </w:rPr>
        <w:t>21,837,911.14</w:t>
      </w:r>
      <w:r>
        <w:rPr/>
        <w:t>元，净利润</w:t>
      </w:r>
      <w:r>
        <w:rPr>
          <w:rFonts w:ascii="Times New Roman" w:hAnsi="Times New Roman" w:cs="Times New Roman" w:eastAsia="Times New Roman" w:hint="default"/>
        </w:rPr>
        <w:t>-23,984,011.48 </w:t>
      </w:r>
      <w:r>
        <w:rPr/>
        <w:t>元。</w:t>
      </w:r>
    </w:p>
    <w:p>
      <w:pPr>
        <w:pStyle w:val="BodyText"/>
        <w:spacing w:line="307" w:lineRule="auto" w:before="22"/>
        <w:ind w:right="1131"/>
        <w:jc w:val="both"/>
      </w:pPr>
      <w:r>
        <w:rPr>
          <w:spacing w:val="-1"/>
        </w:rPr>
        <w:t>（</w:t>
      </w:r>
      <w:r>
        <w:rPr>
          <w:rFonts w:ascii="Times New Roman" w:hAnsi="Times New Roman" w:cs="Times New Roman" w:eastAsia="Times New Roman" w:hint="default"/>
          <w:spacing w:val="-1"/>
        </w:rPr>
        <w:t>7</w:t>
      </w:r>
      <w:r>
        <w:rPr>
          <w:spacing w:val="-1"/>
        </w:rPr>
        <w:t>）成都天府市民云服务有限公司，注册资本</w:t>
      </w:r>
      <w:r>
        <w:rPr>
          <w:rFonts w:ascii="Times New Roman" w:hAnsi="Times New Roman" w:cs="Times New Roman" w:eastAsia="Times New Roman" w:hint="default"/>
          <w:spacing w:val="-1"/>
        </w:rPr>
        <w:t>3,000</w:t>
      </w:r>
      <w:r>
        <w:rPr>
          <w:spacing w:val="-1"/>
        </w:rPr>
        <w:t>万元，经营范围为数据处理服务，计算机软件开发，计算机硬件销售和</w:t>
      </w:r>
      <w:r>
        <w:rPr>
          <w:spacing w:val="-75"/>
        </w:rPr>
        <w:t> </w:t>
      </w:r>
      <w:r>
        <w:rPr>
          <w:spacing w:val="-75"/>
        </w:rPr>
      </w:r>
      <w:r>
        <w:rPr>
          <w:spacing w:val="-2"/>
        </w:rPr>
        <w:t>技术服务，信息系统集成服务，社会经济咨询服务，互联网、物联网信息技术服务，科技中介服务，增值电信业务经营，网</w:t>
      </w:r>
      <w:r>
        <w:rPr>
          <w:spacing w:val="-70"/>
        </w:rPr>
        <w:t> </w:t>
      </w:r>
      <w:r>
        <w:rPr>
          <w:spacing w:val="-70"/>
        </w:rPr>
      </w:r>
      <w:r>
        <w:rPr>
          <w:spacing w:val="-1"/>
        </w:rPr>
        <w:t>上贸易代理，商务咨询。本公司合计持股比例</w:t>
      </w:r>
      <w:r>
        <w:rPr>
          <w:rFonts w:ascii="Times New Roman" w:hAnsi="Times New Roman" w:cs="Times New Roman" w:eastAsia="Times New Roman" w:hint="default"/>
          <w:spacing w:val="-1"/>
        </w:rPr>
        <w:t>40%</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16,259,188.89</w:t>
      </w:r>
      <w:r>
        <w:rPr>
          <w:spacing w:val="-1"/>
        </w:rPr>
        <w:t>元，净资产</w:t>
      </w:r>
      <w:r>
        <w:rPr>
          <w:rFonts w:ascii="Times New Roman" w:hAnsi="Times New Roman" w:cs="Times New Roman" w:eastAsia="Times New Roman" w:hint="default"/>
          <w:spacing w:val="-1"/>
        </w:rPr>
        <w:t>12,496,412.8</w:t>
      </w:r>
      <w:r>
        <w:rPr>
          <w:spacing w:val="-1"/>
        </w:rPr>
        <w:t>元，净</w:t>
      </w:r>
      <w:r>
        <w:rPr>
          <w:spacing w:val="-76"/>
        </w:rPr>
        <w:t> </w:t>
      </w:r>
      <w:r>
        <w:rPr>
          <w:spacing w:val="-76"/>
        </w:rPr>
      </w:r>
      <w:r>
        <w:rPr/>
        <w:t>利润</w:t>
      </w:r>
      <w:r>
        <w:rPr>
          <w:rFonts w:ascii="Times New Roman" w:hAnsi="Times New Roman" w:cs="Times New Roman" w:eastAsia="Times New Roman" w:hint="default"/>
        </w:rPr>
        <w:t>1,351,085.17</w:t>
      </w:r>
      <w:r>
        <w:rPr/>
        <w:t>元。</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公司致力于成为世界一流的智慧城市领军企业，通过持续创新，将最新科技与城市各领域业务深度融合，赋能市民、企</w:t>
      </w:r>
      <w:r>
        <w:rPr/>
        <w:t> 业和政府，解决世界级的城市管理与服务的难题，提升市民获得感。</w:t>
      </w:r>
    </w:p>
    <w:p>
      <w:pPr>
        <w:pStyle w:val="BodyText"/>
        <w:spacing w:line="307" w:lineRule="auto" w:before="19"/>
        <w:ind w:right="1131" w:firstLine="360"/>
        <w:jc w:val="both"/>
      </w:pPr>
      <w:r>
        <w:rPr/>
        <w:t>国家正在大力推进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战略，各级政府对不断提高自身服务管理能力、提升民生体验的诉求也越来越强烈。公司 </w:t>
      </w:r>
      <w:r>
        <w:rPr>
          <w:spacing w:val="-2"/>
        </w:rPr>
        <w:t>将积极抓住这样的历史机遇，以行业核心业务为重点发展的基石，以创新驱动转型大力发展在线服务，并积极开拓城市公共</w:t>
      </w:r>
      <w:r>
        <w:rPr>
          <w:spacing w:val="-66"/>
        </w:rPr>
        <w:t> </w:t>
      </w:r>
      <w:r>
        <w:rPr>
          <w:spacing w:val="-66"/>
        </w:rPr>
      </w:r>
      <w:r>
        <w:rPr>
          <w:spacing w:val="-1"/>
        </w:rPr>
        <w:t>事业实体服务，在互联网</w:t>
      </w:r>
      <w:r>
        <w:rPr>
          <w:rFonts w:ascii="Times New Roman" w:hAnsi="Times New Roman" w:cs="Times New Roman" w:eastAsia="Times New Roman" w:hint="default"/>
          <w:spacing w:val="-1"/>
        </w:rPr>
        <w:t>+</w:t>
      </w:r>
      <w:r>
        <w:rPr>
          <w:spacing w:val="-1"/>
        </w:rPr>
        <w:t>医疗健康、互联网</w:t>
      </w:r>
      <w:r>
        <w:rPr>
          <w:rFonts w:ascii="Times New Roman" w:hAnsi="Times New Roman" w:cs="Times New Roman" w:eastAsia="Times New Roman" w:hint="default"/>
          <w:spacing w:val="-1"/>
        </w:rPr>
        <w:t>+</w:t>
      </w:r>
      <w:r>
        <w:rPr>
          <w:spacing w:val="-1"/>
        </w:rPr>
        <w:t>政务服务、互联网</w:t>
      </w:r>
      <w:r>
        <w:rPr>
          <w:rFonts w:ascii="Times New Roman" w:hAnsi="Times New Roman" w:cs="Times New Roman" w:eastAsia="Times New Roman" w:hint="default"/>
          <w:spacing w:val="-1"/>
        </w:rPr>
        <w:t>+</w:t>
      </w:r>
      <w:r>
        <w:rPr>
          <w:spacing w:val="-1"/>
        </w:rPr>
        <w:t>城市服务等领域深耕细作、稳步推进，全力拓展</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0"/>
        </w:rPr>
        <w:t> </w:t>
      </w:r>
      <w:r>
        <w:rPr/>
        <w:t>民生服务</w:t>
      </w:r>
      <w:r>
        <w:rPr>
          <w:rFonts w:ascii="Times New Roman" w:hAnsi="Times New Roman" w:cs="Times New Roman" w:eastAsia="Times New Roman" w:hint="default"/>
        </w:rPr>
        <w:t>”</w:t>
      </w:r>
      <w:r>
        <w:rPr/>
        <w:t>。</w:t>
      </w:r>
    </w:p>
    <w:p>
      <w:pPr>
        <w:pStyle w:val="BodyText"/>
        <w:spacing w:line="316" w:lineRule="auto" w:before="7"/>
        <w:ind w:right="1032" w:firstLine="360"/>
        <w:jc w:val="left"/>
      </w:pPr>
      <w:r>
        <w:rPr/>
        <w:t>公司一贯重视研发投入，不断推出各类新产品、新平台，帮助各级政府管理部门和医疗机构提升管理水平和服务质量， </w:t>
      </w:r>
      <w:r>
        <w:rPr>
          <w:spacing w:val="-2"/>
        </w:rPr>
        <w:t>为政府服务注入新的活力。随着公司的各类新产品、示范性平台在全国的加速推广，公司的市场份额将进一步扩大，收入结</w:t>
      </w:r>
      <w:r>
        <w:rPr>
          <w:spacing w:val="-66"/>
        </w:rPr>
        <w:t> </w:t>
      </w:r>
      <w:r>
        <w:rPr>
          <w:spacing w:val="-66"/>
        </w:rPr>
      </w:r>
      <w:r>
        <w:rPr/>
        <w:t>构也将进一步优化。公司在助力政府服务的升级与转型的同时，亦将在行业内取得领先优势。</w:t>
      </w:r>
    </w:p>
    <w:p>
      <w:pPr>
        <w:pStyle w:val="BodyText"/>
        <w:spacing w:line="307" w:lineRule="auto" w:before="19"/>
        <w:ind w:right="1032" w:firstLine="360"/>
        <w:jc w:val="left"/>
      </w:pPr>
      <w:r>
        <w:rPr>
          <w:spacing w:val="-2"/>
        </w:rPr>
        <w:t>公司未来发展的关键是</w:t>
      </w:r>
      <w:r>
        <w:rPr>
          <w:rFonts w:ascii="Times New Roman" w:hAnsi="Times New Roman" w:cs="Times New Roman" w:eastAsia="Times New Roman" w:hint="default"/>
          <w:spacing w:val="-2"/>
        </w:rPr>
        <w:t>“</w:t>
      </w:r>
      <w:r>
        <w:rPr>
          <w:spacing w:val="-2"/>
        </w:rPr>
        <w:t>连接、融合、智能</w:t>
      </w:r>
      <w:r>
        <w:rPr>
          <w:rFonts w:ascii="Times New Roman" w:hAnsi="Times New Roman" w:cs="Times New Roman" w:eastAsia="Times New Roman" w:hint="default"/>
          <w:spacing w:val="-2"/>
        </w:rPr>
        <w:t>”</w:t>
      </w:r>
      <w:r>
        <w:rPr>
          <w:spacing w:val="-2"/>
        </w:rPr>
        <w:t>。公司将加强智慧城市整体解决方案提供和公共服务平台运营的能力，通过</w:t>
      </w:r>
      <w:r>
        <w:rPr/>
        <w:t> 智慧民生、智慧医疗、智慧政府等系统建设，以及市民云、企业云等城市公共服务平台的运营，把各领域的系统连接起来， 通过数据融合、应用融合以及</w:t>
      </w:r>
      <w:r>
        <w:rPr>
          <w:rFonts w:ascii="Times New Roman" w:hAnsi="Times New Roman" w:cs="Times New Roman" w:eastAsia="Times New Roman" w:hint="default"/>
        </w:rPr>
        <w:t>AI</w:t>
      </w:r>
      <w:r>
        <w:rPr/>
        <w:t>技术，提供更智能化的服务。公司将在继续做精信息化项目的基础上，推进公共服务的社 会化运作，通过与政府联合运营智慧城市平台，提升公共服务效能，并获得可持续的运营服务收入。</w:t>
      </w:r>
    </w:p>
    <w:p>
      <w:pPr>
        <w:pStyle w:val="BodyText"/>
        <w:spacing w:line="316" w:lineRule="auto" w:before="26"/>
        <w:ind w:right="0" w:firstLine="360"/>
        <w:jc w:val="left"/>
      </w:pPr>
      <w:r>
        <w:rPr>
          <w:spacing w:val="-4"/>
        </w:rPr>
        <w:t>在数据服务、云计算服务等创新业务的驱动、融合下，公司在医疗健康、民生保障、政务管理与服务、平安城市等领域，</w:t>
      </w:r>
      <w:r>
        <w:rPr/>
        <w:t> 将获得可持续性的高速发展。</w:t>
      </w:r>
    </w:p>
    <w:p>
      <w:pPr>
        <w:spacing w:line="240" w:lineRule="auto" w:before="4"/>
        <w:rPr>
          <w:rFonts w:ascii="宋体" w:hAnsi="宋体" w:cs="宋体" w:eastAsia="宋体" w:hint="default"/>
          <w:sz w:val="25"/>
          <w:szCs w:val="25"/>
        </w:rPr>
      </w:pPr>
    </w:p>
    <w:p>
      <w:pPr>
        <w:pStyle w:val="BodyText"/>
        <w:spacing w:line="240" w:lineRule="auto"/>
        <w:ind w:right="0"/>
        <w:jc w:val="both"/>
      </w:pPr>
      <w:r>
        <w:rPr/>
        <w:t>可能面对的风险</w:t>
      </w:r>
    </w:p>
    <w:p>
      <w:pPr>
        <w:pStyle w:val="BodyText"/>
        <w:spacing w:line="300" w:lineRule="auto" w:before="76"/>
        <w:ind w:left="514" w:right="1118"/>
        <w:jc w:val="left"/>
      </w:pPr>
      <w:r>
        <w:rPr>
          <w:rFonts w:ascii="Times New Roman" w:hAnsi="Times New Roman" w:cs="Times New Roman" w:eastAsia="Times New Roman" w:hint="default"/>
        </w:rPr>
        <w:t>1</w:t>
      </w:r>
      <w:r>
        <w:rPr/>
        <w:t>、行业政策风险 </w:t>
      </w:r>
      <w:r>
        <w:rPr>
          <w:spacing w:val="-1"/>
        </w:rPr>
        <w:t>近年来，国家大力推动互联网</w:t>
      </w:r>
      <w:r>
        <w:rPr>
          <w:rFonts w:ascii="Times New Roman" w:hAnsi="Times New Roman" w:cs="Times New Roman" w:eastAsia="Times New Roman" w:hint="default"/>
          <w:spacing w:val="-1"/>
        </w:rPr>
        <w:t>+</w:t>
      </w:r>
      <w:r>
        <w:rPr>
          <w:spacing w:val="-1"/>
        </w:rPr>
        <w:t>战略，相关政府部门先后出台多项配套政策</w:t>
      </w:r>
      <w:r>
        <w:rPr>
          <w:rFonts w:ascii="Times New Roman" w:hAnsi="Times New Roman" w:cs="Times New Roman" w:eastAsia="Times New Roman" w:hint="default"/>
          <w:spacing w:val="-1"/>
        </w:rPr>
        <w:t>,</w:t>
      </w:r>
      <w:r>
        <w:rPr>
          <w:spacing w:val="-1"/>
        </w:rPr>
        <w:t>为行业发展提供强有力的政策支持。但随着</w:t>
      </w:r>
    </w:p>
    <w:p>
      <w:pPr>
        <w:pStyle w:val="BodyText"/>
        <w:spacing w:line="316" w:lineRule="auto" w:before="13"/>
        <w:ind w:left="514" w:right="0" w:hanging="360"/>
        <w:jc w:val="left"/>
      </w:pPr>
      <w:r>
        <w:rPr/>
        <w:t>行业的发展，国家政策存在发生变化的风险。 </w:t>
      </w:r>
      <w:r>
        <w:rPr>
          <w:spacing w:val="-2"/>
        </w:rPr>
        <w:t>公司将紧抓市场机遇，及时把握政策动向，严格依照国家有关法律法规经营，并持续提升在技术、知识产权、质量、管</w:t>
      </w:r>
    </w:p>
    <w:p>
      <w:pPr>
        <w:pStyle w:val="BodyText"/>
        <w:spacing w:line="240" w:lineRule="auto" w:before="19"/>
        <w:ind w:right="0"/>
        <w:jc w:val="both"/>
      </w:pPr>
      <w:r>
        <w:rPr/>
        <w:t>理等各方面的运营水平，提高盈利能力，避免或减少政策变化带来的风险。</w:t>
      </w:r>
    </w:p>
    <w:p>
      <w:pPr>
        <w:pStyle w:val="BodyText"/>
        <w:spacing w:line="300" w:lineRule="auto" w:before="77"/>
        <w:ind w:left="514" w:right="1036"/>
        <w:jc w:val="left"/>
      </w:pPr>
      <w:r>
        <w:rPr>
          <w:rFonts w:ascii="Times New Roman" w:hAnsi="Times New Roman" w:cs="Times New Roman" w:eastAsia="Times New Roman" w:hint="default"/>
        </w:rPr>
        <w:t>2</w:t>
      </w:r>
      <w:r>
        <w:rPr/>
        <w:t>、市场竞争风险 </w:t>
      </w:r>
      <w:r>
        <w:rPr>
          <w:spacing w:val="-2"/>
        </w:rPr>
        <w:t>信息技术的快速发展，互联网</w:t>
      </w:r>
      <w:r>
        <w:rPr>
          <w:rFonts w:ascii="Times New Roman" w:hAnsi="Times New Roman" w:cs="Times New Roman" w:eastAsia="Times New Roman" w:hint="default"/>
          <w:spacing w:val="-2"/>
        </w:rPr>
        <w:t>+</w:t>
      </w:r>
      <w:r>
        <w:rPr>
          <w:spacing w:val="-2"/>
        </w:rPr>
        <w:t>领域及智慧城市建设需求持续旺盛，相关市场规模不断扩大。在市场前景看好的情况下，</w:t>
      </w:r>
    </w:p>
    <w:p>
      <w:pPr>
        <w:pStyle w:val="BodyText"/>
        <w:spacing w:line="316" w:lineRule="auto" w:before="13"/>
        <w:ind w:left="514" w:right="0" w:hanging="360"/>
        <w:jc w:val="left"/>
      </w:pPr>
      <w:r>
        <w:rPr/>
        <w:t>市场参与者也不断增多，并纷纷加大技术研发及市场开拓的投入，市场竞争日趋激烈。 </w:t>
      </w:r>
      <w:r>
        <w:rPr>
          <w:spacing w:val="-2"/>
        </w:rPr>
        <w:t>公司所处的智慧城市领域具有广阔的发展空间，公司将充分发挥行业和技术优势，坚持创新驱动转型，大力发展在线服</w:t>
      </w:r>
    </w:p>
    <w:p>
      <w:pPr>
        <w:pStyle w:val="BodyText"/>
        <w:spacing w:line="240" w:lineRule="auto" w:before="19"/>
        <w:ind w:right="0"/>
        <w:jc w:val="both"/>
      </w:pPr>
      <w:r>
        <w:rPr/>
        <w:t>务，积极开拓城市公共事业实体服务，为用户提供线上线下全程闭环服务。</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1118"/>
        <w:jc w:val="left"/>
      </w:pPr>
      <w:r>
        <w:rPr>
          <w:rFonts w:ascii="Times New Roman" w:hAnsi="Times New Roman" w:cs="Times New Roman" w:eastAsia="Times New Roman" w:hint="default"/>
        </w:rPr>
        <w:t>3</w:t>
      </w:r>
      <w:r>
        <w:rPr/>
        <w:t>、技术风险 </w:t>
      </w:r>
      <w:r>
        <w:rPr>
          <w:spacing w:val="-2"/>
        </w:rPr>
        <w:t>经过多年的技术积累和创新，公司拥有众多核心软件产品和行业应用解决方案。目前移动互联网进入行业应用为主的高</w:t>
      </w:r>
    </w:p>
    <w:p>
      <w:pPr>
        <w:pStyle w:val="BodyText"/>
        <w:spacing w:line="316" w:lineRule="auto" w:before="31"/>
        <w:ind w:left="514" w:right="1167" w:hanging="360"/>
        <w:jc w:val="left"/>
      </w:pPr>
      <w:r>
        <w:rPr/>
        <w:t>速发展期，相关技术更新和换代速度快，各行业应用对技术的要求也越来越高。 公司在持续加大技术研发投入的同时，将紧跟行业发展趋势</w:t>
      </w:r>
      <w:r>
        <w:rPr>
          <w:rFonts w:ascii="Times New Roman" w:hAnsi="Times New Roman" w:cs="Times New Roman" w:eastAsia="Times New Roman" w:hint="default"/>
        </w:rPr>
        <w:t>,</w:t>
      </w:r>
      <w:r>
        <w:rPr/>
        <w:t>不断提升技术管理水平，把握产品和技术研发方向，技术</w:t>
      </w:r>
    </w:p>
    <w:p>
      <w:pPr>
        <w:pStyle w:val="BodyText"/>
        <w:spacing w:line="235" w:lineRule="exact"/>
        <w:ind w:right="0"/>
        <w:jc w:val="left"/>
      </w:pPr>
      <w:r>
        <w:rPr/>
        <w:t>研发面向市场，及时根据市场变化和客户需求推出新产品和解决方案。</w:t>
      </w:r>
    </w:p>
    <w:p>
      <w:pPr>
        <w:pStyle w:val="BodyText"/>
        <w:spacing w:line="300" w:lineRule="auto" w:before="76"/>
        <w:ind w:left="514" w:right="1118"/>
        <w:jc w:val="left"/>
      </w:pPr>
      <w:r>
        <w:rPr>
          <w:rFonts w:ascii="Times New Roman" w:hAnsi="Times New Roman" w:cs="Times New Roman" w:eastAsia="Times New Roman" w:hint="default"/>
        </w:rPr>
        <w:t>4</w:t>
      </w:r>
      <w:r>
        <w:rPr/>
        <w:t>、管理风险 </w:t>
      </w:r>
      <w:r>
        <w:rPr>
          <w:spacing w:val="-2"/>
        </w:rPr>
        <w:t>在多年的管理经验累积和治理实践中，公司形成较为健全的公司治理机制，并在实际执行中运作良好。但随着业务规模</w:t>
      </w:r>
    </w:p>
    <w:p>
      <w:pPr>
        <w:pStyle w:val="BodyText"/>
        <w:spacing w:line="300" w:lineRule="auto" w:before="31"/>
        <w:ind w:right="1167"/>
        <w:jc w:val="left"/>
      </w:pPr>
      <w:r>
        <w:rPr/>
        <w:t>的持续扩大</w:t>
      </w:r>
      <w:r>
        <w:rPr>
          <w:rFonts w:ascii="Times New Roman" w:hAnsi="Times New Roman" w:cs="Times New Roman" w:eastAsia="Times New Roman" w:hint="default"/>
        </w:rPr>
        <w:t>,</w:t>
      </w:r>
      <w:r>
        <w:rPr/>
        <w:t>兼并收购的步伐加大，公司组织结构和管理体系日趋复杂化，企业经营决策、风险控制难度不断加大，对管理 团队的管理水平及驾驭经营风险的能力带来一定程度的挑战。</w:t>
      </w:r>
    </w:p>
    <w:p>
      <w:pPr>
        <w:pStyle w:val="BodyText"/>
        <w:spacing w:line="316" w:lineRule="auto" w:before="31"/>
        <w:ind w:right="0" w:firstLine="360"/>
        <w:jc w:val="left"/>
      </w:pPr>
      <w:r>
        <w:rPr>
          <w:spacing w:val="-2"/>
        </w:rPr>
        <w:t>公司将围绕发展战略，根据业务发展需求不断优化公司组织架构，提升组织效率，持续推进公司管理体系向标准化、规</w:t>
      </w:r>
      <w:r>
        <w:rPr/>
        <w:t> 范化、科学化的方向发展，进一步提高公司的治理水平，适应快速发展的需要。</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500"/>
        <w:gridCol w:w="1854"/>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01"/>
              <w:jc w:val="righ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网上业绩说明会暨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年上海 辖区上市公司集体接待日</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在线投资者</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69"/>
              <w:jc w:val="right"/>
              <w:rPr>
                <w:rFonts w:ascii="Times New Roman" w:hAnsi="Times New Roman" w:cs="Times New Roman" w:eastAsia="Times New Roman" w:hint="default"/>
                <w:sz w:val="18"/>
                <w:szCs w:val="18"/>
              </w:rPr>
            </w:pPr>
            <w:hyperlink r:id="rId13">
              <w:r>
                <w:rPr>
                  <w:rFonts w:ascii="Times New Roman"/>
                  <w:spacing w:val="-1"/>
                  <w:sz w:val="18"/>
                </w:rPr>
                <w:t>http://rs.p5w.net/c/300168.shtml</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69"/>
              <w:jc w:val="right"/>
              <w:rPr>
                <w:rFonts w:ascii="Times New Roman" w:hAnsi="Times New Roman" w:cs="Times New Roman" w:eastAsia="Times New Roman" w:hint="default"/>
                <w:sz w:val="18"/>
                <w:szCs w:val="18"/>
              </w:rPr>
            </w:pPr>
            <w:hyperlink r:id="rId13">
              <w:r>
                <w:rPr>
                  <w:rFonts w:ascii="Times New Roman"/>
                  <w:spacing w:val="-1"/>
                  <w:sz w:val="18"/>
                </w:rPr>
                <w:t>http://rs.p5w.net/c/300168.shtml</w:t>
              </w:r>
            </w:hyperlink>
          </w:p>
        </w:tc>
      </w:tr>
      <w:tr>
        <w:trPr>
          <w:trHeight w:val="40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69"/>
              <w:jc w:val="right"/>
              <w:rPr>
                <w:rFonts w:ascii="Times New Roman" w:hAnsi="Times New Roman" w:cs="Times New Roman" w:eastAsia="Times New Roman" w:hint="default"/>
                <w:sz w:val="18"/>
                <w:szCs w:val="18"/>
              </w:rPr>
            </w:pPr>
            <w:hyperlink r:id="rId13">
              <w:r>
                <w:rPr>
                  <w:rFonts w:ascii="Times New Roman"/>
                  <w:spacing w:val="-1"/>
                  <w:sz w:val="18"/>
                </w:rPr>
                <w:t>http://rs.p5w.net/c/300168.shtml</w:t>
              </w:r>
            </w:hyperlink>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598.979980pt;width:290.95pt;height:20.8pt;mso-position-horizontal-relative:page;mso-position-vertical-relative:page;z-index:-1242808" coordorigin="4857,11980" coordsize="5819,416">
            <v:group style="position:absolute;left:4868;top:11991;width:2;height:393" coordorigin="4868,11991" coordsize="2,393">
              <v:shape style="position:absolute;left:4868;top:11991;width:2;height:393" coordorigin="4868,11991" coordsize="0,393" path="m4868,11991l4868,12384e" filled="false" stroked="true" strokeweight="1.160pt" strokecolor="#ffffff">
                <v:path arrowok="t"/>
              </v:shape>
            </v:group>
            <v:group style="position:absolute;left:4880;top:11991;width:5796;height:393" coordorigin="4880,11991" coordsize="5796,393">
              <v:shape style="position:absolute;left:4880;top:11991;width:5796;height:393" coordorigin="4880,11991" coordsize="5796,393" path="m4880,12384l10675,12384,10675,11991,4880,11991,4880,12384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46" w:right="4124"/>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日，公司第六届董事会</w:t>
      </w:r>
      <w:r>
        <w:rPr>
          <w:rFonts w:ascii="Times New Roman" w:hAnsi="Times New Roman" w:cs="Times New Roman" w:eastAsia="Times New Roman" w:hint="default"/>
        </w:rPr>
        <w:t>2018</w:t>
      </w:r>
      <w:r>
        <w:rPr/>
        <w:t>年第七次临时会议审议通过了</w:t>
      </w:r>
      <w:r>
        <w:rPr>
          <w:rFonts w:ascii="Times New Roman" w:hAnsi="Times New Roman" w:cs="Times New Roman" w:eastAsia="Times New Roman" w:hint="default"/>
        </w:rPr>
        <w:t>2017</w:t>
      </w:r>
      <w:r>
        <w:rPr/>
        <w:t>年度公司利润分配预案：以公司现有总股本</w:t>
      </w:r>
    </w:p>
    <w:p>
      <w:pPr>
        <w:pStyle w:val="BodyText"/>
        <w:spacing w:line="300" w:lineRule="auto" w:before="63"/>
        <w:ind w:right="1167"/>
        <w:jc w:val="left"/>
      </w:pPr>
      <w:r>
        <w:rPr>
          <w:rFonts w:ascii="Times New Roman" w:hAnsi="Times New Roman" w:cs="Times New Roman" w:eastAsia="Times New Roman" w:hint="default"/>
        </w:rPr>
        <w:t>1,031,082,642</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0.38</w:t>
      </w:r>
      <w:r>
        <w:rPr/>
        <w:t>元（含税），共计派发现金红利</w:t>
      </w:r>
      <w:r>
        <w:rPr>
          <w:rFonts w:ascii="Times New Roman" w:hAnsi="Times New Roman" w:cs="Times New Roman" w:eastAsia="Times New Roman" w:hint="default"/>
        </w:rPr>
        <w:t>39,181,140.40</w:t>
      </w:r>
      <w:r>
        <w:rPr/>
        <w:t>元（含 税）。本年度不进行资本公积金转增股本。该利润分配方案经公司股东大会审议通过已实施完毕。</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2"/>
        <w:ind w:right="0"/>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1,096,886,273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27,422,156.83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27,422,156.83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948,413,406.43</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1338" w:lineRule="exact"/>
        <w:ind w:left="154"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78.45pt;height:66.9pt;mso-position-horizontal-relative:char;mso-position-vertical-relative:line" type="#_x0000_t202" filled="false" stroked="true" strokeweight=".48004pt" strokecolor="#000000">
            <w10:anchorlock/>
            <v:textbox inset="0,0,0,0">
              <w:txbxContent>
                <w:p>
                  <w:pPr>
                    <w:pStyle w:val="BodyText"/>
                    <w:spacing w:line="240" w:lineRule="auto" w:before="51"/>
                    <w:ind w:left="22" w:right="0"/>
                    <w:jc w:val="left"/>
                    <w:rPr>
                      <w:rFonts w:ascii="Times New Roman" w:hAnsi="Times New Roman" w:cs="Times New Roman" w:eastAsia="Times New Roman" w:hint="default"/>
                    </w:rPr>
                  </w:pPr>
                  <w:r>
                    <w:rPr/>
                    <w:t>经公司</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日召开的第六届董事会</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年第八次临时会议决议</w:t>
                  </w:r>
                  <w:r>
                    <w:rPr>
                      <w:spacing w:val="-90"/>
                    </w:rPr>
                    <w:t>，</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年度公司利润分配预案</w:t>
                  </w:r>
                  <w:r>
                    <w:rPr>
                      <w:spacing w:val="-90"/>
                    </w:rPr>
                    <w:t>：</w:t>
                  </w:r>
                  <w:r>
                    <w:rPr/>
                    <w:t>以未来实施</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p>
                <w:p>
                  <w:pPr>
                    <w:pStyle w:val="BodyText"/>
                    <w:spacing w:line="240" w:lineRule="auto" w:before="63"/>
                    <w:ind w:left="22" w:right="0"/>
                    <w:jc w:val="left"/>
                  </w:pPr>
                  <w:r>
                    <w:rPr/>
                    <w:t>年年度权益分配方案时股权登记日的总股本（剔除回购股份）为基数，向全体股东按每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股派发现金红利人民币</w:t>
                  </w:r>
                  <w:r>
                    <w:rPr>
                      <w:spacing w:val="-46"/>
                    </w:rPr>
                    <w:t> </w:t>
                  </w:r>
                  <w:r>
                    <w:rPr>
                      <w:rFonts w:ascii="Times New Roman" w:hAnsi="Times New Roman" w:cs="Times New Roman" w:eastAsia="Times New Roman" w:hint="default"/>
                    </w:rPr>
                    <w:t>0.25</w:t>
                  </w:r>
                  <w:r>
                    <w:rPr>
                      <w:rFonts w:ascii="Times New Roman" w:hAnsi="Times New Roman" w:cs="Times New Roman" w:eastAsia="Times New Roman" w:hint="default"/>
                      <w:spacing w:val="-1"/>
                    </w:rPr>
                    <w:t> </w:t>
                  </w:r>
                  <w:r>
                    <w:rPr/>
                    <w:t>元</w:t>
                  </w:r>
                </w:p>
                <w:p>
                  <w:pPr>
                    <w:pStyle w:val="BodyText"/>
                    <w:spacing w:line="319" w:lineRule="auto" w:before="63"/>
                    <w:ind w:left="22" w:right="83"/>
                    <w:jc w:val="left"/>
                  </w:pPr>
                  <w:r>
                    <w:rPr>
                      <w:spacing w:val="-2"/>
                    </w:rPr>
                    <w:t>（含税），不送红股，也不以资本公积金转增股本，剩余未分配利润结转入下一年度。该利润分配预案尚需提交公司股东</w:t>
                  </w:r>
                  <w:r>
                    <w:rPr>
                      <w:spacing w:val="-74"/>
                    </w:rPr>
                    <w:t> </w:t>
                  </w:r>
                  <w:r>
                    <w:rPr>
                      <w:spacing w:val="-74"/>
                    </w:rPr>
                  </w:r>
                  <w:r>
                    <w:rPr/>
                    <w:t>大会审议。</w:t>
                  </w:r>
                </w:p>
              </w:txbxContent>
            </v:textbox>
          </v:shape>
        </w:pict>
      </w:r>
      <w:r>
        <w:rPr>
          <w:rFonts w:ascii="宋体" w:hAnsi="宋体" w:cs="宋体" w:eastAsia="宋体" w:hint="default"/>
          <w:position w:val="-26"/>
          <w:sz w:val="20"/>
          <w:szCs w:val="20"/>
        </w:rPr>
      </w:r>
    </w:p>
    <w:p>
      <w:pPr>
        <w:pStyle w:val="BodyText"/>
        <w:spacing w:line="240" w:lineRule="auto" w:before="56"/>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日，公司第六届董事会</w:t>
      </w:r>
      <w:r>
        <w:rPr>
          <w:rFonts w:ascii="Times New Roman" w:hAnsi="Times New Roman" w:cs="Times New Roman" w:eastAsia="Times New Roman" w:hint="default"/>
        </w:rPr>
        <w:t>2017</w:t>
      </w:r>
      <w:r>
        <w:rPr/>
        <w:t>年第二次临时会议决议，</w:t>
      </w:r>
      <w:r>
        <w:rPr>
          <w:rFonts w:ascii="Times New Roman" w:hAnsi="Times New Roman" w:cs="Times New Roman" w:eastAsia="Times New Roman" w:hint="default"/>
        </w:rPr>
        <w:t>2016</w:t>
      </w:r>
      <w:r>
        <w:rPr/>
        <w:t>年度公司利润分配预案：以公司现有总股本</w:t>
      </w:r>
    </w:p>
    <w:p>
      <w:pPr>
        <w:pStyle w:val="BodyText"/>
        <w:spacing w:line="309" w:lineRule="auto" w:before="63"/>
        <w:ind w:right="1167"/>
        <w:jc w:val="left"/>
      </w:pPr>
      <w:r>
        <w:rPr>
          <w:rFonts w:ascii="Times New Roman" w:hAnsi="Times New Roman" w:cs="Times New Roman" w:eastAsia="Times New Roman" w:hint="default"/>
        </w:rPr>
        <w:t>1,031,082,642</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0.30</w:t>
      </w:r>
      <w:r>
        <w:rPr/>
        <w:t>元（含税），共计派发现金红利</w:t>
      </w:r>
      <w:r>
        <w:rPr>
          <w:rFonts w:ascii="Times New Roman" w:hAnsi="Times New Roman" w:cs="Times New Roman" w:eastAsia="Times New Roman" w:hint="default"/>
        </w:rPr>
        <w:t>30,932,479.26</w:t>
      </w:r>
      <w:r>
        <w:rPr/>
        <w:t>元（含 税）。本年度不进行资本公积金转增股本。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日，公司第六届董事会</w:t>
      </w:r>
      <w:r>
        <w:rPr>
          <w:rFonts w:ascii="Times New Roman" w:hAnsi="Times New Roman" w:cs="Times New Roman" w:eastAsia="Times New Roman" w:hint="default"/>
        </w:rPr>
        <w:t>2018</w:t>
      </w:r>
      <w:r>
        <w:rPr/>
        <w:t>年第七次临时会议决议，</w:t>
      </w:r>
      <w:r>
        <w:rPr>
          <w:rFonts w:ascii="Times New Roman" w:hAnsi="Times New Roman" w:cs="Times New Roman" w:eastAsia="Times New Roman" w:hint="default"/>
        </w:rPr>
        <w:t>2017</w:t>
      </w:r>
      <w:r>
        <w:rPr/>
        <w:t>年度公司利润分配预案：以公司现有总股本</w:t>
      </w:r>
    </w:p>
    <w:p>
      <w:pPr>
        <w:pStyle w:val="BodyText"/>
        <w:spacing w:line="307" w:lineRule="auto" w:before="5"/>
        <w:ind w:right="0"/>
        <w:jc w:val="left"/>
      </w:pPr>
      <w:r>
        <w:rPr>
          <w:rFonts w:ascii="Times New Roman" w:hAnsi="Times New Roman" w:cs="Times New Roman" w:eastAsia="Times New Roman" w:hint="default"/>
        </w:rPr>
        <w:t>1,031,082,642</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0.38</w:t>
      </w:r>
      <w:r>
        <w:rPr/>
        <w:t>元（含税），共计派发现金红利</w:t>
      </w:r>
      <w:r>
        <w:rPr>
          <w:rFonts w:ascii="Times New Roman" w:hAnsi="Times New Roman" w:cs="Times New Roman" w:eastAsia="Times New Roman" w:hint="default"/>
        </w:rPr>
        <w:t>39,181,140.40</w:t>
      </w:r>
      <w:r>
        <w:rPr/>
        <w:t>元（含 税）。本年度不进行资本公积金转增股本。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日，公司第六届董事会</w:t>
      </w:r>
      <w:r>
        <w:rPr>
          <w:rFonts w:ascii="Times New Roman" w:hAnsi="Times New Roman" w:cs="Times New Roman" w:eastAsia="Times New Roman" w:hint="default"/>
          <w:spacing w:val="-2"/>
        </w:rPr>
        <w:t>2019</w:t>
      </w:r>
      <w:r>
        <w:rPr>
          <w:spacing w:val="-2"/>
        </w:rPr>
        <w:t>年第八次临时会议决议，</w:t>
      </w:r>
      <w:r>
        <w:rPr>
          <w:rFonts w:ascii="Times New Roman" w:hAnsi="Times New Roman" w:cs="Times New Roman" w:eastAsia="Times New Roman" w:hint="default"/>
          <w:spacing w:val="-2"/>
        </w:rPr>
        <w:t>2018</w:t>
      </w:r>
      <w:r>
        <w:rPr>
          <w:spacing w:val="-2"/>
        </w:rPr>
        <w:t>年度公司利润分配预案：以未来实施</w:t>
      </w:r>
      <w:r>
        <w:rPr>
          <w:rFonts w:ascii="Times New Roman" w:hAnsi="Times New Roman" w:cs="Times New Roman" w:eastAsia="Times New Roman" w:hint="default"/>
          <w:spacing w:val="-2"/>
        </w:rPr>
        <w:t>2018</w:t>
      </w:r>
      <w:r>
        <w:rPr>
          <w:spacing w:val="-2"/>
        </w:rPr>
        <w:t>年年度权</w:t>
      </w:r>
      <w:r>
        <w:rPr>
          <w:spacing w:val="-46"/>
        </w:rPr>
        <w:t> </w:t>
      </w:r>
      <w:r>
        <w:rPr>
          <w:spacing w:val="-1"/>
        </w:rPr>
        <w:t>益分配方案时股权登记日的总股本（剔除回购股份）为基数，向全体股东按每</w:t>
      </w:r>
      <w:r>
        <w:rPr>
          <w:rFonts w:ascii="Times New Roman" w:hAnsi="Times New Roman" w:cs="Times New Roman" w:eastAsia="Times New Roman" w:hint="default"/>
          <w:spacing w:val="-1"/>
        </w:rPr>
        <w:t>10</w:t>
      </w:r>
      <w:r>
        <w:rPr>
          <w:spacing w:val="-1"/>
        </w:rPr>
        <w:t>股派发现金红利人民币</w:t>
      </w:r>
      <w:r>
        <w:rPr>
          <w:rFonts w:ascii="Times New Roman" w:hAnsi="Times New Roman" w:cs="Times New Roman" w:eastAsia="Times New Roman" w:hint="default"/>
          <w:spacing w:val="-1"/>
        </w:rPr>
        <w:t>0.25</w:t>
      </w:r>
      <w:r>
        <w:rPr>
          <w:spacing w:val="-1"/>
        </w:rPr>
        <w:t>元（含税），不</w:t>
      </w:r>
      <w:r>
        <w:rPr>
          <w:spacing w:val="-71"/>
        </w:rPr>
        <w:t> </w:t>
      </w:r>
      <w:r>
        <w:rPr>
          <w:spacing w:val="-71"/>
        </w:rPr>
      </w:r>
      <w:r>
        <w:rPr>
          <w:spacing w:val="-2"/>
        </w:rPr>
        <w:t>送红股，也不以资本公积金转增股本，剩余未分配利润结转入下一年度。（现金分红金额暂以截至本公告披露日扣除公司回</w:t>
      </w:r>
      <w:r>
        <w:rPr>
          <w:spacing w:val="-65"/>
        </w:rPr>
        <w:t> </w:t>
      </w:r>
      <w:r>
        <w:rPr>
          <w:spacing w:val="-65"/>
        </w:rPr>
      </w:r>
      <w:r>
        <w:rPr/>
        <w:t>购专户上已回购股份后的总股本</w:t>
      </w:r>
      <w:r>
        <w:rPr>
          <w:rFonts w:ascii="Times New Roman" w:hAnsi="Times New Roman" w:cs="Times New Roman" w:eastAsia="Times New Roman" w:hint="default"/>
        </w:rPr>
        <w:t>1,096,886,273</w:t>
      </w:r>
      <w:r>
        <w:rPr/>
        <w:t>股为基数进行测算，共计</w:t>
      </w:r>
      <w:r>
        <w:rPr>
          <w:rFonts w:ascii="Times New Roman" w:hAnsi="Times New Roman" w:cs="Times New Roman" w:eastAsia="Times New Roman" w:hint="default"/>
        </w:rPr>
        <w:t>27,422,156.83</w:t>
      </w:r>
      <w:r>
        <w:rPr/>
        <w:t>元。）。</w:t>
      </w:r>
    </w:p>
    <w:p>
      <w:pPr>
        <w:pStyle w:val="BodyText"/>
        <w:spacing w:line="240" w:lineRule="auto" w:before="48"/>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6"/>
        <w:gridCol w:w="1185"/>
        <w:gridCol w:w="1219"/>
        <w:gridCol w:w="1172"/>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5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27,422,156.83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231,999,258.41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27,422,156.83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2"/>
                <w:sz w:val="18"/>
              </w:rPr>
              <w:t>11.82%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39,181,140.40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326,506,950.26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39,181,140.40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30,932,479.26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238,273,171.08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30,932,479.26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12.98%</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265"/>
        <w:gridCol w:w="992"/>
        <w:gridCol w:w="994"/>
        <w:gridCol w:w="3684"/>
        <w:gridCol w:w="874"/>
        <w:gridCol w:w="874"/>
        <w:gridCol w:w="875"/>
      </w:tblGrid>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42"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9" w:lineRule="auto"/>
              <w:ind w:left="12" w:right="56"/>
              <w:jc w:val="left"/>
              <w:rPr>
                <w:rFonts w:ascii="宋体" w:hAnsi="宋体" w:cs="宋体" w:eastAsia="宋体" w:hint="default"/>
                <w:sz w:val="18"/>
                <w:szCs w:val="18"/>
              </w:rPr>
            </w:pPr>
            <w:r>
              <w:rPr>
                <w:rFonts w:ascii="宋体" w:hAnsi="宋体" w:cs="宋体" w:eastAsia="宋体" w:hint="default"/>
                <w:sz w:val="18"/>
                <w:szCs w:val="18"/>
              </w:rPr>
              <w:t>史一兵</w:t>
            </w:r>
            <w:r>
              <w:rPr>
                <w:rFonts w:ascii="Times New Roman" w:hAnsi="Times New Roman" w:cs="Times New Roman" w:eastAsia="Times New Roman" w:hint="default"/>
                <w:sz w:val="18"/>
                <w:szCs w:val="18"/>
              </w:rPr>
              <w:t>;</w:t>
            </w:r>
            <w:r>
              <w:rPr>
                <w:rFonts w:ascii="宋体" w:hAnsi="宋体" w:cs="宋体" w:eastAsia="宋体" w:hint="default"/>
                <w:sz w:val="18"/>
                <w:szCs w:val="18"/>
              </w:rPr>
              <w:t>上 海万豪投资 有限公司</w:t>
            </w:r>
          </w:p>
        </w:tc>
        <w:tc>
          <w:tcPr>
            <w:tcW w:w="994"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w:t>
            </w:r>
          </w:p>
        </w:tc>
        <w:tc>
          <w:tcPr>
            <w:tcW w:w="3684" w:type="dxa"/>
            <w:vMerge w:val="restart"/>
            <w:tcBorders>
              <w:top w:val="single" w:sz="4" w:space="0" w:color="000000"/>
              <w:left w:val="single" w:sz="4" w:space="0" w:color="000000"/>
              <w:right w:val="single" w:sz="4" w:space="0" w:color="000000"/>
            </w:tcBorders>
          </w:tcPr>
          <w:p>
            <w:pPr>
              <w:pStyle w:val="TableParagraph"/>
              <w:spacing w:line="304" w:lineRule="auto" w:before="53"/>
              <w:ind w:left="22" w:right="2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、公司的控股股东万豪 </w:t>
            </w:r>
            <w:r>
              <w:rPr>
                <w:rFonts w:ascii="宋体" w:hAnsi="宋体" w:cs="宋体" w:eastAsia="宋体" w:hint="default"/>
                <w:spacing w:val="-8"/>
                <w:sz w:val="18"/>
                <w:szCs w:val="18"/>
              </w:rPr>
              <w:t>投资已出具了《避免同业竞争的承诺函》，承诺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如下：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本公司及由本公司控制的公司或其他经</w:t>
            </w:r>
            <w:r>
              <w:rPr>
                <w:rFonts w:ascii="宋体" w:hAnsi="宋体" w:cs="宋体" w:eastAsia="宋体" w:hint="default"/>
                <w:spacing w:val="-72"/>
                <w:sz w:val="18"/>
                <w:szCs w:val="18"/>
              </w:rPr>
              <w:t> </w:t>
            </w:r>
            <w:r>
              <w:rPr>
                <w:rFonts w:ascii="宋体" w:hAnsi="宋体" w:cs="宋体" w:eastAsia="宋体" w:hint="default"/>
                <w:sz w:val="18"/>
                <w:szCs w:val="18"/>
              </w:rPr>
              <w:t>营组织目前未从事与万达信息股份有限公司及</w:t>
            </w:r>
          </w:p>
        </w:tc>
        <w:tc>
          <w:tcPr>
            <w:tcW w:w="8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17"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992" w:type="dxa"/>
            <w:vMerge/>
            <w:tcBorders>
              <w:left w:val="single" w:sz="13"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3684"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140"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13"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84"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6.174011pt;margin-top:309.019989pt;width:121.35pt;height:109.2pt;mso-position-horizontal-relative:page;mso-position-vertical-relative:page;z-index:-1242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因万达信息送红股、</w:t>
                  </w:r>
                </w:p>
              </w:txbxContent>
            </v:textbox>
            <w10:wrap type="none"/>
          </v:shape>
        </w:pict>
      </w:r>
      <w:r>
        <w:rPr/>
        <w:pict>
          <v:shape style="position:absolute;margin-left:254.119995pt;margin-top:453.459991pt;width:193.4pt;height:109.2pt;mso-position-horizontal-relative:page;mso-position-vertical-relative:page;z-index:-1242664" type="#_x0000_t202" filled="false" stroked="false">
            <v:textbox inset="0,0,0,0">
              <w:txbxContent>
                <w:p>
                  <w:pPr>
                    <w:pStyle w:val="BodyText"/>
                    <w:spacing w:line="205" w:lineRule="exact"/>
                    <w:ind w:left="720" w:right="0" w:hanging="720"/>
                    <w:jc w:val="left"/>
                  </w:pPr>
                  <w:r>
                    <w:rPr/>
                    <w:t>减值测试报告出具的日期晚于李诗定、</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720" w:right="0"/>
                    <w:jc w:val="left"/>
                  </w:pPr>
                  <w:r>
                    <w:rPr/>
                    <w:t>扣减需进行股份补偿部分后，</w:t>
                  </w:r>
                </w:p>
              </w:txbxContent>
            </v:textbox>
            <w10:wrap type="none"/>
          </v:shape>
        </w:pict>
      </w:r>
      <w:r>
        <w:rPr/>
        <w:pict>
          <v:shape style="position:absolute;margin-left:308.119995pt;margin-top:613.959961pt;width:139.4pt;height:15.6pt;mso-position-horizontal-relative:page;mso-position-vertical-relative:page;z-index:-1242640" type="#_x0000_t202" filled="false" stroked="false">
            <v:textbox inset="0,0,0,0">
              <w:txbxContent>
                <w:p>
                  <w:pPr>
                    <w:pStyle w:val="BodyText"/>
                    <w:spacing w:line="207" w:lineRule="exact"/>
                    <w:ind w:left="0" w:right="0"/>
                    <w:jc w:val="left"/>
                  </w:pPr>
                  <w:r>
                    <w:rPr/>
                    <w:t>包括为其贷款提供担保。</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2"/>
        <w:gridCol w:w="994"/>
        <w:gridCol w:w="3684"/>
        <w:gridCol w:w="874"/>
        <w:gridCol w:w="874"/>
        <w:gridCol w:w="875"/>
      </w:tblGrid>
      <w:tr>
        <w:trPr>
          <w:trHeight w:val="473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49"/>
              <w:jc w:val="left"/>
              <w:rPr>
                <w:rFonts w:ascii="宋体" w:hAnsi="宋体" w:cs="宋体" w:eastAsia="宋体" w:hint="default"/>
                <w:sz w:val="18"/>
                <w:szCs w:val="18"/>
              </w:rPr>
            </w:pPr>
            <w:r>
              <w:rPr>
                <w:rFonts w:ascii="宋体" w:hAnsi="宋体" w:cs="宋体" w:eastAsia="宋体" w:hint="default"/>
                <w:sz w:val="18"/>
                <w:szCs w:val="18"/>
              </w:rPr>
              <w:t>万达信息股份有限公司下属控股子公司已生产 经营或将生产经营的产品具有同业竞争或潜在 同业竞争的产品的生产经营；将来也不从事与 本公司及本公司下属控股子公司已生产经营或 将生产经营的产品具有同业竞争或潜在同业竞 争的产品的生产经营。</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、公司的实际控制人 史一兵先生已出具了《避免同业竞争的承诺 </w:t>
            </w:r>
            <w:r>
              <w:rPr>
                <w:rFonts w:ascii="宋体" w:hAnsi="宋体" w:cs="宋体" w:eastAsia="宋体" w:hint="default"/>
                <w:spacing w:val="-5"/>
                <w:w w:val="99"/>
                <w:sz w:val="18"/>
                <w:szCs w:val="18"/>
              </w:rPr>
              <w:t>函》，承诺如下：</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本人及由本人控制的公司或</w:t>
            </w:r>
            <w:r>
              <w:rPr>
                <w:rFonts w:ascii="宋体" w:hAnsi="宋体" w:cs="宋体" w:eastAsia="宋体" w:hint="default"/>
                <w:spacing w:val="-76"/>
                <w:w w:val="99"/>
                <w:sz w:val="18"/>
                <w:szCs w:val="18"/>
              </w:rPr>
              <w:t> </w:t>
            </w:r>
            <w:r>
              <w:rPr>
                <w:rFonts w:ascii="宋体" w:hAnsi="宋体" w:cs="宋体" w:eastAsia="宋体" w:hint="default"/>
                <w:sz w:val="18"/>
                <w:szCs w:val="18"/>
              </w:rPr>
              <w:t>其他经营组织目前未从事与万达信息股份有限 公司及万达信息股份有限公司下属控股子公司 已生产经营或将生产经营的产品具有同业竞争 或潜在同业竞争的产品的生产经营；将来也不 从事与本公司及本公司下属控股子公司已生产 经营或将生产经营的产品具有同业竞争或潜在 同业竞争的产品的生产经营。</w:t>
            </w: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186"/>
              <w:jc w:val="left"/>
              <w:rPr>
                <w:rFonts w:ascii="宋体" w:hAnsi="宋体" w:cs="宋体" w:eastAsia="宋体" w:hint="default"/>
                <w:sz w:val="18"/>
                <w:szCs w:val="18"/>
              </w:rPr>
            </w:pPr>
            <w:r>
              <w:rPr>
                <w:rFonts w:ascii="宋体" w:hAnsi="宋体" w:cs="宋体" w:eastAsia="宋体" w:hint="default"/>
                <w:sz w:val="18"/>
                <w:szCs w:val="18"/>
              </w:rPr>
              <w:t>李诗定</w:t>
            </w:r>
            <w:r>
              <w:rPr>
                <w:rFonts w:ascii="Times New Roman" w:hAnsi="Times New Roman" w:cs="Times New Roman" w:eastAsia="Times New Roman" w:hint="default"/>
                <w:sz w:val="18"/>
                <w:szCs w:val="18"/>
              </w:rPr>
              <w:t>;</w:t>
            </w:r>
            <w:r>
              <w:rPr>
                <w:rFonts w:ascii="宋体" w:hAnsi="宋体" w:cs="宋体" w:eastAsia="宋体" w:hint="default"/>
                <w:sz w:val="18"/>
                <w:szCs w:val="18"/>
              </w:rPr>
              <w:t>许 晓荣</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李诗定、许晓荣承诺：李诗定、许晓荣因本次 交易获得的新增股份自新增股份在法定登记机 构登记于其名下并上市之日起三十六个月内不 </w:t>
            </w:r>
            <w:r>
              <w:rPr>
                <w:rFonts w:ascii="宋体" w:hAnsi="宋体" w:cs="宋体" w:eastAsia="宋体" w:hint="default"/>
                <w:spacing w:val="-3"/>
                <w:sz w:val="18"/>
                <w:szCs w:val="18"/>
              </w:rPr>
              <w:t>得转让。本次交易完成后，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转增股本等原因孳生的万达信息股份，亦应遵 守前述锁定要求。如重组在中国证监会审核期 间，应相关部门的要求，需要延长有关交易对 方股份限售期的，则李诗定、许晓荣应当无条 </w:t>
            </w:r>
            <w:r>
              <w:rPr>
                <w:rFonts w:ascii="宋体" w:hAnsi="宋体" w:cs="宋体" w:eastAsia="宋体" w:hint="default"/>
                <w:spacing w:val="-5"/>
                <w:sz w:val="18"/>
                <w:szCs w:val="18"/>
              </w:rPr>
              <w:t>件同意相应延长。若四川浩特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年度专项审 计报告、 许晓荣所持万达信息股份的法定限售期届满之 日，则在相关报告出具日之前李诗定、许晓荣 </w:t>
            </w:r>
            <w:r>
              <w:rPr>
                <w:rFonts w:ascii="宋体" w:hAnsi="宋体" w:cs="宋体" w:eastAsia="宋体" w:hint="default"/>
                <w:spacing w:val="-4"/>
                <w:sz w:val="18"/>
                <w:szCs w:val="18"/>
              </w:rPr>
              <w:t>所持限售股份不得转让，待四川浩特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的审计报告出具以及减值测试完毕后，视是否</w:t>
            </w:r>
            <w:r>
              <w:rPr>
                <w:rFonts w:ascii="宋体" w:hAnsi="宋体" w:cs="宋体" w:eastAsia="宋体" w:hint="default"/>
                <w:sz w:val="18"/>
                <w:szCs w:val="18"/>
              </w:rPr>
              <w:t> 需实行股份补偿， 李诗定、许晓荣所持剩余股份方可解禁。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43.2pt;height:109.2pt;mso-position-horizontal-relative:char;mso-position-vertical-relative:line" coordorigin="0,0" coordsize="864,2184">
                  <v:group style="position:absolute;left:0;top:0;width:864;height:2184" coordorigin="0,0" coordsize="864,2184">
                    <v:shape style="position:absolute;left:0;top:0;width:864;height:2184" coordorigin="0,0" coordsize="864,2184" path="m0,2184l863,2184,863,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184"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43.2pt;height:109.2pt;mso-position-horizontal-relative:char;mso-position-vertical-relative:line" coordorigin="0,0" coordsize="864,2184">
                  <v:group style="position:absolute;left:0;top:0;width:864;height:2184" coordorigin="0,0" coordsize="864,2184">
                    <v:shape style="position:absolute;left:0;top:0;width:864;height:2184" coordorigin="0,0" coordsize="864,2184" path="m0,2184l863,2184,863,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6"/>
              <w:jc w:val="left"/>
              <w:rPr>
                <w:rFonts w:ascii="宋体" w:hAnsi="宋体" w:cs="宋体" w:eastAsia="宋体" w:hint="default"/>
                <w:sz w:val="18"/>
                <w:szCs w:val="18"/>
              </w:rPr>
            </w:pPr>
            <w:r>
              <w:rPr>
                <w:rFonts w:ascii="宋体" w:hAnsi="宋体" w:cs="宋体" w:eastAsia="宋体" w:hint="default"/>
                <w:sz w:val="18"/>
                <w:szCs w:val="18"/>
              </w:rPr>
              <w:t>万达信息股 份有限公司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年股票期权激励计划》不为激励对象提 供财务资助的承诺：公司承诺不为激励对象依 据本激励计划获取有关权益提供贷款以及其他 任何形式的财务资助，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312"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3.2pt;height:15.6pt;mso-position-horizontal-relative:char;mso-position-vertical-relative:line" coordorigin="0,0" coordsize="864,312">
                  <v:group style="position:absolute;left:0;top:0;width:864;height:312" coordorigin="0,0" coordsize="864,312">
                    <v:shape style="position:absolute;left:0;top:0;width:864;height:312" coordorigin="0,0" coordsize="864,312" path="m0,312l863,312,863,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2022-05-1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4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3" w:right="56"/>
              <w:jc w:val="left"/>
              <w:rPr>
                <w:rFonts w:ascii="宋体" w:hAnsi="宋体" w:cs="宋体" w:eastAsia="宋体" w:hint="default"/>
                <w:sz w:val="18"/>
                <w:szCs w:val="18"/>
              </w:rPr>
            </w:pPr>
            <w:r>
              <w:rPr>
                <w:rFonts w:ascii="宋体" w:hAnsi="宋体" w:cs="宋体" w:eastAsia="宋体" w:hint="default"/>
                <w:sz w:val="18"/>
                <w:szCs w:val="18"/>
              </w:rPr>
              <w:t>万达信息股 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公司利润分配政策为：</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利润分配原则：公 司利润分配应重视对投资者的合理投资回报， 利润分配政策应保持连续性和稳定性，并兼顾 公司的可持续发展；</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利润分配条件：公司 上一会计年度盈利，累计可分配利润为正数， 且不存在影响利润分配的重大投资计划或现金 支出事项；</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利润分配形式：公司可以采取 现金、股票或者现金与股票相结合的方式分配</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20"/>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1.119995pt;margin-top:72.47998pt;width:166.4pt;height:314.1pt;mso-position-horizontal-relative:page;mso-position-vertical-relative:page;z-index:-1242592"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公司原则上按年进行利润分配；</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2"/>
        <w:gridCol w:w="994"/>
        <w:gridCol w:w="3684"/>
        <w:gridCol w:w="874"/>
        <w:gridCol w:w="874"/>
        <w:gridCol w:w="875"/>
      </w:tblGrid>
      <w:tr>
        <w:trPr>
          <w:trHeight w:val="629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股利，并积极推行以现金方式分配股利；</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 </w:t>
            </w:r>
            <w:r>
              <w:rPr>
                <w:rFonts w:ascii="宋体" w:hAnsi="宋体" w:cs="宋体" w:eastAsia="宋体" w:hint="default"/>
                <w:sz w:val="18"/>
                <w:szCs w:val="18"/>
              </w:rPr>
              <w:t>利润分配期间： 在有条件的情况下，公司可以进行中期利润分 配和特别利润分配；</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现金分红条件：除非 不符合本条第</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款规定的利润分配条件，否 则公司每年应当至少以现金方式分配利润一 次；</w:t>
            </w: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股票分红条件：公司根据盈利情况和 现金流状况，为满足股本扩张的需要或合理调 整股本规模和股权结构，可以采取股票方式分 配利润；</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现金分红比例：公司每年以现金 形式分配的利润不少于当年实现的可供分配利 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；公司最近三年以现金形式累计分配 的利润不少于最近三年实现的年均可供分配利 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w:t>
            </w:r>
            <w:r>
              <w:rPr>
                <w:rFonts w:ascii="宋体" w:hAnsi="宋体" w:cs="宋体" w:eastAsia="宋体" w:hint="default"/>
                <w:sz w:val="18"/>
                <w:szCs w:val="18"/>
              </w:rPr>
              <w:t>若存在股东违规占用公司资金 情况的，公司应当扣减该股东所分配的现金红 利，以偿还其占用的资金；</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r>
              <w:rPr>
                <w:rFonts w:ascii="宋体" w:hAnsi="宋体" w:cs="宋体" w:eastAsia="宋体" w:hint="default"/>
                <w:sz w:val="18"/>
                <w:szCs w:val="18"/>
              </w:rPr>
              <w:t>若公司上一会 计年度盈利但董事会未做出现金分红具体方案 的</w:t>
            </w:r>
            <w:r>
              <w:rPr>
                <w:rFonts w:ascii="Times New Roman" w:hAnsi="Times New Roman" w:cs="Times New Roman" w:eastAsia="Times New Roman" w:hint="default"/>
                <w:sz w:val="18"/>
                <w:szCs w:val="18"/>
              </w:rPr>
              <w:t>,</w:t>
            </w:r>
            <w:r>
              <w:rPr>
                <w:rFonts w:ascii="宋体" w:hAnsi="宋体" w:cs="宋体" w:eastAsia="宋体" w:hint="default"/>
                <w:sz w:val="18"/>
                <w:szCs w:val="18"/>
              </w:rPr>
              <w:t>应在定期报告中说明未进行现金分红的原 因、未用于现金分红的资金留存公司的用途和 使用计划；独立董事应对此发表独立意见。</w:t>
            </w:r>
            <w:r>
              <w:rPr>
                <w:rFonts w:ascii="Times New Roman" w:hAnsi="Times New Roman" w:cs="Times New Roman" w:eastAsia="Times New Roman" w:hint="default"/>
                <w:sz w:val="18"/>
                <w:szCs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6281"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43.2pt;height:314.1pt;mso-position-horizontal-relative:char;mso-position-vertical-relative:line" coordorigin="0,0" coordsize="864,6282">
                  <v:group style="position:absolute;left:0;top:0;width:864;height:6282" coordorigin="0,0" coordsize="864,6282">
                    <v:shape style="position:absolute;left:0;top:0;width:864;height:6282" coordorigin="0,0" coordsize="864,6282" path="m0,6281l863,6281,863,0,0,0,0,6281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上海万豪投 资有限公司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上海万豪投资有限公司保证及承诺，自《关于 万达信息股份有限公司之股份转让协议》签署 日之日起，在凤凰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期存续期内，未经中国人 寿资产管理有限公司同意的情况下，上海万豪 投资有限公司不得以任何形式减持、转让万达 信息股份有限公司股份，本协议项下约定转让 的万达信息股份有限公司股份除外。本次协议 转让结束后，由于万达信息股份有限公司送红 股、转增股本等原因增加的万达信息股份有限 公司股份，亦应遵守此约定。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2021-06-2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当详细说明未 完成履行的具 体原因及下一 步的工作计划</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11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日，公司第六届董事会第十三次会议审议通过了《关于会计政策变更的议案》，公司根据财政部《关于修</w:t>
      </w:r>
      <w:r>
        <w:rPr/>
        <w:t> 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号）（以下简称</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[2018]15</w:t>
      </w:r>
      <w:r>
        <w:rPr/>
        <w:t>号文件</w:t>
      </w:r>
      <w:r>
        <w:rPr>
          <w:rFonts w:ascii="Times New Roman" w:hAnsi="Times New Roman" w:cs="Times New Roman" w:eastAsia="Times New Roman" w:hint="default"/>
        </w:rPr>
        <w:t>”</w:t>
      </w:r>
      <w:r>
        <w:rPr/>
        <w:t>）的规定，对一般企 业财务报表格式进行了修订。根据财会</w:t>
      </w:r>
      <w:r>
        <w:rPr>
          <w:rFonts w:ascii="Times New Roman" w:hAnsi="Times New Roman" w:cs="Times New Roman" w:eastAsia="Times New Roman" w:hint="default"/>
        </w:rPr>
        <w:t>[2018]15</w:t>
      </w:r>
      <w:r>
        <w:rPr/>
        <w:t>号文件的要求，公司调整财务报表列报，同时相应调整比较期间报表项目。 </w:t>
      </w:r>
      <w:r>
        <w:rPr>
          <w:spacing w:val="-2"/>
        </w:rPr>
        <w:t>本次会计政策变更仅涉及公司财务报表的列报和调整，不存在追溯调整事项，对公司资产总额、净资产、营业收入、净利润</w:t>
      </w:r>
      <w:r>
        <w:rPr>
          <w:spacing w:val="-66"/>
        </w:rPr>
        <w:t> </w:t>
      </w:r>
      <w:r>
        <w:rPr>
          <w:spacing w:val="-66"/>
        </w:rPr>
      </w:r>
      <w:r>
        <w:rPr/>
        <w:t>均无影响。</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8"/>
        <w:jc w:val="left"/>
      </w:pPr>
      <w:r>
        <w:rPr>
          <w:spacing w:val="-1"/>
        </w:rPr>
        <w:t>（</w:t>
      </w:r>
      <w:r>
        <w:rPr>
          <w:rFonts w:ascii="Times New Roman" w:hAnsi="Times New Roman" w:cs="Times New Roman" w:eastAsia="Times New Roman" w:hint="default"/>
          <w:spacing w:val="-1"/>
        </w:rPr>
        <w:t>1</w:t>
      </w:r>
      <w:r>
        <w:rPr>
          <w:spacing w:val="-1"/>
        </w:rPr>
        <w:t>）投资设立子公司上海耀学信息科技有限公司，注册资本人民币</w:t>
      </w:r>
      <w:r>
        <w:rPr>
          <w:rFonts w:ascii="Times New Roman" w:hAnsi="Times New Roman" w:cs="Times New Roman" w:eastAsia="Times New Roman" w:hint="default"/>
          <w:spacing w:val="-1"/>
        </w:rPr>
        <w:t>100.00</w:t>
      </w:r>
      <w:r>
        <w:rPr>
          <w:spacing w:val="-1"/>
        </w:rPr>
        <w:t>万元，本期实际已出资</w:t>
      </w:r>
      <w:r>
        <w:rPr>
          <w:rFonts w:ascii="Times New Roman" w:hAnsi="Times New Roman" w:cs="Times New Roman" w:eastAsia="Times New Roman" w:hint="default"/>
          <w:spacing w:val="-1"/>
        </w:rPr>
        <w:t>51.00</w:t>
      </w:r>
      <w:r>
        <w:rPr>
          <w:spacing w:val="-1"/>
        </w:rPr>
        <w:t>万元持股</w:t>
      </w:r>
      <w:r>
        <w:rPr>
          <w:rFonts w:ascii="Times New Roman" w:hAnsi="Times New Roman" w:cs="Times New Roman" w:eastAsia="Times New Roman" w:hint="default"/>
          <w:spacing w:val="-1"/>
        </w:rPr>
        <w:t>51.00%</w:t>
      </w:r>
      <w:r>
        <w:rPr>
          <w:spacing w:val="-1"/>
        </w:rPr>
        <w:t>。上</w:t>
      </w:r>
      <w:r>
        <w:rPr>
          <w:spacing w:val="-41"/>
        </w:rPr>
        <w:t> </w:t>
      </w:r>
      <w:r>
        <w:rPr>
          <w:spacing w:val="-41"/>
        </w:rPr>
      </w:r>
      <w:r>
        <w:rPr/>
        <w:t>海耀学信息科技有限公司已于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日办妥工商登记手续并领取了统一社会信用代码为</w:t>
      </w:r>
      <w:r>
        <w:rPr>
          <w:rFonts w:ascii="Times New Roman" w:hAnsi="Times New Roman" w:cs="Times New Roman" w:eastAsia="Times New Roman" w:hint="default"/>
        </w:rPr>
        <w:t>91310104MA1FRBXL18</w:t>
      </w:r>
      <w:r>
        <w:rPr/>
        <w:t>号营 业执照。</w:t>
      </w:r>
    </w:p>
    <w:p>
      <w:pPr>
        <w:pStyle w:val="BodyText"/>
        <w:spacing w:line="300" w:lineRule="auto" w:before="31"/>
        <w:ind w:right="0"/>
        <w:jc w:val="left"/>
      </w:pPr>
      <w:r>
        <w:rPr>
          <w:spacing w:val="-2"/>
        </w:rPr>
        <w:t>（</w:t>
      </w:r>
      <w:r>
        <w:rPr>
          <w:rFonts w:ascii="Times New Roman" w:hAnsi="Times New Roman" w:cs="Times New Roman" w:eastAsia="Times New Roman" w:hint="default"/>
          <w:spacing w:val="-2"/>
        </w:rPr>
        <w:t>2</w:t>
      </w:r>
      <w:r>
        <w:rPr>
          <w:spacing w:val="-2"/>
        </w:rPr>
        <w:t>）子公司上海全程玖玖健康服务有限公司（原上海万达全程健康服务有限公司）公司于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日通过股权稀释不再</w:t>
      </w:r>
      <w:r>
        <w:rPr>
          <w:spacing w:val="-57"/>
        </w:rPr>
        <w:t> </w:t>
      </w:r>
      <w:r>
        <w:rPr/>
        <w:t>为公司控股子公司。</w:t>
      </w:r>
    </w:p>
    <w:p>
      <w:pPr>
        <w:pStyle w:val="BodyText"/>
        <w:spacing w:line="240" w:lineRule="auto" w:before="31"/>
        <w:ind w:right="0"/>
        <w:jc w:val="left"/>
      </w:pPr>
      <w:r>
        <w:rPr/>
        <w:t>（</w:t>
      </w:r>
      <w:r>
        <w:rPr>
          <w:rFonts w:ascii="Times New Roman" w:hAnsi="Times New Roman" w:cs="Times New Roman" w:eastAsia="Times New Roman" w:hint="default"/>
        </w:rPr>
        <w:t>3</w:t>
      </w:r>
      <w:r>
        <w:rPr/>
        <w:t>）原子公司西藏万达华波美信息技术有限公司于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日完成了股权转让，无剩余股权。</w:t>
      </w:r>
    </w:p>
    <w:p>
      <w:pPr>
        <w:pStyle w:val="BodyText"/>
        <w:spacing w:line="240" w:lineRule="auto" w:before="63"/>
        <w:ind w:right="0"/>
        <w:jc w:val="left"/>
      </w:pPr>
      <w:r>
        <w:rPr/>
        <w:t>（</w:t>
      </w:r>
      <w:r>
        <w:rPr>
          <w:rFonts w:ascii="Times New Roman" w:hAnsi="Times New Roman" w:cs="Times New Roman" w:eastAsia="Times New Roman" w:hint="default"/>
        </w:rPr>
        <w:t>4</w:t>
      </w:r>
      <w:r>
        <w:rPr/>
        <w:t>）原孙公司上海易可思复高数码科技有限公司于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月完成工商注销手续。</w:t>
      </w:r>
    </w:p>
    <w:p>
      <w:pPr>
        <w:pStyle w:val="BodyText"/>
        <w:spacing w:line="240" w:lineRule="auto" w:before="63"/>
        <w:ind w:right="0"/>
        <w:jc w:val="left"/>
      </w:pPr>
      <w:r>
        <w:rPr/>
        <w:t>（</w:t>
      </w:r>
      <w:r>
        <w:rPr>
          <w:rFonts w:ascii="Times New Roman" w:hAnsi="Times New Roman" w:cs="Times New Roman" w:eastAsia="Times New Roman" w:hint="default"/>
        </w:rPr>
        <w:t>5</w:t>
      </w:r>
      <w:r>
        <w:rPr/>
        <w:t>）原孙公司湖南凯歌医疗移动信息服务有限公司于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月完成工商注销手续。</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黄晔，吴旻</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年，吴旻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一、第三期员工持股计划</w:t>
      </w:r>
    </w:p>
    <w:p>
      <w:pPr>
        <w:pStyle w:val="BodyText"/>
        <w:spacing w:line="316" w:lineRule="auto" w:before="2"/>
        <w:ind w:right="6972" w:firstLine="360"/>
        <w:jc w:val="left"/>
      </w:pPr>
      <w:r>
        <w:rPr/>
        <w:t>报告期内，该员工持股计划尚在存续期内。 二、股票期权激励计划（</w:t>
      </w: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t>年度）</w:t>
      </w:r>
    </w:p>
    <w:p>
      <w:pPr>
        <w:pStyle w:val="BodyText"/>
        <w:spacing w:line="300" w:lineRule="auto"/>
        <w:ind w:right="1141" w:firstLine="360"/>
        <w:jc w:val="both"/>
      </w:pPr>
      <w:r>
        <w:rPr/>
        <w:t>报告期内，公司第六届董事会</w:t>
      </w:r>
      <w:r>
        <w:rPr>
          <w:rFonts w:ascii="Times New Roman" w:hAnsi="Times New Roman" w:cs="Times New Roman" w:eastAsia="Times New Roman" w:hint="default"/>
        </w:rPr>
        <w:t>2018</w:t>
      </w:r>
      <w:r>
        <w:rPr/>
        <w:t>年第六次临时会议审议通过了《关于股票期权激励计划（</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年度）部分股票期权 注销的议案》，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日，经中国证券登记结算有限责任公司深圳分公司审核确认，上述股票期权注销手续已办理完 毕。</w:t>
      </w:r>
    </w:p>
    <w:p>
      <w:pPr>
        <w:pStyle w:val="BodyText"/>
        <w:spacing w:line="240" w:lineRule="auto" w:before="31"/>
        <w:ind w:right="0"/>
        <w:jc w:val="left"/>
      </w:pPr>
      <w:r>
        <w:rPr/>
        <w:t>三、</w:t>
      </w:r>
      <w:r>
        <w:rPr>
          <w:rFonts w:ascii="Times New Roman" w:hAnsi="Times New Roman" w:cs="Times New Roman" w:eastAsia="Times New Roman" w:hint="default"/>
        </w:rPr>
        <w:t>2018</w:t>
      </w:r>
      <w:r>
        <w:rPr/>
        <w:t>年股票期权激励计划</w:t>
      </w:r>
    </w:p>
    <w:p>
      <w:pPr>
        <w:pStyle w:val="BodyText"/>
        <w:spacing w:line="300" w:lineRule="auto" w:before="63"/>
        <w:ind w:right="0" w:firstLine="36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13</w:t>
      </w:r>
      <w:r>
        <w:rPr>
          <w:spacing w:val="-5"/>
        </w:rPr>
        <w:t>日，公司第六届董事会</w:t>
      </w:r>
      <w:r>
        <w:rPr>
          <w:rFonts w:ascii="Times New Roman" w:hAnsi="Times New Roman" w:cs="Times New Roman" w:eastAsia="Times New Roman" w:hint="default"/>
          <w:spacing w:val="-5"/>
        </w:rPr>
        <w:t>2018</w:t>
      </w:r>
      <w:r>
        <w:rPr>
          <w:spacing w:val="-5"/>
        </w:rPr>
        <w:t>年第六次临时会议和第六届监事会</w:t>
      </w:r>
      <w:r>
        <w:rPr>
          <w:rFonts w:ascii="Times New Roman" w:hAnsi="Times New Roman" w:cs="Times New Roman" w:eastAsia="Times New Roman" w:hint="default"/>
          <w:spacing w:val="-5"/>
        </w:rPr>
        <w:t>2018</w:t>
      </w:r>
      <w:r>
        <w:rPr>
          <w:spacing w:val="-5"/>
        </w:rPr>
        <w:t>年第二次临时会议分别审议通过了《万</w:t>
      </w:r>
      <w:r>
        <w:rPr/>
        <w:t> 达信息股份有限公司</w:t>
      </w:r>
      <w:r>
        <w:rPr>
          <w:rFonts w:ascii="Times New Roman" w:hAnsi="Times New Roman" w:cs="Times New Roman" w:eastAsia="Times New Roman" w:hint="default"/>
        </w:rPr>
        <w:t>2018</w:t>
      </w:r>
      <w:r>
        <w:rPr/>
        <w:t>年股票期权激励计划（草案）》等相关议案。</w:t>
      </w:r>
    </w:p>
    <w:p>
      <w:pPr>
        <w:pStyle w:val="BodyText"/>
        <w:spacing w:line="300" w:lineRule="auto" w:before="13"/>
        <w:ind w:right="0" w:firstLine="360"/>
        <w:jc w:val="left"/>
      </w:pPr>
      <w:r>
        <w:rPr>
          <w:rFonts w:ascii="Times New Roman" w:hAnsi="Times New Roman" w:cs="Times New Roman" w:eastAsia="Times New Roman" w:hint="default"/>
          <w:spacing w:val="-2"/>
        </w:rPr>
        <w:t>2</w:t>
      </w:r>
      <w:r>
        <w:rPr>
          <w:spacing w:val="-2"/>
        </w:rPr>
        <w:t>、公司对首次授予的激励对象名单在公司内部进行了公示，公示时间为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日。在公示期内，</w:t>
      </w:r>
      <w:r>
        <w:rPr/>
        <w:t> </w:t>
      </w:r>
      <w:r>
        <w:rPr>
          <w:spacing w:val="-2"/>
        </w:rPr>
        <w:t>公司监事会未接到与本激励计划拟激励对象有关的任何异议，并于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日披露了《监事会关于公司</w:t>
      </w:r>
      <w:r>
        <w:rPr>
          <w:rFonts w:ascii="Times New Roman" w:hAnsi="Times New Roman" w:cs="Times New Roman" w:eastAsia="Times New Roman" w:hint="default"/>
          <w:spacing w:val="-2"/>
        </w:rPr>
        <w:t>2018</w:t>
      </w:r>
      <w:r>
        <w:rPr>
          <w:spacing w:val="-2"/>
        </w:rPr>
        <w:t>年股票期权激</w:t>
      </w:r>
      <w:r>
        <w:rPr>
          <w:spacing w:val="-54"/>
        </w:rPr>
        <w:t> </w:t>
      </w:r>
      <w:r>
        <w:rPr/>
        <w:t>励计划激励对象名单的审核意见及公示情况说明》。</w:t>
      </w:r>
    </w:p>
    <w:p>
      <w:pPr>
        <w:pStyle w:val="BodyText"/>
        <w:spacing w:line="300" w:lineRule="auto" w:before="31"/>
        <w:ind w:right="1189"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2017</w:t>
      </w:r>
      <w:r>
        <w:rPr/>
        <w:t>年度股东大会逐项审议通过了《</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2018</w:t>
      </w:r>
      <w:r>
        <w:rPr/>
        <w:t>年股票期权激励计划（草案）</w:t>
      </w:r>
      <w:r>
        <w:rPr>
          <w:rFonts w:ascii="Times New Roman" w:hAnsi="Times New Roman" w:cs="Times New Roman" w:eastAsia="Times New Roman" w:hint="default"/>
        </w:rPr>
        <w:t>&gt;</w:t>
      </w:r>
      <w:r>
        <w:rPr/>
        <w:t>及其摘要的议 案》、《</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2018</w:t>
      </w:r>
      <w:r>
        <w:rPr/>
        <w:t>年股票期权激励计划实施考核管理办法</w:t>
      </w:r>
      <w:r>
        <w:rPr>
          <w:rFonts w:ascii="Times New Roman" w:hAnsi="Times New Roman" w:cs="Times New Roman" w:eastAsia="Times New Roman" w:hint="default"/>
        </w:rPr>
        <w:t>&gt;</w:t>
      </w:r>
      <w:r>
        <w:rPr/>
        <w:t>的议案》及《关于提请股东大会授权董事会办理股权激励相关</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42"/>
        <w:jc w:val="both"/>
      </w:pPr>
      <w:r>
        <w:rPr>
          <w:spacing w:val="-2"/>
        </w:rPr>
        <w:t>事宜的议案》。股东大会授权董事会办理本次股权激励计划顺利实施所必需的所有相关事宜。《关于公司</w:t>
      </w:r>
      <w:r>
        <w:rPr>
          <w:rFonts w:ascii="Times New Roman" w:hAnsi="Times New Roman" w:cs="Times New Roman" w:eastAsia="Times New Roman" w:hint="default"/>
          <w:spacing w:val="-2"/>
        </w:rPr>
        <w:t>2018</w:t>
      </w:r>
      <w:r>
        <w:rPr>
          <w:spacing w:val="-2"/>
        </w:rPr>
        <w:t>年股票期权激</w:t>
      </w:r>
      <w:r>
        <w:rPr>
          <w:spacing w:val="-61"/>
        </w:rPr>
        <w:t> </w:t>
      </w:r>
      <w:r>
        <w:rPr>
          <w:spacing w:val="-4"/>
        </w:rPr>
        <w:t>励计划内幕信息知情人及激励对象买卖公司股票情况的自查报告》已于同日与《公司</w:t>
      </w:r>
      <w:r>
        <w:rPr>
          <w:rFonts w:ascii="Times New Roman" w:hAnsi="Times New Roman" w:cs="Times New Roman" w:eastAsia="Times New Roman" w:hint="default"/>
          <w:spacing w:val="-4"/>
        </w:rPr>
        <w:t>2017</w:t>
      </w:r>
      <w:r>
        <w:rPr>
          <w:spacing w:val="-4"/>
        </w:rPr>
        <w:t>年度股东大会决议公告》同时披露。</w:t>
      </w:r>
    </w:p>
    <w:p>
      <w:pPr>
        <w:pStyle w:val="BodyText"/>
        <w:spacing w:line="240" w:lineRule="auto" w:before="13"/>
        <w:ind w:left="51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日，公司第六届董事会</w:t>
      </w:r>
      <w:r>
        <w:rPr>
          <w:rFonts w:ascii="Times New Roman" w:hAnsi="Times New Roman" w:cs="Times New Roman" w:eastAsia="Times New Roman" w:hint="default"/>
        </w:rPr>
        <w:t>2018</w:t>
      </w:r>
      <w:r>
        <w:rPr/>
        <w:t>年第九次临时会议和第六届监事会</w:t>
      </w:r>
      <w:r>
        <w:rPr>
          <w:rFonts w:ascii="Times New Roman" w:hAnsi="Times New Roman" w:cs="Times New Roman" w:eastAsia="Times New Roman" w:hint="default"/>
        </w:rPr>
        <w:t>2018</w:t>
      </w:r>
      <w:r>
        <w:rPr/>
        <w:t>年第五次临时会议审议通过了《关于</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5"/>
        </w:rPr>
        <w:t>2018</w:t>
      </w:r>
      <w:r>
        <w:rPr>
          <w:spacing w:val="-5"/>
        </w:rPr>
        <w:t>年股票期权激励计划所涉激励对象调整的议案》及《关于</w:t>
      </w:r>
      <w:r>
        <w:rPr>
          <w:rFonts w:ascii="Times New Roman" w:hAnsi="Times New Roman" w:cs="Times New Roman" w:eastAsia="Times New Roman" w:hint="default"/>
          <w:spacing w:val="-5"/>
        </w:rPr>
        <w:t>2018</w:t>
      </w:r>
      <w:r>
        <w:rPr>
          <w:spacing w:val="-5"/>
        </w:rPr>
        <w:t>年股票期权激励计划首次授予期权相关事项的议案》。</w:t>
      </w:r>
      <w:r>
        <w:rPr>
          <w:rFonts w:ascii="Times New Roman" w:hAnsi="Times New Roman" w:cs="Times New Roman" w:eastAsia="Times New Roman" w:hint="default"/>
          <w:spacing w:val="-5"/>
        </w:rPr>
        <w:t>2018</w:t>
      </w:r>
    </w:p>
    <w:p>
      <w:pPr>
        <w:pStyle w:val="BodyText"/>
        <w:spacing w:line="300" w:lineRule="auto" w:before="63"/>
        <w:ind w:left="514" w:right="0" w:hanging="360"/>
        <w:jc w:val="left"/>
      </w:pPr>
      <w:r>
        <w:rPr/>
        <w:t>年股票期权激励计划所涉首次授予的激励对象人数由</w:t>
      </w:r>
      <w:r>
        <w:rPr>
          <w:rFonts w:ascii="Times New Roman" w:hAnsi="Times New Roman" w:cs="Times New Roman" w:eastAsia="Times New Roman" w:hint="default"/>
        </w:rPr>
        <w:t>939</w:t>
      </w:r>
      <w:r>
        <w:rPr/>
        <w:t>人调整为</w:t>
      </w:r>
      <w:r>
        <w:rPr>
          <w:rFonts w:ascii="Times New Roman" w:hAnsi="Times New Roman" w:cs="Times New Roman" w:eastAsia="Times New Roman" w:hint="default"/>
        </w:rPr>
        <w:t>921</w:t>
      </w:r>
      <w:r>
        <w:rPr/>
        <w:t>人。 </w:t>
      </w:r>
      <w:r>
        <w:rPr>
          <w:spacing w:val="-2"/>
        </w:rPr>
        <w:t>公司</w:t>
      </w:r>
      <w:r>
        <w:rPr>
          <w:rFonts w:ascii="Times New Roman" w:hAnsi="Times New Roman" w:cs="Times New Roman" w:eastAsia="Times New Roman" w:hint="default"/>
          <w:spacing w:val="-2"/>
        </w:rPr>
        <w:t>2018</w:t>
      </w:r>
      <w:r>
        <w:rPr>
          <w:spacing w:val="-2"/>
        </w:rPr>
        <w:t>年股票期权激励计划规定的首次授予条件已经成就，首次授予激励对象不存在不能授予或者不得成为激励对象</w:t>
      </w:r>
    </w:p>
    <w:p>
      <w:pPr>
        <w:pStyle w:val="BodyText"/>
        <w:spacing w:line="300" w:lineRule="auto" w:before="13"/>
        <w:ind w:right="1139"/>
        <w:jc w:val="both"/>
      </w:pPr>
      <w:r>
        <w:rPr/>
        <w:t>的情形，本次首次授予计划与已披露的《公司</w:t>
      </w:r>
      <w:r>
        <w:rPr>
          <w:rFonts w:ascii="Times New Roman" w:hAnsi="Times New Roman" w:cs="Times New Roman" w:eastAsia="Times New Roman" w:hint="default"/>
        </w:rPr>
        <w:t>2018</w:t>
      </w:r>
      <w:r>
        <w:rPr/>
        <w:t>年股票期权激励计划》不存在差异。同意以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日为授予日，首 次授予</w:t>
      </w:r>
      <w:r>
        <w:rPr>
          <w:rFonts w:ascii="Times New Roman" w:hAnsi="Times New Roman" w:cs="Times New Roman" w:eastAsia="Times New Roman" w:hint="default"/>
        </w:rPr>
        <w:t>921</w:t>
      </w:r>
      <w:r>
        <w:rPr/>
        <w:t>名激励对象合计</w:t>
      </w:r>
      <w:r>
        <w:rPr>
          <w:rFonts w:ascii="Times New Roman" w:hAnsi="Times New Roman" w:cs="Times New Roman" w:eastAsia="Times New Roman" w:hint="default"/>
        </w:rPr>
        <w:t>3500</w:t>
      </w:r>
      <w:r>
        <w:rPr/>
        <w:t>万份股票期权，行权价格为</w:t>
      </w:r>
      <w:r>
        <w:rPr>
          <w:rFonts w:ascii="Times New Roman" w:hAnsi="Times New Roman" w:cs="Times New Roman" w:eastAsia="Times New Roman" w:hint="default"/>
        </w:rPr>
        <w:t>17.51</w:t>
      </w:r>
      <w:r>
        <w:rPr/>
        <w:t>元。</w:t>
      </w:r>
    </w:p>
    <w:p>
      <w:pPr>
        <w:pStyle w:val="BodyText"/>
        <w:spacing w:line="240" w:lineRule="auto" w:before="13"/>
        <w:ind w:left="51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日，公司第六届董事会</w:t>
      </w:r>
      <w:r>
        <w:rPr>
          <w:rFonts w:ascii="Times New Roman" w:hAnsi="Times New Roman" w:cs="Times New Roman" w:eastAsia="Times New Roman" w:hint="default"/>
        </w:rPr>
        <w:t>2018</w:t>
      </w:r>
      <w:r>
        <w:rPr/>
        <w:t>年第十次临时会议和第六届监事会</w:t>
      </w:r>
      <w:r>
        <w:rPr>
          <w:rFonts w:ascii="Times New Roman" w:hAnsi="Times New Roman" w:cs="Times New Roman" w:eastAsia="Times New Roman" w:hint="default"/>
        </w:rPr>
        <w:t>2018</w:t>
      </w:r>
      <w:r>
        <w:rPr/>
        <w:t>年第六次临时会议审议通过了《关于</w:t>
      </w:r>
    </w:p>
    <w:p>
      <w:pPr>
        <w:pStyle w:val="BodyText"/>
        <w:spacing w:line="300" w:lineRule="auto" w:before="63"/>
        <w:ind w:right="1130"/>
        <w:jc w:val="both"/>
      </w:pPr>
      <w:r>
        <w:rPr>
          <w:rFonts w:ascii="Times New Roman" w:hAnsi="Times New Roman" w:cs="Times New Roman" w:eastAsia="Times New Roman" w:hint="default"/>
          <w:spacing w:val="-2"/>
        </w:rPr>
        <w:t>2018</w:t>
      </w:r>
      <w:r>
        <w:rPr>
          <w:spacing w:val="-2"/>
        </w:rPr>
        <w:t>年股票期权激励计划所涉激励对象和行权价格调整的议案》，决议同意根据公司</w:t>
      </w:r>
      <w:r>
        <w:rPr>
          <w:rFonts w:ascii="Times New Roman" w:hAnsi="Times New Roman" w:cs="Times New Roman" w:eastAsia="Times New Roman" w:hint="default"/>
          <w:spacing w:val="-2"/>
        </w:rPr>
        <w:t>2017</w:t>
      </w:r>
      <w:r>
        <w:rPr>
          <w:spacing w:val="-2"/>
        </w:rPr>
        <w:t>年度利润分配方案调整股票期权行</w:t>
      </w:r>
      <w:r>
        <w:rPr>
          <w:spacing w:val="-56"/>
        </w:rPr>
        <w:t> </w:t>
      </w:r>
      <w:r>
        <w:rPr/>
        <w:t>权价格，调整后的行权价格为</w:t>
      </w:r>
      <w:r>
        <w:rPr>
          <w:rFonts w:ascii="Times New Roman" w:hAnsi="Times New Roman" w:cs="Times New Roman" w:eastAsia="Times New Roman" w:hint="default"/>
        </w:rPr>
        <w:t>17.47</w:t>
      </w:r>
      <w:r>
        <w:rPr/>
        <w:t>元，同时取消</w:t>
      </w:r>
      <w:r>
        <w:rPr>
          <w:rFonts w:ascii="Times New Roman" w:hAnsi="Times New Roman" w:cs="Times New Roman" w:eastAsia="Times New Roman" w:hint="default"/>
        </w:rPr>
        <w:t>11</w:t>
      </w:r>
      <w:r>
        <w:rPr/>
        <w:t>名离职人员的激励对象资格。经过本次调整后的股票期权激励计划所涉 首次授予的激励对象人数由</w:t>
      </w:r>
      <w:r>
        <w:rPr>
          <w:rFonts w:ascii="Times New Roman" w:hAnsi="Times New Roman" w:cs="Times New Roman" w:eastAsia="Times New Roman" w:hint="default"/>
        </w:rPr>
        <w:t>921</w:t>
      </w:r>
      <w:r>
        <w:rPr/>
        <w:t>人调整为</w:t>
      </w:r>
      <w:r>
        <w:rPr>
          <w:rFonts w:ascii="Times New Roman" w:hAnsi="Times New Roman" w:cs="Times New Roman" w:eastAsia="Times New Roman" w:hint="default"/>
        </w:rPr>
        <w:t>910</w:t>
      </w:r>
      <w:r>
        <w:rPr/>
        <w:t>人。</w:t>
      </w:r>
    </w:p>
    <w:p>
      <w:pPr>
        <w:pStyle w:val="BodyText"/>
        <w:spacing w:line="300" w:lineRule="auto" w:before="13"/>
        <w:ind w:right="1122" w:firstLine="360"/>
        <w:jc w:val="left"/>
      </w:pPr>
      <w:r>
        <w:rPr>
          <w:rFonts w:ascii="Times New Roman" w:hAnsi="Times New Roman" w:cs="Times New Roman" w:eastAsia="Times New Roman" w:hint="default"/>
        </w:rPr>
        <w:t>6</w:t>
      </w:r>
      <w:r>
        <w:rPr/>
        <w:t>、经深圳证券交易所、中国证券登记结算有限责任公司深圳分公司审核确认，公司已完成公司</w:t>
      </w:r>
      <w:r>
        <w:rPr>
          <w:rFonts w:ascii="Times New Roman" w:hAnsi="Times New Roman" w:cs="Times New Roman" w:eastAsia="Times New Roman" w:hint="default"/>
        </w:rPr>
        <w:t>2018</w:t>
      </w:r>
      <w:r>
        <w:rPr/>
        <w:t>年股票期权激励计 划所涉首次授予</w:t>
      </w:r>
      <w:r>
        <w:rPr>
          <w:rFonts w:ascii="Times New Roman" w:hAnsi="Times New Roman" w:cs="Times New Roman" w:eastAsia="Times New Roman" w:hint="default"/>
        </w:rPr>
        <w:t>3,500</w:t>
      </w:r>
      <w:r>
        <w:rPr/>
        <w:t>万份股票期权的登记工作，期权简称：万达</w:t>
      </w:r>
      <w:r>
        <w:rPr>
          <w:rFonts w:ascii="Times New Roman" w:hAnsi="Times New Roman" w:cs="Times New Roman" w:eastAsia="Times New Roman" w:hint="default"/>
        </w:rPr>
        <w:t>JLC5</w:t>
      </w:r>
      <w:r>
        <w:rPr/>
        <w:t>，期权代码</w:t>
      </w:r>
      <w:r>
        <w:rPr>
          <w:rFonts w:ascii="Times New Roman" w:hAnsi="Times New Roman" w:cs="Times New Roman" w:eastAsia="Times New Roman" w:hint="default"/>
        </w:rPr>
        <w:t>036291</w:t>
      </w:r>
      <w:r>
        <w:rPr/>
        <w:t>。</w:t>
      </w:r>
    </w:p>
    <w:p>
      <w:pPr>
        <w:spacing w:line="240" w:lineRule="auto" w:before="11"/>
        <w:rPr>
          <w:rFonts w:ascii="宋体" w:hAnsi="宋体" w:cs="宋体" w:eastAsia="宋体" w:hint="default"/>
          <w:sz w:val="24"/>
          <w:szCs w:val="24"/>
        </w:rPr>
      </w:pPr>
    </w:p>
    <w:p>
      <w:pPr>
        <w:pStyle w:val="BodyText"/>
        <w:spacing w:line="240" w:lineRule="auto"/>
        <w:ind w:right="0"/>
        <w:jc w:val="both"/>
      </w:pPr>
      <w:r>
        <w:rPr/>
        <w:t>相关公告索引如下：</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917"/>
        <w:gridCol w:w="5180"/>
        <w:gridCol w:w="1281"/>
        <w:gridCol w:w="2167"/>
      </w:tblGrid>
      <w:tr>
        <w:trPr>
          <w:trHeight w:val="733" w:hRule="exact"/>
        </w:trPr>
        <w:tc>
          <w:tcPr>
            <w:tcW w:w="9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87"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5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2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公告披露日期</w:t>
            </w:r>
          </w:p>
        </w:tc>
        <w:tc>
          <w:tcPr>
            <w:tcW w:w="21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895" w:right="85" w:hanging="810"/>
              <w:jc w:val="left"/>
              <w:rPr>
                <w:rFonts w:ascii="宋体" w:hAnsi="宋体" w:cs="宋体" w:eastAsia="宋体" w:hint="default"/>
                <w:sz w:val="18"/>
                <w:szCs w:val="18"/>
              </w:rPr>
            </w:pPr>
            <w:r>
              <w:rPr>
                <w:rFonts w:ascii="宋体" w:hAnsi="宋体" w:cs="宋体" w:eastAsia="宋体" w:hint="default"/>
                <w:sz w:val="18"/>
                <w:szCs w:val="18"/>
              </w:rPr>
              <w:t>公告刊登的指定网站查询 索引</w:t>
            </w:r>
          </w:p>
        </w:tc>
      </w:tr>
      <w:tr>
        <w:trPr>
          <w:trHeight w:val="428" w:hRule="exact"/>
        </w:trPr>
        <w:tc>
          <w:tcPr>
            <w:tcW w:w="95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r>
      <w:tr>
        <w:trPr>
          <w:trHeight w:val="426"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6" w:right="0"/>
              <w:jc w:val="left"/>
              <w:rPr>
                <w:rFonts w:ascii="Times New Roman" w:hAnsi="Times New Roman" w:cs="Times New Roman" w:eastAsia="Times New Roman" w:hint="default"/>
                <w:sz w:val="18"/>
                <w:szCs w:val="18"/>
              </w:rPr>
            </w:pPr>
            <w:r>
              <w:rPr>
                <w:rFonts w:ascii="Times New Roman"/>
                <w:sz w:val="18"/>
              </w:rPr>
              <w:t>2018-025</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年第六次临时会议决议公告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2018-04-13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8"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2018-026</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年第二次临时会议决议公告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2018-04-13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2018-027</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关于股票期权激励计划（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年度）部分股票期权注销的公告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2018-04-13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2018-052</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5" w:right="3"/>
              <w:jc w:val="left"/>
              <w:rPr>
                <w:rFonts w:ascii="宋体" w:hAnsi="宋体" w:cs="宋体" w:eastAsia="宋体" w:hint="default"/>
                <w:sz w:val="18"/>
                <w:szCs w:val="18"/>
              </w:rPr>
            </w:pPr>
            <w:r>
              <w:rPr>
                <w:rFonts w:ascii="宋体" w:hAnsi="宋体" w:cs="宋体" w:eastAsia="宋体" w:hint="default"/>
                <w:spacing w:val="-3"/>
                <w:sz w:val="18"/>
                <w:szCs w:val="18"/>
              </w:rPr>
              <w:t>关于股票期权激励计划（</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年度）部分已授予期权注销完成的公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2018-05-29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5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w:t>
            </w:r>
          </w:p>
        </w:tc>
      </w:tr>
      <w:tr>
        <w:trPr>
          <w:trHeight w:val="42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2018-025</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年第六次临时会议决议公告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2018-04-13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6" w:right="0"/>
              <w:jc w:val="left"/>
              <w:rPr>
                <w:rFonts w:ascii="Times New Roman" w:hAnsi="Times New Roman" w:cs="Times New Roman" w:eastAsia="Times New Roman" w:hint="default"/>
                <w:sz w:val="18"/>
                <w:szCs w:val="18"/>
              </w:rPr>
            </w:pPr>
            <w:r>
              <w:rPr>
                <w:rFonts w:ascii="Times New Roman"/>
                <w:sz w:val="18"/>
              </w:rPr>
              <w:t>2018-026</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年第二次临时会议决议公告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2018-04-13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2018-028</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关于股权激励计划的提示性公告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2018-04-13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2018-043</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5" w:right="117"/>
              <w:jc w:val="left"/>
              <w:rPr>
                <w:rFonts w:ascii="宋体" w:hAnsi="宋体" w:cs="宋体" w:eastAsia="宋体" w:hint="default"/>
                <w:sz w:val="18"/>
                <w:szCs w:val="18"/>
              </w:rPr>
            </w:pPr>
            <w:r>
              <w:rPr>
                <w:rFonts w:ascii="宋体" w:hAnsi="宋体" w:cs="宋体" w:eastAsia="宋体" w:hint="default"/>
                <w:sz w:val="18"/>
                <w:szCs w:val="18"/>
              </w:rPr>
              <w:t>监事会关于公司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年股票期权激励计划激励对象名单的审核意 见及公示情况说明</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2018-05-09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2018-046</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年度股东大会决议公告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2018-05-15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2018-047</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5" w:right="117"/>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年股票期权激励计划内幕信息知情人及激励对象买 卖公司股票情况的自查报告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2018-05-15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2018-048</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年第九次临时会议决议公告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2018-05-16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6" w:right="0"/>
              <w:jc w:val="left"/>
              <w:rPr>
                <w:rFonts w:ascii="Times New Roman" w:hAnsi="Times New Roman" w:cs="Times New Roman" w:eastAsia="Times New Roman" w:hint="default"/>
                <w:sz w:val="18"/>
                <w:szCs w:val="18"/>
              </w:rPr>
            </w:pPr>
            <w:r>
              <w:rPr>
                <w:rFonts w:ascii="Times New Roman"/>
                <w:sz w:val="18"/>
              </w:rPr>
              <w:t>2018-049</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年第五次临时会议决议公告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2018-05-16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2018-050</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年股票期权激励计划所涉激励对象调整的公告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2018-05-16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2018-051</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年股票期权激励计划首次授予期权的公告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2018-05-16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2018-055</w:t>
            </w:r>
          </w:p>
        </w:tc>
        <w:tc>
          <w:tcPr>
            <w:tcW w:w="5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年第十次临时会议决议公告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2018-06-13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921"/>
        <w:gridCol w:w="5176"/>
        <w:gridCol w:w="1281"/>
        <w:gridCol w:w="2167"/>
      </w:tblGrid>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2018-056</w:t>
            </w:r>
          </w:p>
        </w:tc>
        <w:tc>
          <w:tcPr>
            <w:tcW w:w="5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年第六次临时会议决议公告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3"/>
              <w:jc w:val="right"/>
              <w:rPr>
                <w:rFonts w:ascii="Times New Roman" w:hAnsi="Times New Roman" w:cs="Times New Roman" w:eastAsia="Times New Roman" w:hint="default"/>
                <w:sz w:val="18"/>
                <w:szCs w:val="18"/>
              </w:rPr>
            </w:pPr>
            <w:r>
              <w:rPr>
                <w:rFonts w:ascii="Times New Roman"/>
                <w:sz w:val="18"/>
              </w:rPr>
              <w:t>2018-06-13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2018-057</w:t>
            </w:r>
          </w:p>
        </w:tc>
        <w:tc>
          <w:tcPr>
            <w:tcW w:w="51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17"/>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年股票期权激励计划所涉激励对象和行权价格调整的公 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3"/>
              <w:jc w:val="right"/>
              <w:rPr>
                <w:rFonts w:ascii="Times New Roman" w:hAnsi="Times New Roman" w:cs="Times New Roman" w:eastAsia="Times New Roman" w:hint="default"/>
                <w:sz w:val="18"/>
                <w:szCs w:val="18"/>
              </w:rPr>
            </w:pPr>
            <w:r>
              <w:rPr>
                <w:rFonts w:ascii="Times New Roman"/>
                <w:sz w:val="18"/>
              </w:rPr>
              <w:t>2018-06-13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8"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2018-064</w:t>
            </w:r>
          </w:p>
        </w:tc>
        <w:tc>
          <w:tcPr>
            <w:tcW w:w="5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年股票期权激励计划首次授予期权完成登记的公告</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3"/>
              <w:jc w:val="right"/>
              <w:rPr>
                <w:rFonts w:ascii="Times New Roman" w:hAnsi="Times New Roman" w:cs="Times New Roman" w:eastAsia="Times New Roman" w:hint="default"/>
                <w:sz w:val="18"/>
                <w:szCs w:val="18"/>
              </w:rPr>
            </w:pPr>
            <w:r>
              <w:rPr>
                <w:rFonts w:ascii="Times New Roman"/>
                <w:sz w:val="18"/>
              </w:rPr>
              <w:t>2018-06-22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5"/>
        <w:rPr>
          <w:rFonts w:ascii="宋体" w:hAnsi="宋体" w:cs="宋体" w:eastAsia="宋体" w:hint="default"/>
          <w:sz w:val="24"/>
          <w:szCs w:val="24"/>
        </w:rPr>
      </w:pPr>
    </w:p>
    <w:p>
      <w:pPr>
        <w:pStyle w:val="BodyText"/>
        <w:spacing w:line="319" w:lineRule="auto" w:before="44"/>
        <w:ind w:right="115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截至本报告期末，公司确认股权激励计划在本报告期内的股权激励成本共计</w:t>
      </w:r>
      <w:r>
        <w:rPr>
          <w:rFonts w:ascii="Times New Roman" w:hAnsi="Times New Roman" w:cs="Times New Roman" w:eastAsia="Times New Roman" w:hint="default"/>
        </w:rPr>
        <w:t>2768.65</w:t>
      </w:r>
      <w:r>
        <w:rPr/>
        <w:t>万元，占本期净利润的</w:t>
      </w:r>
      <w:r>
        <w:rPr>
          <w:rFonts w:ascii="Times New Roman" w:hAnsi="Times New Roman" w:cs="Times New Roman" w:eastAsia="Times New Roman" w:hint="default"/>
        </w:rPr>
        <w:t>12.29%</w:t>
      </w:r>
      <w:r>
        <w:rPr/>
        <w:t>，本期核 心技术人员的股权激励费用占公司当期股权激励费用的比重为</w:t>
      </w:r>
      <w:r>
        <w:rPr>
          <w:rFonts w:ascii="Times New Roman" w:hAnsi="Times New Roman" w:cs="Times New Roman" w:eastAsia="Times New Roman" w:hint="default"/>
        </w:rPr>
        <w:t>63.30%</w:t>
      </w:r>
      <w:r>
        <w:rPr/>
        <w:t>。</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深圳市华 波美通信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子公司 少数股 东之关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78"/>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45.27</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深圳市华 天星通信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子公司 少数股 东之关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78"/>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上海慧明 软件开发 中心（普 通合伙）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子公司 高级管 理人员 之关联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78"/>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817.36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817.36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817.36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817</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长江联合 金融租赁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公司参 股公司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1114.95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4"/>
                <w:sz w:val="18"/>
              </w:rPr>
              <w:t>1114</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上海全程 玖玖健康 服务有限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公司参 股公司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78"/>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916.73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916.73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916</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5"/>
              <w:jc w:val="both"/>
              <w:rPr>
                <w:rFonts w:ascii="宋体" w:hAnsi="宋体" w:cs="宋体" w:eastAsia="宋体" w:hint="default"/>
                <w:sz w:val="18"/>
                <w:szCs w:val="18"/>
              </w:rPr>
            </w:pPr>
            <w:r>
              <w:rPr>
                <w:rFonts w:ascii="宋体" w:hAnsi="宋体" w:cs="宋体" w:eastAsia="宋体" w:hint="default"/>
                <w:sz w:val="18"/>
                <w:szCs w:val="18"/>
              </w:rPr>
              <w:t>上海达保 贵生信息 科技股份</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公司参 股公司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259.69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259.69</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宁波市科 技园区明 天医网科 技有限公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子公司 法人之 关联公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5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78"/>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260.72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260.72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上海达保 贵生信息 科技股份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公司参 股公司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78"/>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286.71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286.71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286.71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286</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上海全程 玖玖健康 服务有限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公司参 股公司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78"/>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123.43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123.43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123</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1130" w:firstLine="360"/>
        <w:jc w:val="both"/>
      </w:pPr>
      <w:r>
        <w:rPr>
          <w:rFonts w:ascii="Times New Roman" w:hAnsi="Times New Roman" w:cs="Times New Roman" w:eastAsia="Times New Roman" w:hint="default"/>
          <w:spacing w:val="-1"/>
        </w:rPr>
        <w:t>1</w:t>
      </w:r>
      <w:r>
        <w:rPr>
          <w:spacing w:val="-1"/>
        </w:rPr>
        <w:t>、为加大公司在各创新业务领域的拓展力度，激发核心员工创新创业热情，公司作为主要投资方，合计出资</w:t>
      </w:r>
      <w:r>
        <w:rPr>
          <w:rFonts w:ascii="Times New Roman" w:hAnsi="Times New Roman" w:cs="Times New Roman" w:eastAsia="Times New Roman" w:hint="default"/>
          <w:spacing w:val="-1"/>
        </w:rPr>
        <w:t>2,707</w:t>
      </w:r>
      <w:r>
        <w:rPr>
          <w:spacing w:val="-1"/>
        </w:rPr>
        <w:t>万元</w:t>
      </w:r>
      <w:r>
        <w:rPr/>
        <w:t> </w:t>
      </w:r>
      <w:r>
        <w:rPr>
          <w:spacing w:val="-2"/>
        </w:rPr>
        <w:t>人民币与上海资纳企业管理咨询合伙企业（有限合伙）、王清女士、上海亿始运企业管理咨询合伙企业（有限合伙）等分别</w:t>
      </w:r>
      <w:r>
        <w:rPr>
          <w:spacing w:val="-67"/>
        </w:rPr>
        <w:t> </w:t>
      </w:r>
      <w:r>
        <w:rPr>
          <w:spacing w:val="-67"/>
        </w:rPr>
      </w:r>
      <w:r>
        <w:rPr>
          <w:spacing w:val="-2"/>
        </w:rPr>
        <w:t>设立上海药世界信息服务有限责任公司（暂定名，以工商注册登记为准）、上海振民智能网络科技有限责任公司、上海大亿</w:t>
      </w:r>
      <w:r>
        <w:rPr>
          <w:spacing w:val="-66"/>
        </w:rPr>
        <w:t> </w:t>
      </w:r>
      <w:r>
        <w:rPr>
          <w:spacing w:val="-66"/>
        </w:rPr>
      </w:r>
      <w:r>
        <w:rPr/>
        <w:t>精诚智能网络科技有限责任公司、上海慈铭智能网络科技有限责任公司四家公司。</w:t>
      </w:r>
    </w:p>
    <w:p>
      <w:pPr>
        <w:pStyle w:val="BodyText"/>
        <w:spacing w:line="316" w:lineRule="auto" w:before="22"/>
        <w:ind w:right="0" w:firstLine="360"/>
        <w:jc w:val="left"/>
      </w:pPr>
      <w:r>
        <w:rPr>
          <w:spacing w:val="-2"/>
        </w:rPr>
        <w:t>上海资纳系包括公司董事、高级管理人员在内的公司核心员工成立的有限合伙企业，为公司的关联法人。王清女士于过</w:t>
      </w:r>
      <w:r>
        <w:rPr/>
        <w:t> </w:t>
      </w:r>
      <w:r>
        <w:rPr>
          <w:spacing w:val="-4"/>
        </w:rPr>
        <w:t>去十二个月内担任公司董事、高级管理人员，为公司的关联自然人。亿始运的执行事务合伙人系公司的关联自然人王清女士，</w:t>
      </w:r>
      <w:r>
        <w:rPr>
          <w:spacing w:val="-44"/>
        </w:rPr>
        <w:t> </w:t>
      </w:r>
      <w:r>
        <w:rPr>
          <w:spacing w:val="-44"/>
        </w:rPr>
      </w:r>
      <w:r>
        <w:rPr/>
        <w:t>为公司的关联法人。公司本次对外投资事项构成关联交易。</w:t>
      </w:r>
    </w:p>
    <w:p>
      <w:pPr>
        <w:pStyle w:val="BodyText"/>
        <w:spacing w:line="300" w:lineRule="auto" w:before="19"/>
        <w:ind w:right="1139" w:firstLine="360"/>
        <w:jc w:val="both"/>
      </w:pPr>
      <w:r>
        <w:rPr/>
        <w:t>上述关联交易事项已分别于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日公司第六届董事会</w:t>
      </w:r>
      <w:r>
        <w:rPr>
          <w:rFonts w:ascii="Times New Roman" w:hAnsi="Times New Roman" w:cs="Times New Roman" w:eastAsia="Times New Roman" w:hint="default"/>
        </w:rPr>
        <w:t>2018</w:t>
      </w:r>
      <w:r>
        <w:rPr/>
        <w:t>年第十七次临时会议及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2018</w:t>
      </w:r>
      <w:r>
        <w:rPr/>
        <w:t>年第 三次临时股东大会审议通过。</w:t>
      </w:r>
    </w:p>
    <w:p>
      <w:pPr>
        <w:pStyle w:val="BodyText"/>
        <w:spacing w:line="316" w:lineRule="auto" w:before="31"/>
        <w:ind w:right="1133" w:firstLine="360"/>
        <w:jc w:val="both"/>
      </w:pPr>
      <w:r>
        <w:rPr>
          <w:spacing w:val="-2"/>
        </w:rPr>
        <w:t>本报告期内，公司完成设立上海振民智能网络科技有限责任公司、上海大亿精诚智能网络科技有限责任公司、上海慈铭</w:t>
      </w:r>
      <w:r>
        <w:rPr/>
        <w:t> 智能网络科技有限责任公司。</w:t>
      </w:r>
    </w:p>
    <w:p>
      <w:pPr>
        <w:pStyle w:val="BodyText"/>
        <w:spacing w:line="300" w:lineRule="auto" w:before="19"/>
        <w:ind w:right="1132" w:firstLine="360"/>
        <w:jc w:val="both"/>
      </w:pPr>
      <w:r>
        <w:rPr>
          <w:rFonts w:ascii="Times New Roman" w:hAnsi="Times New Roman" w:cs="Times New Roman" w:eastAsia="Times New Roman" w:hint="default"/>
        </w:rPr>
        <w:t>2</w:t>
      </w:r>
      <w:r>
        <w:rPr/>
        <w:t>、公司持有控股子公司上海大亿精诚智能网络科技有限责任公司</w:t>
      </w:r>
      <w:r>
        <w:rPr>
          <w:rFonts w:ascii="Times New Roman" w:hAnsi="Times New Roman" w:cs="Times New Roman" w:eastAsia="Times New Roman" w:hint="default"/>
        </w:rPr>
        <w:t>75%</w:t>
      </w:r>
      <w:r>
        <w:rPr/>
        <w:t>的股权。现基于大亿精诚的发展需要，大亿精诚 全体股东拟同比例合计增资</w:t>
      </w:r>
      <w:r>
        <w:rPr>
          <w:rFonts w:ascii="Times New Roman" w:hAnsi="Times New Roman" w:cs="Times New Roman" w:eastAsia="Times New Roman" w:hint="default"/>
        </w:rPr>
        <w:t>99,007.50</w:t>
      </w:r>
      <w:r>
        <w:rPr/>
        <w:t>万元，认缴大亿精诚新增注册资本</w:t>
      </w:r>
      <w:r>
        <w:rPr>
          <w:rFonts w:ascii="Times New Roman" w:hAnsi="Times New Roman" w:cs="Times New Roman" w:eastAsia="Times New Roman" w:hint="default"/>
        </w:rPr>
        <w:t>9,210</w:t>
      </w:r>
      <w:r>
        <w:rPr/>
        <w:t>万元，每一元新增注册资本的认购价格为</w:t>
      </w:r>
      <w:r>
        <w:rPr>
          <w:rFonts w:ascii="Times New Roman" w:hAnsi="Times New Roman" w:cs="Times New Roman" w:eastAsia="Times New Roman" w:hint="default"/>
        </w:rPr>
        <w:t>10.75 </w:t>
      </w:r>
      <w:r>
        <w:rPr>
          <w:spacing w:val="-2"/>
        </w:rPr>
        <w:t>元，其余</w:t>
      </w:r>
      <w:r>
        <w:rPr>
          <w:rFonts w:ascii="Times New Roman" w:hAnsi="Times New Roman" w:cs="Times New Roman" w:eastAsia="Times New Roman" w:hint="default"/>
          <w:spacing w:val="-2"/>
        </w:rPr>
        <w:t>89,797.50</w:t>
      </w:r>
      <w:r>
        <w:rPr>
          <w:spacing w:val="-2"/>
        </w:rPr>
        <w:t>万元计入资本公积金。其中：公司出资</w:t>
      </w:r>
      <w:r>
        <w:rPr>
          <w:rFonts w:ascii="Times New Roman" w:hAnsi="Times New Roman" w:cs="Times New Roman" w:eastAsia="Times New Roman" w:hint="default"/>
          <w:spacing w:val="-2"/>
        </w:rPr>
        <w:t>74,255.625</w:t>
      </w:r>
      <w:r>
        <w:rPr>
          <w:spacing w:val="-2"/>
        </w:rPr>
        <w:t>万元，认缴新增注册资本</w:t>
      </w:r>
      <w:r>
        <w:rPr>
          <w:rFonts w:ascii="Times New Roman" w:hAnsi="Times New Roman" w:cs="Times New Roman" w:eastAsia="Times New Roman" w:hint="default"/>
          <w:spacing w:val="-2"/>
        </w:rPr>
        <w:t>6,907.50</w:t>
      </w:r>
      <w:r>
        <w:rPr>
          <w:spacing w:val="-2"/>
        </w:rPr>
        <w:t>万元；上海亿钥云企业</w:t>
      </w:r>
      <w:r>
        <w:rPr>
          <w:spacing w:val="-41"/>
        </w:rPr>
        <w:t> </w:t>
      </w:r>
      <w:r>
        <w:rPr>
          <w:spacing w:val="-41"/>
        </w:rPr>
      </w:r>
      <w:r>
        <w:rPr>
          <w:spacing w:val="-2"/>
        </w:rPr>
        <w:t>管理咨询合伙企业（有限合伙）出资</w:t>
      </w:r>
      <w:r>
        <w:rPr>
          <w:rFonts w:ascii="Times New Roman" w:hAnsi="Times New Roman" w:cs="Times New Roman" w:eastAsia="Times New Roman" w:hint="default"/>
          <w:spacing w:val="-2"/>
        </w:rPr>
        <w:t>14,851.125</w:t>
      </w:r>
      <w:r>
        <w:rPr>
          <w:spacing w:val="-2"/>
        </w:rPr>
        <w:t>万元，认缴新增注册资本</w:t>
      </w:r>
      <w:r>
        <w:rPr>
          <w:rFonts w:ascii="Times New Roman" w:hAnsi="Times New Roman" w:cs="Times New Roman" w:eastAsia="Times New Roman" w:hint="default"/>
          <w:spacing w:val="-2"/>
        </w:rPr>
        <w:t>1,381.50</w:t>
      </w:r>
      <w:r>
        <w:rPr>
          <w:spacing w:val="-2"/>
        </w:rPr>
        <w:t>万元；上海资纳企业管理咨询合伙企业（有</w:t>
      </w:r>
      <w:r>
        <w:rPr>
          <w:spacing w:val="-48"/>
        </w:rPr>
        <w:t> </w:t>
      </w:r>
      <w:r>
        <w:rPr>
          <w:spacing w:val="-48"/>
        </w:rPr>
      </w:r>
      <w:r>
        <w:rPr>
          <w:spacing w:val="-2"/>
        </w:rPr>
        <w:t>限合伙）出资</w:t>
      </w:r>
      <w:r>
        <w:rPr>
          <w:rFonts w:ascii="Times New Roman" w:hAnsi="Times New Roman" w:cs="Times New Roman" w:eastAsia="Times New Roman" w:hint="default"/>
          <w:spacing w:val="-2"/>
        </w:rPr>
        <w:t>9,900.75</w:t>
      </w:r>
      <w:r>
        <w:rPr>
          <w:spacing w:val="-2"/>
        </w:rPr>
        <w:t>万元，认缴新增注册资本</w:t>
      </w:r>
      <w:r>
        <w:rPr>
          <w:rFonts w:ascii="Times New Roman" w:hAnsi="Times New Roman" w:cs="Times New Roman" w:eastAsia="Times New Roman" w:hint="default"/>
          <w:spacing w:val="-2"/>
        </w:rPr>
        <w:t>921</w:t>
      </w:r>
      <w:r>
        <w:rPr>
          <w:spacing w:val="-2"/>
        </w:rPr>
        <w:t>万元。增资完成后大亿精诚注册资本将由</w:t>
      </w:r>
      <w:r>
        <w:rPr>
          <w:rFonts w:ascii="Times New Roman" w:hAnsi="Times New Roman" w:cs="Times New Roman" w:eastAsia="Times New Roman" w:hint="default"/>
          <w:spacing w:val="-2"/>
        </w:rPr>
        <w:t>1,000</w:t>
      </w:r>
      <w:r>
        <w:rPr>
          <w:spacing w:val="-2"/>
        </w:rPr>
        <w:t>万元增加至</w:t>
      </w:r>
      <w:r>
        <w:rPr>
          <w:rFonts w:ascii="Times New Roman" w:hAnsi="Times New Roman" w:cs="Times New Roman" w:eastAsia="Times New Roman" w:hint="default"/>
          <w:spacing w:val="-2"/>
        </w:rPr>
        <w:t>10,210</w:t>
      </w:r>
      <w:r>
        <w:rPr>
          <w:spacing w:val="-2"/>
        </w:rPr>
        <w:t>万元，公</w:t>
      </w:r>
      <w:r>
        <w:rPr>
          <w:spacing w:val="-48"/>
        </w:rPr>
        <w:t> </w:t>
      </w:r>
      <w:r>
        <w:rPr>
          <w:spacing w:val="-48"/>
        </w:rPr>
      </w:r>
      <w:r>
        <w:rPr/>
        <w:t>司持有大亿精诚的股权比例仍为</w:t>
      </w:r>
      <w:r>
        <w:rPr>
          <w:rFonts w:ascii="Times New Roman" w:hAnsi="Times New Roman" w:cs="Times New Roman" w:eastAsia="Times New Roman" w:hint="default"/>
        </w:rPr>
        <w:t>75%</w:t>
      </w:r>
      <w:r>
        <w:rPr/>
        <w:t>。</w:t>
      </w:r>
    </w:p>
    <w:p>
      <w:pPr>
        <w:pStyle w:val="BodyText"/>
        <w:spacing w:line="316" w:lineRule="auto" w:before="13"/>
        <w:ind w:right="1133" w:firstLine="360"/>
        <w:jc w:val="both"/>
      </w:pPr>
      <w:r>
        <w:rPr>
          <w:spacing w:val="-2"/>
        </w:rPr>
        <w:t>上海资纳系包括公司董事、高级管理人员在内的公司核心员工成立的有限合伙企业，为公司的关联法人。故本次公司对</w:t>
      </w:r>
      <w:r>
        <w:rPr/>
        <w:t> 控股子公司同比例增资事项构成关联交易。</w:t>
      </w:r>
    </w:p>
    <w:p>
      <w:pPr>
        <w:pStyle w:val="BodyText"/>
        <w:spacing w:line="300" w:lineRule="auto" w:before="19"/>
        <w:ind w:right="1229" w:firstLine="360"/>
        <w:jc w:val="both"/>
      </w:pPr>
      <w:r>
        <w:rPr/>
        <w:t>上述关联交易事项已分别于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日公司第六届董事会</w:t>
      </w:r>
      <w:r>
        <w:rPr>
          <w:rFonts w:ascii="Times New Roman" w:hAnsi="Times New Roman" w:cs="Times New Roman" w:eastAsia="Times New Roman" w:hint="default"/>
        </w:rPr>
        <w:t>2018</w:t>
      </w:r>
      <w:r>
        <w:rPr/>
        <w:t>年第二十次临时会议及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2018</w:t>
      </w:r>
      <w:r>
        <w:rPr/>
        <w:t>年 第六次临时股东大会审议通过。</w:t>
      </w:r>
    </w:p>
    <w:p>
      <w:pPr>
        <w:pStyle w:val="BodyText"/>
        <w:spacing w:line="360" w:lineRule="auto" w:before="31"/>
        <w:ind w:right="7512" w:firstLine="360"/>
        <w:jc w:val="left"/>
      </w:pPr>
      <w:r>
        <w:rPr/>
        <w:t>本报告期内，未完成增资事宜。 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970"/>
        <w:gridCol w:w="2140"/>
        <w:gridCol w:w="3459"/>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关于对外投资暨关联交易的公告</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关于对控股子公司同比例增资暨关联交易的公告</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4"/>
        <w:rPr>
          <w:rFonts w:ascii="宋体" w:hAnsi="宋体" w:cs="宋体" w:eastAsia="宋体" w:hint="default"/>
          <w:sz w:val="19"/>
          <w:szCs w:val="19"/>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15"/>
        <w:gridCol w:w="914"/>
        <w:gridCol w:w="931"/>
        <w:gridCol w:w="1296"/>
        <w:gridCol w:w="1063"/>
        <w:gridCol w:w="1035"/>
        <w:gridCol w:w="1055"/>
        <w:gridCol w:w="787"/>
        <w:gridCol w:w="780"/>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5" w:space="0" w:color="000000"/>
            </w:tcBorders>
            <w:shd w:val="clear" w:color="auto" w:fill="D2D2D2"/>
          </w:tcPr>
          <w:p>
            <w:pPr>
              <w:pStyle w:val="TableParagraph"/>
              <w:spacing w:line="319" w:lineRule="auto" w:before="56"/>
              <w:ind w:left="93" w:right="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5"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1" w:type="dxa"/>
            <w:vMerge/>
            <w:tcBorders>
              <w:left w:val="single" w:sz="5"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5" w:space="0" w:color="000000"/>
            </w:tcBorders>
            <w:shd w:val="clear" w:color="auto" w:fill="D2D2D2"/>
          </w:tcPr>
          <w:p>
            <w:pPr/>
          </w:p>
        </w:tc>
        <w:tc>
          <w:tcPr>
            <w:tcW w:w="931"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1" w:type="dxa"/>
            <w:vMerge w:val="restart"/>
            <w:tcBorders>
              <w:top w:val="nil" w:sz="6" w:space="0" w:color="auto"/>
              <w:left w:val="single" w:sz="5"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5" w:space="0" w:color="000000"/>
            </w:tcBorders>
            <w:shd w:val="clear" w:color="auto" w:fill="D2D2D2"/>
          </w:tcPr>
          <w:p>
            <w:pPr/>
          </w:p>
        </w:tc>
        <w:tc>
          <w:tcPr>
            <w:tcW w:w="931" w:type="dxa"/>
            <w:vMerge/>
            <w:tcBorders>
              <w:left w:val="single" w:sz="5"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FFFFFF"/>
            </w:tcBorders>
            <w:shd w:val="clear" w:color="auto" w:fill="D2D2D2"/>
          </w:tcPr>
          <w:p>
            <w:pPr>
              <w:pStyle w:val="TableParagraph"/>
              <w:spacing w:line="319" w:lineRule="auto" w:before="56"/>
              <w:ind w:left="90"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FFFFFF"/>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FFFFFF"/>
            </w:tcBorders>
            <w:shd w:val="clear" w:color="auto" w:fill="D2D2D2"/>
          </w:tcPr>
          <w:p>
            <w:pPr/>
          </w:p>
        </w:tc>
        <w:tc>
          <w:tcPr>
            <w:tcW w:w="931" w:type="dxa"/>
            <w:vMerge/>
            <w:tcBorders>
              <w:left w:val="single" w:sz="4" w:space="0" w:color="FFFFFF"/>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FFFFFF"/>
            </w:tcBorders>
            <w:shd w:val="clear" w:color="auto" w:fill="D2D2D2"/>
          </w:tcPr>
          <w:p>
            <w:pPr/>
          </w:p>
        </w:tc>
        <w:tc>
          <w:tcPr>
            <w:tcW w:w="931"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FFFFFF"/>
            </w:tcBorders>
            <w:shd w:val="clear" w:color="auto" w:fill="D2D2D2"/>
          </w:tcPr>
          <w:p>
            <w:pPr/>
          </w:p>
        </w:tc>
        <w:tc>
          <w:tcPr>
            <w:tcW w:w="931" w:type="dxa"/>
            <w:vMerge w:val="restart"/>
            <w:tcBorders>
              <w:top w:val="nil" w:sz="6" w:space="0" w:color="auto"/>
              <w:left w:val="single" w:sz="4" w:space="0" w:color="FFFFFF"/>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FFFFFF"/>
            </w:tcBorders>
            <w:shd w:val="clear" w:color="auto" w:fill="D2D2D2"/>
          </w:tcPr>
          <w:p>
            <w:pPr/>
          </w:p>
        </w:tc>
        <w:tc>
          <w:tcPr>
            <w:tcW w:w="931" w:type="dxa"/>
            <w:vMerge/>
            <w:tcBorders>
              <w:left w:val="single" w:sz="4" w:space="0" w:color="FFFFFF"/>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上海全程玖玖健康服 务有限公司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上海全程玖玖健康服 务有限公司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上海万达信息系统有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119.26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上海万达信息系统有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29"/>
        <w:gridCol w:w="1307"/>
        <w:gridCol w:w="1045"/>
        <w:gridCol w:w="1046"/>
        <w:gridCol w:w="1055"/>
        <w:gridCol w:w="785"/>
        <w:gridCol w:w="785"/>
      </w:tblGrid>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8,990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8,990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799.26</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110,600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42,379.56</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5"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799.26</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110,600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42,379.56</w:t>
            </w:r>
          </w:p>
        </w:tc>
      </w:tr>
      <w:tr>
        <w:trPr>
          <w:trHeight w:val="407"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11.67%</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6"/>
              <w:ind w:left="22"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42,260</w:t>
            </w:r>
          </w:p>
        </w:tc>
      </w:tr>
      <w:tr>
        <w:trPr>
          <w:trHeight w:val="402"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42,260</w:t>
            </w:r>
          </w:p>
        </w:tc>
      </w:tr>
      <w:tr>
        <w:trPr>
          <w:trHeight w:val="714"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8052"/>
        <w:jc w:val="left"/>
      </w:pPr>
      <w:r>
        <w:rPr/>
        <w:t>采用复合方式担保的具体情况说明 不适用</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公司报告期无违规对外担保情况。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）股东权益保护</w:t>
      </w:r>
    </w:p>
    <w:p>
      <w:pPr>
        <w:pStyle w:val="BodyText"/>
        <w:spacing w:line="300" w:lineRule="auto" w:before="63"/>
        <w:ind w:left="514" w:right="0" w:hanging="360"/>
        <w:jc w:val="left"/>
      </w:pPr>
      <w:r>
        <w:rPr>
          <w:rFonts w:ascii="Times New Roman" w:hAnsi="Times New Roman" w:cs="Times New Roman" w:eastAsia="Times New Roman" w:hint="default"/>
        </w:rPr>
        <w:t>1)</w:t>
      </w:r>
      <w:r>
        <w:rPr/>
        <w:t>完善公司治理结构，维护股东权益</w:t>
      </w:r>
      <w:r>
        <w:rPr>
          <w:w w:val="99"/>
        </w:rPr>
        <w:t> </w:t>
      </w:r>
      <w:r>
        <w:rPr>
          <w:spacing w:val="-2"/>
        </w:rPr>
        <w:t>公司严格按照《公司法》、《证券法》、《上市公司治理准则》等有关法律法规的要求，积极推进内控体系建设，不断</w:t>
      </w:r>
    </w:p>
    <w:p>
      <w:pPr>
        <w:pStyle w:val="BodyText"/>
        <w:spacing w:line="316" w:lineRule="auto" w:before="31"/>
        <w:ind w:right="0"/>
        <w:jc w:val="left"/>
      </w:pPr>
      <w:r>
        <w:rPr>
          <w:spacing w:val="-2"/>
        </w:rPr>
        <w:t>完善公司法人治理结构，建立健全的公司内部控制制度，明确公司股东大会、董事会、监事会及经营管理层各自应履行的职</w:t>
      </w:r>
      <w:r>
        <w:rPr>
          <w:spacing w:val="-66"/>
        </w:rPr>
        <w:t> </w:t>
      </w:r>
      <w:r>
        <w:rPr>
          <w:spacing w:val="-66"/>
        </w:rPr>
      </w:r>
      <w:r>
        <w:rPr/>
        <w:t>责和议事规则，为公司规范运作提供了更强有力的制度保障，并有效地增强了决策的公正性和科学性。</w:t>
      </w:r>
    </w:p>
    <w:p>
      <w:pPr>
        <w:pStyle w:val="BodyText"/>
        <w:spacing w:line="240" w:lineRule="auto" w:before="19"/>
        <w:ind w:left="514" w:right="0"/>
        <w:jc w:val="left"/>
      </w:pPr>
      <w:r>
        <w:rPr>
          <w:rFonts w:ascii="Times New Roman" w:hAnsi="Times New Roman" w:cs="Times New Roman" w:eastAsia="Times New Roman" w:hint="default"/>
        </w:rPr>
        <w:t>2018</w:t>
      </w:r>
      <w:r>
        <w:rPr/>
        <w:t>年，公司累计召开股东大会</w:t>
      </w:r>
      <w:r>
        <w:rPr>
          <w:rFonts w:ascii="Times New Roman" w:hAnsi="Times New Roman" w:cs="Times New Roman" w:eastAsia="Times New Roman" w:hint="default"/>
        </w:rPr>
        <w:t>7</w:t>
      </w:r>
      <w:r>
        <w:rPr/>
        <w:t>次、董事会会议</w:t>
      </w:r>
      <w:r>
        <w:rPr>
          <w:rFonts w:ascii="Times New Roman" w:hAnsi="Times New Roman" w:cs="Times New Roman" w:eastAsia="Times New Roman" w:hint="default"/>
        </w:rPr>
        <w:t>20</w:t>
      </w:r>
      <w:r>
        <w:rPr/>
        <w:t>次、监事会会议</w:t>
      </w:r>
      <w:r>
        <w:rPr>
          <w:rFonts w:ascii="Times New Roman" w:hAnsi="Times New Roman" w:cs="Times New Roman" w:eastAsia="Times New Roman" w:hint="default"/>
        </w:rPr>
        <w:t>15</w:t>
      </w:r>
      <w:r>
        <w:rPr/>
        <w:t>次。</w:t>
      </w:r>
    </w:p>
    <w:p>
      <w:pPr>
        <w:pStyle w:val="BodyText"/>
        <w:spacing w:line="300" w:lineRule="auto" w:before="63"/>
        <w:ind w:left="514" w:right="0" w:hanging="360"/>
        <w:jc w:val="left"/>
      </w:pPr>
      <w:r>
        <w:rPr>
          <w:rFonts w:ascii="Times New Roman" w:hAnsi="Times New Roman" w:cs="Times New Roman" w:eastAsia="Times New Roman" w:hint="default"/>
        </w:rPr>
        <w:t>2)</w:t>
      </w:r>
      <w:r>
        <w:rPr/>
        <w:t>重视投资者关系管理，维护股东利益</w:t>
      </w:r>
      <w:r>
        <w:rPr>
          <w:w w:val="99"/>
        </w:rPr>
        <w:t> </w:t>
      </w:r>
      <w:r>
        <w:rPr>
          <w:spacing w:val="-2"/>
        </w:rPr>
        <w:t>股东是企业发展的基石，维护股东利益，特别是中小股东的合法利益，提升投资者对公司的信心，是企业健康发展的必</w:t>
      </w:r>
    </w:p>
    <w:p>
      <w:pPr>
        <w:pStyle w:val="BodyText"/>
        <w:spacing w:line="240" w:lineRule="auto" w:before="31"/>
        <w:ind w:right="0"/>
        <w:jc w:val="left"/>
      </w:pPr>
      <w:r>
        <w:rPr/>
        <w:t>备条件。</w:t>
      </w:r>
    </w:p>
    <w:p>
      <w:pPr>
        <w:pStyle w:val="BodyText"/>
        <w:spacing w:line="316" w:lineRule="auto" w:before="76"/>
        <w:ind w:right="1032" w:firstLine="360"/>
        <w:jc w:val="left"/>
      </w:pPr>
      <w:r>
        <w:rPr>
          <w:spacing w:val="-2"/>
        </w:rPr>
        <w:t>公司高度重视投资者关系管理工作，本着真实、准确、完整、及时、公平的原则，积极履行信息披露义务，增强资本市</w:t>
      </w:r>
      <w:r>
        <w:rPr/>
        <w:t> </w:t>
      </w:r>
      <w:r>
        <w:rPr>
          <w:spacing w:val="-2"/>
        </w:rPr>
        <w:t>场的正能量，塑造公司在资本市场的诚信形象。公司通过投资者热线电话、投资者专用电子邮箱、深交所互动平台问答、现</w:t>
      </w:r>
      <w:r>
        <w:rPr>
          <w:spacing w:val="-66"/>
        </w:rPr>
        <w:t> </w:t>
      </w:r>
      <w:r>
        <w:rPr>
          <w:spacing w:val="-66"/>
        </w:rPr>
      </w:r>
      <w:r>
        <w:rPr/>
        <w:t>场调研、股东大会、业绩说明会、微信公众号、公司网站等多渠道、多层次的方式，与投资者形成了良性的、有效的互动， 提高了投资者对公司的关注度和认知度。</w:t>
      </w:r>
    </w:p>
    <w:p>
      <w:pPr>
        <w:pStyle w:val="BodyText"/>
        <w:spacing w:line="312" w:lineRule="auto" w:before="19"/>
        <w:ind w:right="113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日，为了便于投资者进一步了解公司经营情况，公司举行了</w:t>
      </w:r>
      <w:r>
        <w:rPr>
          <w:rFonts w:ascii="Times New Roman" w:hAnsi="Times New Roman" w:cs="Times New Roman" w:eastAsia="Times New Roman" w:hint="default"/>
          <w:spacing w:val="-2"/>
        </w:rPr>
        <w:t>2017</w:t>
      </w:r>
      <w:r>
        <w:rPr>
          <w:spacing w:val="-2"/>
        </w:rPr>
        <w:t>年度网上业绩说明会暨</w:t>
      </w:r>
      <w:r>
        <w:rPr>
          <w:rFonts w:ascii="Times New Roman" w:hAnsi="Times New Roman" w:cs="Times New Roman" w:eastAsia="Times New Roman" w:hint="default"/>
          <w:spacing w:val="-2"/>
        </w:rPr>
        <w:t>2018</w:t>
      </w:r>
      <w:r>
        <w:rPr>
          <w:spacing w:val="-2"/>
        </w:rPr>
        <w:t>年上海辖区上市</w:t>
      </w:r>
      <w:r>
        <w:rPr/>
        <w:t> </w:t>
      </w:r>
      <w:r>
        <w:rPr>
          <w:spacing w:val="-2"/>
        </w:rPr>
        <w:t>公司集体接待日活动。公司董事长、独立董事、财务负责人、董事会秘书以及保荐代表人悉数参加了说明会，与关心公司发</w:t>
      </w:r>
      <w:r>
        <w:rPr>
          <w:spacing w:val="-66"/>
        </w:rPr>
        <w:t> </w:t>
      </w:r>
      <w:r>
        <w:rPr>
          <w:spacing w:val="-66"/>
        </w:rPr>
      </w:r>
      <w:r>
        <w:rPr>
          <w:spacing w:val="-2"/>
        </w:rPr>
        <w:t>展的广大股东展开了坦诚热烈的互动交流。公司还通过各种方式，就公司未来的发展思路听取包括中小投资者在内的各类股</w:t>
      </w:r>
      <w:r>
        <w:rPr>
          <w:spacing w:val="-64"/>
        </w:rPr>
        <w:t> </w:t>
      </w:r>
      <w:r>
        <w:rPr>
          <w:spacing w:val="-64"/>
        </w:rPr>
      </w:r>
      <w:r>
        <w:rPr/>
        <w:t>东的意见和建议，传递公司的信息，与投资者保持良好的互动。</w:t>
      </w:r>
    </w:p>
    <w:p>
      <w:pPr>
        <w:pStyle w:val="BodyText"/>
        <w:spacing w:line="300" w:lineRule="auto" w:before="23"/>
        <w:ind w:left="514" w:right="0" w:hanging="360"/>
        <w:jc w:val="left"/>
      </w:pPr>
      <w:r>
        <w:rPr>
          <w:rFonts w:ascii="Times New Roman" w:hAnsi="Times New Roman" w:cs="Times New Roman" w:eastAsia="Times New Roman" w:hint="default"/>
        </w:rPr>
        <w:t>3)</w:t>
      </w:r>
      <w:r>
        <w:rPr/>
        <w:t>维护股价稳定，保护投资者利益</w:t>
      </w:r>
      <w:r>
        <w:rPr>
          <w:w w:val="99"/>
        </w:rPr>
        <w:t> </w:t>
      </w:r>
      <w:r>
        <w:rPr>
          <w:spacing w:val="-2"/>
        </w:rPr>
        <w:t>报告期内，基于对公司未来的持续发展和长期投资价值的认可，为促进公司健康稳定和长远发展，增强公众投资者对公</w:t>
      </w:r>
    </w:p>
    <w:p>
      <w:pPr>
        <w:pStyle w:val="BodyText"/>
        <w:spacing w:line="316" w:lineRule="auto" w:before="31"/>
        <w:ind w:right="0"/>
        <w:jc w:val="left"/>
      </w:pPr>
      <w:r>
        <w:rPr>
          <w:spacing w:val="-2"/>
        </w:rPr>
        <w:t>司的投资信心，维护广大投资者的利益，推动公司股票价值的合理回归，结合公司的经营、财务状况以及未来的盈利能力和</w:t>
      </w:r>
      <w:r>
        <w:rPr>
          <w:spacing w:val="-66"/>
        </w:rPr>
        <w:t> </w:t>
      </w:r>
      <w:r>
        <w:rPr>
          <w:spacing w:val="-66"/>
        </w:rPr>
      </w:r>
      <w:r>
        <w:rPr>
          <w:spacing w:val="-2"/>
        </w:rPr>
        <w:t>发展前景，公司于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月推出《回购公司股份预案》，拟采用回购股份的方式，以推进公司股票市场价格与内在价值相</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22" w:hanging="360"/>
        <w:jc w:val="left"/>
      </w:pPr>
      <w:r>
        <w:rPr/>
        <w:t>匹配。本次回购股份拟用于股权激励或员工持股计划。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日，公司累计通过股票回购专用证券账户以集中竞价交易方式回购公司股份</w:t>
      </w:r>
      <w:r>
        <w:rPr>
          <w:rFonts w:ascii="Times New Roman" w:hAnsi="Times New Roman" w:cs="Times New Roman" w:eastAsia="Times New Roman" w:hint="default"/>
        </w:rPr>
        <w:t>2,563,415</w:t>
      </w:r>
      <w:r>
        <w:rPr/>
        <w:t>股，占公司总股</w:t>
      </w:r>
    </w:p>
    <w:p>
      <w:pPr>
        <w:pStyle w:val="BodyText"/>
        <w:spacing w:line="300" w:lineRule="auto"/>
        <w:ind w:right="1142"/>
        <w:jc w:val="left"/>
      </w:pPr>
      <w:r>
        <w:rPr/>
        <w:t>本的</w:t>
      </w:r>
      <w:r>
        <w:rPr>
          <w:rFonts w:ascii="Times New Roman" w:hAnsi="Times New Roman" w:cs="Times New Roman" w:eastAsia="Times New Roman" w:hint="default"/>
        </w:rPr>
        <w:t>0.23%</w:t>
      </w:r>
      <w:r>
        <w:rPr/>
        <w:t>，本次回购最高成交价为</w:t>
      </w:r>
      <w:r>
        <w:rPr>
          <w:rFonts w:ascii="Times New Roman" w:hAnsi="Times New Roman" w:cs="Times New Roman" w:eastAsia="Times New Roman" w:hint="default"/>
        </w:rPr>
        <w:t>11.93</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11.12</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29,984,265.25</w:t>
      </w:r>
      <w:r>
        <w:rPr/>
        <w:t>元（含交易费用）。 后续，公司将根据市场情况在回购期限内继续实施本次回购计划。</w:t>
      </w:r>
    </w:p>
    <w:p>
      <w:pPr>
        <w:pStyle w:val="BodyText"/>
        <w:spacing w:line="240" w:lineRule="auto" w:before="32"/>
        <w:ind w:right="0"/>
        <w:jc w:val="left"/>
      </w:pPr>
      <w:r>
        <w:rPr>
          <w:rFonts w:ascii="Times New Roman" w:hAnsi="Times New Roman" w:cs="Times New Roman" w:eastAsia="Times New Roman" w:hint="default"/>
        </w:rPr>
        <w:t>4)</w:t>
      </w:r>
      <w:r>
        <w:rPr/>
        <w:t>合理分配利润，积极回报投资者</w:t>
      </w:r>
    </w:p>
    <w:p>
      <w:pPr>
        <w:pStyle w:val="BodyText"/>
        <w:spacing w:line="316" w:lineRule="auto" w:before="63"/>
        <w:ind w:right="1131" w:firstLine="360"/>
        <w:jc w:val="both"/>
      </w:pPr>
      <w:r>
        <w:rPr>
          <w:spacing w:val="-2"/>
        </w:rPr>
        <w:t>《公司章程》中对利润分配的分配原则、分配形式、决策机制与程序、现金分红的具体条件、现金分红比例等内容均进</w:t>
      </w:r>
      <w:r>
        <w:rPr/>
        <w:t> </w:t>
      </w:r>
      <w:r>
        <w:rPr>
          <w:spacing w:val="-2"/>
        </w:rPr>
        <w:t>行了明确的规定。鉴于公司当前稳定的经营和盈利情况，以及公司未来发展的良好预期，为了回报公司股东，与广大投资者</w:t>
      </w:r>
      <w:r>
        <w:rPr>
          <w:spacing w:val="-66"/>
        </w:rPr>
        <w:t> </w:t>
      </w:r>
      <w:r>
        <w:rPr>
          <w:spacing w:val="-66"/>
        </w:rPr>
      </w:r>
      <w:r>
        <w:rPr>
          <w:spacing w:val="-2"/>
        </w:rPr>
        <w:t>共享公司发展的经营成果，公司拟定</w:t>
      </w:r>
      <w:r>
        <w:rPr>
          <w:rFonts w:ascii="Times New Roman" w:hAnsi="Times New Roman" w:cs="Times New Roman" w:eastAsia="Times New Roman" w:hint="default"/>
          <w:spacing w:val="-2"/>
        </w:rPr>
        <w:t>2018</w:t>
      </w:r>
      <w:r>
        <w:rPr>
          <w:spacing w:val="-2"/>
        </w:rPr>
        <w:t>年度利润分配预案为：以未来实施</w:t>
      </w:r>
      <w:r>
        <w:rPr>
          <w:rFonts w:ascii="Times New Roman" w:hAnsi="Times New Roman" w:cs="Times New Roman" w:eastAsia="Times New Roman" w:hint="default"/>
          <w:spacing w:val="-2"/>
        </w:rPr>
        <w:t>2018</w:t>
      </w:r>
      <w:r>
        <w:rPr>
          <w:spacing w:val="-2"/>
        </w:rPr>
        <w:t>年年度权益分配方案时股权登记日的总股本</w:t>
      </w:r>
    </w:p>
    <w:p>
      <w:pPr>
        <w:pStyle w:val="BodyText"/>
        <w:spacing w:line="309" w:lineRule="auto"/>
        <w:ind w:right="0"/>
        <w:jc w:val="left"/>
      </w:pPr>
      <w:r>
        <w:rPr>
          <w:spacing w:val="-1"/>
        </w:rPr>
        <w:t>（剔除回购股份）为基数，向全体股东按每</w:t>
      </w:r>
      <w:r>
        <w:rPr>
          <w:rFonts w:ascii="Times New Roman" w:hAnsi="Times New Roman" w:cs="Times New Roman" w:eastAsia="Times New Roman" w:hint="default"/>
          <w:spacing w:val="-1"/>
        </w:rPr>
        <w:t>10</w:t>
      </w:r>
      <w:r>
        <w:rPr>
          <w:spacing w:val="-1"/>
        </w:rPr>
        <w:t>股派发现金红利人民币</w:t>
      </w:r>
      <w:r>
        <w:rPr>
          <w:rFonts w:ascii="Times New Roman" w:hAnsi="Times New Roman" w:cs="Times New Roman" w:eastAsia="Times New Roman" w:hint="default"/>
          <w:spacing w:val="-1"/>
        </w:rPr>
        <w:t>0.25</w:t>
      </w:r>
      <w:r>
        <w:rPr>
          <w:spacing w:val="-1"/>
        </w:rPr>
        <w:t>元（含税），不送红股，也不以资本公积金转增股</w:t>
      </w:r>
      <w:r>
        <w:rPr>
          <w:spacing w:val="-71"/>
        </w:rPr>
        <w:t> </w:t>
      </w:r>
      <w:r>
        <w:rPr>
          <w:spacing w:val="-71"/>
        </w:rPr>
      </w:r>
      <w:r>
        <w:rPr/>
        <w:t>本，剩余未分配利润结转入下一年度。（现金分红金额暂以截至本公告披露日扣除公司回购专户上已回购股份后的总股本 </w:t>
      </w:r>
      <w:r>
        <w:rPr>
          <w:rFonts w:ascii="Times New Roman" w:hAnsi="Times New Roman" w:cs="Times New Roman" w:eastAsia="Times New Roman" w:hint="default"/>
        </w:rPr>
        <w:t>1,096,886,273</w:t>
      </w:r>
      <w:r>
        <w:rPr/>
        <w:t>股为基数进行测算，共计</w:t>
      </w:r>
      <w:r>
        <w:rPr>
          <w:rFonts w:ascii="Times New Roman" w:hAnsi="Times New Roman" w:cs="Times New Roman" w:eastAsia="Times New Roman" w:hint="default"/>
        </w:rPr>
        <w:t>27,422,156.83</w:t>
      </w:r>
      <w:r>
        <w:rPr/>
        <w:t>元。）</w:t>
      </w:r>
    </w:p>
    <w:p>
      <w:pPr>
        <w:pStyle w:val="BodyText"/>
        <w:spacing w:line="240" w:lineRule="auto" w:before="5"/>
        <w:ind w:right="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建立内幕交易防控机制，对内幕交易坚决说</w:t>
      </w:r>
      <w:r>
        <w:rPr>
          <w:rFonts w:ascii="Times New Roman" w:hAnsi="Times New Roman" w:cs="Times New Roman" w:eastAsia="Times New Roman" w:hint="default"/>
        </w:rPr>
        <w:t>“</w:t>
      </w:r>
      <w:r>
        <w:rPr/>
        <w:t>不</w:t>
      </w:r>
      <w:r>
        <w:rPr>
          <w:rFonts w:ascii="Times New Roman" w:hAnsi="Times New Roman" w:cs="Times New Roman" w:eastAsia="Times New Roman" w:hint="default"/>
        </w:rPr>
        <w:t>”</w:t>
      </w:r>
    </w:p>
    <w:p>
      <w:pPr>
        <w:pStyle w:val="BodyText"/>
        <w:spacing w:line="316" w:lineRule="auto" w:before="63"/>
        <w:ind w:right="1131" w:firstLine="360"/>
        <w:jc w:val="both"/>
      </w:pPr>
      <w:r>
        <w:rPr>
          <w:spacing w:val="-2"/>
        </w:rPr>
        <w:t>为加强公司内幕信息管理，做好内幕信息保密工作，维护信息披露的公平原则，保护广大投资者的合法权益，根据《证</w:t>
      </w:r>
      <w:r>
        <w:rPr/>
        <w:t> </w:t>
      </w:r>
      <w:r>
        <w:rPr>
          <w:spacing w:val="-2"/>
        </w:rPr>
        <w:t>券法》、《公司法》、《上市公司信息披露管理办法》等法律法规的规定，公司不断加强对信息披露工作的管理，切实做到</w:t>
      </w:r>
      <w:r>
        <w:rPr>
          <w:spacing w:val="-69"/>
        </w:rPr>
        <w:t> </w:t>
      </w:r>
      <w:r>
        <w:rPr>
          <w:spacing w:val="-69"/>
        </w:rPr>
      </w:r>
      <w:r>
        <w:rPr>
          <w:spacing w:val="-2"/>
        </w:rPr>
        <w:t>严格执行未公开信息的传递、审核、披露流程，有效落实内幕信息知情人报备制度，从而防范内幕信息知情人和非法获取内</w:t>
      </w:r>
      <w:r>
        <w:rPr>
          <w:spacing w:val="-66"/>
        </w:rPr>
        <w:t> </w:t>
      </w:r>
      <w:r>
        <w:rPr>
          <w:spacing w:val="-66"/>
        </w:rPr>
      </w:r>
      <w:r>
        <w:rPr/>
        <w:t>幕信息的人员利用内幕信息从事证券交易活动，坚决杜绝内幕交易行为。</w:t>
      </w:r>
    </w:p>
    <w:p>
      <w:pPr>
        <w:pStyle w:val="BodyText"/>
        <w:spacing w:line="316" w:lineRule="auto" w:before="19"/>
        <w:ind w:right="0" w:firstLine="360"/>
        <w:jc w:val="left"/>
      </w:pPr>
      <w:r>
        <w:rPr>
          <w:spacing w:val="-2"/>
        </w:rPr>
        <w:t>为了防范内幕交易，公司积极组织董事、监事及高级管理人员参加交易所、证监局、上市公司协会等监管部门组织的培</w:t>
      </w:r>
      <w:r>
        <w:rPr/>
        <w:t> </w:t>
      </w:r>
      <w:r>
        <w:rPr>
          <w:spacing w:val="-2"/>
        </w:rPr>
        <w:t>训学习活动。针对内幕信息知情人，经常组织内部学习、交流活动、窗口期提醒等。通过实际案例的学习、敏感期的温馨提</w:t>
      </w:r>
      <w:r>
        <w:rPr>
          <w:spacing w:val="-67"/>
        </w:rPr>
        <w:t> </w:t>
      </w:r>
      <w:r>
        <w:rPr>
          <w:spacing w:val="-67"/>
        </w:rPr>
      </w:r>
      <w:r>
        <w:rPr>
          <w:spacing w:val="-4"/>
        </w:rPr>
        <w:t>示等方式进一步提高董事、监事和高级管理人员及其他相关内幕信息知情人的自律意识和工作的规范性，不断促进公司董事、</w:t>
      </w:r>
      <w:r>
        <w:rPr>
          <w:spacing w:val="-44"/>
        </w:rPr>
        <w:t> </w:t>
      </w:r>
      <w:r>
        <w:rPr>
          <w:spacing w:val="-44"/>
        </w:rPr>
      </w:r>
      <w:r>
        <w:rPr/>
        <w:t>监事和高级管理人员忠实、勤勉、尽责地履行职责。</w:t>
      </w:r>
    </w:p>
    <w:p>
      <w:pPr>
        <w:pStyle w:val="BodyText"/>
        <w:spacing w:line="300" w:lineRule="auto" w:before="19"/>
        <w:ind w:left="514" w:right="0" w:hanging="360"/>
        <w:jc w:val="left"/>
      </w:pPr>
      <w:r>
        <w:rPr/>
        <w:t>（</w:t>
      </w:r>
      <w:r>
        <w:rPr>
          <w:rFonts w:ascii="Times New Roman" w:hAnsi="Times New Roman" w:cs="Times New Roman" w:eastAsia="Times New Roman" w:hint="default"/>
        </w:rPr>
        <w:t>2</w:t>
      </w:r>
      <w:r>
        <w:rPr/>
        <w:t>）债权人权益保护 </w:t>
      </w:r>
      <w:r>
        <w:rPr>
          <w:spacing w:val="-2"/>
        </w:rPr>
        <w:t>公司在注重对股东权益保护的同时，重视对债权人合法权益的保护。在公司的经营决策过程中，万达信息奉行稳健诚信</w:t>
      </w:r>
    </w:p>
    <w:p>
      <w:pPr>
        <w:pStyle w:val="BodyText"/>
        <w:spacing w:line="316" w:lineRule="auto" w:before="32"/>
        <w:ind w:right="1131"/>
        <w:jc w:val="both"/>
      </w:pPr>
      <w:r>
        <w:rPr>
          <w:spacing w:val="-2"/>
        </w:rPr>
        <w:t>的经营策略，控制自身的经营风险，确保公司财务稳健，保障公司资产、资金安全，在追求股东利益最大化的同时兼顾债权</w:t>
      </w:r>
      <w:r>
        <w:rPr>
          <w:spacing w:val="-66"/>
        </w:rPr>
        <w:t> </w:t>
      </w:r>
      <w:r>
        <w:rPr>
          <w:spacing w:val="-66"/>
        </w:rPr>
      </w:r>
      <w:r>
        <w:rPr>
          <w:spacing w:val="-2"/>
        </w:rPr>
        <w:t>人的利益。在企业日常经营中，公司充分考虑债权人的合法权益，严格按照与债权人签订的合同履行债务，及时向债权人通</w:t>
      </w:r>
      <w:r>
        <w:rPr>
          <w:spacing w:val="-66"/>
        </w:rPr>
        <w:t> </w:t>
      </w:r>
      <w:r>
        <w:rPr>
          <w:spacing w:val="-66"/>
        </w:rPr>
      </w:r>
      <w:r>
        <w:rPr>
          <w:spacing w:val="-2"/>
        </w:rPr>
        <w:t>报与其债权权益相关的重大信息，未发生到期债务未及时偿还的行为。当债权人为维护自身利益向公司了解有关财务、经营</w:t>
      </w:r>
      <w:r>
        <w:rPr>
          <w:spacing w:val="-66"/>
        </w:rPr>
        <w:t> </w:t>
      </w:r>
      <w:r>
        <w:rPr>
          <w:spacing w:val="-66"/>
        </w:rPr>
      </w:r>
      <w:r>
        <w:rPr/>
        <w:t>和管理等情况时，公司积极配合并予以相关支持。</w:t>
      </w:r>
    </w:p>
    <w:p>
      <w:pPr>
        <w:pStyle w:val="BodyText"/>
        <w:spacing w:line="240" w:lineRule="auto" w:before="19"/>
        <w:ind w:right="0"/>
        <w:jc w:val="left"/>
      </w:pPr>
      <w:r>
        <w:rPr/>
        <w:t>（</w:t>
      </w:r>
      <w:r>
        <w:rPr>
          <w:rFonts w:ascii="Times New Roman" w:hAnsi="Times New Roman" w:cs="Times New Roman" w:eastAsia="Times New Roman" w:hint="default"/>
        </w:rPr>
        <w:t>3</w:t>
      </w:r>
      <w:r>
        <w:rPr/>
        <w:t>）职工权益保护</w:t>
      </w:r>
    </w:p>
    <w:p>
      <w:pPr>
        <w:pStyle w:val="BodyText"/>
        <w:spacing w:line="240" w:lineRule="auto" w:before="63"/>
        <w:ind w:right="0"/>
        <w:jc w:val="left"/>
      </w:pPr>
      <w:r>
        <w:rPr>
          <w:rFonts w:ascii="Times New Roman" w:hAnsi="Times New Roman" w:cs="Times New Roman" w:eastAsia="Times New Roman" w:hint="default"/>
        </w:rPr>
        <w:t>1)</w:t>
      </w:r>
      <w:r>
        <w:rPr/>
        <w:t>劳动保障</w:t>
      </w:r>
    </w:p>
    <w:p>
      <w:pPr>
        <w:pStyle w:val="BodyText"/>
        <w:spacing w:line="316" w:lineRule="auto" w:before="63"/>
        <w:ind w:right="1133" w:firstLine="360"/>
        <w:jc w:val="both"/>
      </w:pPr>
      <w:r>
        <w:rPr>
          <w:spacing w:val="-2"/>
        </w:rPr>
        <w:t>在保障员工合法权益方面，公司严格遵守《劳动法》、《劳动合同法》、《工会法》等法律法规的要求，建立了一系列</w:t>
      </w:r>
      <w:r>
        <w:rPr/>
        <w:t> </w:t>
      </w:r>
      <w:r>
        <w:rPr>
          <w:spacing w:val="-2"/>
        </w:rPr>
        <w:t>劳动管理制度，依法与员工签订《劳动合同》，并按照国家和地方法律法规为员工办理了医疗、养老、失业、工伤、生育等</w:t>
      </w:r>
      <w:r>
        <w:rPr>
          <w:spacing w:val="-67"/>
        </w:rPr>
        <w:t> </w:t>
      </w:r>
      <w:r>
        <w:rPr>
          <w:spacing w:val="-67"/>
        </w:rPr>
      </w:r>
      <w:r>
        <w:rPr>
          <w:spacing w:val="-2"/>
        </w:rPr>
        <w:t>社会保险，并为员工缴纳住房公积金、补充住房公积金，认真执行员工法定假期、婚假、丧假、产假、工伤假等制度，为员</w:t>
      </w:r>
      <w:r>
        <w:rPr>
          <w:spacing w:val="-67"/>
        </w:rPr>
        <w:t> </w:t>
      </w:r>
      <w:r>
        <w:rPr>
          <w:spacing w:val="-67"/>
        </w:rPr>
      </w:r>
      <w:r>
        <w:rPr/>
        <w:t>工提供健康、有保障的工作环境。</w:t>
      </w:r>
    </w:p>
    <w:p>
      <w:pPr>
        <w:pStyle w:val="BodyText"/>
        <w:spacing w:line="316" w:lineRule="auto" w:before="19"/>
        <w:ind w:right="1133" w:firstLine="360"/>
        <w:jc w:val="both"/>
      </w:pPr>
      <w:r>
        <w:rPr>
          <w:spacing w:val="-2"/>
        </w:rPr>
        <w:t>对工资、福利、社会保险等涉及职工切身利益的事项，公司通过职工代表大会及其他多种方式积极听取员工的意见和建</w:t>
      </w:r>
      <w:r>
        <w:rPr/>
        <w:t> 议，建立员工的企业责任感和主人翁意识，维护员工的合法权益，构建和谐稳定的劳资关系。</w:t>
      </w:r>
    </w:p>
    <w:p>
      <w:pPr>
        <w:pStyle w:val="BodyText"/>
        <w:spacing w:line="240" w:lineRule="auto" w:before="19"/>
        <w:ind w:right="0"/>
        <w:jc w:val="left"/>
      </w:pPr>
      <w:r>
        <w:rPr>
          <w:rFonts w:ascii="Times New Roman" w:hAnsi="Times New Roman" w:cs="Times New Roman" w:eastAsia="Times New Roman" w:hint="default"/>
        </w:rPr>
        <w:t>2)</w:t>
      </w:r>
      <w:r>
        <w:rPr/>
        <w:t>薪酬福利</w:t>
      </w:r>
    </w:p>
    <w:p>
      <w:pPr>
        <w:pStyle w:val="BodyText"/>
        <w:spacing w:line="316" w:lineRule="auto" w:before="63"/>
        <w:ind w:right="1032" w:firstLine="360"/>
        <w:jc w:val="left"/>
      </w:pPr>
      <w:r>
        <w:rPr>
          <w:spacing w:val="-2"/>
        </w:rPr>
        <w:t>公司薪酬政策以市场竞争性为导向，以效益为依托，以经济性、公平性、正向激励性为原则，基于责任与能力、关注结</w:t>
      </w:r>
      <w:r>
        <w:rPr/>
        <w:t> </w:t>
      </w:r>
      <w:r>
        <w:rPr>
          <w:spacing w:val="-2"/>
        </w:rPr>
        <w:t>果，鼓励员工主动迎接挑战、兑现承诺，促进公司与员工共同的发展与成长。公司薪酬由基本能力工资、职务工资、绩效奖</w:t>
      </w:r>
      <w:r>
        <w:rPr>
          <w:spacing w:val="-67"/>
        </w:rPr>
        <w:t> </w:t>
      </w:r>
      <w:r>
        <w:rPr>
          <w:spacing w:val="-67"/>
        </w:rPr>
      </w:r>
      <w:r>
        <w:rPr>
          <w:spacing w:val="-2"/>
        </w:rPr>
        <w:t>金构成。基本能力工资根据个人能力和从事工作的类别确定，与任职资格体系挂钩。职务工资根据个人承担的责任，按工作</w:t>
      </w:r>
      <w:r>
        <w:rPr>
          <w:spacing w:val="-66"/>
        </w:rPr>
        <w:t> </w:t>
      </w:r>
      <w:r>
        <w:rPr>
          <w:spacing w:val="-66"/>
        </w:rPr>
      </w:r>
      <w:r>
        <w:rPr/>
        <w:t>的内容、难易程度、责任轻重，压力大小等因素确定。绩效奖金与公司年度经营目标挂钩，有效结合员工利益与公司效益， 激发员工的潜力和活力。为进一步吸引和保留核心骨干人才，建立员工激励体制，促进公司的长远发展。</w:t>
      </w:r>
    </w:p>
    <w:p>
      <w:pPr>
        <w:pStyle w:val="BodyText"/>
        <w:spacing w:line="300" w:lineRule="auto" w:before="19"/>
        <w:ind w:right="1139" w:firstLine="360"/>
        <w:jc w:val="both"/>
      </w:pPr>
      <w:r>
        <w:rPr/>
        <w:t>为进一步吸引和保留核心骨干人才，建立员工激励体制，促进公司的长远发展，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月，公司推出了《</w:t>
      </w:r>
      <w:r>
        <w:rPr>
          <w:rFonts w:ascii="Times New Roman" w:hAnsi="Times New Roman" w:cs="Times New Roman" w:eastAsia="Times New Roman" w:hint="default"/>
        </w:rPr>
        <w:t>2018</w:t>
      </w:r>
      <w:r>
        <w:rPr/>
        <w:t>年股票 期权激励计划》，首次授予激励对象</w:t>
      </w:r>
      <w:r>
        <w:rPr>
          <w:rFonts w:ascii="Times New Roman" w:hAnsi="Times New Roman" w:cs="Times New Roman" w:eastAsia="Times New Roman" w:hint="default"/>
        </w:rPr>
        <w:t>910</w:t>
      </w:r>
      <w:r>
        <w:rPr/>
        <w:t>人，鼓励员工和企业共同成长。</w:t>
      </w:r>
    </w:p>
    <w:p>
      <w:pPr>
        <w:pStyle w:val="BodyText"/>
        <w:spacing w:line="240" w:lineRule="auto" w:before="13"/>
        <w:ind w:right="0"/>
        <w:jc w:val="left"/>
      </w:pPr>
      <w:r>
        <w:rPr>
          <w:rFonts w:ascii="Times New Roman" w:hAnsi="Times New Roman" w:cs="Times New Roman" w:eastAsia="Times New Roman" w:hint="default"/>
        </w:rPr>
        <w:t>3)</w:t>
      </w:r>
      <w:r>
        <w:rPr/>
        <w:t>员工培训</w:t>
      </w:r>
    </w:p>
    <w:p>
      <w:pPr>
        <w:pStyle w:val="BodyText"/>
        <w:spacing w:line="240" w:lineRule="auto" w:before="63"/>
        <w:ind w:left="514" w:right="0"/>
        <w:jc w:val="left"/>
      </w:pPr>
      <w:r>
        <w:rPr>
          <w:rFonts w:ascii="Times New Roman" w:hAnsi="Times New Roman" w:cs="Times New Roman" w:eastAsia="Times New Roman" w:hint="default"/>
        </w:rPr>
        <w:t>2018</w:t>
      </w:r>
      <w:r>
        <w:rPr/>
        <w:t>年，培训工作紧密围绕公司人才战略开展，根据培训需求调查结果，制定年度培训计划并认真落实，培训工作取得</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67" w:hanging="360"/>
        <w:jc w:val="left"/>
      </w:pPr>
      <w:r>
        <w:rPr/>
        <w:t>了新的进展。在形式上主要分为内训地面课，内训线上课和外训课程。 内训地面课全年开展了技术通道、项目通道、行业通道等培训</w:t>
      </w:r>
      <w:r>
        <w:rPr>
          <w:rFonts w:ascii="Times New Roman" w:hAnsi="Times New Roman" w:cs="Times New Roman" w:eastAsia="Times New Roman" w:hint="default"/>
        </w:rPr>
        <w:t>72</w:t>
      </w:r>
      <w:r>
        <w:rPr/>
        <w:t>场，共计</w:t>
      </w:r>
      <w:r>
        <w:rPr>
          <w:rFonts w:ascii="Times New Roman" w:hAnsi="Times New Roman" w:cs="Times New Roman" w:eastAsia="Times New Roman" w:hint="default"/>
        </w:rPr>
        <w:t>165.5</w:t>
      </w:r>
      <w:r>
        <w:rPr/>
        <w:t>课时，实际参加培训</w:t>
      </w:r>
      <w:r>
        <w:rPr>
          <w:rFonts w:ascii="Times New Roman" w:hAnsi="Times New Roman" w:cs="Times New Roman" w:eastAsia="Times New Roman" w:hint="default"/>
        </w:rPr>
        <w:t>1612</w:t>
      </w:r>
      <w:r>
        <w:rPr/>
        <w:t>人次。培训因</w:t>
      </w:r>
    </w:p>
    <w:p>
      <w:pPr>
        <w:pStyle w:val="BodyText"/>
        <w:spacing w:line="316" w:lineRule="auto"/>
        <w:ind w:right="0"/>
        <w:jc w:val="left"/>
      </w:pPr>
      <w:r>
        <w:rPr>
          <w:spacing w:val="-2"/>
        </w:rPr>
        <w:t>需制宜，内容多样，在保留历年优秀课程的同时，新增加了许多员工感兴趣或前沿技术类课程，并积极开销售培训、新晋中</w:t>
      </w:r>
      <w:r>
        <w:rPr>
          <w:spacing w:val="-66"/>
        </w:rPr>
        <w:t> </w:t>
      </w:r>
      <w:r>
        <w:rPr>
          <w:spacing w:val="-66"/>
        </w:rPr>
      </w:r>
      <w:r>
        <w:rPr/>
        <w:t>层培训、新员工入职培训等课程，进一步增强了公司各类人才的业务知识和岗位技能。</w:t>
      </w:r>
    </w:p>
    <w:p>
      <w:pPr>
        <w:pStyle w:val="BodyText"/>
        <w:spacing w:line="300" w:lineRule="auto" w:before="19"/>
        <w:ind w:right="1042" w:firstLine="360"/>
        <w:jc w:val="both"/>
      </w:pPr>
      <w:r>
        <w:rPr>
          <w:rFonts w:ascii="Times New Roman" w:hAnsi="Times New Roman" w:cs="Times New Roman" w:eastAsia="Times New Roman" w:hint="default"/>
          <w:spacing w:val="-2"/>
        </w:rPr>
        <w:t>2018</w:t>
      </w:r>
      <w:r>
        <w:rPr>
          <w:spacing w:val="-2"/>
        </w:rPr>
        <w:t>年，还在内训地面课程的基础上，加开网络线上课程形式，扩展了培训对象，使分布在全国各地的员工更易于参加</w:t>
      </w:r>
      <w:r>
        <w:rPr/>
        <w:t> 培训。</w:t>
      </w:r>
      <w:r>
        <w:rPr>
          <w:rFonts w:ascii="Times New Roman" w:hAnsi="Times New Roman" w:cs="Times New Roman" w:eastAsia="Times New Roman" w:hint="default"/>
        </w:rPr>
        <w:t>2018</w:t>
      </w:r>
      <w:r>
        <w:rPr/>
        <w:t>年线上内训课程共计时长</w:t>
      </w:r>
      <w:r>
        <w:rPr>
          <w:rFonts w:ascii="Times New Roman" w:hAnsi="Times New Roman" w:cs="Times New Roman" w:eastAsia="Times New Roman" w:hint="default"/>
        </w:rPr>
        <w:t>9345.8</w:t>
      </w:r>
      <w:r>
        <w:rPr/>
        <w:t>小时，培训</w:t>
      </w:r>
      <w:r>
        <w:rPr>
          <w:rFonts w:ascii="Times New Roman" w:hAnsi="Times New Roman" w:cs="Times New Roman" w:eastAsia="Times New Roman" w:hint="default"/>
        </w:rPr>
        <w:t>3038</w:t>
      </w:r>
      <w:r>
        <w:rPr/>
        <w:t>人，其中对核心关键岗位项目经理的培训进一步加强，人力资源 </w:t>
      </w:r>
      <w:r>
        <w:rPr>
          <w:spacing w:val="-1"/>
        </w:rPr>
        <w:t>部协同项目与质量管理部，完成面向项目经理的系列在线课程</w:t>
      </w:r>
      <w:r>
        <w:rPr>
          <w:rFonts w:ascii="Times New Roman" w:hAnsi="Times New Roman" w:cs="Times New Roman" w:eastAsia="Times New Roman" w:hint="default"/>
          <w:spacing w:val="-1"/>
        </w:rPr>
        <w:t>,</w:t>
      </w:r>
      <w:r>
        <w:rPr>
          <w:spacing w:val="-1"/>
        </w:rPr>
        <w:t>尤强化了对新任项目经理的应知应会要求和必修课程的考核。</w:t>
      </w:r>
    </w:p>
    <w:p>
      <w:pPr>
        <w:pStyle w:val="BodyText"/>
        <w:spacing w:line="316" w:lineRule="auto" w:before="13"/>
        <w:ind w:right="1032" w:firstLine="360"/>
        <w:jc w:val="left"/>
      </w:pPr>
      <w:r>
        <w:rPr>
          <w:spacing w:val="-2"/>
        </w:rPr>
        <w:t>在外训方面，根据业务单元的不同需求，请外部优秀师资对内部员工开展关于管理、销售、沟通技巧、新媒体运营、等</w:t>
      </w:r>
      <w:r>
        <w:rPr/>
        <w:t> 方面的培训。此外，还围绕提升沟通效率等主题，开展了多样化团队建设活动，包括拆书帮、篝火晚会、户外皮划艇活动、 儿童节亲子游园、绘画征文比赛等，这些项目不仅丰富了员工的文化生活，也对提高团队凝聚力起到了一定作用。 </w:t>
      </w:r>
      <w:r>
        <w:rPr>
          <w:rFonts w:ascii="Times New Roman" w:hAnsi="Times New Roman" w:cs="Times New Roman" w:eastAsia="Times New Roman" w:hint="default"/>
        </w:rPr>
        <w:t>4)</w:t>
      </w:r>
      <w:r>
        <w:rPr/>
        <w:t>人文关怀</w:t>
      </w:r>
    </w:p>
    <w:p>
      <w:pPr>
        <w:pStyle w:val="BodyText"/>
        <w:spacing w:line="316" w:lineRule="auto"/>
        <w:ind w:right="1133" w:firstLine="360"/>
        <w:jc w:val="both"/>
      </w:pPr>
      <w:r>
        <w:rPr>
          <w:spacing w:val="-2"/>
        </w:rPr>
        <w:t>公司一贯重视人文关怀，为帮助新员工尽快融入企业，公司每年组织中高管与他们进行一对一沟通，了解入职以来的角</w:t>
      </w:r>
      <w:r>
        <w:rPr/>
        <w:t> </w:t>
      </w:r>
      <w:r>
        <w:rPr>
          <w:spacing w:val="-2"/>
        </w:rPr>
        <w:t>色转换、成长提高、生活情况等方面，予以正面引导，促使其个人价值与企业价值双丰收。万达信息一年一度的年终总结表</w:t>
      </w:r>
      <w:r>
        <w:rPr>
          <w:spacing w:val="-66"/>
        </w:rPr>
        <w:t> </w:t>
      </w:r>
      <w:r>
        <w:rPr>
          <w:spacing w:val="-66"/>
        </w:rPr>
      </w:r>
      <w:r>
        <w:rPr>
          <w:spacing w:val="-2"/>
        </w:rPr>
        <w:t>彰作为公司的传统已保持了十多年，每年评出的优秀员工、优秀团队都成为了全体万达人的榜样和标杆，激励万达人锐意进</w:t>
      </w:r>
      <w:r>
        <w:rPr>
          <w:spacing w:val="-66"/>
        </w:rPr>
        <w:t> </w:t>
      </w:r>
      <w:r>
        <w:rPr>
          <w:spacing w:val="-66"/>
        </w:rPr>
      </w:r>
      <w:r>
        <w:rPr/>
        <w:t>取，奋勇争先。</w:t>
      </w:r>
    </w:p>
    <w:p>
      <w:pPr>
        <w:pStyle w:val="BodyText"/>
        <w:spacing w:line="312" w:lineRule="auto" w:before="19"/>
        <w:ind w:right="1131" w:firstLine="360"/>
        <w:jc w:val="both"/>
      </w:pPr>
      <w:r>
        <w:rPr>
          <w:spacing w:val="-2"/>
        </w:rPr>
        <w:t>公司还关注员工的身心健康，经常组织开展丰富多彩的员工活动。公司建有员工俱乐部，不定期开展羽毛球、篮球、乒</w:t>
      </w:r>
      <w:r>
        <w:rPr/>
        <w:t> </w:t>
      </w:r>
      <w:r>
        <w:rPr>
          <w:spacing w:val="-2"/>
        </w:rPr>
        <w:t>乓球、足球、摄影等活动和比赛，展现了万达人积极向上的精神面貌。三八国际妇女节来临之际，公司组织女员工提供健康</w:t>
      </w:r>
      <w:r>
        <w:rPr>
          <w:spacing w:val="-66"/>
        </w:rPr>
        <w:t> </w:t>
      </w:r>
      <w:r>
        <w:rPr>
          <w:spacing w:val="-66"/>
        </w:rPr>
      </w:r>
      <w:r>
        <w:rPr>
          <w:spacing w:val="-2"/>
        </w:rPr>
        <w:t>体检，并邀请专家开展健康讲座，强化员工的健康意识；发起</w:t>
      </w:r>
      <w:r>
        <w:rPr>
          <w:rFonts w:ascii="Times New Roman" w:hAnsi="Times New Roman" w:cs="Times New Roman" w:eastAsia="Times New Roman" w:hint="default"/>
          <w:spacing w:val="-2"/>
        </w:rPr>
        <w:t>“</w:t>
      </w:r>
      <w:r>
        <w:rPr>
          <w:spacing w:val="-2"/>
        </w:rPr>
        <w:t>天花板下不吸烟</w:t>
      </w:r>
      <w:r>
        <w:rPr>
          <w:rFonts w:ascii="Times New Roman" w:hAnsi="Times New Roman" w:cs="Times New Roman" w:eastAsia="Times New Roman" w:hint="default"/>
          <w:spacing w:val="-2"/>
        </w:rPr>
        <w:t>”</w:t>
      </w:r>
      <w:r>
        <w:rPr>
          <w:spacing w:val="-2"/>
        </w:rPr>
        <w:t>倡议，引导员工身体力行创建健康的工作环</w:t>
      </w:r>
      <w:r>
        <w:rPr>
          <w:spacing w:val="-44"/>
        </w:rPr>
        <w:t> </w:t>
      </w:r>
      <w:r>
        <w:rPr>
          <w:spacing w:val="-44"/>
        </w:rPr>
      </w:r>
      <w:r>
        <w:rPr>
          <w:spacing w:val="-2"/>
        </w:rPr>
        <w:t>境。此外，公司为员工购买上海市总工会在职员工住院互助计划，在医保统筹支付的基础上，进一步减轻员工就医负担；引</w:t>
      </w:r>
      <w:r>
        <w:rPr>
          <w:spacing w:val="-66"/>
        </w:rPr>
        <w:t> </w:t>
      </w:r>
      <w:r>
        <w:rPr>
          <w:spacing w:val="-66"/>
        </w:rPr>
      </w:r>
      <w:r>
        <w:rPr>
          <w:spacing w:val="-1"/>
        </w:rPr>
        <w:t>进</w:t>
      </w:r>
      <w:r>
        <w:rPr>
          <w:rFonts w:ascii="Times New Roman" w:hAnsi="Times New Roman" w:cs="Times New Roman" w:eastAsia="Times New Roman" w:hint="default"/>
          <w:spacing w:val="-1"/>
        </w:rPr>
        <w:t>“</w:t>
      </w:r>
      <w:r>
        <w:rPr>
          <w:spacing w:val="-1"/>
        </w:rPr>
        <w:t>健康小屋</w:t>
      </w:r>
      <w:r>
        <w:rPr>
          <w:rFonts w:ascii="Times New Roman" w:hAnsi="Times New Roman" w:cs="Times New Roman" w:eastAsia="Times New Roman" w:hint="default"/>
          <w:spacing w:val="-1"/>
        </w:rPr>
        <w:t>”</w:t>
      </w:r>
      <w:r>
        <w:rPr>
          <w:spacing w:val="-1"/>
        </w:rPr>
        <w:t>，在指定办公地点提供健康测量仪器，让员工</w:t>
      </w:r>
      <w:r>
        <w:rPr>
          <w:rFonts w:ascii="Times New Roman" w:hAnsi="Times New Roman" w:cs="Times New Roman" w:eastAsia="Times New Roman" w:hint="default"/>
          <w:spacing w:val="-1"/>
        </w:rPr>
        <w:t>“</w:t>
      </w:r>
      <w:r>
        <w:rPr>
          <w:spacing w:val="-1"/>
        </w:rPr>
        <w:t>随心所欲</w:t>
      </w:r>
      <w:r>
        <w:rPr>
          <w:rFonts w:ascii="Times New Roman" w:hAnsi="Times New Roman" w:cs="Times New Roman" w:eastAsia="Times New Roman" w:hint="default"/>
          <w:spacing w:val="-1"/>
        </w:rPr>
        <w:t>”</w:t>
      </w:r>
      <w:r>
        <w:rPr>
          <w:spacing w:val="-1"/>
        </w:rPr>
        <w:t>获取健康数据，指导健康生活；定期组织医院专科专</w:t>
      </w:r>
      <w:r>
        <w:rPr>
          <w:spacing w:val="-79"/>
        </w:rPr>
        <w:t> </w:t>
      </w:r>
      <w:r>
        <w:rPr>
          <w:spacing w:val="-79"/>
        </w:rPr>
      </w:r>
      <w:r>
        <w:rPr/>
        <w:t>家到公司举办健康培训的沙龙活动，为员工提供异常体征的健康关怀、常见病和多发病咨询。</w:t>
      </w:r>
    </w:p>
    <w:p>
      <w:pPr>
        <w:pStyle w:val="BodyText"/>
        <w:spacing w:line="240" w:lineRule="auto" w:before="22"/>
        <w:ind w:left="514" w:right="0"/>
        <w:jc w:val="left"/>
      </w:pPr>
      <w:r>
        <w:rPr>
          <w:rFonts w:ascii="Times New Roman" w:hAnsi="Times New Roman" w:cs="Times New Roman" w:eastAsia="Times New Roman" w:hint="default"/>
        </w:rPr>
        <w:t>2018</w:t>
      </w:r>
      <w:r>
        <w:rPr/>
        <w:t>年，公司为身患重疾的员工发起爱心捐助活动，并积极安排就诊治疗，为员工解除后顾之忧，帮助员工尽快康复。</w:t>
      </w:r>
    </w:p>
    <w:p>
      <w:pPr>
        <w:pStyle w:val="BodyText"/>
        <w:spacing w:line="240" w:lineRule="auto" w:before="63"/>
        <w:ind w:right="0"/>
        <w:jc w:val="left"/>
      </w:pPr>
      <w:r>
        <w:rPr/>
        <w:t>（</w:t>
      </w:r>
      <w:r>
        <w:rPr>
          <w:rFonts w:ascii="Times New Roman" w:hAnsi="Times New Roman" w:cs="Times New Roman" w:eastAsia="Times New Roman" w:hint="default"/>
        </w:rPr>
        <w:t>4</w:t>
      </w:r>
      <w:r>
        <w:rPr/>
        <w:t>）客户及供应商权益保护</w:t>
      </w:r>
    </w:p>
    <w:p>
      <w:pPr>
        <w:pStyle w:val="BodyText"/>
        <w:spacing w:line="300" w:lineRule="auto" w:before="63"/>
        <w:ind w:left="514" w:right="0" w:hanging="360"/>
        <w:jc w:val="left"/>
      </w:pPr>
      <w:r>
        <w:rPr>
          <w:rFonts w:ascii="Times New Roman" w:hAnsi="Times New Roman" w:cs="Times New Roman" w:eastAsia="Times New Roman" w:hint="default"/>
        </w:rPr>
        <w:t>1)</w:t>
      </w:r>
      <w:r>
        <w:rPr/>
        <w:t>积极保护客户权益</w:t>
      </w:r>
      <w:r>
        <w:rPr>
          <w:w w:val="99"/>
        </w:rPr>
        <w:t> </w:t>
      </w:r>
      <w:r>
        <w:rPr>
          <w:spacing w:val="-2"/>
        </w:rPr>
        <w:t>公司始终以客户需求为出发点，坚持贯彻</w:t>
      </w:r>
      <w:r>
        <w:rPr>
          <w:rFonts w:ascii="Times New Roman" w:hAnsi="Times New Roman" w:cs="Times New Roman" w:eastAsia="Times New Roman" w:hint="default"/>
          <w:spacing w:val="-2"/>
        </w:rPr>
        <w:t>“</w:t>
      </w:r>
      <w:r>
        <w:rPr>
          <w:spacing w:val="-2"/>
        </w:rPr>
        <w:t>想在用户之前，想在用户之上，想在用户之外</w:t>
      </w:r>
      <w:r>
        <w:rPr>
          <w:rFonts w:ascii="Times New Roman" w:hAnsi="Times New Roman" w:cs="Times New Roman" w:eastAsia="Times New Roman" w:hint="default"/>
          <w:spacing w:val="-2"/>
        </w:rPr>
        <w:t>”</w:t>
      </w:r>
      <w:r>
        <w:rPr>
          <w:spacing w:val="-2"/>
        </w:rPr>
        <w:t>的服务理念，推动产品及服务</w:t>
      </w:r>
    </w:p>
    <w:p>
      <w:pPr>
        <w:pStyle w:val="BodyText"/>
        <w:spacing w:line="316" w:lineRule="auto" w:before="13"/>
        <w:ind w:right="0"/>
        <w:jc w:val="left"/>
      </w:pPr>
      <w:r>
        <w:rPr>
          <w:spacing w:val="-2"/>
        </w:rPr>
        <w:t>持续升级，为客户提供更具满意度的产品和服务。公司持续推进新业务、新技术、新模式的研发，不断使城市的运营效率得</w:t>
      </w:r>
      <w:r>
        <w:rPr>
          <w:spacing w:val="-66"/>
        </w:rPr>
        <w:t> </w:t>
      </w:r>
      <w:r>
        <w:rPr>
          <w:spacing w:val="-66"/>
        </w:rPr>
      </w:r>
      <w:r>
        <w:rPr/>
        <w:t>到提升，服务更为便捷，公共服务的用户体验更加完美。</w:t>
      </w:r>
    </w:p>
    <w:p>
      <w:pPr>
        <w:pStyle w:val="BodyText"/>
        <w:spacing w:line="300" w:lineRule="auto" w:before="19"/>
        <w:ind w:left="514" w:right="0" w:hanging="360"/>
        <w:jc w:val="left"/>
      </w:pPr>
      <w:r>
        <w:rPr>
          <w:rFonts w:ascii="Times New Roman" w:hAnsi="Times New Roman" w:cs="Times New Roman" w:eastAsia="Times New Roman" w:hint="default"/>
        </w:rPr>
        <w:t>2)</w:t>
      </w:r>
      <w:r>
        <w:rPr/>
        <w:t>建立公平诚信的商务采购体系</w:t>
      </w:r>
      <w:r>
        <w:rPr>
          <w:w w:val="99"/>
        </w:rPr>
        <w:t> </w:t>
      </w:r>
      <w:r>
        <w:rPr>
          <w:spacing w:val="-2"/>
        </w:rPr>
        <w:t>公司注重供应链体系建设，建立公平、公正的商务采购体系，实现和供应商合作关系的稳定和发展，增强供应体系的竞</w:t>
      </w:r>
    </w:p>
    <w:p>
      <w:pPr>
        <w:pStyle w:val="BodyText"/>
        <w:spacing w:line="316" w:lineRule="auto" w:before="31"/>
        <w:ind w:right="1032"/>
        <w:jc w:val="left"/>
      </w:pPr>
      <w:r>
        <w:rPr>
          <w:spacing w:val="-2"/>
        </w:rPr>
        <w:t>争力。公司制定了《采购管理制度》并不断优化，明确的规定了采购相关的需求审批流程、采购合同审批流程等，从采购岗</w:t>
      </w:r>
      <w:r>
        <w:rPr>
          <w:spacing w:val="-68"/>
        </w:rPr>
        <w:t> </w:t>
      </w:r>
      <w:r>
        <w:rPr>
          <w:spacing w:val="-68"/>
        </w:rPr>
      </w:r>
      <w:r>
        <w:rPr/>
        <w:t>位职责出发，完善了授权与审批、采购方式、供应商管理控制的要求，在保证公司业务正常运营的前提下，力求降低成本， 以获得更优的性价比。</w:t>
      </w:r>
    </w:p>
    <w:p>
      <w:pPr>
        <w:pStyle w:val="BodyText"/>
        <w:spacing w:line="240" w:lineRule="auto" w:before="19"/>
        <w:ind w:right="0"/>
        <w:jc w:val="left"/>
      </w:pPr>
      <w:r>
        <w:rPr/>
        <w:t>（</w:t>
      </w:r>
      <w:r>
        <w:rPr>
          <w:rFonts w:ascii="Times New Roman" w:hAnsi="Times New Roman" w:cs="Times New Roman" w:eastAsia="Times New Roman" w:hint="default"/>
        </w:rPr>
        <w:t>5</w:t>
      </w:r>
      <w:r>
        <w:rPr/>
        <w:t>）公共关系与社会公益事业</w:t>
      </w:r>
    </w:p>
    <w:p>
      <w:pPr>
        <w:pStyle w:val="BodyText"/>
        <w:spacing w:line="300" w:lineRule="auto" w:before="63"/>
        <w:ind w:left="514" w:right="1167" w:hanging="360"/>
        <w:jc w:val="left"/>
      </w:pPr>
      <w:r>
        <w:rPr>
          <w:rFonts w:ascii="Times New Roman" w:hAnsi="Times New Roman" w:cs="Times New Roman" w:eastAsia="Times New Roman" w:hint="default"/>
        </w:rPr>
        <w:t>1)</w:t>
      </w:r>
      <w:r>
        <w:rPr/>
        <w:t>积极纳税，推动地方经济</w:t>
      </w:r>
      <w:r>
        <w:rPr>
          <w:w w:val="99"/>
        </w:rPr>
        <w:t> </w:t>
      </w:r>
      <w:r>
        <w:rPr/>
        <w:t>公司通过依法纳税，积极履行纳税人义务，推动地方经济发展。公司</w:t>
      </w:r>
      <w:r>
        <w:rPr>
          <w:rFonts w:ascii="Times New Roman" w:hAnsi="Times New Roman" w:cs="Times New Roman" w:eastAsia="Times New Roman" w:hint="default"/>
        </w:rPr>
        <w:t>2018</w:t>
      </w:r>
      <w:r>
        <w:rPr/>
        <w:t>年实现纳税额</w:t>
      </w:r>
      <w:r>
        <w:rPr>
          <w:rFonts w:ascii="Times New Roman" w:hAnsi="Times New Roman" w:cs="Times New Roman" w:eastAsia="Times New Roman" w:hint="default"/>
        </w:rPr>
        <w:t>1.3</w:t>
      </w:r>
      <w:r>
        <w:rPr/>
        <w:t>亿元，为国家财政税收及地</w:t>
      </w:r>
    </w:p>
    <w:p>
      <w:pPr>
        <w:pStyle w:val="BodyText"/>
        <w:spacing w:line="240" w:lineRule="auto" w:before="13"/>
        <w:ind w:right="0"/>
        <w:jc w:val="left"/>
      </w:pPr>
      <w:r>
        <w:rPr/>
        <w:t>方政府和社会的经济发展做出了较大的贡献。</w:t>
      </w:r>
    </w:p>
    <w:p>
      <w:pPr>
        <w:pStyle w:val="BodyText"/>
        <w:spacing w:line="300" w:lineRule="auto" w:before="76"/>
        <w:ind w:left="514" w:right="0" w:hanging="360"/>
        <w:jc w:val="left"/>
      </w:pPr>
      <w:r>
        <w:rPr>
          <w:rFonts w:ascii="Times New Roman" w:hAnsi="Times New Roman" w:cs="Times New Roman" w:eastAsia="Times New Roman" w:hint="default"/>
        </w:rPr>
        <w:t>2)</w:t>
      </w:r>
      <w:r>
        <w:rPr/>
        <w:t>重视公共关系，赢得各界认同</w:t>
      </w:r>
      <w:r>
        <w:rPr>
          <w:w w:val="99"/>
        </w:rPr>
        <w:t> </w:t>
      </w:r>
      <w:r>
        <w:rPr>
          <w:spacing w:val="-2"/>
        </w:rPr>
        <w:t>公司高度重视加强与政府部门和监管机构的联系、汇报，主动配合政府部门和监管部门的监督和检查，涉及公司规范运</w:t>
      </w:r>
    </w:p>
    <w:p>
      <w:pPr>
        <w:pStyle w:val="BodyText"/>
        <w:spacing w:line="312" w:lineRule="auto" w:before="31"/>
        <w:ind w:right="1115"/>
        <w:jc w:val="left"/>
      </w:pPr>
      <w:r>
        <w:rPr>
          <w:spacing w:val="-2"/>
        </w:rPr>
        <w:t>作相关事项特别是重大事项都及时向监管部门汇报和咨询，接受监管部门的指导，认真听取监管部门的意见。同时，作为社</w:t>
      </w:r>
      <w:r>
        <w:rPr>
          <w:spacing w:val="-66"/>
        </w:rPr>
        <w:t> </w:t>
      </w:r>
      <w:r>
        <w:rPr>
          <w:spacing w:val="-66"/>
        </w:rPr>
      </w:r>
      <w:r>
        <w:rPr/>
        <w:t>会公众上市公司</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公司在生产经营活动中遵循自愿、公平、诚实信用的原则，遵守社会公德、商业道德，主动接受政府部门 和监管部门的监督和检查，高度重视社会公众及新闻媒体对公司的评论，赢得了社会各界的认同。 </w:t>
      </w:r>
      <w:r>
        <w:rPr>
          <w:rFonts w:ascii="Times New Roman" w:hAnsi="Times New Roman" w:cs="Times New Roman" w:eastAsia="Times New Roman" w:hint="default"/>
        </w:rPr>
        <w:t>3)</w:t>
      </w:r>
      <w:r>
        <w:rPr/>
        <w:t>慈善公益，真情回馈社会</w:t>
      </w:r>
    </w:p>
    <w:p>
      <w:pPr>
        <w:pStyle w:val="BodyText"/>
        <w:spacing w:line="316" w:lineRule="auto" w:before="3"/>
        <w:ind w:left="514" w:right="0"/>
        <w:jc w:val="left"/>
      </w:pPr>
      <w:r>
        <w:rPr/>
        <w:t>公司积极创造经济价值的同时也努力承担社会责任，创造更大的社会价值，以回馈社会。 </w:t>
      </w:r>
      <w:r>
        <w:rPr>
          <w:spacing w:val="-2"/>
        </w:rPr>
        <w:t>为践行公益、奉献社会，公司出台《关于员工参与公益事业的奖励办法》，提倡员工积极参与社会公益活动，提升社会</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责任感。</w:t>
      </w:r>
      <w:r>
        <w:rPr>
          <w:rFonts w:ascii="Times New Roman" w:hAnsi="Times New Roman" w:cs="Times New Roman" w:eastAsia="Times New Roman" w:hint="default"/>
          <w:spacing w:val="-2"/>
        </w:rPr>
        <w:t>2018</w:t>
      </w:r>
      <w:r>
        <w:rPr>
          <w:spacing w:val="-2"/>
        </w:rPr>
        <w:t>年，公司继续组织员工参加义务献血活动，并根据《关于员工参与公益事业的奖励办法》对义务献血的员工当</w:t>
      </w:r>
      <w:r>
        <w:rPr>
          <w:spacing w:val="-62"/>
        </w:rPr>
        <w:t> </w:t>
      </w:r>
      <w:r>
        <w:rPr>
          <w:spacing w:val="-62"/>
        </w:rPr>
      </w:r>
      <w:r>
        <w:rPr/>
        <w:t>年予以现金奖励。</w:t>
      </w:r>
    </w:p>
    <w:p>
      <w:pPr>
        <w:pStyle w:val="BodyText"/>
        <w:spacing w:line="300" w:lineRule="auto" w:before="31"/>
        <w:ind w:left="514" w:right="0" w:hanging="360"/>
        <w:jc w:val="left"/>
      </w:pPr>
      <w:r>
        <w:rPr>
          <w:rFonts w:ascii="Times New Roman" w:hAnsi="Times New Roman" w:cs="Times New Roman" w:eastAsia="Times New Roman" w:hint="default"/>
        </w:rPr>
        <w:t>4)</w:t>
      </w:r>
      <w:r>
        <w:rPr/>
        <w:t>公司荣誉，塑造良好形象</w:t>
      </w:r>
      <w:r>
        <w:rPr>
          <w:w w:val="99"/>
        </w:rPr>
        <w:t> </w:t>
      </w:r>
      <w:r>
        <w:rPr>
          <w:spacing w:val="-2"/>
        </w:rPr>
        <w:t>公司依法经营并积极参与社会活动，获得各界高度评价。公司作为信息系统集成及服务资质重点联系企业，具备计算机</w:t>
      </w:r>
    </w:p>
    <w:p>
      <w:pPr>
        <w:pStyle w:val="BodyText"/>
        <w:spacing w:line="300" w:lineRule="auto" w:before="32"/>
        <w:ind w:right="1131"/>
        <w:jc w:val="both"/>
      </w:pPr>
      <w:r>
        <w:rPr>
          <w:spacing w:val="-2"/>
        </w:rPr>
        <w:t>信息系统集成一级资质和信息系统集成及服务</w:t>
      </w:r>
      <w:r>
        <w:rPr>
          <w:rFonts w:ascii="Times New Roman" w:hAnsi="Times New Roman" w:cs="Times New Roman" w:eastAsia="Times New Roman" w:hint="default"/>
          <w:spacing w:val="-2"/>
        </w:rPr>
        <w:t>——</w:t>
      </w:r>
      <w:r>
        <w:rPr>
          <w:spacing w:val="-2"/>
        </w:rPr>
        <w:t>运行维护分项一级资质，全国首批认定的信息系统集成及服务行业大型骨</w:t>
      </w:r>
      <w:r>
        <w:rPr>
          <w:spacing w:val="-64"/>
        </w:rPr>
        <w:t> </w:t>
      </w:r>
      <w:r>
        <w:rPr>
          <w:spacing w:val="-64"/>
        </w:rPr>
      </w:r>
      <w:r>
        <w:rPr/>
        <w:t>干企业（原信息系统集成及服务大型一级企业资质）。公司是全国首家整体通过</w:t>
      </w:r>
      <w:r>
        <w:rPr>
          <w:rFonts w:ascii="Times New Roman" w:hAnsi="Times New Roman" w:cs="Times New Roman" w:eastAsia="Times New Roman" w:hint="default"/>
        </w:rPr>
        <w:t>CMMI5</w:t>
      </w:r>
      <w:r>
        <w:rPr/>
        <w:t>（软件能力成熟度集成模型）评估</w:t>
      </w:r>
      <w:r>
        <w:rPr>
          <w:w w:val="99"/>
        </w:rPr>
        <w:t> </w:t>
      </w:r>
      <w:r>
        <w:rPr/>
        <w:t>的企业，目前已通过</w:t>
      </w:r>
      <w:r>
        <w:rPr>
          <w:rFonts w:ascii="Times New Roman" w:hAnsi="Times New Roman" w:cs="Times New Roman" w:eastAsia="Times New Roman" w:hint="default"/>
        </w:rPr>
        <w:t>CMMI</w:t>
      </w:r>
      <w:r>
        <w:rPr>
          <w:rFonts w:ascii="Times New Roman" w:hAnsi="Times New Roman" w:cs="Times New Roman" w:eastAsia="Times New Roman" w:hint="default"/>
          <w:spacing w:val="-5"/>
        </w:rPr>
        <w:t> </w:t>
      </w:r>
      <w:r>
        <w:rPr>
          <w:rFonts w:ascii="Times New Roman" w:hAnsi="Times New Roman" w:cs="Times New Roman" w:eastAsia="Times New Roman" w:hint="default"/>
        </w:rPr>
        <w:t>V1.3</w:t>
      </w:r>
      <w:r>
        <w:rPr/>
        <w:t>五级评估，也是全国第一批通过</w:t>
      </w:r>
      <w:r>
        <w:rPr>
          <w:rFonts w:ascii="Times New Roman" w:hAnsi="Times New Roman" w:cs="Times New Roman" w:eastAsia="Times New Roman" w:hint="default"/>
        </w:rPr>
        <w:t>ITSS</w:t>
      </w:r>
      <w:r>
        <w:rPr/>
        <w:t>信息技术服务运行维护标准壹级认定的企业。</w:t>
      </w:r>
    </w:p>
    <w:p>
      <w:pPr>
        <w:pStyle w:val="BodyText"/>
        <w:spacing w:line="304" w:lineRule="auto" w:before="13"/>
        <w:ind w:right="1050" w:firstLine="360"/>
        <w:jc w:val="left"/>
      </w:pPr>
      <w:r>
        <w:rPr>
          <w:spacing w:val="-5"/>
        </w:rPr>
        <w:t>公司自</w:t>
      </w:r>
      <w:r>
        <w:rPr>
          <w:rFonts w:ascii="Times New Roman" w:hAnsi="Times New Roman" w:cs="Times New Roman" w:eastAsia="Times New Roman" w:hint="default"/>
          <w:spacing w:val="-5"/>
        </w:rPr>
        <w:t>2002</w:t>
      </w:r>
      <w:r>
        <w:rPr>
          <w:spacing w:val="-5"/>
        </w:rPr>
        <w:t>年评审资质初始以来，历年均被列为</w:t>
      </w:r>
      <w:r>
        <w:rPr>
          <w:rFonts w:ascii="Times New Roman" w:hAnsi="Times New Roman" w:cs="Times New Roman" w:eastAsia="Times New Roman" w:hint="default"/>
          <w:spacing w:val="-5"/>
        </w:rPr>
        <w:t>“</w:t>
      </w:r>
      <w:r>
        <w:rPr>
          <w:spacing w:val="-5"/>
        </w:rPr>
        <w:t>国家规划布局内重点软件企业</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高新技术企业</w:t>
      </w:r>
      <w:r>
        <w:rPr>
          <w:rFonts w:ascii="Times New Roman" w:hAnsi="Times New Roman" w:cs="Times New Roman" w:eastAsia="Times New Roman" w:hint="default"/>
          <w:spacing w:val="-5"/>
        </w:rPr>
        <w:t>”</w:t>
      </w:r>
      <w:r>
        <w:rPr>
          <w:spacing w:val="-5"/>
        </w:rPr>
        <w:t>，是</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2013-2016</w:t>
      </w:r>
      <w:r>
        <w:rPr>
          <w:rFonts w:ascii="Times New Roman" w:hAnsi="Times New Roman" w:cs="Times New Roman" w:eastAsia="Times New Roman" w:hint="default"/>
        </w:rPr>
        <w:t> </w:t>
      </w:r>
      <w:r>
        <w:rPr/>
        <w:t>年中国十大创新软件企业、软件收入前百家企业、国家火炬计划软件产业基地骨干企业、国家信息产业科技创新先进集体、 </w:t>
      </w:r>
      <w:r>
        <w:rPr>
          <w:spacing w:val="-3"/>
        </w:rPr>
        <w:t>国家技术创新示范企业；入选国家发改委国家高技术产业化示范工程、获批国家级企业技术中心和国家工程实验室，荣获</w:t>
      </w:r>
      <w:r>
        <w:rPr>
          <w:rFonts w:ascii="Times New Roman" w:hAnsi="Times New Roman" w:cs="Times New Roman" w:eastAsia="Times New Roman" w:hint="default"/>
          <w:spacing w:val="-3"/>
        </w:rPr>
        <w:t>“</w:t>
      </w:r>
      <w:r>
        <w:rPr>
          <w:spacing w:val="-3"/>
        </w:rPr>
        <w:t>中</w:t>
      </w:r>
      <w:r>
        <w:rPr>
          <w:spacing w:val="-87"/>
        </w:rPr>
        <w:t> </w:t>
      </w:r>
      <w:r>
        <w:rPr/>
        <w:t>国软件和信息服务十大领军企业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rFonts w:ascii="Times New Roman" w:hAnsi="Times New Roman" w:cs="Times New Roman" w:eastAsia="Times New Roman" w:hint="default"/>
        </w:rPr>
        <w:t>-2018</w:t>
      </w:r>
      <w:r>
        <w:rPr/>
        <w:t>年度中国软件和信息技术服务综合竞争力百强企业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全国电子政务十大杰 出</w:t>
      </w:r>
      <w:r>
        <w:rPr>
          <w:rFonts w:ascii="Times New Roman" w:hAnsi="Times New Roman" w:cs="Times New Roman" w:eastAsia="Times New Roman" w:hint="default"/>
        </w:rPr>
        <w:t>IT</w:t>
      </w:r>
      <w:r>
        <w:rPr/>
        <w:t>品牌</w:t>
      </w:r>
      <w:r>
        <w:rPr>
          <w:rFonts w:ascii="Times New Roman" w:hAnsi="Times New Roman" w:cs="Times New Roman" w:eastAsia="Times New Roman" w:hint="default"/>
        </w:rPr>
        <w:t>”</w:t>
      </w:r>
      <w:r>
        <w:rPr/>
        <w:t>等多项荣誉。</w:t>
      </w:r>
    </w:p>
    <w:p>
      <w:pPr>
        <w:pStyle w:val="BodyText"/>
        <w:spacing w:line="240" w:lineRule="auto" w:before="9"/>
        <w:ind w:left="514" w:right="0"/>
        <w:jc w:val="left"/>
      </w:pPr>
      <w:r>
        <w:rPr/>
        <w:t>公司注重企业信用，</w:t>
      </w:r>
      <w:r>
        <w:rPr>
          <w:rFonts w:ascii="Times New Roman" w:hAnsi="Times New Roman" w:cs="Times New Roman" w:eastAsia="Times New Roman" w:hint="default"/>
        </w:rPr>
        <w:t>2009</w:t>
      </w:r>
      <w:r>
        <w:rPr/>
        <w:t>年度被中国软件行业协会评为企业信用等级</w:t>
      </w:r>
      <w:r>
        <w:rPr>
          <w:rFonts w:ascii="Times New Roman" w:hAnsi="Times New Roman" w:cs="Times New Roman" w:eastAsia="Times New Roman" w:hint="default"/>
        </w:rPr>
        <w:t>AAA</w:t>
      </w:r>
      <w:r>
        <w:rPr/>
        <w:t>企业，</w:t>
      </w:r>
      <w:r>
        <w:rPr>
          <w:rFonts w:ascii="Times New Roman" w:hAnsi="Times New Roman" w:cs="Times New Roman" w:eastAsia="Times New Roman" w:hint="default"/>
        </w:rPr>
        <w:t>2018</w:t>
      </w:r>
      <w:r>
        <w:rPr/>
        <w:t>获首批中国软件诚信示范企业。</w:t>
      </w:r>
    </w:p>
    <w:p>
      <w:pPr>
        <w:pStyle w:val="BodyText"/>
        <w:spacing w:line="300" w:lineRule="auto" w:before="63"/>
        <w:ind w:left="514" w:right="0" w:hanging="36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年社会责任展望 </w:t>
      </w:r>
      <w:r>
        <w:rPr>
          <w:spacing w:val="-2"/>
        </w:rPr>
        <w:t>作为一家公众上市公司，万达信息充分意识到公司业绩、企业成长与承担社会责任是相辅相成、密不可分的，高度重视</w:t>
      </w:r>
    </w:p>
    <w:p>
      <w:pPr>
        <w:pStyle w:val="BodyText"/>
        <w:spacing w:line="316" w:lineRule="auto" w:before="31"/>
        <w:ind w:right="0"/>
        <w:jc w:val="left"/>
      </w:pPr>
      <w:r>
        <w:rPr>
          <w:spacing w:val="-2"/>
        </w:rPr>
        <w:t>为股东实现最佳回报，保护投资人的合法权益；注重回馈员工，实现员工个人发展与公司发展同步提升；重视公司的发展要</w:t>
      </w:r>
      <w:r>
        <w:rPr>
          <w:spacing w:val="-65"/>
        </w:rPr>
        <w:t> </w:t>
      </w:r>
      <w:r>
        <w:rPr>
          <w:spacing w:val="-65"/>
        </w:rPr>
      </w:r>
      <w:r>
        <w:rPr/>
        <w:t>融入社会，积极回馈社会。</w:t>
      </w:r>
    </w:p>
    <w:p>
      <w:pPr>
        <w:pStyle w:val="BodyText"/>
        <w:spacing w:line="300" w:lineRule="auto" w:before="19"/>
        <w:ind w:right="1131" w:firstLine="360"/>
        <w:jc w:val="both"/>
      </w:pPr>
      <w:r>
        <w:rPr>
          <w:rFonts w:ascii="Times New Roman" w:hAnsi="Times New Roman" w:cs="Times New Roman" w:eastAsia="Times New Roman" w:hint="default"/>
          <w:spacing w:val="-2"/>
        </w:rPr>
        <w:t>2018</w:t>
      </w:r>
      <w:r>
        <w:rPr>
          <w:spacing w:val="-2"/>
        </w:rPr>
        <w:t>年，公司积极履行社会责任，在股东权益保护、职工权益保护、客户和供应商权益保护以及回馈社会等方面取得了</w:t>
      </w:r>
      <w:r>
        <w:rPr/>
        <w:t> </w:t>
      </w:r>
      <w:r>
        <w:rPr>
          <w:spacing w:val="-2"/>
        </w:rPr>
        <w:t>一定的成绩。</w:t>
      </w:r>
      <w:r>
        <w:rPr>
          <w:rFonts w:ascii="Times New Roman" w:hAnsi="Times New Roman" w:cs="Times New Roman" w:eastAsia="Times New Roman" w:hint="default"/>
          <w:spacing w:val="-2"/>
        </w:rPr>
        <w:t>2019</w:t>
      </w:r>
      <w:r>
        <w:rPr>
          <w:spacing w:val="-2"/>
        </w:rPr>
        <w:t>年，公司将继续努力，践行社会责任，在企业发展的同时一如既往地推进社会责任理念的传播，实现企业</w:t>
      </w:r>
      <w:r>
        <w:rPr>
          <w:spacing w:val="-62"/>
        </w:rPr>
        <w:t> </w:t>
      </w:r>
      <w:r>
        <w:rPr>
          <w:spacing w:val="-62"/>
        </w:rPr>
      </w:r>
      <w:r>
        <w:rPr/>
        <w:t>与社会的和谐发展。</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360" w:lineRule="auto" w:before="28"/>
        <w:ind w:left="514" w:right="0"/>
        <w:jc w:val="left"/>
      </w:pPr>
      <w:r>
        <w:rPr/>
        <w:t>公司注重环境保护，不断提高资源综合利用水平，切实推进企业与环境的可持续、和谐发展。 </w:t>
      </w:r>
      <w:r>
        <w:rPr>
          <w:spacing w:val="-2"/>
        </w:rPr>
        <w:t>日常工作中，公司严格执行空调温度控制标准，节约照明用电，做到人走灯灭；合理使用电脑、打印机、复印机，不使</w:t>
      </w:r>
    </w:p>
    <w:p>
      <w:pPr>
        <w:pStyle w:val="BodyText"/>
        <w:spacing w:line="221" w:lineRule="exact"/>
        <w:ind w:right="0"/>
        <w:jc w:val="left"/>
      </w:pPr>
      <w:r>
        <w:rPr/>
        <w:t>用或外出时及时关闭电源。加强对办公耗材采购、领取、使用的管理，充分利用现代信息技术手段，推行无纸化办公，审批</w:t>
      </w:r>
    </w:p>
    <w:p>
      <w:pPr>
        <w:pStyle w:val="BodyText"/>
        <w:spacing w:line="240" w:lineRule="auto" w:before="77"/>
        <w:ind w:right="0"/>
        <w:jc w:val="left"/>
      </w:pPr>
      <w:r>
        <w:rPr/>
        <w:t>流程电子化，节约打印、复印用纸，提倡打印、传真纸张双面使用，有效实现了办公室的</w:t>
      </w:r>
      <w:r>
        <w:rPr>
          <w:rFonts w:ascii="Times New Roman" w:hAnsi="Times New Roman" w:cs="Times New Roman" w:eastAsia="Times New Roman" w:hint="default"/>
        </w:rPr>
        <w:t>“</w:t>
      </w:r>
      <w:r>
        <w:rPr/>
        <w:t>节能减排</w:t>
      </w:r>
      <w:r>
        <w:rPr>
          <w:rFonts w:ascii="Times New Roman" w:hAnsi="Times New Roman" w:cs="Times New Roman" w:eastAsia="Times New Roman" w:hint="default"/>
        </w:rPr>
        <w:t>”</w:t>
      </w:r>
      <w:r>
        <w:rPr/>
        <w:t>和绿色办公。</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日，经公司第六届董事会</w:t>
      </w:r>
      <w:r>
        <w:rPr>
          <w:rFonts w:ascii="Times New Roman" w:hAnsi="Times New Roman" w:cs="Times New Roman" w:eastAsia="Times New Roman" w:hint="default"/>
          <w:spacing w:val="-2"/>
        </w:rPr>
        <w:t>2017</w:t>
      </w:r>
      <w:r>
        <w:rPr>
          <w:spacing w:val="-2"/>
        </w:rPr>
        <w:t>年第三次临时会议及第六届监事会</w:t>
      </w:r>
      <w:r>
        <w:rPr>
          <w:rFonts w:ascii="Times New Roman" w:hAnsi="Times New Roman" w:cs="Times New Roman" w:eastAsia="Times New Roman" w:hint="default"/>
          <w:spacing w:val="-2"/>
        </w:rPr>
        <w:t>2017</w:t>
      </w:r>
      <w:r>
        <w:rPr>
          <w:spacing w:val="-2"/>
        </w:rPr>
        <w:t>年第三次临时会议审议通过，披露</w:t>
      </w:r>
      <w:r>
        <w:rPr/>
        <w:t> 了《万达信息股份有限公司公开发行可转换公司债券预案》等相关公告，后于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日经</w:t>
      </w:r>
      <w:r>
        <w:rPr>
          <w:rFonts w:ascii="Times New Roman" w:hAnsi="Times New Roman" w:cs="Times New Roman" w:eastAsia="Times New Roman" w:hint="default"/>
        </w:rPr>
        <w:t>2017</w:t>
      </w:r>
      <w:r>
        <w:rPr/>
        <w:t>年第二次临时股东大会 审议通过。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日，公司收到中国证券监督管理委员会《关于核准万达信息股份有限公司公开发行可转换公司债券 </w:t>
      </w:r>
      <w:r>
        <w:rPr>
          <w:spacing w:val="-2"/>
        </w:rPr>
        <w:t>的批复》（证监许可〔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2200</w:t>
      </w:r>
      <w:r>
        <w:rPr>
          <w:spacing w:val="-2"/>
        </w:rPr>
        <w:t>号），后于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日公开发行了</w:t>
      </w:r>
      <w:r>
        <w:rPr>
          <w:rFonts w:ascii="Times New Roman" w:hAnsi="Times New Roman" w:cs="Times New Roman" w:eastAsia="Times New Roman" w:hint="default"/>
          <w:spacing w:val="-2"/>
        </w:rPr>
        <w:t>900</w:t>
      </w:r>
      <w:r>
        <w:rPr>
          <w:spacing w:val="-2"/>
        </w:rPr>
        <w:t>万张可转换公司债券，每张面值</w:t>
      </w:r>
      <w:r>
        <w:rPr>
          <w:rFonts w:ascii="Times New Roman" w:hAnsi="Times New Roman" w:cs="Times New Roman" w:eastAsia="Times New Roman" w:hint="default"/>
          <w:spacing w:val="-2"/>
        </w:rPr>
        <w:t>100</w:t>
      </w:r>
      <w:r>
        <w:rPr>
          <w:spacing w:val="-2"/>
        </w:rPr>
        <w:t>元，发行总</w:t>
      </w:r>
      <w:r>
        <w:rPr>
          <w:spacing w:val="-46"/>
        </w:rPr>
        <w:t> </w:t>
      </w:r>
      <w:r>
        <w:rPr>
          <w:spacing w:val="-46"/>
        </w:rPr>
      </w:r>
      <w:r>
        <w:rPr/>
        <w:t>额</w:t>
      </w:r>
      <w:r>
        <w:rPr>
          <w:rFonts w:ascii="Times New Roman" w:hAnsi="Times New Roman" w:cs="Times New Roman" w:eastAsia="Times New Roman" w:hint="default"/>
        </w:rPr>
        <w:t>90,000</w:t>
      </w:r>
      <w:r>
        <w:rPr/>
        <w:t>万元。</w:t>
      </w:r>
    </w:p>
    <w:p>
      <w:pPr>
        <w:pStyle w:val="BodyText"/>
        <w:spacing w:line="240" w:lineRule="auto" w:before="13"/>
        <w:ind w:left="514" w:right="0"/>
        <w:jc w:val="left"/>
      </w:pPr>
      <w:r>
        <w:rPr/>
        <w:t>经深圳证券交易所同意，公司</w:t>
      </w:r>
      <w:r>
        <w:rPr>
          <w:rFonts w:ascii="Times New Roman" w:hAnsi="Times New Roman" w:cs="Times New Roman" w:eastAsia="Times New Roman" w:hint="default"/>
        </w:rPr>
        <w:t>90,000</w:t>
      </w:r>
      <w:r>
        <w:rPr/>
        <w:t>万元可转换公司债券已于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日起在深圳证券交易所挂牌交易，债券简称</w:t>
      </w:r>
    </w:p>
    <w:p>
      <w:pPr>
        <w:pStyle w:val="BodyText"/>
        <w:spacing w:line="240" w:lineRule="auto" w:before="63"/>
        <w:ind w:right="0"/>
        <w:jc w:val="left"/>
      </w:pP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，债券代码</w:t>
      </w:r>
      <w:r>
        <w:rPr>
          <w:rFonts w:ascii="Times New Roman" w:hAnsi="Times New Roman" w:cs="Times New Roman" w:eastAsia="Times New Roman" w:hint="default"/>
        </w:rPr>
        <w:t>“123005”</w:t>
      </w:r>
      <w:r>
        <w:rPr/>
        <w:t>。</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0" w:firstLine="360"/>
        <w:jc w:val="both"/>
      </w:pPr>
      <w:r>
        <w:rPr>
          <w:spacing w:val="-2"/>
        </w:rPr>
        <w:t>根据公司</w:t>
      </w:r>
      <w:r>
        <w:rPr>
          <w:rFonts w:ascii="Times New Roman" w:hAnsi="Times New Roman" w:cs="Times New Roman" w:eastAsia="Times New Roman" w:hint="default"/>
          <w:spacing w:val="-2"/>
        </w:rPr>
        <w:t>2017</w:t>
      </w:r>
      <w:r>
        <w:rPr>
          <w:spacing w:val="-2"/>
        </w:rPr>
        <w:t>年度权益分派方案，万信转债转股价格将调整为</w:t>
      </w:r>
      <w:r>
        <w:rPr>
          <w:rFonts w:ascii="Times New Roman" w:hAnsi="Times New Roman" w:cs="Times New Roman" w:eastAsia="Times New Roman" w:hint="default"/>
          <w:spacing w:val="-2"/>
        </w:rPr>
        <w:t>13.07</w:t>
      </w:r>
      <w:r>
        <w:rPr>
          <w:spacing w:val="-2"/>
        </w:rPr>
        <w:t>元</w:t>
      </w:r>
      <w:r>
        <w:rPr>
          <w:rFonts w:ascii="Times New Roman" w:hAnsi="Times New Roman" w:cs="Times New Roman" w:eastAsia="Times New Roman" w:hint="default"/>
          <w:spacing w:val="-2"/>
        </w:rPr>
        <w:t>/</w:t>
      </w:r>
      <w:r>
        <w:rPr>
          <w:spacing w:val="-2"/>
        </w:rPr>
        <w:t>股。调整后的转股价格自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日（除权除</w:t>
      </w:r>
      <w:r>
        <w:rPr/>
        <w:t> </w:t>
      </w:r>
      <w:r>
        <w:rPr>
          <w:spacing w:val="-2"/>
        </w:rPr>
        <w:t>息日）起生效。根据相关规定和《万达信息股份有限公司公开发行可转换公司债券募集说明书》的规定，公司本次发行的可</w:t>
      </w:r>
      <w:r>
        <w:rPr>
          <w:spacing w:val="-66"/>
        </w:rPr>
        <w:t> </w:t>
      </w:r>
      <w:r>
        <w:rPr>
          <w:spacing w:val="-66"/>
        </w:rPr>
      </w:r>
      <w:r>
        <w:rPr/>
        <w:t>转债自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日起可转换为公司股份。</w:t>
      </w:r>
    </w:p>
    <w:p>
      <w:pPr>
        <w:pStyle w:val="BodyText"/>
        <w:spacing w:line="300" w:lineRule="auto" w:before="5"/>
        <w:ind w:right="113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日，经公司第六届董事会</w:t>
      </w:r>
      <w:r>
        <w:rPr>
          <w:rFonts w:ascii="Times New Roman" w:hAnsi="Times New Roman" w:cs="Times New Roman" w:eastAsia="Times New Roman" w:hint="default"/>
          <w:spacing w:val="-2"/>
        </w:rPr>
        <w:t>2018</w:t>
      </w:r>
      <w:r>
        <w:rPr>
          <w:spacing w:val="-2"/>
        </w:rPr>
        <w:t>年第十二次临时会议及第六届监事会</w:t>
      </w:r>
      <w:r>
        <w:rPr>
          <w:rFonts w:ascii="Times New Roman" w:hAnsi="Times New Roman" w:cs="Times New Roman" w:eastAsia="Times New Roman" w:hint="default"/>
          <w:spacing w:val="-2"/>
        </w:rPr>
        <w:t>2018</w:t>
      </w:r>
      <w:r>
        <w:rPr>
          <w:spacing w:val="-2"/>
        </w:rPr>
        <w:t>年第八次临时会议审议通过，</w:t>
      </w:r>
      <w:r>
        <w:rPr>
          <w:rFonts w:ascii="Times New Roman" w:hAnsi="Times New Roman" w:cs="Times New Roman" w:eastAsia="Times New Roman" w:hint="default"/>
          <w:spacing w:val="-2"/>
        </w:rPr>
        <w:t>“</w:t>
      </w:r>
      <w:r>
        <w:rPr>
          <w:spacing w:val="-2"/>
        </w:rPr>
        <w:t>万信</w:t>
      </w:r>
      <w:r>
        <w:rPr/>
        <w:t> 转债</w:t>
      </w:r>
      <w:r>
        <w:rPr>
          <w:rFonts w:ascii="Times New Roman" w:hAnsi="Times New Roman" w:cs="Times New Roman" w:eastAsia="Times New Roman" w:hint="default"/>
        </w:rPr>
        <w:t>”</w:t>
      </w:r>
      <w:r>
        <w:rPr/>
        <w:t>因已经触发《万达信息股份有限公司公开发行可转换公司债券募集说明书》中约定的有条件赎回条款，公司决定行使 可转债的提前赎回权，按照债券面值加当期应计利息的价格赎回在赎回登记日登记在册的全部万信转债。</w:t>
      </w:r>
    </w:p>
    <w:p>
      <w:pPr>
        <w:pStyle w:val="BodyText"/>
        <w:spacing w:line="300" w:lineRule="auto" w:before="31"/>
        <w:ind w:right="1177" w:firstLine="360"/>
        <w:jc w:val="both"/>
      </w:pP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日起，公司发行的</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（债券代码：</w:t>
      </w:r>
      <w:r>
        <w:rPr>
          <w:rFonts w:ascii="Times New Roman" w:hAnsi="Times New Roman" w:cs="Times New Roman" w:eastAsia="Times New Roman" w:hint="default"/>
        </w:rPr>
        <w:t>123005</w:t>
      </w:r>
      <w:r>
        <w:rPr/>
        <w:t>）已在深圳证券交易所摘牌。公司本次</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的 赎回总金额为</w:t>
      </w:r>
      <w:r>
        <w:rPr>
          <w:rFonts w:ascii="Times New Roman" w:hAnsi="Times New Roman" w:cs="Times New Roman" w:eastAsia="Times New Roman" w:hint="default"/>
        </w:rPr>
        <w:t>6,411,096.60</w:t>
      </w:r>
      <w:r>
        <w:rPr/>
        <w:t>元，占发行总额的</w:t>
      </w:r>
      <w:r>
        <w:rPr>
          <w:rFonts w:ascii="Times New Roman" w:hAnsi="Times New Roman" w:cs="Times New Roman" w:eastAsia="Times New Roman" w:hint="default"/>
        </w:rPr>
        <w:t>0.7123%</w:t>
      </w:r>
      <w:r>
        <w:rPr/>
        <w:t>，本次</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转股完成后，公司总股本增至</w:t>
      </w:r>
      <w:r>
        <w:rPr>
          <w:rFonts w:ascii="Times New Roman" w:hAnsi="Times New Roman" w:cs="Times New Roman" w:eastAsia="Times New Roman" w:hint="default"/>
        </w:rPr>
        <w:t>1,099,449,688</w:t>
      </w:r>
      <w:r>
        <w:rPr/>
        <w:t>股。</w:t>
      </w:r>
    </w:p>
    <w:p>
      <w:pPr>
        <w:pStyle w:val="BodyText"/>
        <w:spacing w:line="300" w:lineRule="auto" w:before="13"/>
        <w:ind w:right="0"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日，经公司第六届董事会</w:t>
      </w:r>
      <w:r>
        <w:rPr>
          <w:rFonts w:ascii="Times New Roman" w:hAnsi="Times New Roman" w:cs="Times New Roman" w:eastAsia="Times New Roman" w:hint="default"/>
          <w:spacing w:val="-2"/>
        </w:rPr>
        <w:t>2018</w:t>
      </w:r>
      <w:r>
        <w:rPr>
          <w:spacing w:val="-2"/>
        </w:rPr>
        <w:t>年第十六次临时会议及第六届监事会</w:t>
      </w:r>
      <w:r>
        <w:rPr>
          <w:rFonts w:ascii="Times New Roman" w:hAnsi="Times New Roman" w:cs="Times New Roman" w:eastAsia="Times New Roman" w:hint="default"/>
          <w:spacing w:val="-2"/>
        </w:rPr>
        <w:t>2018</w:t>
      </w:r>
      <w:r>
        <w:rPr>
          <w:spacing w:val="-2"/>
        </w:rPr>
        <w:t>年第十一次临时会议审议通过，</w:t>
      </w:r>
      <w:r>
        <w:rPr/>
        <w:t> </w:t>
      </w:r>
      <w:r>
        <w:rPr>
          <w:spacing w:val="-3"/>
        </w:rPr>
        <w:t>披露了《</w:t>
      </w:r>
      <w:r>
        <w:rPr>
          <w:rFonts w:ascii="Times New Roman" w:hAnsi="Times New Roman" w:cs="Times New Roman" w:eastAsia="Times New Roman" w:hint="default"/>
          <w:spacing w:val="-3"/>
        </w:rPr>
        <w:t>2018</w:t>
      </w:r>
      <w:r>
        <w:rPr>
          <w:spacing w:val="-3"/>
        </w:rPr>
        <w:t>年度公开发行可转换公司债券预案》等相关公告，后于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26</w:t>
      </w:r>
      <w:r>
        <w:rPr>
          <w:spacing w:val="-3"/>
        </w:rPr>
        <w:t>日经</w:t>
      </w:r>
      <w:r>
        <w:rPr>
          <w:rFonts w:ascii="Times New Roman" w:hAnsi="Times New Roman" w:cs="Times New Roman" w:eastAsia="Times New Roman" w:hint="default"/>
          <w:spacing w:val="-3"/>
        </w:rPr>
        <w:t>2018</w:t>
      </w:r>
      <w:r>
        <w:rPr>
          <w:spacing w:val="-3"/>
        </w:rPr>
        <w:t>年第二次临时股东大会审议通过。</w:t>
      </w:r>
      <w:r>
        <w:rPr>
          <w:spacing w:val="-75"/>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14</w:t>
      </w:r>
      <w:r>
        <w:rPr>
          <w:spacing w:val="-3"/>
        </w:rPr>
        <w:t>日，公司收到中国证券监督管理委员会《关于核准万达信息股份有限公司公开发行可转换公司债券的批复》（证</w:t>
      </w:r>
      <w:r>
        <w:rPr/>
        <w:t> 监许可〔</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60</w:t>
      </w:r>
      <w:r>
        <w:rPr/>
        <w:t>号），后于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日公开发行了</w:t>
      </w:r>
      <w:r>
        <w:rPr>
          <w:rFonts w:ascii="Times New Roman" w:hAnsi="Times New Roman" w:cs="Times New Roman" w:eastAsia="Times New Roman" w:hint="default"/>
        </w:rPr>
        <w:t>1200</w:t>
      </w:r>
      <w:r>
        <w:rPr/>
        <w:t>万张可转换公司债券，每张面值</w:t>
      </w:r>
      <w:r>
        <w:rPr>
          <w:rFonts w:ascii="Times New Roman" w:hAnsi="Times New Roman" w:cs="Times New Roman" w:eastAsia="Times New Roman" w:hint="default"/>
        </w:rPr>
        <w:t>100</w:t>
      </w:r>
      <w:r>
        <w:rPr/>
        <w:t>元，发行总额</w:t>
      </w:r>
      <w:r>
        <w:rPr>
          <w:rFonts w:ascii="Times New Roman" w:hAnsi="Times New Roman" w:cs="Times New Roman" w:eastAsia="Times New Roman" w:hint="default"/>
        </w:rPr>
        <w:t>120,000</w:t>
      </w:r>
      <w:r>
        <w:rPr/>
        <w:t>万元。 经深圳证券交易所同意，公司</w:t>
      </w:r>
      <w:r>
        <w:rPr>
          <w:rFonts w:ascii="Times New Roman" w:hAnsi="Times New Roman" w:cs="Times New Roman" w:eastAsia="Times New Roman" w:hint="default"/>
        </w:rPr>
        <w:t>120,000</w:t>
      </w:r>
      <w:r>
        <w:rPr/>
        <w:t>万元可转换公司债券已于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日起在深圳证券交易所挂牌交易，债券简称</w:t>
      </w:r>
      <w:r>
        <w:rPr>
          <w:rFonts w:ascii="Times New Roman" w:hAnsi="Times New Roman" w:cs="Times New Roman" w:eastAsia="Times New Roman" w:hint="default"/>
        </w:rPr>
        <w:t>“</w:t>
      </w:r>
      <w:r>
        <w:rPr/>
        <w:t>万 信转</w:t>
      </w:r>
      <w:r>
        <w:rPr>
          <w:rFonts w:ascii="Times New Roman" w:hAnsi="Times New Roman" w:cs="Times New Roman" w:eastAsia="Times New Roman" w:hint="default"/>
        </w:rPr>
        <w:t>2”</w:t>
      </w:r>
      <w:r>
        <w:rPr/>
        <w:t>，债券代码</w:t>
      </w:r>
      <w:r>
        <w:rPr>
          <w:rFonts w:ascii="Times New Roman" w:hAnsi="Times New Roman" w:cs="Times New Roman" w:eastAsia="Times New Roman" w:hint="default"/>
        </w:rPr>
        <w:t>“123021”</w:t>
      </w:r>
      <w:r>
        <w:rPr/>
        <w:t>。</w:t>
      </w:r>
    </w:p>
    <w:p>
      <w:pPr>
        <w:pStyle w:val="BodyText"/>
        <w:spacing w:line="240" w:lineRule="auto" w:before="13"/>
        <w:ind w:left="514" w:right="0"/>
        <w:jc w:val="left"/>
      </w:pPr>
      <w:r>
        <w:rPr>
          <w:rFonts w:ascii="Times New Roman" w:hAnsi="Times New Roman" w:cs="Times New Roman" w:eastAsia="Times New Roman" w:hint="default"/>
        </w:rPr>
        <w:t>3</w:t>
      </w:r>
      <w:r>
        <w:rPr/>
        <w:t>、一致行动人声明</w:t>
      </w:r>
    </w:p>
    <w:p>
      <w:pPr>
        <w:pStyle w:val="BodyText"/>
        <w:spacing w:line="300" w:lineRule="auto" w:before="63"/>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日，陈洁先生、陈耀远女士、王淑玉女士签订了《一致行动人协议》，约定自《一致行动人协议》签署日起</w:t>
      </w:r>
      <w:r>
        <w:rPr/>
        <w:t> </w:t>
      </w:r>
      <w:r>
        <w:rPr>
          <w:spacing w:val="-2"/>
        </w:rPr>
        <w:t>成为公司一致行动人。报告期内，陈洁先生、陈耀远女士、王淑玉女士作为一致行动人合计持有公司股份总数</w:t>
      </w:r>
      <w:r>
        <w:rPr>
          <w:rFonts w:ascii="Times New Roman" w:hAnsi="Times New Roman" w:cs="Times New Roman" w:eastAsia="Times New Roman" w:hint="default"/>
          <w:spacing w:val="-2"/>
        </w:rPr>
        <w:t>66,312,557</w:t>
      </w:r>
      <w:r>
        <w:rPr>
          <w:spacing w:val="-2"/>
        </w:rPr>
        <w:t>股，</w:t>
      </w:r>
      <w:r>
        <w:rPr>
          <w:spacing w:val="-54"/>
        </w:rPr>
        <w:t> </w:t>
      </w:r>
      <w:r>
        <w:rPr/>
        <w:t>占公司股份总数的</w:t>
      </w:r>
      <w:r>
        <w:rPr>
          <w:rFonts w:ascii="Times New Roman" w:hAnsi="Times New Roman" w:cs="Times New Roman" w:eastAsia="Times New Roman" w:hint="default"/>
        </w:rPr>
        <w:t>6.43%</w:t>
      </w:r>
      <w:r>
        <w:rPr/>
        <w:t>。</w:t>
      </w:r>
    </w:p>
    <w:p>
      <w:pPr>
        <w:pStyle w:val="BodyText"/>
        <w:spacing w:line="240" w:lineRule="auto" w:before="13"/>
        <w:ind w:left="514" w:right="0"/>
        <w:jc w:val="left"/>
      </w:pPr>
      <w:r>
        <w:rPr>
          <w:rFonts w:ascii="Times New Roman" w:hAnsi="Times New Roman" w:cs="Times New Roman" w:eastAsia="Times New Roman" w:hint="default"/>
        </w:rPr>
        <w:t>4</w:t>
      </w:r>
      <w:r>
        <w:rPr/>
        <w:t>、公司会计政策变更的情况</w:t>
      </w:r>
    </w:p>
    <w:p>
      <w:pPr>
        <w:pStyle w:val="BodyText"/>
        <w:spacing w:line="309" w:lineRule="auto" w:before="63"/>
        <w:ind w:right="1106"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日，公司召开公司第六届董事会</w:t>
      </w:r>
      <w:r>
        <w:rPr>
          <w:rFonts w:ascii="Times New Roman" w:hAnsi="Times New Roman" w:cs="Times New Roman" w:eastAsia="Times New Roman" w:hint="default"/>
          <w:spacing w:val="-2"/>
        </w:rPr>
        <w:t>2018</w:t>
      </w:r>
      <w:r>
        <w:rPr>
          <w:spacing w:val="-2"/>
        </w:rPr>
        <w:t>年第十八次临时会议和第六届监事会</w:t>
      </w:r>
      <w:r>
        <w:rPr>
          <w:rFonts w:ascii="Times New Roman" w:hAnsi="Times New Roman" w:cs="Times New Roman" w:eastAsia="Times New Roman" w:hint="default"/>
          <w:spacing w:val="-2"/>
        </w:rPr>
        <w:t>2018</w:t>
      </w:r>
      <w:r>
        <w:rPr>
          <w:spacing w:val="-2"/>
        </w:rPr>
        <w:t>年第十三次临时会议，审议</w:t>
      </w:r>
      <w:r>
        <w:rPr/>
        <w:t> </w:t>
      </w:r>
      <w:r>
        <w:rPr>
          <w:spacing w:val="-2"/>
        </w:rPr>
        <w:t>通过了《关于会计政策变更的议案》，同意公司执行财政部修订及颁布的最新会计准则，对相应会计政策进行变更。具体内</w:t>
      </w:r>
      <w:r>
        <w:rPr>
          <w:spacing w:val="-66"/>
        </w:rPr>
        <w:t> </w:t>
      </w:r>
      <w:r>
        <w:rPr>
          <w:spacing w:val="-66"/>
        </w:rPr>
      </w:r>
      <w:r>
        <w:rPr>
          <w:spacing w:val="-7"/>
        </w:rPr>
        <w:t>容详见公司于</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30</w:t>
      </w:r>
      <w:r>
        <w:rPr>
          <w:spacing w:val="-7"/>
        </w:rPr>
        <w:t>日披露于中国证监会指定信息披露网站上的《关于会计政策变更的公告》（公告编号：</w:t>
      </w:r>
      <w:r>
        <w:rPr>
          <w:rFonts w:ascii="Times New Roman" w:hAnsi="Times New Roman" w:cs="Times New Roman" w:eastAsia="Times New Roman" w:hint="default"/>
          <w:spacing w:val="-7"/>
        </w:rPr>
        <w:t>2018-126</w:t>
      </w:r>
      <w:r>
        <w:rPr>
          <w:spacing w:val="-7"/>
        </w:rPr>
        <w:t>）。</w:t>
      </w:r>
      <w:r>
        <w:rPr/>
      </w:r>
    </w:p>
    <w:p>
      <w:pPr>
        <w:pStyle w:val="BodyText"/>
        <w:spacing w:line="300" w:lineRule="auto" w:before="5"/>
        <w:ind w:left="514" w:right="1032"/>
        <w:jc w:val="left"/>
      </w:pPr>
      <w:r>
        <w:rPr>
          <w:rFonts w:ascii="Times New Roman" w:hAnsi="Times New Roman" w:cs="Times New Roman" w:eastAsia="Times New Roman" w:hint="default"/>
        </w:rPr>
        <w:t>5</w:t>
      </w:r>
      <w:r>
        <w:rPr/>
        <w:t>、公司股份回购情况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日召开第六届董事会</w:t>
      </w:r>
      <w:r>
        <w:rPr>
          <w:rFonts w:ascii="Times New Roman" w:hAnsi="Times New Roman" w:cs="Times New Roman" w:eastAsia="Times New Roman" w:hint="default"/>
        </w:rPr>
        <w:t>2018</w:t>
      </w:r>
      <w:r>
        <w:rPr/>
        <w:t>年第十九次临时会议、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日召开</w:t>
      </w:r>
      <w:r>
        <w:rPr>
          <w:rFonts w:ascii="Times New Roman" w:hAnsi="Times New Roman" w:cs="Times New Roman" w:eastAsia="Times New Roman" w:hint="default"/>
        </w:rPr>
        <w:t>2018</w:t>
      </w:r>
      <w:r>
        <w:rPr/>
        <w:t>年第五次临时股东大会，</w:t>
      </w:r>
    </w:p>
    <w:p>
      <w:pPr>
        <w:pStyle w:val="BodyText"/>
        <w:spacing w:line="312" w:lineRule="auto" w:before="13"/>
        <w:ind w:right="1032"/>
        <w:jc w:val="left"/>
      </w:pPr>
      <w:r>
        <w:rPr>
          <w:spacing w:val="-7"/>
        </w:rPr>
        <w:t>审议通过了《关于回购公司股份预案的议案》、《关于提请股东大会授权董事会具体办理本次回购股份工作相关事宜的议案》，</w:t>
      </w:r>
      <w:r>
        <w:rPr>
          <w:spacing w:val="-52"/>
        </w:rPr>
        <w:t> </w:t>
      </w:r>
      <w:r>
        <w:rPr>
          <w:spacing w:val="-52"/>
        </w:rPr>
      </w:r>
      <w:r>
        <w:rPr>
          <w:spacing w:val="-2"/>
        </w:rPr>
        <w:t>公司拟使用自筹资金以集中竞价交易方式回购公司部分社会公众股份，用于实施股权激励计划、员工持股计划或注销以减少</w:t>
      </w:r>
      <w:r>
        <w:rPr>
          <w:spacing w:val="-64"/>
        </w:rPr>
        <w:t> </w:t>
      </w:r>
      <w:r>
        <w:rPr>
          <w:spacing w:val="-64"/>
        </w:rPr>
      </w:r>
      <w:r>
        <w:rPr>
          <w:spacing w:val="-2"/>
        </w:rPr>
        <w:t>公司注册资本。本次回购拟使用的资金总额为不低于人民币</w:t>
      </w:r>
      <w:r>
        <w:rPr>
          <w:rFonts w:ascii="Times New Roman" w:hAnsi="Times New Roman" w:cs="Times New Roman" w:eastAsia="Times New Roman" w:hint="default"/>
          <w:spacing w:val="-2"/>
        </w:rPr>
        <w:t>3</w:t>
      </w:r>
      <w:r>
        <w:rPr>
          <w:spacing w:val="-2"/>
        </w:rPr>
        <w:t>亿元（含）且不超过人民币</w:t>
      </w:r>
      <w:r>
        <w:rPr>
          <w:rFonts w:ascii="Times New Roman" w:hAnsi="Times New Roman" w:cs="Times New Roman" w:eastAsia="Times New Roman" w:hint="default"/>
          <w:spacing w:val="-2"/>
        </w:rPr>
        <w:t>6</w:t>
      </w:r>
      <w:r>
        <w:rPr>
          <w:spacing w:val="-2"/>
        </w:rPr>
        <w:t>亿元（含），回购股份的价格不超</w:t>
      </w:r>
      <w:r>
        <w:rPr>
          <w:spacing w:val="-67"/>
        </w:rPr>
        <w:t> </w:t>
      </w:r>
      <w:r>
        <w:rPr>
          <w:spacing w:val="-67"/>
        </w:rPr>
      </w:r>
      <w:r>
        <w:rPr/>
        <w:t>过人民币</w:t>
      </w:r>
      <w:r>
        <w:rPr>
          <w:rFonts w:ascii="Times New Roman" w:hAnsi="Times New Roman" w:cs="Times New Roman" w:eastAsia="Times New Roman" w:hint="default"/>
        </w:rPr>
        <w:t>16</w:t>
      </w:r>
      <w:r>
        <w:rPr/>
        <w:t>元</w:t>
      </w:r>
      <w:r>
        <w:rPr>
          <w:rFonts w:ascii="Times New Roman" w:hAnsi="Times New Roman" w:cs="Times New Roman" w:eastAsia="Times New Roman" w:hint="default"/>
        </w:rPr>
        <w:t>/</w:t>
      </w:r>
      <w:r>
        <w:rPr/>
        <w:t>股（含）。本次回购决议的有效期为自公司</w:t>
      </w:r>
      <w:r>
        <w:rPr>
          <w:rFonts w:ascii="Times New Roman" w:hAnsi="Times New Roman" w:cs="Times New Roman" w:eastAsia="Times New Roman" w:hint="default"/>
        </w:rPr>
        <w:t>2018</w:t>
      </w:r>
      <w:r>
        <w:rPr/>
        <w:t>年第五次临时股东大会审议通过回购股份方案之日起</w:t>
      </w:r>
      <w:r>
        <w:rPr>
          <w:rFonts w:ascii="Times New Roman" w:hAnsi="Times New Roman" w:cs="Times New Roman" w:eastAsia="Times New Roman" w:hint="default"/>
        </w:rPr>
        <w:t>12</w:t>
      </w:r>
      <w:r>
        <w:rPr/>
        <w:t>个月 </w:t>
      </w:r>
      <w:r>
        <w:rPr>
          <w:spacing w:val="-2"/>
        </w:rPr>
        <w:t>内。股东大会授权公司董事会确定股份回购的具体处置方案，包括实施股权激励计划、员工持股计划或注销以减少公司注册</w:t>
      </w:r>
      <w:r>
        <w:rPr>
          <w:spacing w:val="-66"/>
        </w:rPr>
        <w:t> </w:t>
      </w:r>
      <w:r>
        <w:rPr>
          <w:spacing w:val="-66"/>
        </w:rPr>
      </w:r>
      <w:r>
        <w:rPr>
          <w:spacing w:val="-2"/>
        </w:rPr>
        <w:t>资本。报告期内，公司已在中国证券登记结算有限责任公司深圳分公司开立了回购专用证券账户，截至报告期末，公司未回</w:t>
      </w:r>
      <w:r>
        <w:rPr>
          <w:spacing w:val="-66"/>
        </w:rPr>
        <w:t> </w:t>
      </w:r>
      <w:r>
        <w:rPr>
          <w:spacing w:val="-66"/>
        </w:rPr>
      </w:r>
      <w:r>
        <w:rPr/>
        <w:t>购股份。</w:t>
      </w:r>
    </w:p>
    <w:p>
      <w:pPr>
        <w:pStyle w:val="BodyText"/>
        <w:spacing w:line="300" w:lineRule="auto" w:before="22"/>
        <w:ind w:left="514" w:right="0"/>
        <w:jc w:val="left"/>
      </w:pPr>
      <w:r>
        <w:rPr>
          <w:rFonts w:ascii="Times New Roman" w:hAnsi="Times New Roman" w:cs="Times New Roman" w:eastAsia="Times New Roman" w:hint="default"/>
        </w:rPr>
        <w:t>6</w:t>
      </w:r>
      <w:r>
        <w:rPr/>
        <w:t>、控股股东股份转让 </w:t>
      </w:r>
      <w:r>
        <w:rPr>
          <w:spacing w:val="-2"/>
        </w:rPr>
        <w:t>公司接到公司控股股东上海万豪投资有限公司的通知，上海万豪于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日与中国人寿资产管理有限公司签署了</w:t>
      </w:r>
    </w:p>
    <w:p>
      <w:pPr>
        <w:pStyle w:val="BodyText"/>
        <w:spacing w:line="300" w:lineRule="auto" w:before="13"/>
        <w:ind w:right="1122"/>
        <w:jc w:val="left"/>
      </w:pPr>
      <w:r>
        <w:rPr/>
        <w:t>《关于万达信息股份有限公司之股份转让协议》，上海万豪将其持有的公司</w:t>
      </w:r>
      <w:r>
        <w:rPr>
          <w:rFonts w:ascii="Times New Roman" w:hAnsi="Times New Roman" w:cs="Times New Roman" w:eastAsia="Times New Roman" w:hint="default"/>
        </w:rPr>
        <w:t>55,000,000</w:t>
      </w:r>
      <w:r>
        <w:rPr/>
        <w:t>股无限售流通股转让给国寿资产，占 公司总股本</w:t>
      </w:r>
      <w:r>
        <w:rPr>
          <w:rFonts w:ascii="Times New Roman" w:hAnsi="Times New Roman" w:cs="Times New Roman" w:eastAsia="Times New Roman" w:hint="default"/>
        </w:rPr>
        <w:t>1,099,449,688</w:t>
      </w:r>
      <w:r>
        <w:rPr/>
        <w:t>股的</w:t>
      </w:r>
      <w:r>
        <w:rPr>
          <w:rFonts w:ascii="Times New Roman" w:hAnsi="Times New Roman" w:cs="Times New Roman" w:eastAsia="Times New Roman" w:hint="default"/>
        </w:rPr>
        <w:t>5.0025%</w:t>
      </w:r>
      <w:r>
        <w:rPr/>
        <w:t>。</w:t>
      </w:r>
    </w:p>
    <w:p>
      <w:pPr>
        <w:pStyle w:val="BodyText"/>
        <w:spacing w:line="300" w:lineRule="auto" w:before="13"/>
        <w:ind w:right="1215" w:firstLine="360"/>
        <w:jc w:val="both"/>
      </w:pPr>
      <w:r>
        <w:rPr/>
        <w:t>本次权益变动前，上海万豪持有公司股份</w:t>
      </w:r>
      <w:r>
        <w:rPr>
          <w:rFonts w:ascii="Times New Roman" w:hAnsi="Times New Roman" w:cs="Times New Roman" w:eastAsia="Times New Roman" w:hint="default"/>
        </w:rPr>
        <w:t>255,588,800</w:t>
      </w:r>
      <w:r>
        <w:rPr/>
        <w:t>股，占公司总股本的</w:t>
      </w:r>
      <w:r>
        <w:rPr>
          <w:rFonts w:ascii="Times New Roman" w:hAnsi="Times New Roman" w:cs="Times New Roman" w:eastAsia="Times New Roman" w:hint="default"/>
        </w:rPr>
        <w:t>23.2470%</w:t>
      </w:r>
      <w:r>
        <w:rPr/>
        <w:t>；国寿资产未持有公司股份。本次 权益变动后，上海万豪持有公司股份</w:t>
      </w:r>
      <w:r>
        <w:rPr>
          <w:rFonts w:ascii="Times New Roman" w:hAnsi="Times New Roman" w:cs="Times New Roman" w:eastAsia="Times New Roman" w:hint="default"/>
        </w:rPr>
        <w:t>200,588,800</w:t>
      </w:r>
      <w:r>
        <w:rPr/>
        <w:t>股，占公司总股本的</w:t>
      </w:r>
      <w:r>
        <w:rPr>
          <w:rFonts w:ascii="Times New Roman" w:hAnsi="Times New Roman" w:cs="Times New Roman" w:eastAsia="Times New Roman" w:hint="default"/>
        </w:rPr>
        <w:t>18.2445%</w:t>
      </w:r>
      <w:r>
        <w:rPr/>
        <w:t>，仍为公司控股股东；国寿资产持有公司股 份</w:t>
      </w:r>
      <w:r>
        <w:rPr>
          <w:rFonts w:ascii="Times New Roman" w:hAnsi="Times New Roman" w:cs="Times New Roman" w:eastAsia="Times New Roman" w:hint="default"/>
        </w:rPr>
        <w:t>55,000,000</w:t>
      </w:r>
      <w:r>
        <w:rPr/>
        <w:t>股，占公司总股本的</w:t>
      </w:r>
      <w:r>
        <w:rPr>
          <w:rFonts w:ascii="Times New Roman" w:hAnsi="Times New Roman" w:cs="Times New Roman" w:eastAsia="Times New Roman" w:hint="default"/>
        </w:rPr>
        <w:t>5.0025%</w:t>
      </w:r>
      <w:r>
        <w:rPr/>
        <w:t>，成为持有公司</w:t>
      </w:r>
      <w:r>
        <w:rPr>
          <w:rFonts w:ascii="Times New Roman" w:hAnsi="Times New Roman" w:cs="Times New Roman" w:eastAsia="Times New Roman" w:hint="default"/>
        </w:rPr>
        <w:t>5%</w:t>
      </w:r>
      <w:r>
        <w:rPr/>
        <w:t>以上股份的股东。</w:t>
      </w:r>
    </w:p>
    <w:p>
      <w:pPr>
        <w:pStyle w:val="BodyText"/>
        <w:spacing w:line="636" w:lineRule="auto" w:before="13"/>
        <w:ind w:right="6612" w:firstLine="360"/>
        <w:jc w:val="left"/>
      </w:pPr>
      <w:r>
        <w:rPr/>
        <w:pict>
          <v:shape style="position:absolute;margin-left:56.34pt;margin-top:47.211681pt;width:478.25pt;height:50.8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0"/>
                    <w:gridCol w:w="5328"/>
                    <w:gridCol w:w="1139"/>
                    <w:gridCol w:w="2165"/>
                  </w:tblGrid>
                  <w:tr>
                    <w:trPr>
                      <w:trHeight w:val="653" w:hRule="exact"/>
                    </w:trPr>
                    <w:tc>
                      <w:tcPr>
                        <w:tcW w:w="9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87"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5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1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18"/>
                            <w:szCs w:val="18"/>
                          </w:rPr>
                          <w:t>公告披露日期</w:t>
                        </w:r>
                      </w:p>
                    </w:tc>
                    <w:tc>
                      <w:tcPr>
                        <w:tcW w:w="21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895" w:right="83" w:hanging="810"/>
                          <w:jc w:val="left"/>
                          <w:rPr>
                            <w:rFonts w:ascii="宋体" w:hAnsi="宋体" w:cs="宋体" w:eastAsia="宋体" w:hint="default"/>
                            <w:sz w:val="18"/>
                            <w:szCs w:val="18"/>
                          </w:rPr>
                        </w:pPr>
                        <w:r>
                          <w:rPr>
                            <w:rFonts w:ascii="宋体" w:hAnsi="宋体" w:cs="宋体" w:eastAsia="宋体" w:hint="default"/>
                            <w:sz w:val="18"/>
                            <w:szCs w:val="18"/>
                          </w:rPr>
                          <w:t>公告刊登的指定网站查询 索引</w:t>
                        </w:r>
                      </w:p>
                    </w:tc>
                  </w:tr>
                  <w:tr>
                    <w:trPr>
                      <w:trHeight w:val="348" w:hRule="exact"/>
                    </w:trPr>
                    <w:tc>
                      <w:tcPr>
                        <w:tcW w:w="954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关于公开发行可转换公司债券事项的相关公告</w:t>
                        </w:r>
                        <w:r>
                          <w:rPr>
                            <w:rFonts w:ascii="宋体" w:hAnsi="宋体" w:cs="宋体" w:eastAsia="宋体" w:hint="default"/>
                            <w:sz w:val="18"/>
                            <w:szCs w:val="18"/>
                          </w:rPr>
                        </w:r>
                      </w:p>
                    </w:tc>
                  </w:tr>
                </w:tbl>
                <w:p>
                  <w:pPr/>
                </w:p>
              </w:txbxContent>
            </v:textbox>
            <w10:wrap type="none"/>
          </v:shape>
        </w:pict>
      </w:r>
      <w:r>
        <w:rPr/>
        <w:t>本次股份转让现已办理完成股份转让过户登记。 相关公告索引如下：</w:t>
      </w:r>
    </w:p>
    <w:p>
      <w:pPr>
        <w:spacing w:after="0" w:line="636"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921"/>
        <w:gridCol w:w="5318"/>
        <w:gridCol w:w="1139"/>
        <w:gridCol w:w="2167"/>
      </w:tblGrid>
      <w:tr>
        <w:trPr>
          <w:trHeight w:val="34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2018-009</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公开发行可转换公司债券上市公告书</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2018-01-26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2018-014</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年第五次临时会议决议公告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2018-03-02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2018-015</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2018-03-02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2018-016</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8"/>
              <w:jc w:val="left"/>
              <w:rPr>
                <w:rFonts w:ascii="宋体" w:hAnsi="宋体" w:cs="宋体" w:eastAsia="宋体" w:hint="default"/>
                <w:sz w:val="18"/>
                <w:szCs w:val="18"/>
              </w:rPr>
            </w:pPr>
            <w:r>
              <w:rPr>
                <w:rFonts w:ascii="宋体" w:hAnsi="宋体" w:cs="宋体" w:eastAsia="宋体" w:hint="default"/>
                <w:sz w:val="18"/>
                <w:szCs w:val="18"/>
              </w:rPr>
              <w:t>关于使用公开发行可转换公司债券募集资金置换已预先投入募投项 目自筹资金的公告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2018-03-02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2018-020</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关于控股股东减持公司可转换公司债券的提示性公告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2018-03-28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2018-054</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关于可转换公司债券转股价格调整的公告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2018-06-05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2018-061</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关于万信转债开始转股的提示性公告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z w:val="18"/>
              </w:rPr>
              <w:t>2018-06-20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2018-065</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关于变更持续督导保荐代表人的公告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2018-06-25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2018-066</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年第二季度可转换公司债券转股情况的公告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2018-07-04</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2018-067</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关于控股股东减持公司可转换公司债券的提示性公告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2018-07-09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2018-068</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年第十二次临时会议决议公告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2018-07-17</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2018-069</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年第八次临时会议决议公告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2018-07-17</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2018-070</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关于可转换公司债券赎回实施的第一次公告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z w:val="18"/>
              </w:rPr>
              <w:t>2018-07-17</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2018-071</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关于可转换公司债券赎回实施的第二次公告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2018-07-18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2018-072</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关于可转换公司债券赎回实施的第三次公告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2018-07-20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8"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2018-073</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关于可转换公司债券赎回实施的第四次公告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2018-07-24</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2018-074</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关于可转换公司债券赎回实施的第五次公告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2018-07-27</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2018-075</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关于可转换公司债券赎回实施的第六次公告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2018-07-31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2018-076</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关于可转换公司债券赎回实施的第七次公告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z w:val="18"/>
              </w:rPr>
              <w:t>2018-08-03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2018-077</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万信转债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流通面值低于</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万元并将停止交易的公告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2018-08-10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2018-078</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关于可转换公司债券赎回实施的第八次公告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2018-08-10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2018-079</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关于可转换公司债券赎回实施的第九次公告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2018-08-15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2018-084</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关于可转换公司债券赎回实施的第十次公告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2018-08-16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2018-086</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关于可转换公司债券赎回实施的第十一次公告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2018-08-17</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2018-087</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关于可转换公司债券赎回实施的第十二次公告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z w:val="18"/>
              </w:rPr>
              <w:t>2018-08-18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2018-088</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关于可转换公司债券赎回实施的第十三次公告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2018-08-20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2018-089</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万信转债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赎回结果的公告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2018-08-29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2018-090</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万信转债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摘牌的公告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2018-08-29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2018-153</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关于变更保荐机构后重新签订《募集资金三方监管协议》的公告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2018-12-06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5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年度公开发行可转换公司债券</w:t>
            </w:r>
            <w:r>
              <w:rPr>
                <w:rFonts w:ascii="宋体" w:hAnsi="宋体" w:cs="宋体" w:eastAsia="宋体" w:hint="default"/>
                <w:sz w:val="18"/>
                <w:szCs w:val="18"/>
              </w:rPr>
            </w:r>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2018-105</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年第十六次临时会议决议公告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2018-10-11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2018-106</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年第十一次临时会议决议公告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2018-10-11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921"/>
        <w:gridCol w:w="5318"/>
        <w:gridCol w:w="1139"/>
        <w:gridCol w:w="2167"/>
      </w:tblGrid>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2018-107</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年第二次临时股东大会的通知</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2018-10-11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2018-108</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关于公开发行可转换公司债券预案披露的提示性公告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2018-10-11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2018-109</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78"/>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年度公开发行可转换公司债券摊薄即期回报对公司主要财 务指标的影响及公司采取措施的公告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0"/>
              <w:jc w:val="right"/>
              <w:rPr>
                <w:rFonts w:ascii="Times New Roman" w:hAnsi="Times New Roman" w:cs="Times New Roman" w:eastAsia="Times New Roman" w:hint="default"/>
                <w:sz w:val="18"/>
                <w:szCs w:val="18"/>
              </w:rPr>
            </w:pPr>
            <w:r>
              <w:rPr>
                <w:rFonts w:ascii="Times New Roman"/>
                <w:sz w:val="18"/>
              </w:rPr>
              <w:t>2018-10-11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2018-110</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78"/>
              <w:jc w:val="left"/>
              <w:rPr>
                <w:rFonts w:ascii="宋体" w:hAnsi="宋体" w:cs="宋体" w:eastAsia="宋体" w:hint="default"/>
                <w:sz w:val="18"/>
                <w:szCs w:val="18"/>
              </w:rPr>
            </w:pPr>
            <w:r>
              <w:rPr>
                <w:rFonts w:ascii="宋体" w:hAnsi="宋体" w:cs="宋体" w:eastAsia="宋体" w:hint="default"/>
                <w:sz w:val="18"/>
                <w:szCs w:val="18"/>
              </w:rPr>
              <w:t>全体董事、高级管理人员、控股股东及实际控制人关于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 开发行可转换公司债券摊薄即期回报采取填补措施的承诺的公告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2018-10-11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2018-121</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年第二次临时股东大会决议公告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2018-10-26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2018-130</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关于收到《中国证监会行政许可申请受理单》的公告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2018-11-07</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2018-138</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关于变更保荐机构及保荐代表人的公告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z w:val="18"/>
              </w:rPr>
              <w:t>2018-11-12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60"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2018-146</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8"/>
              <w:jc w:val="left"/>
              <w:rPr>
                <w:rFonts w:ascii="宋体" w:hAnsi="宋体" w:cs="宋体" w:eastAsia="宋体" w:hint="default"/>
                <w:sz w:val="18"/>
                <w:szCs w:val="18"/>
              </w:rPr>
            </w:pPr>
            <w:r>
              <w:rPr>
                <w:rFonts w:ascii="宋体" w:hAnsi="宋体" w:cs="宋体" w:eastAsia="宋体" w:hint="default"/>
                <w:sz w:val="18"/>
                <w:szCs w:val="18"/>
              </w:rPr>
              <w:t>关于收到《中国证监会行政许可项目审查一次反馈意见通知书》的 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2018-11-23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2018-152</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78"/>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年度创业板公开发行可转换公司债券申请文件反馈意见回 复的公告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z w:val="18"/>
              </w:rPr>
              <w:t>2018-12-05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2018-158</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关于公开发行可转换公司债券申请初审会告知函回复的公告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2018-12-13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2018-160</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8"/>
              <w:jc w:val="left"/>
              <w:rPr>
                <w:rFonts w:ascii="宋体" w:hAnsi="宋体" w:cs="宋体" w:eastAsia="宋体" w:hint="default"/>
                <w:sz w:val="18"/>
                <w:szCs w:val="18"/>
              </w:rPr>
            </w:pPr>
            <w:r>
              <w:rPr>
                <w:rFonts w:ascii="宋体" w:hAnsi="宋体" w:cs="宋体" w:eastAsia="宋体" w:hint="default"/>
                <w:sz w:val="18"/>
                <w:szCs w:val="18"/>
              </w:rPr>
              <w:t>关于公开发行可转换公司债券申请获得中国证监会发行审核委员会 审核通过的公告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z w:val="18"/>
              </w:rPr>
              <w:t>2018-12-24</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5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一致行动人声明</w:t>
            </w:r>
            <w:r>
              <w:rPr>
                <w:rFonts w:ascii="宋体" w:hAnsi="宋体" w:cs="宋体" w:eastAsia="宋体" w:hint="default"/>
                <w:sz w:val="18"/>
                <w:szCs w:val="18"/>
              </w:rPr>
            </w:r>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2018-045</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关于权益变动的提示性公告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2018-05-10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5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公司会计政策变更的情况</w:t>
            </w:r>
            <w:r>
              <w:rPr>
                <w:rFonts w:ascii="宋体" w:hAnsi="宋体" w:cs="宋体" w:eastAsia="宋体" w:hint="default"/>
                <w:sz w:val="18"/>
                <w:szCs w:val="18"/>
              </w:rPr>
            </w:r>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2018-123</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年第十八次临时会议决议公告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2018-10-30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2018-124</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年第十三次临时会议决议公告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
              <w:jc w:val="right"/>
              <w:rPr>
                <w:rFonts w:ascii="Times New Roman" w:hAnsi="Times New Roman" w:cs="Times New Roman" w:eastAsia="Times New Roman" w:hint="default"/>
                <w:sz w:val="18"/>
                <w:szCs w:val="18"/>
              </w:rPr>
            </w:pPr>
            <w:r>
              <w:rPr>
                <w:rFonts w:ascii="Times New Roman"/>
                <w:sz w:val="18"/>
              </w:rPr>
              <w:t>2018-10-30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2018-126</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z w:val="18"/>
              </w:rPr>
              <w:t>2018-10-30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5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公司股份回购情况</w:t>
            </w:r>
            <w:r>
              <w:rPr>
                <w:rFonts w:ascii="宋体" w:hAnsi="宋体" w:cs="宋体" w:eastAsia="宋体" w:hint="default"/>
                <w:sz w:val="18"/>
                <w:szCs w:val="18"/>
              </w:rPr>
            </w:r>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2018-133</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年第十九次临时会议决议公告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z w:val="18"/>
              </w:rPr>
              <w:t>2018-11-12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2018-134</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年第十四次临时会议决议公告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2018-11-12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2018-135</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关于回购公司股份的预案</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2018-11-12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2018-136</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年第五次临时股东大会的通知</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2018-11-12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2018-147</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关于回购股份事项中前十名股东持股信息的公告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2018-11-26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2018-149</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年第五次临时股东大会决议公告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2018-11-28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6"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2018-150</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关于回购股份的债权人通知公告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0"/>
              <w:jc w:val="right"/>
              <w:rPr>
                <w:rFonts w:ascii="Times New Roman" w:hAnsi="Times New Roman" w:cs="Times New Roman" w:eastAsia="Times New Roman" w:hint="default"/>
                <w:sz w:val="18"/>
                <w:szCs w:val="18"/>
              </w:rPr>
            </w:pPr>
            <w:r>
              <w:rPr>
                <w:rFonts w:ascii="Times New Roman"/>
                <w:sz w:val="18"/>
              </w:rPr>
              <w:t>2018-12-03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2018-156</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关于回购公司股份的报告书</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2018-12-12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5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控股股东股份转让</w:t>
            </w:r>
            <w:r>
              <w:rPr>
                <w:rFonts w:ascii="宋体" w:hAnsi="宋体" w:cs="宋体" w:eastAsia="宋体" w:hint="default"/>
                <w:sz w:val="18"/>
                <w:szCs w:val="18"/>
              </w:rPr>
            </w:r>
          </w:p>
        </w:tc>
      </w:tr>
      <w:tr>
        <w:trPr>
          <w:trHeight w:val="429" w:hRule="exact"/>
        </w:trPr>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2018-161</w:t>
            </w:r>
          </w:p>
        </w:tc>
        <w:tc>
          <w:tcPr>
            <w:tcW w:w="5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关于控股股东签署《股份转让协议》暨权益变动的提示性公告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0"/>
              <w:jc w:val="right"/>
              <w:rPr>
                <w:rFonts w:ascii="Times New Roman" w:hAnsi="Times New Roman" w:cs="Times New Roman" w:eastAsia="Times New Roman" w:hint="default"/>
                <w:sz w:val="18"/>
                <w:szCs w:val="18"/>
              </w:rPr>
            </w:pPr>
            <w:r>
              <w:rPr>
                <w:rFonts w:ascii="Times New Roman"/>
                <w:sz w:val="18"/>
              </w:rPr>
              <w:t>2018-12-28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3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日本公司与翁思跃以及上海鹏都健康科技发展有限公司共同签署《增资协议书》，同意上海鹏都健康科技</w:t>
      </w:r>
      <w:r>
        <w:rPr/>
        <w:t> 发展有限公司对上海全程玖玖健康服务有限公司进行增资，增资金额人民币</w:t>
      </w:r>
      <w:r>
        <w:rPr>
          <w:rFonts w:ascii="Times New Roman" w:hAnsi="Times New Roman" w:cs="Times New Roman" w:eastAsia="Times New Roman" w:hint="default"/>
        </w:rPr>
        <w:t>10,000.00</w:t>
      </w:r>
      <w:r>
        <w:rPr/>
        <w:t>万元，其中人民币</w:t>
      </w:r>
      <w:r>
        <w:rPr>
          <w:rFonts w:ascii="Times New Roman" w:hAnsi="Times New Roman" w:cs="Times New Roman" w:eastAsia="Times New Roman" w:hint="default"/>
        </w:rPr>
        <w:t>2,416.50</w:t>
      </w:r>
      <w:r>
        <w:rPr/>
        <w:t>万元计入上 </w:t>
      </w:r>
      <w:r>
        <w:rPr>
          <w:spacing w:val="-2"/>
        </w:rPr>
        <w:t>海全程玖玖健康服务有限公司的注册资本，其他部分计入资本公积，本次增资后上海全程玖玖健康服务有限公司的注册资本</w:t>
      </w:r>
      <w:r>
        <w:rPr>
          <w:spacing w:val="-64"/>
        </w:rPr>
        <w:t> </w:t>
      </w:r>
      <w:r>
        <w:rPr>
          <w:spacing w:val="-64"/>
        </w:rPr>
      </w:r>
      <w:r>
        <w:rPr/>
        <w:t>将由</w:t>
      </w:r>
      <w:r>
        <w:rPr>
          <w:rFonts w:ascii="Times New Roman" w:hAnsi="Times New Roman" w:cs="Times New Roman" w:eastAsia="Times New Roman" w:hint="default"/>
        </w:rPr>
        <w:t>1,611.00</w:t>
      </w:r>
      <w:r>
        <w:rPr/>
        <w:t>万元增至</w:t>
      </w:r>
      <w:r>
        <w:rPr>
          <w:rFonts w:ascii="Times New Roman" w:hAnsi="Times New Roman" w:cs="Times New Roman" w:eastAsia="Times New Roman" w:hint="default"/>
        </w:rPr>
        <w:t>4,027.50</w:t>
      </w:r>
      <w:r>
        <w:rPr/>
        <w:t>万元，本公司的持股比例将由</w:t>
      </w:r>
      <w:r>
        <w:rPr>
          <w:rFonts w:ascii="Times New Roman" w:hAnsi="Times New Roman" w:cs="Times New Roman" w:eastAsia="Times New Roman" w:hint="default"/>
        </w:rPr>
        <w:t>55%</w:t>
      </w:r>
      <w:r>
        <w:rPr/>
        <w:t>变更为</w:t>
      </w:r>
      <w:r>
        <w:rPr>
          <w:rFonts w:ascii="Times New Roman" w:hAnsi="Times New Roman" w:cs="Times New Roman" w:eastAsia="Times New Roman" w:hint="default"/>
        </w:rPr>
        <w:t>22%</w:t>
      </w:r>
      <w:r>
        <w:rPr/>
        <w:t>。</w:t>
      </w:r>
    </w:p>
    <w:p>
      <w:pPr>
        <w:pStyle w:val="BodyText"/>
        <w:spacing w:line="316" w:lineRule="auto" w:before="7"/>
        <w:ind w:right="1132" w:firstLine="360"/>
        <w:jc w:val="both"/>
      </w:pPr>
      <w:r>
        <w:rPr>
          <w:spacing w:val="-2"/>
        </w:rPr>
        <w:t>本报告期内，因上海全程玖玖健康服务有限公司已不再是本公司的控股子公司，亦不再纳入公司的合并报表范围，对于</w:t>
      </w:r>
      <w:r>
        <w:rPr/>
        <w:t> 本次处置后的剩余股权投资，本公司按照其在丧失控制权日的公允价值进行重新计量。</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21,100,49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2.05%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-13,408,6</w:t>
            </w:r>
            <w:r>
              <w:rPr>
                <w:rFonts w:ascii="Times New Roman"/>
                <w:sz w:val="18"/>
              </w:rPr>
            </w:r>
          </w:p>
          <w:p>
            <w:pPr>
              <w:pStyle w:val="TableParagraph"/>
              <w:spacing w:line="240" w:lineRule="auto" w:before="106"/>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-13,408,6</w:t>
            </w:r>
            <w:r>
              <w:rPr>
                <w:rFonts w:ascii="Times New Roman"/>
                <w:sz w:val="18"/>
              </w:rPr>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7,691,881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21,100,49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2.05%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-13,408,6</w:t>
            </w:r>
            <w:r>
              <w:rPr>
                <w:rFonts w:ascii="Times New Roman"/>
                <w:sz w:val="18"/>
              </w:rPr>
            </w:r>
          </w:p>
          <w:p>
            <w:pPr>
              <w:pStyle w:val="TableParagraph"/>
              <w:spacing w:line="240" w:lineRule="auto" w:before="106"/>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-13,408,6</w:t>
            </w:r>
            <w:r>
              <w:rPr>
                <w:rFonts w:ascii="Times New Roman"/>
                <w:sz w:val="18"/>
              </w:rPr>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7,691,881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21,100,49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2.05%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-13,408,6</w:t>
            </w:r>
            <w:r>
              <w:rPr>
                <w:rFonts w:ascii="Times New Roman"/>
                <w:sz w:val="18"/>
              </w:rPr>
            </w:r>
          </w:p>
          <w:p>
            <w:pPr>
              <w:pStyle w:val="TableParagraph"/>
              <w:spacing w:line="240" w:lineRule="auto" w:before="106"/>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-13,408,6</w:t>
            </w:r>
            <w:r>
              <w:rPr>
                <w:rFonts w:ascii="Times New Roman"/>
                <w:sz w:val="18"/>
              </w:rPr>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7,691,881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1,009,982,</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150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97.95%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81,775,65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81,775,65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1,091,757</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,807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1,009,982,</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150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97.95%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81,775,65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81,775,65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1,091,757</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,807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1,031,082,</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642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68,367,04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68,367,04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1,099,449</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,688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38" w:lineRule="auto" w:before="117"/>
        <w:ind w:left="514" w:right="179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报告期内，公司因</w:t>
      </w:r>
      <w:r>
        <w:rPr>
          <w:rFonts w:ascii="Times New Roman" w:hAnsi="Times New Roman" w:cs="Times New Roman" w:eastAsia="Times New Roman" w:hint="default"/>
        </w:rPr>
        <w:t>2017</w:t>
      </w:r>
      <w:r>
        <w:rPr/>
        <w:t>年公开发行可转换公司债券转股导致股本发生变动，公司总股本由</w:t>
      </w:r>
      <w:r>
        <w:rPr>
          <w:rFonts w:ascii="Times New Roman" w:hAnsi="Times New Roman" w:cs="Times New Roman" w:eastAsia="Times New Roman" w:hint="default"/>
        </w:rPr>
        <w:t>1,031,082,642</w:t>
      </w:r>
      <w:r>
        <w:rPr/>
        <w:t>股增至</w:t>
      </w:r>
    </w:p>
    <w:p>
      <w:pPr>
        <w:pStyle w:val="BodyText"/>
        <w:spacing w:line="230" w:lineRule="exact"/>
        <w:ind w:right="0"/>
        <w:jc w:val="left"/>
      </w:pPr>
      <w:r>
        <w:rPr>
          <w:rFonts w:ascii="Times New Roman" w:hAnsi="Times New Roman" w:cs="Times New Roman" w:eastAsia="Times New Roman" w:hint="default"/>
        </w:rPr>
        <w:t>1,099,449,688</w:t>
      </w:r>
      <w:r>
        <w:rPr/>
        <w:t>股，公司注册资本由</w:t>
      </w:r>
      <w:r>
        <w:rPr>
          <w:rFonts w:ascii="Times New Roman" w:hAnsi="Times New Roman" w:cs="Times New Roman" w:eastAsia="Times New Roman" w:hint="default"/>
        </w:rPr>
        <w:t>1,031,082,642</w:t>
      </w:r>
      <w:r>
        <w:rPr/>
        <w:t>元增至</w:t>
      </w:r>
      <w:r>
        <w:rPr>
          <w:rFonts w:ascii="Times New Roman" w:hAnsi="Times New Roman" w:cs="Times New Roman" w:eastAsia="Times New Roman" w:hint="default"/>
        </w:rPr>
        <w:t>1,099,449,688</w:t>
      </w:r>
      <w:r>
        <w:rPr/>
        <w:t>元。</w:t>
      </w:r>
    </w:p>
    <w:p>
      <w:pPr>
        <w:pStyle w:val="BodyText"/>
        <w:spacing w:line="240" w:lineRule="auto" w:before="103"/>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日，公司第六届董事会</w:t>
      </w:r>
      <w:r>
        <w:rPr>
          <w:rFonts w:ascii="Times New Roman" w:hAnsi="Times New Roman" w:cs="Times New Roman" w:eastAsia="Times New Roman" w:hint="default"/>
          <w:spacing w:val="-2"/>
        </w:rPr>
        <w:t>2017</w:t>
      </w:r>
      <w:r>
        <w:rPr>
          <w:spacing w:val="-2"/>
        </w:rPr>
        <w:t>年第十八次临时会议审议通过了《关于公司公开发行可转换公司债券发行方案</w:t>
      </w:r>
      <w:r>
        <w:rPr/>
        <w:t> </w:t>
      </w:r>
      <w:r>
        <w:rPr>
          <w:spacing w:val="-2"/>
        </w:rPr>
        <w:t>的议案》，并披露了《万达信息股份有限公司公开发行可转换公司债券募集说明书》。根据募集说明书的规定，公司发行的</w:t>
      </w:r>
      <w:r>
        <w:rPr>
          <w:spacing w:val="-70"/>
        </w:rPr>
        <w:t> </w:t>
      </w:r>
      <w:r>
        <w:rPr>
          <w:spacing w:val="-70"/>
        </w:rPr>
      </w:r>
      <w:r>
        <w:rPr/>
        <w:t>可转债</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日起可转换为公司股份。</w:t>
      </w:r>
    </w:p>
    <w:p>
      <w:pPr>
        <w:pStyle w:val="BodyText"/>
        <w:spacing w:line="240" w:lineRule="auto" w:before="46"/>
        <w:ind w:right="0"/>
        <w:jc w:val="left"/>
      </w:pPr>
      <w:r>
        <w:rPr/>
        <w:t>股份变动的过户情况</w:t>
      </w:r>
    </w:p>
    <w:p>
      <w:pPr>
        <w:pStyle w:val="BodyText"/>
        <w:spacing w:line="338" w:lineRule="auto" w:before="117"/>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4"/>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报告期内，公司已在中国证券登记结算有限责任公司深圳分公司开立了回购专用证券账户，截至报告期末，公司未回购</w:t>
      </w:r>
    </w:p>
    <w:p>
      <w:pPr>
        <w:pStyle w:val="BodyText"/>
        <w:spacing w:line="240" w:lineRule="auto" w:before="2"/>
        <w:ind w:right="0"/>
        <w:jc w:val="left"/>
      </w:pPr>
      <w:r>
        <w:rPr/>
        <w:t>股份。</w:t>
      </w:r>
    </w:p>
    <w:p>
      <w:pPr>
        <w:pStyle w:val="BodyText"/>
        <w:spacing w:line="240" w:lineRule="auto" w:before="117"/>
        <w:ind w:left="514"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日，公司累计通过股票回购专用证券账户以集中竞价交易方式回购公司股份</w:t>
      </w:r>
      <w:r>
        <w:rPr>
          <w:rFonts w:ascii="Times New Roman" w:hAnsi="Times New Roman" w:cs="Times New Roman" w:eastAsia="Times New Roman" w:hint="default"/>
        </w:rPr>
        <w:t>2,563,415</w:t>
      </w:r>
      <w:r>
        <w:rPr/>
        <w:t>股，占公司总股</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1142"/>
        <w:jc w:val="left"/>
      </w:pPr>
      <w:r>
        <w:rPr/>
        <w:t>本的</w:t>
      </w:r>
      <w:r>
        <w:rPr>
          <w:rFonts w:ascii="Times New Roman" w:hAnsi="Times New Roman" w:cs="Times New Roman" w:eastAsia="Times New Roman" w:hint="default"/>
        </w:rPr>
        <w:t>0.23%</w:t>
      </w:r>
      <w:r>
        <w:rPr/>
        <w:t>，本次回购最高成交价为</w:t>
      </w:r>
      <w:r>
        <w:rPr>
          <w:rFonts w:ascii="Times New Roman" w:hAnsi="Times New Roman" w:cs="Times New Roman" w:eastAsia="Times New Roman" w:hint="default"/>
        </w:rPr>
        <w:t>11.93</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11.12</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29,984,265.25</w:t>
      </w:r>
      <w:r>
        <w:rPr/>
        <w:t>元（含交易费用）。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2"/>
        <w:ind w:right="4062"/>
        <w:jc w:val="left"/>
      </w:pPr>
      <w:r>
        <w:rPr/>
        <w:t>具体指标详见</w:t>
      </w:r>
      <w:r>
        <w:rPr>
          <w:rFonts w:ascii="Times New Roman" w:hAnsi="Times New Roman" w:cs="Times New Roman" w:eastAsia="Times New Roman" w:hint="default"/>
        </w:rPr>
        <w:t>“</w:t>
      </w:r>
      <w:r>
        <w:rPr/>
        <w:t>第二节</w:t>
      </w:r>
      <w:r>
        <w:rPr>
          <w:spacing w:val="-20"/>
        </w:rPr>
        <w:t> </w:t>
      </w:r>
      <w:r>
        <w:rPr/>
        <w:t>公司简介和主要财务指标</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五、主要会计数据和财务指标</w:t>
      </w:r>
      <w:r>
        <w:rPr>
          <w:rFonts w:ascii="Times New Roman" w:hAnsi="Times New Roman" w:cs="Times New Roman" w:eastAsia="Times New Roman" w:hint="default"/>
        </w:rPr>
        <w:t>”</w:t>
      </w:r>
      <w:r>
        <w:rPr/>
        <w:t>。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44"/>
        <w:ind w:left="0" w:right="1140"/>
        <w:jc w:val="right"/>
      </w:pPr>
      <w:r>
        <w:rPr/>
        <w:pict>
          <v:shape style="position:absolute;margin-left:56.459999pt;margin-top:-215.068298pt;width:479.25pt;height:413.3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992"/>
                    <w:gridCol w:w="1276"/>
                    <w:gridCol w:w="1134"/>
                    <w:gridCol w:w="1134"/>
                    <w:gridCol w:w="1134"/>
                    <w:gridCol w:w="3048"/>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4,131,450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4,131,450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在任期间，每年所持股份总数的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可流通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1,031,850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1,031,850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在任期间，每年所持股份总数的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可流通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在任期间，每年所持股份总数的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可流通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在任期间，每年所持股份总数的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可流通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在任期间，每年所持股份总数的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可流通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1,561,650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520,550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520,550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1,561,650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离任高管锁 定</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 每年所持股份总数的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离任高管锁 定</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每年所持股份总数的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离任监事锁 定</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 每年所持股份总数的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12,679,740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12,679,740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重组发行新 股限售承诺</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日已解除限售</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许晓荣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824,002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824,002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重组发行新 股限售承诺</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日已解除限售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21,100,492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14,129,442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720,831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7,691,881</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万信转债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9,000,000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9,000,000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2"/>
        <w:ind w:left="514" w:right="1202" w:hanging="360"/>
        <w:jc w:val="left"/>
      </w:pPr>
      <w:r>
        <w:rPr/>
        <w:t>报告期内证券发行（不含优先股）情况的说明 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[2017]2200</w:t>
      </w:r>
      <w:r>
        <w:rPr/>
        <w:t>号</w:t>
      </w:r>
      <w:r>
        <w:rPr>
          <w:rFonts w:ascii="Times New Roman" w:hAnsi="Times New Roman" w:cs="Times New Roman" w:eastAsia="Times New Roman" w:hint="default"/>
        </w:rPr>
        <w:t>”</w:t>
      </w:r>
      <w:r>
        <w:rPr/>
        <w:t>文核准，公司于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日公开发行了</w:t>
      </w:r>
      <w:r>
        <w:rPr>
          <w:rFonts w:ascii="Times New Roman" w:hAnsi="Times New Roman" w:cs="Times New Roman" w:eastAsia="Times New Roman" w:hint="default"/>
        </w:rPr>
        <w:t>900</w:t>
      </w:r>
      <w:r>
        <w:rPr/>
        <w:t>万张可转换公司债</w:t>
      </w:r>
    </w:p>
    <w:p>
      <w:pPr>
        <w:pStyle w:val="BodyText"/>
        <w:spacing w:line="214" w:lineRule="exact"/>
        <w:ind w:right="0"/>
        <w:jc w:val="left"/>
      </w:pPr>
      <w:r>
        <w:rPr/>
        <w:t>券，每张面值</w:t>
      </w:r>
      <w:r>
        <w:rPr>
          <w:rFonts w:ascii="Times New Roman" w:hAnsi="Times New Roman" w:cs="Times New Roman" w:eastAsia="Times New Roman" w:hint="default"/>
        </w:rPr>
        <w:t>100</w:t>
      </w:r>
      <w:r>
        <w:rPr/>
        <w:t>元，发行总额</w:t>
      </w:r>
      <w:r>
        <w:rPr>
          <w:rFonts w:ascii="Times New Roman" w:hAnsi="Times New Roman" w:cs="Times New Roman" w:eastAsia="Times New Roman" w:hint="default"/>
        </w:rPr>
        <w:t>90,000</w:t>
      </w:r>
      <w:r>
        <w:rPr/>
        <w:t>万元。经深圳证券交易所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[2018]50</w:t>
      </w:r>
      <w:r>
        <w:rPr/>
        <w:t>号</w:t>
      </w:r>
      <w:r>
        <w:rPr>
          <w:rFonts w:ascii="Times New Roman" w:hAnsi="Times New Roman" w:cs="Times New Roman" w:eastAsia="Times New Roman" w:hint="default"/>
        </w:rPr>
        <w:t>”</w:t>
      </w:r>
      <w:r>
        <w:rPr/>
        <w:t>文同意，公司本次发行的</w:t>
      </w:r>
      <w:r>
        <w:rPr>
          <w:rFonts w:ascii="Times New Roman" w:hAnsi="Times New Roman" w:cs="Times New Roman" w:eastAsia="Times New Roman" w:hint="default"/>
        </w:rPr>
        <w:t>90,000</w:t>
      </w:r>
      <w:r>
        <w:rPr/>
        <w:t>万元可转</w:t>
      </w:r>
    </w:p>
    <w:p>
      <w:pPr>
        <w:pStyle w:val="BodyText"/>
        <w:spacing w:line="300" w:lineRule="auto" w:before="63"/>
        <w:ind w:right="1162"/>
        <w:jc w:val="left"/>
      </w:pPr>
      <w:r>
        <w:rPr/>
        <w:t>换公司债券自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日起在深圳证券交易所上市交易，债券简称为</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，债券代码为</w:t>
      </w:r>
      <w:r>
        <w:rPr>
          <w:rFonts w:ascii="Times New Roman" w:hAnsi="Times New Roman" w:cs="Times New Roman" w:eastAsia="Times New Roman" w:hint="default"/>
        </w:rPr>
        <w:t>“123005”</w:t>
      </w:r>
      <w:r>
        <w:rPr/>
        <w:t>。根据相关规定 和《万达信息股份有限公司公开发行可转换公司债券募集说明书》的约定，</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日进入转股期。</w:t>
      </w:r>
    </w:p>
    <w:p>
      <w:pPr>
        <w:pStyle w:val="BodyText"/>
        <w:spacing w:line="300" w:lineRule="auto" w:before="13"/>
        <w:ind w:right="1141" w:firstLine="360"/>
        <w:jc w:val="both"/>
      </w:pPr>
      <w:r>
        <w:rPr/>
        <w:t>公司股票自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日连续十五个交易日的收盘价格不低于</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当期转股价格（</w:t>
      </w:r>
      <w:r>
        <w:rPr>
          <w:rFonts w:ascii="Times New Roman" w:hAnsi="Times New Roman" w:cs="Times New Roman" w:eastAsia="Times New Roman" w:hint="default"/>
        </w:rPr>
        <w:t>13.07</w:t>
      </w:r>
      <w:r>
        <w:rPr/>
        <w:t>元／</w:t>
      </w:r>
      <w:r>
        <w:rPr>
          <w:spacing w:val="-2"/>
        </w:rPr>
        <w:t> </w:t>
      </w:r>
      <w:r>
        <w:rPr/>
        <w:t>股）的</w:t>
      </w:r>
      <w:r>
        <w:rPr>
          <w:rFonts w:ascii="Times New Roman" w:hAnsi="Times New Roman" w:cs="Times New Roman" w:eastAsia="Times New Roman" w:hint="default"/>
        </w:rPr>
        <w:t>130%</w:t>
      </w:r>
      <w:r>
        <w:rPr/>
        <w:t>，根据《募集说明书》中的约定，已触发</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的有条件赎回条款。公司第六届董事会</w:t>
      </w:r>
      <w:r>
        <w:rPr>
          <w:rFonts w:ascii="Times New Roman" w:hAnsi="Times New Roman" w:cs="Times New Roman" w:eastAsia="Times New Roman" w:hint="default"/>
        </w:rPr>
        <w:t>2018</w:t>
      </w:r>
      <w:r>
        <w:rPr/>
        <w:t>年第十二次临 时会议于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日审议通过了《关于赎回全部已发行可转换公司债券的议案》，董事会决定行使公司可转债的提前赎 回权，按照债券面值加当期应计利息的价格赎回在赎回登记日登记在册的全部</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w:t>
      </w:r>
    </w:p>
    <w:p>
      <w:pPr>
        <w:pStyle w:val="BodyText"/>
        <w:spacing w:line="300" w:lineRule="auto" w:before="13"/>
        <w:ind w:right="1177" w:firstLine="360"/>
        <w:jc w:val="both"/>
      </w:pPr>
      <w:r>
        <w:rPr/>
        <w:t>因本次赎回为全部赎回，</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不再具备上市条件而需摘牌。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日，公司发行的</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已在深圳证 券交易所摘牌。</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4.291710pt;width:85.6pt;height:31.2pt;mso-position-horizontal-relative:page;mso-position-vertical-relative:paragraph;z-index:-1242520" type="#_x0000_t202" filled="false" stroked="false">
            <v:textbox inset="0,0,0,0">
              <w:txbxContent>
                <w:p>
                  <w:pPr>
                    <w:pStyle w:val="BodyText"/>
                    <w:spacing w:line="240" w:lineRule="auto" w:before="10"/>
                    <w:ind w:left="0" w:right="0"/>
                    <w:jc w:val="left"/>
                  </w:pPr>
                  <w:r>
                    <w:rPr/>
                    <w:t>（如有）</w:t>
                  </w:r>
                </w:p>
              </w:txbxContent>
            </v:textbox>
            <w10:wrap type="none"/>
          </v:shape>
        </w:pict>
      </w:r>
      <w:r>
        <w:rPr/>
        <w:pict>
          <v:group style="position:absolute;margin-left:482.399994pt;margin-top:64.291710pt;width:52.45pt;height:31.2pt;mso-position-horizontal-relative:page;mso-position-vertical-relative:paragraph;z-index:-1242496" coordorigin="9648,1286" coordsize="1049,624">
            <v:shape style="position:absolute;left:9648;top:1286;width:1049;height:624" coordorigin="9648,1286" coordsize="1049,624" path="m9648,1910l10697,1910,10697,1286,9648,1286,9648,191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4"/>
        <w:gridCol w:w="796"/>
        <w:gridCol w:w="1462"/>
        <w:gridCol w:w="1196"/>
        <w:gridCol w:w="1330"/>
        <w:gridCol w:w="1064"/>
        <w:gridCol w:w="1328"/>
        <w:gridCol w:w="1060"/>
      </w:tblGrid>
      <w:tr>
        <w:trPr>
          <w:trHeight w:val="1571"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48,218</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47,939</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2" w:right="3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32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2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
              <w:ind w:left="54"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74"/>
              <w:jc w:val="left"/>
              <w:rPr>
                <w:rFonts w:ascii="宋体" w:hAnsi="宋体" w:cs="宋体" w:eastAsia="宋体" w:hint="default"/>
                <w:sz w:val="18"/>
                <w:szCs w:val="18"/>
              </w:rPr>
            </w:pPr>
            <w:r>
              <w:rPr>
                <w:rFonts w:ascii="宋体" w:hAnsi="宋体" w:cs="宋体" w:eastAsia="宋体" w:hint="default"/>
                <w:sz w:val="18"/>
                <w:szCs w:val="18"/>
              </w:rPr>
              <w:t>上海万豪投资有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255,588,8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255,588,8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197,277,600</w:t>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4"/>
              <w:jc w:val="left"/>
              <w:rPr>
                <w:rFonts w:ascii="宋体" w:hAnsi="宋体" w:cs="宋体" w:eastAsia="宋体" w:hint="default"/>
                <w:sz w:val="18"/>
                <w:szCs w:val="18"/>
              </w:rPr>
            </w:pPr>
            <w:r>
              <w:rPr>
                <w:rFonts w:ascii="宋体" w:hAnsi="宋体" w:cs="宋体" w:eastAsia="宋体" w:hint="default"/>
                <w:sz w:val="18"/>
                <w:szCs w:val="18"/>
              </w:rPr>
              <w:t>上海科技创业投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6.11%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67,144,00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67,144,00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74"/>
              <w:jc w:val="left"/>
              <w:rPr>
                <w:rFonts w:ascii="宋体" w:hAnsi="宋体" w:cs="宋体" w:eastAsia="宋体" w:hint="default"/>
                <w:sz w:val="18"/>
                <w:szCs w:val="18"/>
              </w:rPr>
            </w:pPr>
            <w:r>
              <w:rPr>
                <w:rFonts w:ascii="宋体" w:hAnsi="宋体" w:cs="宋体" w:eastAsia="宋体" w:hint="default"/>
                <w:sz w:val="18"/>
                <w:szCs w:val="18"/>
              </w:rPr>
              <w:t>上海长安信息技 术咨询开发中心</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47,738,83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47,738,83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陈耀远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37,535,69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37,535,69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37,535,69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4"/>
              <w:jc w:val="left"/>
              <w:rPr>
                <w:rFonts w:ascii="宋体" w:hAnsi="宋体" w:cs="宋体" w:eastAsia="宋体" w:hint="default"/>
                <w:sz w:val="18"/>
                <w:szCs w:val="18"/>
              </w:rPr>
            </w:pPr>
            <w:r>
              <w:rPr>
                <w:rFonts w:ascii="宋体" w:hAnsi="宋体" w:cs="宋体" w:eastAsia="宋体" w:hint="default"/>
                <w:sz w:val="18"/>
                <w:szCs w:val="18"/>
              </w:rPr>
              <w:t>上海文化广播影 视集团有限公司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30,192,60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30,192,60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份有限公司－易 方达创业板交易 型开放式指数证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15,771,66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12,412,85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15,771,66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14,729,64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5,953,943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14,729,64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王淑玉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14,047,22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14,047,22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14,047,22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2" w:right="83"/>
              <w:jc w:val="left"/>
              <w:rPr>
                <w:rFonts w:ascii="宋体" w:hAnsi="宋体" w:cs="宋体" w:eastAsia="宋体" w:hint="default"/>
                <w:sz w:val="18"/>
                <w:szCs w:val="18"/>
              </w:rPr>
            </w:pPr>
            <w:r>
              <w:rPr>
                <w:rFonts w:ascii="宋体" w:hAnsi="宋体" w:cs="宋体" w:eastAsia="宋体" w:hint="default"/>
                <w:sz w:val="18"/>
                <w:szCs w:val="18"/>
              </w:rPr>
              <w:t>中国建设银行股 份有限公司－华 安创业板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w:t>
            </w:r>
            <w:r>
              <w:rPr>
                <w:rFonts w:ascii="宋体" w:hAnsi="宋体" w:cs="宋体" w:eastAsia="宋体" w:hint="default"/>
                <w:spacing w:val="1"/>
                <w:sz w:val="18"/>
                <w:szCs w:val="18"/>
              </w:rPr>
              <w:t> </w:t>
            </w:r>
            <w:r>
              <w:rPr>
                <w:rFonts w:ascii="宋体" w:hAnsi="宋体" w:cs="宋体" w:eastAsia="宋体" w:hint="default"/>
                <w:sz w:val="18"/>
                <w:szCs w:val="18"/>
              </w:rPr>
              <w:t>型开放式指数证</w:t>
            </w:r>
            <w:r>
              <w:rPr>
                <w:rFonts w:ascii="宋体" w:hAnsi="宋体" w:cs="宋体" w:eastAsia="宋体" w:hint="default"/>
                <w:sz w:val="18"/>
                <w:szCs w:val="18"/>
              </w:rPr>
              <w:t>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13,436,30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13,436,30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13,436,30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黄秋痕</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12,749,78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12,749,78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12,749,78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2"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09" w:lineRule="auto" w:before="11"/>
              <w:ind w:left="16" w:right="69"/>
              <w:jc w:val="left"/>
              <w:rPr>
                <w:rFonts w:ascii="宋体" w:hAnsi="宋体" w:cs="宋体" w:eastAsia="宋体" w:hint="default"/>
                <w:sz w:val="18"/>
                <w:szCs w:val="18"/>
              </w:rPr>
            </w:pPr>
            <w:r>
              <w:rPr>
                <w:rFonts w:ascii="宋体" w:hAnsi="宋体" w:cs="宋体" w:eastAsia="宋体" w:hint="default"/>
                <w:sz w:val="18"/>
                <w:szCs w:val="18"/>
              </w:rPr>
              <w:t>陈洁先生、陈耀远女士、王淑玉女士作为一致行动人合计持有股份占公司总股本的 </w:t>
            </w:r>
            <w:r>
              <w:rPr>
                <w:rFonts w:ascii="Times New Roman" w:hAnsi="Times New Roman" w:cs="Times New Roman" w:eastAsia="Times New Roman" w:hint="default"/>
                <w:sz w:val="18"/>
                <w:szCs w:val="18"/>
              </w:rPr>
              <w:t>6.03%</w:t>
            </w:r>
            <w:r>
              <w:rPr>
                <w:rFonts w:ascii="宋体" w:hAnsi="宋体" w:cs="宋体" w:eastAsia="宋体" w:hint="default"/>
                <w:sz w:val="18"/>
                <w:szCs w:val="18"/>
              </w:rPr>
              <w:t>。除此之外，公司未知上述其他股东之间是否存在关联关系，也未知是否属于 一致行动人。</w:t>
            </w:r>
          </w:p>
        </w:tc>
      </w:tr>
      <w:tr>
        <w:trPr>
          <w:trHeight w:val="62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32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6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255,588,800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255,588,800</w:t>
            </w:r>
          </w:p>
        </w:tc>
      </w:tr>
      <w:tr>
        <w:trPr>
          <w:trHeight w:val="32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上海科技创业投资有限公司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67,144,000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67,144,000</w:t>
            </w:r>
          </w:p>
        </w:tc>
      </w:tr>
      <w:tr>
        <w:trPr>
          <w:trHeight w:val="32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上海长安信息技术咨询开发中心</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47,738,832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47,738,832</w:t>
            </w:r>
          </w:p>
        </w:tc>
      </w:tr>
      <w:tr>
        <w:trPr>
          <w:trHeight w:val="32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陈耀远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37,535,690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37,535,690</w:t>
            </w:r>
          </w:p>
        </w:tc>
      </w:tr>
      <w:tr>
        <w:trPr>
          <w:trHeight w:val="32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上海文化广播影视集团有限公司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30,192,602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30,192,602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94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15,771,667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15,771,667</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陈洁</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14,729,643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14,729,643</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王淑玉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14,047,224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14,047,224</w:t>
            </w:r>
          </w:p>
        </w:tc>
      </w:tr>
      <w:tr>
        <w:trPr>
          <w:trHeight w:val="94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55"/>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 创业板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交易型开放式指数证券投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13,436,300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13,436,300</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黄秋痕</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12,749,782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12,749,782</w:t>
            </w:r>
          </w:p>
        </w:tc>
      </w:tr>
      <w:tr>
        <w:trPr>
          <w:trHeight w:val="125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9" w:lineRule="auto"/>
              <w:ind w:left="22" w:right="69"/>
              <w:jc w:val="left"/>
              <w:rPr>
                <w:rFonts w:ascii="宋体" w:hAnsi="宋体" w:cs="宋体" w:eastAsia="宋体" w:hint="default"/>
                <w:sz w:val="18"/>
                <w:szCs w:val="18"/>
              </w:rPr>
            </w:pPr>
            <w:r>
              <w:rPr>
                <w:rFonts w:ascii="宋体" w:hAnsi="宋体" w:cs="宋体" w:eastAsia="宋体" w:hint="default"/>
                <w:sz w:val="18"/>
                <w:szCs w:val="18"/>
              </w:rPr>
              <w:t>陈洁先生、陈耀远女士、王淑玉女士作为一致行动人合计持有股份占公司总股本的 </w:t>
            </w:r>
            <w:r>
              <w:rPr>
                <w:rFonts w:ascii="Times New Roman" w:hAnsi="Times New Roman" w:cs="Times New Roman" w:eastAsia="Times New Roman" w:hint="default"/>
                <w:sz w:val="18"/>
                <w:szCs w:val="18"/>
              </w:rPr>
              <w:t>6.03%</w:t>
            </w:r>
            <w:r>
              <w:rPr>
                <w:rFonts w:ascii="宋体" w:hAnsi="宋体" w:cs="宋体" w:eastAsia="宋体" w:hint="default"/>
                <w:sz w:val="18"/>
                <w:szCs w:val="18"/>
              </w:rPr>
              <w:t>。除此之外，公司未知上述其他股东之间是否存在关联关系，也未知是否属于 一致行动人。</w:t>
            </w:r>
          </w:p>
        </w:tc>
      </w:tr>
      <w:tr>
        <w:trPr>
          <w:trHeight w:val="250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、公司股东陈耀远除通过普通证券账户持有</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15000000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股外，还通过华泰证券股份有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22535690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37535690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、公司股东陈洁除通过普通证券账户持有</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5700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股外，还通过广发证券股份有限公司</w:t>
            </w:r>
          </w:p>
          <w:p>
            <w:pPr>
              <w:pStyle w:val="TableParagraph"/>
              <w:spacing w:line="300"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14723943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14729643 </w:t>
            </w:r>
            <w:r>
              <w:rPr>
                <w:rFonts w:ascii="宋体" w:hAnsi="宋体" w:cs="宋体" w:eastAsia="宋体" w:hint="default"/>
                <w:sz w:val="18"/>
                <w:szCs w:val="18"/>
              </w:rPr>
              <w:t>股。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、公司股东王淑玉未通过普通证券账户持股，通过财通证券股份有限公司客户信用 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14047224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股，即实际持有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14047224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、公司股东黄秋痕除通过普通证券账户持有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股外，还通过招商证券股份有限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12729782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股，即实际持有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12749782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3"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259"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
              <w:jc w:val="center"/>
              <w:rPr>
                <w:rFonts w:ascii="Times New Roman" w:hAnsi="Times New Roman" w:cs="Times New Roman" w:eastAsia="Times New Roman" w:hint="default"/>
                <w:sz w:val="18"/>
                <w:szCs w:val="18"/>
              </w:rPr>
            </w:pPr>
            <w:r>
              <w:rPr>
                <w:rFonts w:ascii="Times New Roman"/>
                <w:sz w:val="18"/>
              </w:rPr>
              <w:t>91310104768794477G</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both"/>
              <w:rPr>
                <w:rFonts w:ascii="宋体" w:hAnsi="宋体" w:cs="宋体" w:eastAsia="宋体" w:hint="default"/>
                <w:sz w:val="18"/>
                <w:szCs w:val="18"/>
              </w:rPr>
            </w:pPr>
            <w:r>
              <w:rPr>
                <w:rFonts w:ascii="宋体" w:hAnsi="宋体" w:cs="宋体" w:eastAsia="宋体" w:hint="default"/>
                <w:sz w:val="18"/>
                <w:szCs w:val="18"/>
              </w:rPr>
              <w:t>高科技投资，实业投资，资 产经营管理，投资咨询（除 </w:t>
            </w:r>
            <w:r>
              <w:rPr>
                <w:rFonts w:ascii="宋体" w:hAnsi="宋体" w:cs="宋体" w:eastAsia="宋体" w:hint="default"/>
                <w:spacing w:val="-13"/>
                <w:sz w:val="18"/>
                <w:szCs w:val="18"/>
              </w:rPr>
              <w:t>中介）（涉及行政许可的，凭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许可证经营）。</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0"/>
        <w:jc w:val="left"/>
      </w:pPr>
      <w:r>
        <w:rPr/>
        <w:t>控股股东报告期内变更</w:t>
      </w:r>
    </w:p>
    <w:p>
      <w:pPr>
        <w:pStyle w:val="BodyText"/>
        <w:spacing w:line="338" w:lineRule="auto" w:before="117"/>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报告期内担任公司董事长兼总裁。史一兵先生现任第十五届上海市人大代表、中国软件行业</w:t>
            </w:r>
            <w:r>
              <w:rPr>
                <w:rFonts w:ascii="宋体" w:hAnsi="宋体" w:cs="宋体" w:eastAsia="宋体" w:hint="default"/>
                <w:sz w:val="18"/>
                <w:szCs w:val="18"/>
              </w:rPr>
              <w:t> 协会理事、上海市软件行业协会会长。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3"/>
        <w:rPr>
          <w:rFonts w:ascii="宋体" w:hAnsi="宋体" w:cs="宋体" w:eastAsia="宋体" w:hint="default"/>
          <w:sz w:val="19"/>
          <w:szCs w:val="19"/>
        </w:rPr>
      </w:pPr>
    </w:p>
    <w:p>
      <w:pPr>
        <w:spacing w:line="2652" w:lineRule="exact"/>
        <w:ind w:left="2080"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3673474" cy="168402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3673474" cy="1684020"/>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5"/>
        <w:rPr>
          <w:rFonts w:ascii="宋体" w:hAnsi="宋体" w:cs="宋体" w:eastAsia="宋体" w:hint="default"/>
          <w:sz w:val="18"/>
          <w:szCs w:val="18"/>
        </w:rPr>
      </w:pPr>
    </w:p>
    <w:p>
      <w:pPr>
        <w:pStyle w:val="Heading3"/>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5,508,600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5,508,600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查忠民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266,241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266,241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耿平安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赵云柯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1,375,800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1,375,800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高级副总 裁；董事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卞世军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2,082,200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1,690,400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9,569,600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266,241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9,444,041</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1"/>
        <w:gridCol w:w="1559"/>
        <w:gridCol w:w="1134"/>
        <w:gridCol w:w="1560"/>
        <w:gridCol w:w="4464"/>
      </w:tblGrid>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董事；高级副总裁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王清女士因个人原因辞去第六届董事会董事、高级副总 裁职务，辞职后，仍在公司任职。</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吴健先生因个人原因辞去公司职工代表监事职务，辞职 后，仍在公司任职。</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年第七次临时会议审议通过，聘任杨 玲女士为公司高级副总裁，任期至第六届董事会届满。</w:t>
            </w:r>
          </w:p>
        </w:tc>
      </w:tr>
      <w:tr>
        <w:trPr>
          <w:trHeight w:val="6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年度第一次临时职工代表大会，选举曹蓉女士为公 司第六届监事会职工代表监事，任期至公司第六届监事</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44"/>
        <w:ind w:left="0" w:right="1140"/>
        <w:jc w:val="right"/>
      </w:pPr>
      <w:r>
        <w:rPr/>
        <w:pict>
          <v:shape style="position:absolute;margin-left:56.459999pt;margin-top:-157.2883pt;width:479.2pt;height:177.0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559"/>
                    <w:gridCol w:w="1134"/>
                    <w:gridCol w:w="1560"/>
                    <w:gridCol w:w="4464"/>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会届满。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卞世军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年第八次临时会议审议通过，聘任卞 世军先生为公司财务总监，任期至第六届董事会届满。</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年第七次临时会议审议通过提名杨玲 女士为第六届董事会非独立董事候选人，任期至第六届 董事会届满，后经公司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楼家麟先生因退休原因辞去公司监事会主席职务，辞职 后，其将不在公司担任任何职务。</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年第十三次临时会议审议通过，选举 钟璟女士为第六届监事会主席。任期自本次监事会届满</w:t>
                        </w:r>
                      </w:p>
                    </w:tc>
                  </w:tr>
                </w:tbl>
                <w:p>
                  <w:pPr/>
                </w:p>
              </w:txbxContent>
            </v:textbox>
            <w10:wrap type="none"/>
          </v:shape>
        </w:pict>
      </w:r>
      <w:r>
        <w:rPr/>
        <w:t>。</w:t>
      </w:r>
    </w:p>
    <w:p>
      <w:pPr>
        <w:spacing w:line="240" w:lineRule="auto" w:before="12"/>
        <w:rPr>
          <w:rFonts w:ascii="宋体" w:hAnsi="宋体" w:cs="宋体" w:eastAsia="宋体" w:hint="default"/>
          <w:sz w:val="26"/>
          <w:szCs w:val="26"/>
        </w:rPr>
      </w:pPr>
    </w:p>
    <w:p>
      <w:pPr>
        <w:pStyle w:val="Heading2"/>
        <w:spacing w:line="240" w:lineRule="auto" w:before="26"/>
        <w:ind w:right="0"/>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5"/>
        <w:ind w:right="1025"/>
        <w:jc w:val="left"/>
      </w:pPr>
      <w:r>
        <w:rPr>
          <w:rFonts w:ascii="Times New Roman" w:hAnsi="Times New Roman" w:cs="Times New Roman" w:eastAsia="Times New Roman" w:hint="default"/>
        </w:rPr>
        <w:t>1</w:t>
      </w:r>
      <w:r>
        <w:rPr/>
        <w:t>、董事会成员 </w:t>
      </w:r>
      <w:r>
        <w:rPr>
          <w:rFonts w:ascii="宋体" w:hAnsi="宋体" w:cs="宋体" w:eastAsia="宋体" w:hint="default"/>
          <w:b/>
          <w:bCs/>
        </w:rPr>
        <w:t>史一兵（董事长）：</w:t>
      </w:r>
      <w:r>
        <w:rPr/>
        <w:t>男，</w:t>
      </w:r>
      <w:r>
        <w:rPr>
          <w:rFonts w:ascii="Times New Roman" w:hAnsi="Times New Roman" w:cs="Times New Roman" w:eastAsia="Times New Roman" w:hint="default"/>
        </w:rPr>
        <w:t>1962</w:t>
      </w:r>
      <w:r>
        <w:rPr/>
        <w:t>年生，中国国籍，复旦大学计算机系软件专业研究生班毕业，硕士学位，中欧国际工商学院 </w:t>
      </w:r>
      <w:r>
        <w:rPr>
          <w:rFonts w:ascii="Times New Roman" w:hAnsi="Times New Roman" w:cs="Times New Roman" w:eastAsia="Times New Roman" w:hint="default"/>
        </w:rPr>
        <w:t>EMBA</w:t>
      </w:r>
      <w:r>
        <w:rPr/>
        <w:t>，研究员。曾先后于</w:t>
      </w:r>
      <w:r>
        <w:rPr>
          <w:rFonts w:ascii="Times New Roman" w:hAnsi="Times New Roman" w:cs="Times New Roman" w:eastAsia="Times New Roman" w:hint="default"/>
        </w:rPr>
        <w:t>1998</w:t>
      </w:r>
      <w:r>
        <w:rPr/>
        <w:t>年获得共青团中央全国青联颁发的第三届中国杰出（优秀）青年科技创业奖、</w:t>
      </w:r>
      <w:r>
        <w:rPr>
          <w:rFonts w:ascii="Times New Roman" w:hAnsi="Times New Roman" w:cs="Times New Roman" w:eastAsia="Times New Roman" w:hint="default"/>
        </w:rPr>
        <w:t>2005</w:t>
      </w:r>
      <w:r>
        <w:rPr/>
        <w:t>年被全国 </w:t>
      </w:r>
      <w:r>
        <w:rPr>
          <w:spacing w:val="-2"/>
        </w:rPr>
        <w:t>总工会评为全国劳动模范、</w:t>
      </w:r>
      <w:r>
        <w:rPr>
          <w:rFonts w:ascii="Times New Roman" w:hAnsi="Times New Roman" w:cs="Times New Roman" w:eastAsia="Times New Roman" w:hint="default"/>
          <w:spacing w:val="-2"/>
        </w:rPr>
        <w:t>2006</w:t>
      </w:r>
      <w:r>
        <w:rPr>
          <w:spacing w:val="-2"/>
        </w:rPr>
        <w:t>年被中国电子信息产业发展研究院评为中国软件企业十大领军人物、曾任第十届全国人大代</w:t>
      </w:r>
      <w:r>
        <w:rPr>
          <w:spacing w:val="-60"/>
        </w:rPr>
        <w:t> </w:t>
      </w:r>
      <w:r>
        <w:rPr>
          <w:spacing w:val="-60"/>
        </w:rPr>
      </w:r>
      <w:r>
        <w:rPr>
          <w:spacing w:val="-2"/>
        </w:rPr>
        <w:t>表、第十一届上海市政协常务委员、第十二届上海市政协常务委员、社会和法制委员会副主任、上海市青年联合会第九届委</w:t>
      </w:r>
      <w:r>
        <w:rPr>
          <w:spacing w:val="-66"/>
        </w:rPr>
        <w:t> </w:t>
      </w:r>
      <w:r>
        <w:rPr>
          <w:spacing w:val="-66"/>
        </w:rPr>
      </w:r>
      <w:r>
        <w:rPr>
          <w:spacing w:val="-2"/>
        </w:rPr>
        <w:t>员会常务委员，享受政府特殊津贴专家。史一兵先生现任第十五届上海市人大代表、中国软件行业协会理事、上海市软件行</w:t>
      </w:r>
      <w:r>
        <w:rPr>
          <w:spacing w:val="-66"/>
        </w:rPr>
        <w:t> </w:t>
      </w:r>
      <w:r>
        <w:rPr>
          <w:spacing w:val="-66"/>
        </w:rPr>
      </w:r>
      <w:r>
        <w:rPr>
          <w:spacing w:val="-2"/>
        </w:rPr>
        <w:t>业协会会长。历任上海计算机软件研究所副所长，上海万达信息系统有限公司常务副总经理、总经理，万达信息股份有限公</w:t>
      </w:r>
      <w:r>
        <w:rPr>
          <w:spacing w:val="-66"/>
        </w:rPr>
        <w:t> </w:t>
      </w:r>
      <w:r>
        <w:rPr>
          <w:spacing w:val="-66"/>
        </w:rPr>
      </w:r>
      <w:r>
        <w:rPr/>
        <w:t>司董事长兼总裁。现任本公司董事长。 </w:t>
      </w:r>
      <w:r>
        <w:rPr>
          <w:rFonts w:ascii="宋体" w:hAnsi="宋体" w:cs="宋体" w:eastAsia="宋体" w:hint="default"/>
          <w:b/>
          <w:bCs/>
        </w:rPr>
        <w:t>潘政（副董事长）：</w:t>
      </w:r>
      <w:r>
        <w:rPr/>
        <w:t>男，</w:t>
      </w:r>
      <w:r>
        <w:rPr>
          <w:rFonts w:ascii="Times New Roman" w:hAnsi="Times New Roman" w:cs="Times New Roman" w:eastAsia="Times New Roman" w:hint="default"/>
        </w:rPr>
        <w:t>1960</w:t>
      </w:r>
      <w:r>
        <w:rPr/>
        <w:t>年生，中国国籍，工学硕士，研究员。曾任中国船舶重工集团公司七一一研究所（</w:t>
      </w:r>
      <w:r>
        <w:rPr>
          <w:rFonts w:ascii="Times New Roman" w:hAnsi="Times New Roman" w:cs="Times New Roman" w:eastAsia="Times New Roman" w:hint="default"/>
        </w:rPr>
        <w:t>SMDERI</w:t>
      </w:r>
      <w:r>
        <w:rPr/>
        <w:t>）</w:t>
      </w:r>
      <w:r>
        <w:rPr>
          <w:w w:val="99"/>
        </w:rPr>
        <w:t> </w:t>
      </w:r>
      <w:r>
        <w:rPr/>
        <w:t>六室工程师、副主任、主任，十二室主任，副所长；上海市科协副主席、党组纪检组组长；上海科技馆馆长、正局级干部。</w:t>
      </w:r>
      <w:r>
        <w:rPr>
          <w:w w:val="99"/>
        </w:rPr>
        <w:t> </w:t>
      </w:r>
      <w:r>
        <w:rPr/>
        <w:t>现任上海科技创业投资（集团）有限公司副总经理，自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月以来担任公司副董事长。</w:t>
      </w:r>
      <w:r>
        <w:rPr>
          <w:w w:val="99"/>
        </w:rPr>
        <w:t> </w:t>
      </w:r>
      <w:r>
        <w:rPr>
          <w:rFonts w:ascii="宋体" w:hAnsi="宋体" w:cs="宋体" w:eastAsia="宋体" w:hint="default"/>
          <w:b/>
          <w:bCs/>
        </w:rPr>
        <w:t>查忠民（董事）：</w:t>
      </w:r>
      <w:r>
        <w:rPr/>
        <w:t>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11</w:t>
      </w:r>
      <w:r>
        <w:rPr/>
        <w:t>月生，中国国籍，</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12</w:t>
      </w:r>
      <w:r>
        <w:rPr/>
        <w:t>月加入中国共产党，</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月毕业于复旦大学世界经济系国际 金融专业，</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月在南京大学商学院金融系获得经济学硕士学位，是国际商会银行委员会</w:t>
      </w:r>
      <w:r>
        <w:rPr>
          <w:rFonts w:ascii="Times New Roman" w:hAnsi="Times New Roman" w:cs="Times New Roman" w:eastAsia="Times New Roman" w:hint="default"/>
        </w:rPr>
        <w:t>“</w:t>
      </w:r>
      <w:r>
        <w:rPr/>
        <w:t>国际标准银行实务</w:t>
      </w:r>
      <w:r>
        <w:rPr>
          <w:rFonts w:ascii="Times New Roman" w:hAnsi="Times New Roman" w:cs="Times New Roman" w:eastAsia="Times New Roman" w:hint="default"/>
        </w:rPr>
        <w:t>”</w:t>
      </w:r>
      <w:r>
        <w:rPr/>
        <w:t>规则起草 </w:t>
      </w:r>
      <w:r>
        <w:rPr>
          <w:spacing w:val="-4"/>
        </w:rPr>
        <w:t>小组成员、中国国际商会银行委员会顾问。曾任三井住友银行金融机构部中国区总经理、美国银行金融机构部中国区总经理、</w:t>
      </w:r>
      <w:r>
        <w:rPr>
          <w:spacing w:val="-44"/>
        </w:rPr>
        <w:t> </w:t>
      </w:r>
      <w:r>
        <w:rPr>
          <w:spacing w:val="-44"/>
        </w:rPr>
      </w:r>
      <w:r>
        <w:rPr/>
        <w:t>中信银行国际（中国）有限公司副行长兼北京分行行长、澳大利亚西太平洋银行北京分行行长兼金融机构部中国区总经理。 现任本公司董事、总裁。 </w:t>
      </w:r>
      <w:r>
        <w:rPr>
          <w:rFonts w:ascii="宋体" w:hAnsi="宋体" w:cs="宋体" w:eastAsia="宋体" w:hint="default"/>
          <w:b/>
          <w:bCs/>
          <w:spacing w:val="-2"/>
        </w:rPr>
        <w:t>杨玲（董事）：</w:t>
      </w:r>
      <w:r>
        <w:rPr>
          <w:spacing w:val="-2"/>
        </w:rPr>
        <w:t>女，</w:t>
      </w:r>
      <w:r>
        <w:rPr>
          <w:rFonts w:ascii="Times New Roman" w:hAnsi="Times New Roman" w:cs="Times New Roman" w:eastAsia="Times New Roman" w:hint="default"/>
          <w:spacing w:val="-2"/>
        </w:rPr>
        <w:t>1972</w:t>
      </w:r>
      <w:r>
        <w:rPr>
          <w:spacing w:val="-2"/>
        </w:rPr>
        <w:t>年生，中国国籍，计算机硕士学位，高级工程师。曾先后荣获上海市三八红旗手、全国三八红旗手</w:t>
      </w:r>
      <w:r>
        <w:rPr>
          <w:spacing w:val="-70"/>
        </w:rPr>
        <w:t> </w:t>
      </w:r>
      <w:r>
        <w:rPr>
          <w:spacing w:val="-70"/>
        </w:rPr>
      </w:r>
      <w:r>
        <w:rPr/>
        <w:t>等称号。现任公司高级副总裁、董事，党委副书记。 </w:t>
      </w:r>
      <w:r>
        <w:rPr>
          <w:rFonts w:ascii="宋体" w:hAnsi="宋体" w:cs="宋体" w:eastAsia="宋体" w:hint="default"/>
          <w:b/>
          <w:bCs/>
        </w:rPr>
        <w:t>王建章（独立董事）：</w:t>
      </w:r>
      <w:r>
        <w:rPr/>
        <w:t>男，</w:t>
      </w:r>
      <w:r>
        <w:rPr>
          <w:rFonts w:ascii="Times New Roman" w:hAnsi="Times New Roman" w:cs="Times New Roman" w:eastAsia="Times New Roman" w:hint="default"/>
        </w:rPr>
        <w:t>1946</w:t>
      </w:r>
      <w:r>
        <w:rPr/>
        <w:t>年</w:t>
      </w:r>
      <w:r>
        <w:rPr>
          <w:rFonts w:ascii="Times New Roman" w:hAnsi="Times New Roman" w:cs="Times New Roman" w:eastAsia="Times New Roman" w:hint="default"/>
        </w:rPr>
        <w:t>2</w:t>
      </w:r>
      <w:r>
        <w:rPr/>
        <w:t>月出生，香港理工大学</w:t>
      </w:r>
      <w:r>
        <w:rPr>
          <w:rFonts w:ascii="Times New Roman" w:hAnsi="Times New Roman" w:cs="Times New Roman" w:eastAsia="Times New Roman" w:hint="default"/>
        </w:rPr>
        <w:t>MBA</w:t>
      </w:r>
      <w:r>
        <w:rPr/>
        <w:t>硕士，高级工程师。曾任机械电子工业部综合规划司投资二 </w:t>
      </w:r>
      <w:r>
        <w:rPr>
          <w:spacing w:val="-2"/>
        </w:rPr>
        <w:t>处副处长；机械电子工业部电子行业发展司技改处处长；电子工业部综合规划司副司长；信息产业部综合规划司副司长、司</w:t>
      </w:r>
      <w:r>
        <w:rPr>
          <w:spacing w:val="-66"/>
        </w:rPr>
        <w:t> </w:t>
      </w:r>
      <w:r>
        <w:rPr>
          <w:spacing w:val="-66"/>
        </w:rPr>
      </w:r>
      <w:r>
        <w:rPr>
          <w:spacing w:val="-2"/>
        </w:rPr>
        <w:t>长；恒宝股份有限公司、北京歌华有线电视网络股份有限公司独立董事。现任彩虹显示器件股份有限公司独立董事，本公司</w:t>
      </w:r>
      <w:r>
        <w:rPr>
          <w:spacing w:val="-66"/>
        </w:rPr>
        <w:t> </w:t>
      </w:r>
      <w:r>
        <w:rPr>
          <w:spacing w:val="-66"/>
        </w:rPr>
      </w:r>
      <w:r>
        <w:rPr/>
        <w:t>独立董事。 </w:t>
      </w:r>
      <w:r>
        <w:rPr>
          <w:rFonts w:ascii="宋体" w:hAnsi="宋体" w:cs="宋体" w:eastAsia="宋体" w:hint="default"/>
          <w:b/>
          <w:bCs/>
        </w:rPr>
        <w:t>朱洪超（独立董事）：</w:t>
      </w:r>
      <w:r>
        <w:rPr/>
        <w:t>男，</w:t>
      </w:r>
      <w:r>
        <w:rPr>
          <w:rFonts w:ascii="Times New Roman" w:hAnsi="Times New Roman" w:cs="Times New Roman" w:eastAsia="Times New Roman" w:hint="default"/>
        </w:rPr>
        <w:t>1959</w:t>
      </w:r>
      <w:r>
        <w:rPr/>
        <w:t>年出生，硕士学位，高级律师。曾任上海市第一律师事务所律师，上海市律师协会副会长、 会长，中华全国律师协会副会长。现任上海市联合律师事务所主任、高级合伙人。现任本公司独立董事。 </w:t>
      </w:r>
      <w:r>
        <w:rPr>
          <w:rFonts w:ascii="宋体" w:hAnsi="宋体" w:cs="宋体" w:eastAsia="宋体" w:hint="default"/>
          <w:b/>
          <w:bCs/>
          <w:spacing w:val="-2"/>
        </w:rPr>
        <w:t>李柏龄（独立董事）：</w:t>
      </w:r>
      <w:r>
        <w:rPr>
          <w:spacing w:val="-2"/>
        </w:rPr>
        <w:t>男，</w:t>
      </w:r>
      <w:r>
        <w:rPr>
          <w:rFonts w:ascii="Times New Roman" w:hAnsi="Times New Roman" w:cs="Times New Roman" w:eastAsia="Times New Roman" w:hint="default"/>
          <w:spacing w:val="-2"/>
        </w:rPr>
        <w:t>1954</w:t>
      </w:r>
      <w:r>
        <w:rPr>
          <w:spacing w:val="-2"/>
        </w:rPr>
        <w:t>年出生，本科，教授、高级会计师、注册会计师。曾任上海经济管理干部学院财会系主任兼</w:t>
      </w:r>
      <w:r>
        <w:rPr>
          <w:spacing w:val="-72"/>
        </w:rPr>
        <w:t> </w:t>
      </w:r>
      <w:r>
        <w:rPr>
          <w:spacing w:val="-72"/>
        </w:rPr>
      </w:r>
      <w:r>
        <w:rPr>
          <w:spacing w:val="-2"/>
        </w:rPr>
        <w:t>审计处处长，上海华大会计师事务所所长、主任会计师，上海白猫（集团）有限公司副总经理，国泰君安证券股份有限公司</w:t>
      </w:r>
      <w:r>
        <w:rPr>
          <w:spacing w:val="-68"/>
        </w:rPr>
        <w:t> </w:t>
      </w:r>
      <w:r>
        <w:rPr>
          <w:spacing w:val="-68"/>
        </w:rPr>
      </w:r>
      <w:r>
        <w:rPr>
          <w:spacing w:val="-2"/>
        </w:rPr>
        <w:t>监事，中国太平洋保险（集团）股份有限公司监事，上海国有资产经营有限公司财务融资部总经理、总监，上海阳晨投资股</w:t>
      </w:r>
      <w:r>
        <w:rPr>
          <w:spacing w:val="-68"/>
        </w:rPr>
        <w:t> </w:t>
      </w:r>
      <w:r>
        <w:rPr>
          <w:spacing w:val="-68"/>
        </w:rPr>
      </w:r>
      <w:r>
        <w:rPr>
          <w:spacing w:val="-2"/>
        </w:rPr>
        <w:t>份有限公司监事会主席，上海国际集团有限公司专职董事，上海国际创业投资有限公司监事长。现任上海交大昂立股份有限</w:t>
      </w:r>
      <w:r>
        <w:rPr>
          <w:spacing w:val="-66"/>
        </w:rPr>
        <w:t> </w:t>
      </w:r>
      <w:r>
        <w:rPr>
          <w:spacing w:val="-66"/>
        </w:rPr>
      </w:r>
      <w:r>
        <w:rPr/>
        <w:t>公司独立董事，上海申通地铁股份有限公司独立董事，苏州易德龙科技股份有限公司独立董事，本公司独立董事。</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0"/>
        <w:jc w:val="left"/>
      </w:pPr>
      <w:r>
        <w:rPr>
          <w:rFonts w:ascii="Times New Roman" w:hAnsi="Times New Roman" w:cs="Times New Roman" w:eastAsia="Times New Roman" w:hint="default"/>
        </w:rPr>
        <w:t>2</w:t>
      </w:r>
      <w:r>
        <w:rPr/>
        <w:t>、监事会成员 </w:t>
      </w:r>
      <w:r>
        <w:rPr>
          <w:rFonts w:ascii="宋体" w:hAnsi="宋体" w:cs="宋体" w:eastAsia="宋体" w:hint="default"/>
          <w:b/>
          <w:bCs/>
        </w:rPr>
        <w:t>钟璟（监事会主席）：</w:t>
      </w:r>
      <w:r>
        <w:rPr/>
        <w:t>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2</w:t>
      </w:r>
      <w:r>
        <w:rPr/>
        <w:t>月生，中国国籍，中共党员，研究生学历硕士学位，会计师职称。历任上海文广新闻传 </w:t>
      </w:r>
      <w:r>
        <w:rPr>
          <w:spacing w:val="-2"/>
        </w:rPr>
        <w:t>媒集团计划财务部主任助理、计划财务部副主任，上海广播电视台、上海东方传媒集团有限公司计划财务部主任，上海东方</w:t>
      </w:r>
      <w:r>
        <w:rPr>
          <w:spacing w:val="-66"/>
        </w:rPr>
        <w:t> </w:t>
      </w:r>
      <w:r>
        <w:rPr>
          <w:spacing w:val="-66"/>
        </w:rPr>
      </w:r>
      <w:r>
        <w:rPr>
          <w:spacing w:val="-2"/>
        </w:rPr>
        <w:t>娱乐传媒集团有限公司副总经理、财务总监，上海东方传媒集团有限公司演艺中心总经理，上海广播电视台、上海文化广播</w:t>
      </w:r>
      <w:r>
        <w:rPr>
          <w:spacing w:val="-66"/>
        </w:rPr>
        <w:t> </w:t>
      </w:r>
      <w:r>
        <w:rPr>
          <w:spacing w:val="-66"/>
        </w:rPr>
      </w:r>
      <w:r>
        <w:rPr>
          <w:spacing w:val="-2"/>
        </w:rPr>
        <w:t>影视集团有限公司演艺中心总经理，上海文广演艺（集团）有限公司副总裁、总裁。现任上海文化广播影视集团有限公司董</w:t>
      </w:r>
      <w:r>
        <w:rPr>
          <w:spacing w:val="-66"/>
        </w:rPr>
        <w:t> </w:t>
      </w:r>
      <w:r>
        <w:rPr>
          <w:spacing w:val="-66"/>
        </w:rPr>
      </w:r>
      <w:r>
        <w:rPr/>
        <w:t>事、总会计师。 </w:t>
      </w:r>
      <w:r>
        <w:rPr>
          <w:rFonts w:ascii="宋体" w:hAnsi="宋体" w:cs="宋体" w:eastAsia="宋体" w:hint="default"/>
          <w:b/>
          <w:bCs/>
        </w:rPr>
        <w:t>宗宇伟（监事）：</w:t>
      </w:r>
      <w:r>
        <w:rPr/>
        <w:t>男，</w:t>
      </w:r>
      <w:r>
        <w:rPr>
          <w:rFonts w:ascii="Times New Roman" w:hAnsi="Times New Roman" w:cs="Times New Roman" w:eastAsia="Times New Roman" w:hint="default"/>
        </w:rPr>
        <w:t>1960</w:t>
      </w:r>
      <w:r>
        <w:rPr/>
        <w:t>年生，中国国籍，教授级高级工程师，华南理工大学本科毕业，学士学位，中欧国际工商学院 </w:t>
      </w:r>
      <w:r>
        <w:rPr>
          <w:rFonts w:ascii="Times New Roman" w:hAnsi="Times New Roman" w:cs="Times New Roman" w:eastAsia="Times New Roman" w:hint="default"/>
        </w:rPr>
        <w:t>MBA</w:t>
      </w:r>
      <w:r>
        <w:rPr/>
        <w:t>硕士。历任华东计算技术研究所项目组长、华普信息技术有限公司董事总经理、华东计算技术研究所重大项目办公室 </w:t>
      </w:r>
      <w:r>
        <w:rPr>
          <w:spacing w:val="-2"/>
        </w:rPr>
        <w:t>主任、上海中电华东高科技实业有限公司副总经理；现任上海计算机软件技术开发中心主任，上海科学院科技处处长，上海</w:t>
      </w:r>
      <w:r>
        <w:rPr>
          <w:spacing w:val="-66"/>
        </w:rPr>
        <w:t> </w:t>
      </w:r>
      <w:r>
        <w:rPr>
          <w:spacing w:val="-66"/>
        </w:rPr>
      </w:r>
      <w:r>
        <w:rPr>
          <w:spacing w:val="-2"/>
        </w:rPr>
        <w:t>产业技术研究院副总工程师，兼任上海软件园管理办公室常务副主任、上海嵌入式系统应用工程技术研究中心主任、上海嵌</w:t>
      </w:r>
      <w:r>
        <w:rPr>
          <w:spacing w:val="-66"/>
        </w:rPr>
        <w:t> </w:t>
      </w:r>
      <w:r>
        <w:rPr>
          <w:spacing w:val="-66"/>
        </w:rPr>
      </w:r>
      <w:r>
        <w:rPr/>
        <w:t>入式系统与软件联盟副理事长（主持工作）、本公司监事。 </w:t>
      </w:r>
      <w:r>
        <w:rPr>
          <w:rFonts w:ascii="宋体" w:hAnsi="宋体" w:cs="宋体" w:eastAsia="宋体" w:hint="default"/>
          <w:b/>
          <w:bCs/>
          <w:spacing w:val="-2"/>
        </w:rPr>
        <w:t>耿平安（监事）：</w:t>
      </w:r>
      <w:r>
        <w:rPr>
          <w:spacing w:val="-2"/>
        </w:rPr>
        <w:t>男，</w:t>
      </w:r>
      <w:r>
        <w:rPr>
          <w:rFonts w:ascii="Times New Roman" w:hAnsi="Times New Roman" w:cs="Times New Roman" w:eastAsia="Times New Roman" w:hint="default"/>
          <w:spacing w:val="-2"/>
        </w:rPr>
        <w:t>1951</w:t>
      </w:r>
      <w:r>
        <w:rPr>
          <w:spacing w:val="-2"/>
        </w:rPr>
        <w:t>年生，中国国籍，高级工程师，研究生学历。历任北京技术交流培训中心（北京国际技术合作中</w:t>
      </w:r>
      <w:r>
        <w:rPr>
          <w:spacing w:val="-70"/>
        </w:rPr>
        <w:t> </w:t>
      </w:r>
      <w:r>
        <w:rPr>
          <w:spacing w:val="-70"/>
        </w:rPr>
      </w:r>
      <w:r>
        <w:rPr>
          <w:spacing w:val="-4"/>
        </w:rPr>
        <w:t>心）党委书记、主任，北京市工程技术系列（电子仪表工程）高级评审委员会主任，第十一届北京市政协科技委员会副主任。</w:t>
      </w:r>
      <w:r>
        <w:rPr>
          <w:spacing w:val="-44"/>
        </w:rPr>
        <w:t> </w:t>
      </w:r>
      <w:r>
        <w:rPr>
          <w:spacing w:val="-44"/>
        </w:rPr>
      </w:r>
      <w:r>
        <w:rPr/>
        <w:t>现任第十二届北京市政协科技委员会特邀委员；本公司监事。</w:t>
      </w:r>
    </w:p>
    <w:p>
      <w:pPr>
        <w:pStyle w:val="BodyText"/>
        <w:spacing w:line="300" w:lineRule="auto" w:before="22"/>
        <w:ind w:right="1136"/>
        <w:jc w:val="left"/>
      </w:pPr>
      <w:r>
        <w:rPr>
          <w:rFonts w:ascii="宋体" w:hAnsi="宋体" w:cs="宋体" w:eastAsia="宋体" w:hint="default"/>
          <w:b/>
          <w:bCs/>
        </w:rPr>
        <w:t>曹蓉（职工监事）：</w:t>
      </w:r>
      <w:r>
        <w:rPr/>
        <w:t>女，</w:t>
      </w:r>
      <w:r>
        <w:rPr>
          <w:rFonts w:ascii="Times New Roman" w:hAnsi="Times New Roman" w:cs="Times New Roman" w:eastAsia="Times New Roman" w:hint="default"/>
        </w:rPr>
        <w:t>1981</w:t>
      </w:r>
      <w:r>
        <w:rPr>
          <w:rFonts w:ascii="Times New Roman" w:hAnsi="Times New Roman" w:cs="Times New Roman" w:eastAsia="Times New Roman" w:hint="default"/>
          <w:spacing w:val="25"/>
        </w:rPr>
        <w:t> </w:t>
      </w:r>
      <w:r>
        <w:rPr/>
        <w:t>年生，中国国籍，硕士学位，高级经济师。现任万达信息股份有限公司人力资源部主管，党 委办公室主任。</w:t>
      </w:r>
    </w:p>
    <w:p>
      <w:pPr>
        <w:spacing w:before="31"/>
        <w:ind w:left="154" w:right="0" w:firstLine="0"/>
        <w:jc w:val="left"/>
        <w:rPr>
          <w:rFonts w:ascii="宋体" w:hAnsi="宋体" w:cs="宋体" w:eastAsia="宋体" w:hint="default"/>
          <w:sz w:val="18"/>
          <w:szCs w:val="18"/>
        </w:rPr>
      </w:pPr>
      <w:r>
        <w:rPr>
          <w:rFonts w:ascii="宋体" w:hAnsi="宋体" w:cs="宋体" w:eastAsia="宋体" w:hint="default"/>
          <w:b/>
          <w:bCs/>
          <w:sz w:val="18"/>
          <w:szCs w:val="18"/>
        </w:rPr>
        <w:t>赵云柯（职工监事）：</w:t>
      </w:r>
      <w:r>
        <w:rPr>
          <w:rFonts w:ascii="宋体" w:hAnsi="宋体" w:cs="宋体" w:eastAsia="宋体" w:hint="default"/>
          <w:sz w:val="18"/>
          <w:szCs w:val="18"/>
        </w:rPr>
        <w:t>男，</w:t>
      </w:r>
      <w:r>
        <w:rPr>
          <w:rFonts w:ascii="Times New Roman" w:hAnsi="Times New Roman" w:cs="Times New Roman" w:eastAsia="Times New Roman" w:hint="default"/>
          <w:sz w:val="18"/>
          <w:szCs w:val="18"/>
        </w:rPr>
        <w:t>1988</w:t>
      </w:r>
      <w:r>
        <w:rPr>
          <w:rFonts w:ascii="宋体" w:hAnsi="宋体" w:cs="宋体" w:eastAsia="宋体" w:hint="default"/>
          <w:sz w:val="18"/>
          <w:szCs w:val="18"/>
        </w:rPr>
        <w:t>年生，中国国籍，学士学位。现任本公司总裁办公室项目建设副总监。</w:t>
      </w:r>
    </w:p>
    <w:p>
      <w:pPr>
        <w:spacing w:line="300" w:lineRule="auto" w:before="63"/>
        <w:ind w:left="154" w:right="75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 </w:t>
      </w:r>
      <w:r>
        <w:rPr>
          <w:rFonts w:ascii="宋体" w:hAnsi="宋体" w:cs="宋体" w:eastAsia="宋体" w:hint="default"/>
          <w:b/>
          <w:bCs/>
          <w:sz w:val="18"/>
          <w:szCs w:val="18"/>
        </w:rPr>
        <w:t>查忠民（总裁）：</w:t>
      </w:r>
      <w:r>
        <w:rPr>
          <w:rFonts w:ascii="宋体" w:hAnsi="宋体" w:cs="宋体" w:eastAsia="宋体" w:hint="default"/>
          <w:sz w:val="18"/>
          <w:szCs w:val="18"/>
        </w:rPr>
        <w:t>主要工作经历见前述。</w:t>
      </w:r>
    </w:p>
    <w:p>
      <w:pPr>
        <w:pStyle w:val="BodyText"/>
        <w:spacing w:line="304" w:lineRule="auto" w:before="31"/>
        <w:ind w:right="0"/>
        <w:jc w:val="left"/>
      </w:pPr>
      <w:r>
        <w:rPr>
          <w:rFonts w:ascii="宋体" w:hAnsi="宋体" w:cs="宋体" w:eastAsia="宋体" w:hint="default"/>
          <w:b/>
          <w:bCs/>
          <w:spacing w:val="-4"/>
        </w:rPr>
        <w:t>李光亚（高级副总裁）：</w:t>
      </w:r>
      <w:r>
        <w:rPr>
          <w:spacing w:val="-4"/>
        </w:rPr>
        <w:t>男，</w:t>
      </w:r>
      <w:r>
        <w:rPr>
          <w:rFonts w:ascii="Times New Roman" w:hAnsi="Times New Roman" w:cs="Times New Roman" w:eastAsia="Times New Roman" w:hint="default"/>
          <w:spacing w:val="-4"/>
        </w:rPr>
        <w:t>1973</w:t>
      </w:r>
      <w:r>
        <w:rPr>
          <w:spacing w:val="-4"/>
        </w:rPr>
        <w:t>年生，中国国籍，教授级高级工程师，博士学位。历任本公司副总工程师、研发中心主任；</w:t>
      </w:r>
      <w:r>
        <w:rPr>
          <w:spacing w:val="-49"/>
        </w:rPr>
        <w:t> </w:t>
      </w:r>
      <w:r>
        <w:rPr>
          <w:spacing w:val="-49"/>
        </w:rPr>
      </w:r>
      <w:r>
        <w:rPr>
          <w:spacing w:val="-4"/>
        </w:rPr>
        <w:t>公司董事、首席技术官、副总裁。曾先后于</w:t>
      </w:r>
      <w:r>
        <w:rPr>
          <w:rFonts w:ascii="Times New Roman" w:hAnsi="Times New Roman" w:cs="Times New Roman" w:eastAsia="Times New Roman" w:hint="default"/>
          <w:spacing w:val="-4"/>
        </w:rPr>
        <w:t>2002</w:t>
      </w:r>
      <w:r>
        <w:rPr>
          <w:spacing w:val="-4"/>
        </w:rPr>
        <w:t>年获首届</w:t>
      </w:r>
      <w:r>
        <w:rPr>
          <w:rFonts w:ascii="Times New Roman" w:hAnsi="Times New Roman" w:cs="Times New Roman" w:eastAsia="Times New Roman" w:hint="default"/>
          <w:spacing w:val="-4"/>
        </w:rPr>
        <w:t>“</w:t>
      </w:r>
      <w:r>
        <w:rPr>
          <w:spacing w:val="-4"/>
        </w:rPr>
        <w:t>上海</w:t>
      </w:r>
      <w:r>
        <w:rPr>
          <w:rFonts w:ascii="Times New Roman" w:hAnsi="Times New Roman" w:cs="Times New Roman" w:eastAsia="Times New Roman" w:hint="default"/>
          <w:spacing w:val="-4"/>
        </w:rPr>
        <w:t>IT</w:t>
      </w:r>
      <w:r>
        <w:rPr>
          <w:spacing w:val="-4"/>
        </w:rPr>
        <w:t>青年十大新锐</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2005</w:t>
      </w:r>
      <w:r>
        <w:rPr>
          <w:spacing w:val="-4"/>
        </w:rPr>
        <w:t>年获首批</w:t>
      </w:r>
      <w:r>
        <w:rPr>
          <w:rFonts w:ascii="Times New Roman" w:hAnsi="Times New Roman" w:cs="Times New Roman" w:eastAsia="Times New Roman" w:hint="default"/>
          <w:spacing w:val="-4"/>
        </w:rPr>
        <w:t>“</w:t>
      </w:r>
      <w:r>
        <w:rPr>
          <w:spacing w:val="-4"/>
        </w:rPr>
        <w:t>上海市科技领军人才</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2006 </w:t>
      </w:r>
      <w:r>
        <w:rPr/>
        <w:t>年获得</w:t>
      </w:r>
      <w:r>
        <w:rPr>
          <w:rFonts w:ascii="Times New Roman" w:hAnsi="Times New Roman" w:cs="Times New Roman" w:eastAsia="Times New Roman" w:hint="default"/>
        </w:rPr>
        <w:t>“</w:t>
      </w:r>
      <w:r>
        <w:rPr/>
        <w:t>中国信息产业科技创新先进工作者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年获得</w:t>
      </w:r>
      <w:r>
        <w:rPr>
          <w:rFonts w:ascii="Times New Roman" w:hAnsi="Times New Roman" w:cs="Times New Roman" w:eastAsia="Times New Roman" w:hint="default"/>
        </w:rPr>
        <w:t>“</w:t>
      </w:r>
      <w:r>
        <w:rPr/>
        <w:t>第三届中国软件行业十大杰出青年</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年获得</w:t>
      </w:r>
      <w:r>
        <w:rPr>
          <w:rFonts w:ascii="Times New Roman" w:hAnsi="Times New Roman" w:cs="Times New Roman" w:eastAsia="Times New Roman" w:hint="default"/>
        </w:rPr>
        <w:t>“</w:t>
      </w:r>
      <w:r>
        <w:rPr/>
        <w:t>上海市优秀学 科带头人计划（</w:t>
      </w:r>
      <w:r>
        <w:rPr>
          <w:rFonts w:ascii="Times New Roman" w:hAnsi="Times New Roman" w:cs="Times New Roman" w:eastAsia="Times New Roman" w:hint="default"/>
        </w:rPr>
        <w:t>B</w:t>
      </w:r>
      <w:r>
        <w:rPr/>
        <w:t>类）</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年获得上海市五一劳动奖章、</w:t>
      </w:r>
      <w:r>
        <w:rPr>
          <w:rFonts w:ascii="Times New Roman" w:hAnsi="Times New Roman" w:cs="Times New Roman" w:eastAsia="Times New Roman" w:hint="default"/>
        </w:rPr>
        <w:t>2009</w:t>
      </w:r>
      <w:r>
        <w:rPr/>
        <w:t>年获得国务院政府特殊津贴、</w:t>
      </w:r>
      <w:r>
        <w:rPr>
          <w:rFonts w:ascii="Times New Roman" w:hAnsi="Times New Roman" w:cs="Times New Roman" w:eastAsia="Times New Roman" w:hint="default"/>
        </w:rPr>
        <w:t>2010</w:t>
      </w:r>
      <w:r>
        <w:rPr/>
        <w:t>年入选</w:t>
      </w:r>
      <w:r>
        <w:rPr>
          <w:rFonts w:ascii="Times New Roman" w:hAnsi="Times New Roman" w:cs="Times New Roman" w:eastAsia="Times New Roman" w:hint="default"/>
        </w:rPr>
        <w:t>“</w:t>
      </w:r>
      <w:r>
        <w:rPr/>
        <w:t>新世纪百千万人 才工程</w:t>
      </w:r>
      <w:r>
        <w:rPr>
          <w:rFonts w:ascii="Times New Roman" w:hAnsi="Times New Roman" w:cs="Times New Roman" w:eastAsia="Times New Roman" w:hint="default"/>
        </w:rPr>
        <w:t>”</w:t>
      </w:r>
      <w:r>
        <w:rPr/>
        <w:t>国家级人选名单、</w:t>
      </w:r>
      <w:r>
        <w:rPr>
          <w:rFonts w:ascii="Times New Roman" w:hAnsi="Times New Roman" w:cs="Times New Roman" w:eastAsia="Times New Roman" w:hint="default"/>
        </w:rPr>
        <w:t>2014</w:t>
      </w:r>
      <w:r>
        <w:rPr/>
        <w:t>年获第七届</w:t>
      </w:r>
      <w:r>
        <w:rPr>
          <w:rFonts w:ascii="Times New Roman" w:hAnsi="Times New Roman" w:cs="Times New Roman" w:eastAsia="Times New Roman" w:hint="default"/>
        </w:rPr>
        <w:t>“</w:t>
      </w:r>
      <w:r>
        <w:rPr/>
        <w:t>上海青年科技英才</w:t>
      </w:r>
      <w:r>
        <w:rPr>
          <w:rFonts w:ascii="Times New Roman" w:hAnsi="Times New Roman" w:cs="Times New Roman" w:eastAsia="Times New Roman" w:hint="default"/>
        </w:rPr>
        <w:t>”</w:t>
      </w:r>
      <w:r>
        <w:rPr/>
        <w:t>。获得国家科技进步二等奖</w:t>
      </w:r>
      <w:r>
        <w:rPr>
          <w:rFonts w:ascii="Times New Roman" w:hAnsi="Times New Roman" w:cs="Times New Roman" w:eastAsia="Times New Roman" w:hint="default"/>
        </w:rPr>
        <w:t>2</w:t>
      </w:r>
      <w:r>
        <w:rPr/>
        <w:t>项。曾任共青团上海市第十二届 委员会委员。现任公司高级副总裁。 </w:t>
      </w:r>
      <w:r>
        <w:rPr>
          <w:rFonts w:ascii="宋体" w:hAnsi="宋体" w:cs="宋体" w:eastAsia="宋体" w:hint="default"/>
          <w:b/>
          <w:bCs/>
          <w:spacing w:val="-2"/>
        </w:rPr>
        <w:t>张天仁（高级副总裁）：</w:t>
      </w:r>
      <w:r>
        <w:rPr>
          <w:spacing w:val="-2"/>
        </w:rPr>
        <w:t>男，</w:t>
      </w:r>
      <w:r>
        <w:rPr>
          <w:rFonts w:ascii="Times New Roman" w:hAnsi="Times New Roman" w:cs="Times New Roman" w:eastAsia="Times New Roman" w:hint="default"/>
          <w:spacing w:val="-2"/>
        </w:rPr>
        <w:t>1956</w:t>
      </w:r>
      <w:r>
        <w:rPr>
          <w:spacing w:val="-2"/>
        </w:rPr>
        <w:t>年生，中国国籍，高级工程师，复旦大学计算机科学系毕业，本科学历。曾任深圳市现代</w:t>
      </w:r>
      <w:r>
        <w:rPr>
          <w:spacing w:val="-71"/>
        </w:rPr>
        <w:t> </w:t>
      </w:r>
      <w:r>
        <w:rPr>
          <w:spacing w:val="-71"/>
        </w:rPr>
      </w:r>
      <w:r>
        <w:rPr/>
        <w:t>计算机有限公司总裁，历任公司高级副总裁兼财务负责人。现任公司高级副总裁。 </w:t>
      </w:r>
      <w:r>
        <w:rPr>
          <w:rFonts w:ascii="宋体" w:hAnsi="宋体" w:cs="宋体" w:eastAsia="宋体" w:hint="default"/>
          <w:b/>
          <w:bCs/>
        </w:rPr>
        <w:t>张令庆（高级副总裁，董事会秘书）：</w:t>
      </w:r>
      <w:r>
        <w:rPr/>
        <w:t>女，</w:t>
      </w:r>
      <w:r>
        <w:rPr>
          <w:rFonts w:ascii="Times New Roman" w:hAnsi="Times New Roman" w:cs="Times New Roman" w:eastAsia="Times New Roman" w:hint="default"/>
        </w:rPr>
        <w:t>1955</w:t>
      </w:r>
      <w:r>
        <w:rPr/>
        <w:t>年生，中国国籍，硕士学位，经济师。曾任天宸股份有限公司董事、佳家 网络（上海）信息服务有限公司</w:t>
      </w:r>
      <w:r>
        <w:rPr>
          <w:rFonts w:ascii="Times New Roman" w:hAnsi="Times New Roman" w:cs="Times New Roman" w:eastAsia="Times New Roman" w:hint="default"/>
        </w:rPr>
        <w:t>COO</w:t>
      </w:r>
      <w:r>
        <w:rPr/>
        <w:t>。现任公司高级副总裁兼董事会秘书。</w:t>
      </w:r>
    </w:p>
    <w:p>
      <w:pPr>
        <w:pStyle w:val="BodyText"/>
        <w:spacing w:line="312" w:lineRule="auto" w:before="9"/>
        <w:ind w:right="1118"/>
        <w:jc w:val="left"/>
      </w:pPr>
      <w:r>
        <w:rPr>
          <w:rFonts w:ascii="宋体" w:hAnsi="宋体" w:cs="宋体" w:eastAsia="宋体" w:hint="default"/>
          <w:b/>
          <w:bCs/>
        </w:rPr>
        <w:t>杨玲（高级副总裁）：</w:t>
      </w:r>
      <w:r>
        <w:rPr/>
        <w:t>主要工作经历见前述。 </w:t>
      </w:r>
      <w:r>
        <w:rPr>
          <w:rFonts w:ascii="宋体" w:hAnsi="宋体" w:cs="宋体" w:eastAsia="宋体" w:hint="default"/>
          <w:b/>
          <w:bCs/>
          <w:spacing w:val="-2"/>
        </w:rPr>
        <w:t>卞世军（财务总监）：</w:t>
      </w:r>
      <w:r>
        <w:rPr>
          <w:spacing w:val="-2"/>
        </w:rPr>
        <w:t>男，</w:t>
      </w:r>
      <w:r>
        <w:rPr>
          <w:rFonts w:ascii="Times New Roman" w:hAnsi="Times New Roman" w:cs="Times New Roman" w:eastAsia="Times New Roman" w:hint="default"/>
          <w:spacing w:val="-2"/>
        </w:rPr>
        <w:t>1970</w:t>
      </w:r>
      <w:r>
        <w:rPr>
          <w:spacing w:val="-2"/>
        </w:rPr>
        <w:t>年生，中国国籍，管理学硕士学位，高级会计师。曾任上海复星医药集团股份有限公司审计</w:t>
      </w:r>
      <w:r>
        <w:rPr>
          <w:spacing w:val="-69"/>
        </w:rPr>
        <w:t> </w:t>
      </w:r>
      <w:r>
        <w:rPr>
          <w:spacing w:val="-69"/>
        </w:rPr>
      </w:r>
      <w:r>
        <w:rPr>
          <w:spacing w:val="-2"/>
        </w:rPr>
        <w:t>经理、上海航天汽车机电股份有限公司电站事业部财务总监、上海耀皮玻璃集团股份有限公司财务总监等。现任公司财务总</w:t>
      </w:r>
      <w:r>
        <w:rPr>
          <w:spacing w:val="-66"/>
        </w:rPr>
        <w:t> </w:t>
      </w:r>
      <w:r>
        <w:rPr>
          <w:spacing w:val="-66"/>
        </w:rPr>
      </w:r>
      <w:r>
        <w:rPr/>
        <w:t>监。</w:t>
      </w:r>
    </w:p>
    <w:p>
      <w:pPr>
        <w:pStyle w:val="BodyText"/>
        <w:spacing w:line="240" w:lineRule="auto" w:before="63"/>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343"/>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5" w:right="35"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上海科技创业投资有限公司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上海文化广播影视集团有限公司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董事、总会计师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06.220001pt;margin-top:163.999985pt;width:61pt;height:19.650pt;mso-position-horizontal-relative:page;mso-position-vertical-relative:page;z-index:-1242448" coordorigin="6124,3280" coordsize="1220,393">
            <v:shape style="position:absolute;left:6124;top:3280;width:1220;height:393" coordorigin="6124,3280" coordsize="1220,393" path="m6124,3672l7344,3672,7344,3280,6124,3280,6124,367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761"/>
        <w:gridCol w:w="1276"/>
        <w:gridCol w:w="851"/>
        <w:gridCol w:w="886"/>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8" w:right="7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上海达保贵生信息科技股份有限公司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上海深赜企业发展有限公司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761"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4"/>
                <w:sz w:val="18"/>
                <w:szCs w:val="18"/>
              </w:rPr>
              <w:t>上海浦江科技投资有限公司、上海申银万国证券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研究所有限公司、长江联合金融租赁有限公司 上海全程玖玖健康服务有限公司</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0" w:right="0"/>
              <w:jc w:val="left"/>
              <w:rPr>
                <w:rFonts w:ascii="宋体" w:hAnsi="宋体" w:cs="宋体" w:eastAsia="宋体" w:hint="default"/>
                <w:sz w:val="18"/>
                <w:szCs w:val="18"/>
              </w:rPr>
            </w:pPr>
            <w:r>
              <w:rPr>
                <w:rFonts w:ascii="宋体" w:hAnsi="宋体" w:cs="宋体" w:eastAsia="宋体" w:hint="default"/>
                <w:spacing w:val="-7"/>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上海浦江科技投资有限公司、上海市北科技创业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投资有限公司、上海慧毓商务信息咨询有限公 </w:t>
            </w:r>
            <w:r>
              <w:rPr>
                <w:rFonts w:ascii="宋体" w:hAnsi="宋体" w:cs="宋体" w:eastAsia="宋体" w:hint="default"/>
                <w:spacing w:val="-4"/>
                <w:sz w:val="18"/>
                <w:szCs w:val="18"/>
              </w:rPr>
              <w:t>司、上海科升投资有限公司、上海生物芯片有限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公司、上海艾云慧信创业投资有限公司、上海八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六三软件孵化器有限公司、上海复旦创业投资有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限公司、上海亿铂信息科技有限公司、上海芯超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生物科技有限公司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上海领汇创业投资有限公司、上海硅谷天堂合众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创业投资有限公司、上海科星创业投资有限公 </w:t>
            </w:r>
            <w:r>
              <w:rPr>
                <w:rFonts w:ascii="宋体" w:hAnsi="宋体" w:cs="宋体" w:eastAsia="宋体" w:hint="default"/>
                <w:spacing w:val="-4"/>
                <w:sz w:val="18"/>
                <w:szCs w:val="18"/>
              </w:rPr>
              <w:t>司、上海临港软件园发展有限公司、上海汇金融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资担保有限公司、上海上创骏强投资管理有限公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司、上海汇金商业保理有限公司、上海集成电路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产业投资基金股份有限公司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上海中新技术创业投资有限公司、上海明浦科技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上海数据交易中心有限公司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彩虹显示器件股份有限公司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上海市联合律师事务所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主任、高级合伙</w:t>
            </w:r>
            <w:r>
              <w:rPr>
                <w:rFonts w:ascii="宋体" w:hAnsi="宋体" w:cs="宋体" w:eastAsia="宋体" w:hint="default"/>
                <w:sz w:val="18"/>
                <w:szCs w:val="18"/>
              </w:rPr>
              <w:t> 人</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中国国际经济贸易仲裁委员会</w:t>
            </w:r>
            <w:r>
              <w:rPr>
                <w:rFonts w:ascii="宋体" w:hAnsi="宋体" w:cs="宋体" w:eastAsia="宋体" w:hint="default"/>
                <w:spacing w:val="-75"/>
                <w:sz w:val="18"/>
                <w:szCs w:val="18"/>
              </w:rPr>
              <w:t>、</w:t>
            </w:r>
            <w:r>
              <w:rPr>
                <w:rFonts w:ascii="宋体" w:hAnsi="宋体" w:cs="宋体" w:eastAsia="宋体" w:hint="default"/>
                <w:sz w:val="18"/>
                <w:szCs w:val="18"/>
              </w:rPr>
              <w:t>上海仲裁</w:t>
            </w:r>
            <w:r>
              <w:rPr>
                <w:rFonts w:ascii="宋体" w:hAnsi="宋体" w:cs="宋体" w:eastAsia="宋体" w:hint="default"/>
                <w:spacing w:val="-2"/>
                <w:sz w:val="18"/>
                <w:szCs w:val="18"/>
              </w:rPr>
              <w:t>委</w:t>
            </w:r>
            <w:r>
              <w:rPr>
                <w:rFonts w:ascii="宋体" w:hAnsi="宋体" w:cs="宋体" w:eastAsia="宋体" w:hint="default"/>
                <w:sz w:val="18"/>
                <w:szCs w:val="18"/>
              </w:rPr>
              <w:t>员会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上海交大昂立股份有限公司、上海申通地铁股份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有限公司、苏州易德龙科技股份有限公司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上海软件园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上海嘉达信息科技有限公司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钟璟</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上海文广传媒有限公司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为公司董事、监事、高级管理人员在公司及下属子公司以外其他企业的兼职情况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公司现任及报告期内离任董事、监事和高级管理人员近三年证券监管机构处罚的情况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6"/>
        <w:ind w:right="1025"/>
        <w:jc w:val="left"/>
      </w:pPr>
      <w:r>
        <w:rPr/>
        <w:t>一、董事报酬的决策程序：</w:t>
      </w:r>
      <w:r>
        <w:rPr>
          <w:spacing w:val="-54"/>
        </w:rPr>
        <w:t> </w:t>
      </w:r>
      <w:r>
        <w:rPr>
          <w:rFonts w:ascii="Times New Roman" w:hAnsi="Times New Roman" w:cs="Times New Roman" w:eastAsia="Times New Roman" w:hint="default"/>
        </w:rPr>
        <w:t>1</w:t>
      </w:r>
      <w:r>
        <w:rPr/>
        <w:t>、由董事会薪酬与考核委员根据岗位绩效评价结果及薪酬分配政策提出董事的报酬数额和奖励 方式，制定董事的报酬方案报公司董事会。 </w:t>
      </w:r>
      <w:r>
        <w:rPr>
          <w:rFonts w:ascii="Times New Roman" w:hAnsi="Times New Roman" w:cs="Times New Roman" w:eastAsia="Times New Roman" w:hint="default"/>
          <w:spacing w:val="-3"/>
        </w:rPr>
        <w:t>2</w:t>
      </w:r>
      <w:r>
        <w:rPr>
          <w:spacing w:val="-3"/>
        </w:rPr>
        <w:t>、董事会审议通过后，提交股东大会审议批准。二、监事报酬的决策程序：</w:t>
      </w:r>
      <w:r>
        <w:rPr>
          <w:spacing w:val="-71"/>
        </w:rPr>
        <w:t> </w:t>
      </w:r>
      <w:r>
        <w:rPr>
          <w:rFonts w:ascii="Times New Roman" w:hAnsi="Times New Roman" w:cs="Times New Roman" w:eastAsia="Times New Roman" w:hint="default"/>
        </w:rPr>
        <w:t>1</w:t>
      </w:r>
      <w:r>
        <w:rPr/>
        <w:t>、 由监事会根据岗位绩效评价结果及薪酬分配政策提出监事的报酬数额和奖励方式，制定监事的报酬方案。</w:t>
      </w:r>
      <w:r>
        <w:rPr>
          <w:spacing w:val="-46"/>
        </w:rPr>
        <w:t> </w:t>
      </w:r>
      <w:r>
        <w:rPr>
          <w:rFonts w:ascii="Times New Roman" w:hAnsi="Times New Roman" w:cs="Times New Roman" w:eastAsia="Times New Roman" w:hint="default"/>
          <w:spacing w:val="-3"/>
        </w:rPr>
        <w:t>2</w:t>
      </w:r>
      <w:r>
        <w:rPr>
          <w:spacing w:val="-3"/>
        </w:rPr>
        <w:t>、监事会审议通</w:t>
      </w:r>
      <w:r>
        <w:rPr/>
        <w:t> </w:t>
      </w:r>
      <w:r>
        <w:rPr>
          <w:spacing w:val="-2"/>
        </w:rPr>
        <w:t>过后，提交股东大会审议批准。三、高级管理人员报酬的决策程序：由董事会薪酬与考核委员会根据岗位绩效评价结果及薪</w:t>
      </w:r>
      <w:r>
        <w:rPr>
          <w:spacing w:val="-66"/>
        </w:rPr>
        <w:t> </w:t>
      </w:r>
      <w:r>
        <w:rPr>
          <w:spacing w:val="-66"/>
        </w:rPr>
      </w:r>
      <w:r>
        <w:rPr/>
        <w:t>酬分配政策提出高级管理人员的报酬数额和奖励方式，制定高级管理人员报酬方案，报公司董事会，由董事会审议通过。 </w:t>
      </w:r>
      <w:r>
        <w:rPr>
          <w:spacing w:val="-2"/>
        </w:rPr>
        <w:t>二、董事、监事、高级管理人员报酬确定依据：董事、监事、高级管理人员的报酬按照公司《章程》、《董事会薪酬与考核</w:t>
      </w:r>
      <w:r>
        <w:rPr>
          <w:spacing w:val="-70"/>
        </w:rPr>
        <w:t> </w:t>
      </w:r>
      <w:r>
        <w:rPr>
          <w:spacing w:val="-70"/>
        </w:rPr>
      </w:r>
      <w:r>
        <w:rPr/>
        <w:t>委员会实施细则》等规定，结合其经营绩效、工作能力、岗位职责考核确定并发放。</w:t>
      </w:r>
    </w:p>
    <w:p>
      <w:pPr>
        <w:pStyle w:val="BodyText"/>
        <w:spacing w:line="357" w:lineRule="auto" w:before="65"/>
        <w:ind w:right="1392"/>
        <w:jc w:val="left"/>
      </w:pPr>
      <w:r>
        <w:rPr/>
        <w:t>三、董事、监事和高级管理人员报酬的实际支付情况：报告期内，公司已向董事、监事及高级管理人员全额支付薪酬。 公司报告期内董事、监事和高级管理人员报酬情况</w:t>
      </w:r>
    </w:p>
    <w:p>
      <w:pPr>
        <w:pStyle w:val="BodyText"/>
        <w:spacing w:line="240" w:lineRule="auto" w:before="29"/>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查忠民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2"/>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钟璟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耿平安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曹蓉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赵云柯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高级副总裁；董 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卞世军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8"/>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1,896</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5,628</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5,628</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3,807</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技术实施人员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管理及财务人员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5,628</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3,434</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2" w:firstLine="360"/>
        <w:jc w:val="left"/>
      </w:pPr>
      <w:r>
        <w:rPr>
          <w:spacing w:val="-2"/>
        </w:rPr>
        <w:t>公司薪酬政策以市场竞争性为导向，以效益为依托，以经济性、公平性、正向激励性为原则，基于责任与能力、关注结</w:t>
      </w:r>
      <w:r>
        <w:rPr/>
        <w:t> </w:t>
      </w:r>
      <w:r>
        <w:rPr>
          <w:spacing w:val="-2"/>
        </w:rPr>
        <w:t>果，鼓励员工主动迎接挑战、兑现承诺，促进公司与员工共同的发展与成长。公司薪酬由基本能力工资、职务工资、绩效奖</w:t>
      </w:r>
      <w:r>
        <w:rPr>
          <w:spacing w:val="-67"/>
        </w:rPr>
        <w:t> </w:t>
      </w:r>
      <w:r>
        <w:rPr>
          <w:spacing w:val="-67"/>
        </w:rPr>
      </w:r>
      <w:r>
        <w:rPr>
          <w:spacing w:val="-2"/>
        </w:rPr>
        <w:t>金构成。基本能力工资根据个人能力和从事工作的类别确定，与任职资格体系挂钩。职务工资根据个人承担的责任，按工作</w:t>
      </w:r>
      <w:r>
        <w:rPr>
          <w:spacing w:val="-66"/>
        </w:rPr>
        <w:t> </w:t>
      </w:r>
      <w:r>
        <w:rPr>
          <w:spacing w:val="-66"/>
        </w:rPr>
      </w:r>
      <w:r>
        <w:rPr/>
        <w:t>的内容、难易程度、责任轻重，压力大小等因素确定。绩效奖金与公司年度经营目标挂钩，有效结合员工利益与公司效益， 激发员工的潜力和活力。为进一步吸引和保留核心骨干人才，建立员工激励体制，促进公司的长远发展。</w:t>
      </w:r>
    </w:p>
    <w:p>
      <w:pPr>
        <w:pStyle w:val="BodyText"/>
        <w:spacing w:line="338" w:lineRule="auto" w:before="59"/>
        <w:ind w:left="514" w:right="1843"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报告期内职工薪酬总额（计入成本部分）的金额为</w:t>
      </w:r>
      <w:r>
        <w:rPr>
          <w:rFonts w:ascii="Times New Roman" w:hAnsi="Times New Roman" w:cs="Times New Roman" w:eastAsia="Times New Roman" w:hint="default"/>
        </w:rPr>
        <w:t>458,153,519.10</w:t>
      </w:r>
      <w:r>
        <w:rPr/>
        <w:t>元，占公司成本总额的比重为</w:t>
      </w:r>
      <w:r>
        <w:rPr>
          <w:rFonts w:ascii="Times New Roman" w:hAnsi="Times New Roman" w:cs="Times New Roman" w:eastAsia="Times New Roman" w:hint="default"/>
        </w:rPr>
        <w:t>37.44%</w:t>
      </w:r>
      <w:r>
        <w:rPr/>
        <w:t>。</w:t>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0"/>
        <w:jc w:val="both"/>
      </w:pPr>
      <w:r>
        <w:rPr>
          <w:rFonts w:ascii="Times New Roman" w:hAnsi="Times New Roman" w:cs="Times New Roman" w:eastAsia="Times New Roman" w:hint="default"/>
          <w:spacing w:val="-2"/>
        </w:rPr>
        <w:t>2018</w:t>
      </w:r>
      <w:r>
        <w:rPr>
          <w:spacing w:val="-2"/>
        </w:rPr>
        <w:t>年，培训工作紧密围绕公司人才战略开展，根据培训需求调查结果，制定年度培训计划并认真落实，培训工作取得</w:t>
      </w:r>
      <w:r>
        <w:rPr/>
        <w:t> 了新的进展。在形式上主要分为内训地面课，内训线上课和外训课程。</w:t>
      </w:r>
    </w:p>
    <w:p>
      <w:pPr>
        <w:pStyle w:val="BodyText"/>
        <w:spacing w:line="309" w:lineRule="auto" w:before="32"/>
        <w:ind w:right="1133" w:firstLine="360"/>
        <w:jc w:val="both"/>
      </w:pPr>
      <w:r>
        <w:rPr/>
        <w:t>内训地面课全年开展了技术通道、项目通道、行业通道等培训</w:t>
      </w:r>
      <w:r>
        <w:rPr>
          <w:rFonts w:ascii="Times New Roman" w:hAnsi="Times New Roman" w:cs="Times New Roman" w:eastAsia="Times New Roman" w:hint="default"/>
        </w:rPr>
        <w:t>72</w:t>
      </w:r>
      <w:r>
        <w:rPr/>
        <w:t>场，共计</w:t>
      </w:r>
      <w:r>
        <w:rPr>
          <w:rFonts w:ascii="Times New Roman" w:hAnsi="Times New Roman" w:cs="Times New Roman" w:eastAsia="Times New Roman" w:hint="default"/>
        </w:rPr>
        <w:t>165.5</w:t>
      </w:r>
      <w:r>
        <w:rPr/>
        <w:t>课时，实际参加培训</w:t>
      </w:r>
      <w:r>
        <w:rPr>
          <w:rFonts w:ascii="Times New Roman" w:hAnsi="Times New Roman" w:cs="Times New Roman" w:eastAsia="Times New Roman" w:hint="default"/>
        </w:rPr>
        <w:t>1612</w:t>
      </w:r>
      <w:r>
        <w:rPr/>
        <w:t>人次。培训因 </w:t>
      </w:r>
      <w:r>
        <w:rPr>
          <w:spacing w:val="-2"/>
        </w:rPr>
        <w:t>需制宜，内容多样，在保留历年优秀课程的同时，新增加了许多员工感兴趣或前沿技术类课程，并积极开销售培训、新晋中</w:t>
      </w:r>
      <w:r>
        <w:rPr>
          <w:spacing w:val="-66"/>
        </w:rPr>
        <w:t> </w:t>
      </w:r>
      <w:r>
        <w:rPr>
          <w:spacing w:val="-66"/>
        </w:rPr>
      </w:r>
      <w:r>
        <w:rPr/>
        <w:t>层培训、新员工入职培训等课程，进一步增强了公司各类人才的业务知识和岗位技能。</w:t>
      </w:r>
    </w:p>
    <w:p>
      <w:pPr>
        <w:pStyle w:val="BodyText"/>
        <w:spacing w:line="300" w:lineRule="auto" w:before="24"/>
        <w:ind w:right="1042" w:firstLine="360"/>
        <w:jc w:val="both"/>
      </w:pPr>
      <w:r>
        <w:rPr>
          <w:rFonts w:ascii="Times New Roman" w:hAnsi="Times New Roman" w:cs="Times New Roman" w:eastAsia="Times New Roman" w:hint="default"/>
          <w:spacing w:val="-2"/>
        </w:rPr>
        <w:t>2018</w:t>
      </w:r>
      <w:r>
        <w:rPr>
          <w:spacing w:val="-2"/>
        </w:rPr>
        <w:t>年，还在内训地面课程的基础上，加开网络线上课程形式，扩展了培训对象，使分布在全国各地的员工更易于参加</w:t>
      </w:r>
      <w:r>
        <w:rPr/>
        <w:t> 培训。</w:t>
      </w:r>
      <w:r>
        <w:rPr>
          <w:rFonts w:ascii="Times New Roman" w:hAnsi="Times New Roman" w:cs="Times New Roman" w:eastAsia="Times New Roman" w:hint="default"/>
        </w:rPr>
        <w:t>2018</w:t>
      </w:r>
      <w:r>
        <w:rPr/>
        <w:t>年线上内训课程共计时长</w:t>
      </w:r>
      <w:r>
        <w:rPr>
          <w:rFonts w:ascii="Times New Roman" w:hAnsi="Times New Roman" w:cs="Times New Roman" w:eastAsia="Times New Roman" w:hint="default"/>
        </w:rPr>
        <w:t>9345.8</w:t>
      </w:r>
      <w:r>
        <w:rPr/>
        <w:t>小时，培训</w:t>
      </w:r>
      <w:r>
        <w:rPr>
          <w:rFonts w:ascii="Times New Roman" w:hAnsi="Times New Roman" w:cs="Times New Roman" w:eastAsia="Times New Roman" w:hint="default"/>
        </w:rPr>
        <w:t>3038</w:t>
      </w:r>
      <w:r>
        <w:rPr/>
        <w:t>人，其中对核心关键岗位项目经理的培训进一步加强，人力资源 </w:t>
      </w:r>
      <w:r>
        <w:rPr>
          <w:spacing w:val="-1"/>
        </w:rPr>
        <w:t>部协同项目与质量管理部，完成面向项目经理的系列在线课程</w:t>
      </w:r>
      <w:r>
        <w:rPr>
          <w:rFonts w:ascii="Times New Roman" w:hAnsi="Times New Roman" w:cs="Times New Roman" w:eastAsia="Times New Roman" w:hint="default"/>
          <w:spacing w:val="-1"/>
        </w:rPr>
        <w:t>,</w:t>
      </w:r>
      <w:r>
        <w:rPr>
          <w:spacing w:val="-1"/>
        </w:rPr>
        <w:t>尤强化了对新任项目经理的应知应会要求和必修课程的考核。</w:t>
      </w:r>
    </w:p>
    <w:p>
      <w:pPr>
        <w:pStyle w:val="BodyText"/>
        <w:spacing w:line="316" w:lineRule="auto" w:before="13"/>
        <w:ind w:right="1032" w:firstLine="360"/>
        <w:jc w:val="left"/>
      </w:pPr>
      <w:r>
        <w:rPr>
          <w:spacing w:val="-2"/>
        </w:rPr>
        <w:t>在外训方面，根据业务单元的不同需求，请外部优秀师资对内部员工开展关于管理、销售、沟通技巧、新媒体运营、等</w:t>
      </w:r>
      <w:r>
        <w:rPr/>
        <w:t> 方面的培训。此外，还围绕提升沟通效率等主题，开展了多样化团队建设活动，包括拆书帮、篝火晚会、户外皮划艇活动、 儿童节亲子游园、绘画征文比赛等，这些项目不仅丰富了员工的文化生活，也对提高团队凝聚力起到了一定作用。</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175,400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12,170,414.00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46" w:right="4124"/>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spacing w:val="-4"/>
        </w:rPr>
        <w:t>报告期内，公司严格按照《公司法》、《证券法》、《上市公司治理准则》、《深圳证券交易所创业板股票上市规则》、</w:t>
      </w:r>
    </w:p>
    <w:p>
      <w:pPr>
        <w:pStyle w:val="BodyText"/>
        <w:spacing w:line="316" w:lineRule="auto" w:before="76"/>
        <w:ind w:right="1032"/>
        <w:jc w:val="left"/>
      </w:pPr>
      <w:r>
        <w:rPr/>
        <w:t>《深圳证券交易所创业板上市公司规范运作指引》和其他的有关法律法规、规范性文件的要求，不断地完善公司治理结构， 建立健全公司内部控制制度，以进一步提高公司治理水平。截至报告期末，</w:t>
      </w:r>
      <w:r>
        <w:rPr>
          <w:spacing w:val="-17"/>
        </w:rPr>
        <w:t> </w:t>
      </w:r>
      <w:r>
        <w:rPr/>
        <w:t>公司治理的实际情况符合中国证监会、深圳证</w:t>
      </w:r>
      <w:r>
        <w:rPr/>
        <w:t> 券交易所等发布的法律法规和规范性文件的要求。</w:t>
      </w:r>
    </w:p>
    <w:p>
      <w:pPr>
        <w:pStyle w:val="BodyText"/>
        <w:spacing w:line="316" w:lineRule="auto" w:before="19"/>
        <w:ind w:left="444" w:right="0" w:hanging="74"/>
        <w:jc w:val="left"/>
      </w:pPr>
      <w:r>
        <w:rPr/>
        <w:t>（一）</w:t>
      </w:r>
      <w:r>
        <w:rPr>
          <w:spacing w:val="-18"/>
        </w:rPr>
        <w:t> </w:t>
      </w:r>
      <w:r>
        <w:rPr/>
        <w:t>关于股东与股东大会</w:t>
      </w:r>
      <w:r>
        <w:rPr/>
        <w:t> </w:t>
      </w:r>
      <w:r>
        <w:rPr>
          <w:spacing w:val="-1"/>
        </w:rPr>
        <w:t>公司严格按照《上市公司股东大会规则》、《公司章程》、《股东大会议事规则》的相关规定和要求，规范地召集、召</w:t>
      </w:r>
    </w:p>
    <w:p>
      <w:pPr>
        <w:pStyle w:val="BodyText"/>
        <w:spacing w:line="316" w:lineRule="auto" w:before="19"/>
        <w:ind w:right="1118"/>
        <w:jc w:val="left"/>
      </w:pPr>
      <w:r>
        <w:rPr>
          <w:spacing w:val="-2"/>
        </w:rPr>
        <w:t>开股东大会，确保全体股东特别是中小股东享有平等地位，充分行使自己的权利。相关事项的决策程序规范，决策科学，效</w:t>
      </w:r>
      <w:r>
        <w:rPr>
          <w:spacing w:val="-66"/>
        </w:rPr>
        <w:t> </w:t>
      </w:r>
      <w:r>
        <w:rPr>
          <w:spacing w:val="-66"/>
        </w:rPr>
      </w:r>
      <w:r>
        <w:rPr/>
        <w:t>果良好。</w:t>
      </w:r>
    </w:p>
    <w:p>
      <w:pPr>
        <w:pStyle w:val="BodyText"/>
        <w:spacing w:line="316" w:lineRule="auto" w:before="19"/>
        <w:ind w:left="444" w:right="0" w:hanging="74"/>
        <w:jc w:val="left"/>
      </w:pPr>
      <w:r>
        <w:rPr/>
        <w:t>（二）</w:t>
      </w:r>
      <w:r>
        <w:rPr>
          <w:spacing w:val="-18"/>
        </w:rPr>
        <w:t> </w:t>
      </w:r>
      <w:r>
        <w:rPr/>
        <w:t>关于公司与控股股东、实际控制人</w:t>
      </w:r>
      <w:r>
        <w:rPr/>
        <w:t> </w:t>
      </w:r>
      <w:r>
        <w:rPr>
          <w:spacing w:val="-1"/>
        </w:rPr>
        <w:t>公司控股股东为上海万豪投资有限公司。上海万豪投资有限公司没有超越股东大会直接或间接干预公司的决策和经营活</w:t>
      </w:r>
    </w:p>
    <w:p>
      <w:pPr>
        <w:pStyle w:val="BodyText"/>
        <w:spacing w:line="316" w:lineRule="auto" w:before="19"/>
        <w:ind w:right="0"/>
        <w:jc w:val="left"/>
      </w:pPr>
      <w:r>
        <w:rPr>
          <w:spacing w:val="-2"/>
        </w:rPr>
        <w:t>动，与公司主营业务不存在同业竞争。公司拥有独立完整的业务和自主经营能力，在业务、人员、资产、机构、财务上独立</w:t>
      </w:r>
      <w:r>
        <w:rPr>
          <w:spacing w:val="-71"/>
        </w:rPr>
        <w:t> </w:t>
      </w:r>
      <w:r>
        <w:rPr>
          <w:spacing w:val="-71"/>
        </w:rPr>
      </w:r>
      <w:r>
        <w:rPr/>
        <w:t>于控股股东，公司董事会、监事会和内部机构独立运作。</w:t>
      </w:r>
    </w:p>
    <w:p>
      <w:pPr>
        <w:pStyle w:val="BodyText"/>
        <w:spacing w:line="316" w:lineRule="auto" w:before="19"/>
        <w:ind w:left="444" w:right="1102" w:hanging="74"/>
        <w:jc w:val="left"/>
      </w:pPr>
      <w:r>
        <w:rPr/>
        <w:t>（三）</w:t>
      </w:r>
      <w:r>
        <w:rPr>
          <w:spacing w:val="-18"/>
        </w:rPr>
        <w:t> </w:t>
      </w:r>
      <w:r>
        <w:rPr/>
        <w:t>关于董事和董事会</w:t>
      </w:r>
      <w:r>
        <w:rPr/>
        <w:t> 公司已制订《董事会议事规则》、《独立董事议事规则》、《董事会秘书工作规则》等制度，并不断加以完善和规范，</w:t>
      </w:r>
    </w:p>
    <w:p>
      <w:pPr>
        <w:pStyle w:val="BodyText"/>
        <w:spacing w:line="307" w:lineRule="auto" w:before="19"/>
        <w:ind w:right="1032"/>
        <w:jc w:val="left"/>
      </w:pPr>
      <w:r>
        <w:rPr/>
        <w:t>确保董事会规范、高效运作和审慎、科学决策。公司董事会由</w:t>
      </w:r>
      <w:r>
        <w:rPr>
          <w:rFonts w:ascii="Times New Roman" w:hAnsi="Times New Roman" w:cs="Times New Roman" w:eastAsia="Times New Roman" w:hint="default"/>
        </w:rPr>
        <w:t>7</w:t>
      </w:r>
      <w:r>
        <w:rPr/>
        <w:t>名成员组成，其中独立董事</w:t>
      </w:r>
      <w:r>
        <w:rPr>
          <w:rFonts w:ascii="Times New Roman" w:hAnsi="Times New Roman" w:cs="Times New Roman" w:eastAsia="Times New Roman" w:hint="default"/>
        </w:rPr>
        <w:t>3</w:t>
      </w:r>
      <w:r>
        <w:rPr/>
        <w:t>名，人员符合有关法律、法规、 </w:t>
      </w:r>
      <w:r>
        <w:rPr>
          <w:spacing w:val="-2"/>
        </w:rPr>
        <w:t>章程等的要求，具有履行职务所必需的知识、技能和素质。董事会会议严格按照董事会议事规则召开，报告期内共召开董事</w:t>
      </w:r>
      <w:r>
        <w:rPr>
          <w:spacing w:val="-66"/>
        </w:rPr>
        <w:t> </w:t>
      </w:r>
      <w:r>
        <w:rPr>
          <w:spacing w:val="-66"/>
        </w:rPr>
      </w:r>
      <w:r>
        <w:rPr>
          <w:spacing w:val="-2"/>
        </w:rPr>
        <w:t>会会议</w:t>
      </w:r>
      <w:r>
        <w:rPr>
          <w:rFonts w:ascii="Times New Roman" w:hAnsi="Times New Roman" w:cs="Times New Roman" w:eastAsia="Times New Roman" w:hint="default"/>
          <w:spacing w:val="-2"/>
        </w:rPr>
        <w:t>20</w:t>
      </w:r>
      <w:r>
        <w:rPr>
          <w:spacing w:val="-2"/>
        </w:rPr>
        <w:t>次。公司按照《深圳证券交易所创业板上市公司规范运作指引》的要求，下设审计委员会、薪酬与考核委员会、提</w:t>
      </w:r>
      <w:r>
        <w:rPr>
          <w:spacing w:val="-66"/>
        </w:rPr>
        <w:t> </w:t>
      </w:r>
      <w:r>
        <w:rPr>
          <w:spacing w:val="-66"/>
        </w:rPr>
      </w:r>
      <w:r>
        <w:rPr/>
        <w:t>名委员会和战略委员会四个专门委员会。</w:t>
      </w:r>
    </w:p>
    <w:p>
      <w:pPr>
        <w:pStyle w:val="BodyText"/>
        <w:spacing w:line="316" w:lineRule="auto" w:before="26"/>
        <w:ind w:left="444" w:right="0" w:hanging="74"/>
        <w:jc w:val="left"/>
      </w:pPr>
      <w:r>
        <w:rPr/>
        <w:t>（四）</w:t>
      </w:r>
      <w:r>
        <w:rPr>
          <w:spacing w:val="-18"/>
        </w:rPr>
        <w:t> </w:t>
      </w:r>
      <w:r>
        <w:rPr/>
        <w:t>关于监事和监事会</w:t>
      </w:r>
      <w:r>
        <w:rPr/>
        <w:t> </w:t>
      </w:r>
      <w:r>
        <w:rPr>
          <w:spacing w:val="-1"/>
        </w:rPr>
        <w:t>公司已制订《监事会议事规则》等制度确保监事会向全体股东负责，对公司内部控制以及公司董事、总裁及其他高级管</w:t>
      </w:r>
    </w:p>
    <w:p>
      <w:pPr>
        <w:pStyle w:val="BodyText"/>
        <w:spacing w:line="309" w:lineRule="auto" w:before="19"/>
        <w:ind w:right="1130"/>
        <w:jc w:val="both"/>
      </w:pPr>
      <w:r>
        <w:rPr>
          <w:spacing w:val="-2"/>
        </w:rPr>
        <w:t>理人员履行职责的合法合规性进行有效监督，维护公司及股东的合法权益。公司也采取了有效措施保障监事的知情权，能够</w:t>
      </w:r>
      <w:r>
        <w:rPr>
          <w:spacing w:val="-66"/>
        </w:rPr>
        <w:t> </w:t>
      </w:r>
      <w:r>
        <w:rPr>
          <w:spacing w:val="-66"/>
        </w:rPr>
      </w:r>
      <w:r>
        <w:rPr>
          <w:spacing w:val="-2"/>
        </w:rPr>
        <w:t>独立有效地行使对董事、总裁及其他高级管理人员的监督职责。报告期内，公司共召开监事会会议</w:t>
      </w:r>
      <w:r>
        <w:rPr>
          <w:rFonts w:ascii="Times New Roman" w:hAnsi="Times New Roman" w:cs="Times New Roman" w:eastAsia="Times New Roman" w:hint="default"/>
          <w:spacing w:val="-2"/>
        </w:rPr>
        <w:t>15</w:t>
      </w:r>
      <w:r>
        <w:rPr>
          <w:spacing w:val="-2"/>
        </w:rPr>
        <w:t>次，公司监事列席了报</w:t>
      </w:r>
      <w:r>
        <w:rPr>
          <w:spacing w:val="-63"/>
        </w:rPr>
        <w:t> </w:t>
      </w:r>
      <w:r>
        <w:rPr>
          <w:spacing w:val="-63"/>
        </w:rPr>
      </w:r>
      <w:r>
        <w:rPr/>
        <w:t>告期内的所有股东大会。</w:t>
      </w:r>
    </w:p>
    <w:p>
      <w:pPr>
        <w:pStyle w:val="BodyText"/>
        <w:spacing w:line="316" w:lineRule="auto" w:before="24"/>
        <w:ind w:left="444" w:right="1102" w:hanging="74"/>
        <w:jc w:val="left"/>
      </w:pPr>
      <w:r>
        <w:rPr/>
        <w:t>（五）</w:t>
      </w:r>
      <w:r>
        <w:rPr>
          <w:spacing w:val="-18"/>
        </w:rPr>
        <w:t> </w:t>
      </w:r>
      <w:r>
        <w:rPr/>
        <w:t>关于绩效评价与激励约束机制</w:t>
      </w:r>
      <w:r>
        <w:rPr/>
        <w:t> 公司已逐步建立并完善公正、透明的高级管理人员的绩效考核标准和激励约束机制。高级管理人员的聘任公开、透明，</w:t>
      </w:r>
    </w:p>
    <w:p>
      <w:pPr>
        <w:pStyle w:val="BodyText"/>
        <w:spacing w:line="240" w:lineRule="auto" w:before="19"/>
        <w:ind w:right="0"/>
        <w:jc w:val="left"/>
      </w:pPr>
      <w:r>
        <w:rPr/>
        <w:t>符合法律、法规的规定。</w:t>
      </w:r>
    </w:p>
    <w:p>
      <w:pPr>
        <w:pStyle w:val="BodyText"/>
        <w:spacing w:line="316" w:lineRule="auto" w:before="76"/>
        <w:ind w:left="444" w:right="0" w:hanging="74"/>
        <w:jc w:val="left"/>
      </w:pPr>
      <w:r>
        <w:rPr/>
        <w:t>（六）</w:t>
      </w:r>
      <w:r>
        <w:rPr>
          <w:spacing w:val="-18"/>
        </w:rPr>
        <w:t> </w:t>
      </w:r>
      <w:r>
        <w:rPr/>
        <w:t>关于经理层</w:t>
      </w:r>
      <w:r>
        <w:rPr/>
        <w:t> </w:t>
      </w:r>
      <w:r>
        <w:rPr>
          <w:spacing w:val="-1"/>
        </w:rPr>
        <w:t>公司已建立《经理工作细则》等制度，公司管理层能勤勉尽责，切实贯彻、执行董事会的决议。公司总裁及其他高级管</w:t>
      </w:r>
    </w:p>
    <w:p>
      <w:pPr>
        <w:pStyle w:val="BodyText"/>
        <w:spacing w:line="316" w:lineRule="auto" w:before="19"/>
        <w:ind w:right="1118"/>
        <w:jc w:val="left"/>
      </w:pPr>
      <w:r>
        <w:rPr>
          <w:spacing w:val="-2"/>
        </w:rPr>
        <w:t>理人员职责清晰，能够严格按照公司各项管理制度履行职责。公司管理层比较稳定，且忠实履行诚信义务，没有发现违规行</w:t>
      </w:r>
      <w:r>
        <w:rPr>
          <w:spacing w:val="-66"/>
        </w:rPr>
        <w:t> </w:t>
      </w:r>
      <w:r>
        <w:rPr>
          <w:spacing w:val="-66"/>
        </w:rPr>
      </w:r>
      <w:r>
        <w:rPr/>
        <w:t>为。</w:t>
      </w:r>
    </w:p>
    <w:p>
      <w:pPr>
        <w:pStyle w:val="BodyText"/>
        <w:spacing w:line="316" w:lineRule="auto" w:before="19"/>
        <w:ind w:left="444" w:right="1028" w:hanging="74"/>
        <w:jc w:val="left"/>
      </w:pPr>
      <w:r>
        <w:rPr/>
        <w:t>（七）</w:t>
      </w:r>
      <w:r>
        <w:rPr>
          <w:spacing w:val="-18"/>
        </w:rPr>
        <w:t> </w:t>
      </w:r>
      <w:r>
        <w:rPr/>
        <w:t>关于信息披露与透明度</w:t>
      </w:r>
      <w:r>
        <w:rPr/>
        <w:t> </w:t>
      </w:r>
      <w:r>
        <w:rPr>
          <w:spacing w:val="-2"/>
        </w:rPr>
        <w:t>公司严格按照有关法律法规以及《信息披露管理制度》、《投资者关系管理制度》等的要求，真实、准确、及时、公平、</w:t>
      </w:r>
    </w:p>
    <w:p>
      <w:pPr>
        <w:pStyle w:val="BodyText"/>
        <w:spacing w:line="309" w:lineRule="auto" w:before="19"/>
        <w:ind w:right="1156"/>
        <w:jc w:val="both"/>
      </w:pPr>
      <w:r>
        <w:rPr/>
        <w:t>完整地披露有关信息；并指定公司董事会秘书负责信息披露工作，协调公司与投资者的关系，接待投资者来访，</w:t>
      </w:r>
      <w:r>
        <w:rPr>
          <w:spacing w:val="-16"/>
        </w:rPr>
        <w:t> </w:t>
      </w:r>
      <w:r>
        <w:rPr/>
        <w:t>回答投资</w:t>
      </w:r>
      <w:r>
        <w:rPr/>
        <w:t> 者咨询，向投资者提供公司已披露的资料；并指定巨潮资讯网（</w:t>
      </w:r>
      <w:hyperlink r:id="rId11">
        <w:r>
          <w:rPr>
            <w:rFonts w:ascii="Times New Roman" w:hAnsi="Times New Roman" w:cs="Times New Roman" w:eastAsia="Times New Roman" w:hint="default"/>
          </w:rPr>
          <w:t>www.cninfo.com.cn</w:t>
        </w:r>
      </w:hyperlink>
      <w:r>
        <w:rPr/>
        <w:t>）为公司信息披露的指定网站，确保公</w:t>
      </w:r>
      <w:r>
        <w:rPr>
          <w:w w:val="99"/>
        </w:rPr>
        <w:t> </w:t>
      </w:r>
      <w:r>
        <w:rPr/>
        <w:t>司所有股东能够有平等的机会获得信息。</w:t>
      </w:r>
    </w:p>
    <w:p>
      <w:pPr>
        <w:pStyle w:val="BodyText"/>
        <w:spacing w:line="360" w:lineRule="auto" w:before="24"/>
        <w:ind w:left="444" w:right="0" w:hanging="74"/>
        <w:jc w:val="left"/>
      </w:pPr>
      <w:r>
        <w:rPr/>
        <w:t>（八）</w:t>
      </w:r>
      <w:r>
        <w:rPr>
          <w:spacing w:val="-18"/>
        </w:rPr>
        <w:t> </w:t>
      </w:r>
      <w:r>
        <w:rPr/>
        <w:t>关于相关利益者</w:t>
      </w:r>
      <w:r>
        <w:rPr/>
        <w:t> </w:t>
      </w:r>
      <w:r>
        <w:rPr>
          <w:spacing w:val="-1"/>
        </w:rPr>
        <w:t>公司充分尊重和维护相关利益者的合法权益，积极与相关利益者合作，加强与各方的沟通和交流，实现股东、员工、社</w:t>
      </w:r>
    </w:p>
    <w:p>
      <w:pPr>
        <w:pStyle w:val="BodyText"/>
        <w:spacing w:line="222" w:lineRule="exact"/>
        <w:ind w:right="0"/>
        <w:jc w:val="left"/>
      </w:pPr>
      <w:r>
        <w:rPr/>
        <w:t>会等各方利益的协调平衡和共赢，</w:t>
      </w:r>
      <w:r>
        <w:rPr>
          <w:spacing w:val="-19"/>
        </w:rPr>
        <w:t> </w:t>
      </w:r>
      <w:r>
        <w:rPr/>
        <w:t>共同推动公司持续、健康发展。</w:t>
      </w:r>
    </w:p>
    <w:p>
      <w:pPr>
        <w:spacing w:after="0" w:line="222" w:lineRule="exact"/>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54" w:right="1122"/>
        <w:jc w:val="left"/>
      </w:pPr>
      <w:r>
        <w:rPr/>
        <w:t>公司治理的实际状况与中国证监会发布的有关上市公司治理的规范性文件是否存在重大差异</w:t>
      </w:r>
    </w:p>
    <w:p>
      <w:pPr>
        <w:pStyle w:val="BodyText"/>
        <w:spacing w:line="340" w:lineRule="auto" w:before="116"/>
        <w:ind w:left="254"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left="254" w:right="1122"/>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1122"/>
        <w:jc w:val="left"/>
      </w:pPr>
      <w:r>
        <w:rPr/>
        <w:t>公司在业务、人员、资产、机构、财务等方面完全独立于控股股东，具体情况如下：</w:t>
      </w:r>
    </w:p>
    <w:p>
      <w:pPr>
        <w:pStyle w:val="BodyText"/>
        <w:spacing w:line="240" w:lineRule="auto" w:before="76"/>
        <w:ind w:left="254" w:right="1122"/>
        <w:jc w:val="left"/>
      </w:pPr>
      <w:r>
        <w:rPr>
          <w:rFonts w:ascii="Times New Roman" w:hAnsi="Times New Roman" w:cs="Times New Roman" w:eastAsia="Times New Roman" w:hint="default"/>
        </w:rPr>
        <w:t>1</w:t>
      </w:r>
      <w:r>
        <w:rPr/>
        <w:t>、业务方面：公司与控股股东不存在同业竞争情况，具有完整的业务体系，不需要依赖于控股股东；</w:t>
      </w:r>
    </w:p>
    <w:p>
      <w:pPr>
        <w:pStyle w:val="BodyText"/>
        <w:spacing w:line="309" w:lineRule="auto" w:before="63"/>
        <w:ind w:left="254" w:right="1122"/>
        <w:jc w:val="left"/>
      </w:pPr>
      <w:r>
        <w:rPr>
          <w:rFonts w:ascii="Times New Roman" w:hAnsi="Times New Roman" w:cs="Times New Roman" w:eastAsia="Times New Roman" w:hint="default"/>
        </w:rPr>
        <w:t>2</w:t>
      </w:r>
      <w:r>
        <w:rPr/>
        <w:t>、人员方面：公司总裁、副总裁、财务负责人、董事会秘书等高级管理人员均在本公司领取薪酬，未在控股股东控制的企 业担任除董事、监事外的任何职务和领取薪酬。 </w:t>
      </w:r>
      <w:r>
        <w:rPr>
          <w:rFonts w:ascii="Times New Roman" w:hAnsi="Times New Roman" w:cs="Times New Roman" w:eastAsia="Times New Roman" w:hint="default"/>
        </w:rPr>
        <w:t>3</w:t>
      </w:r>
      <w:r>
        <w:rPr/>
        <w:t>、资产方面：公司拥有独立的生产经营场所及经营所需的设备、技术、专利、商标，不存在产权界定不清晰的情况。</w:t>
      </w:r>
    </w:p>
    <w:p>
      <w:pPr>
        <w:pStyle w:val="BodyText"/>
        <w:spacing w:line="240" w:lineRule="auto" w:before="5"/>
        <w:ind w:left="254" w:right="1122"/>
        <w:jc w:val="left"/>
      </w:pPr>
      <w:r>
        <w:rPr>
          <w:rFonts w:ascii="Times New Roman" w:hAnsi="Times New Roman" w:cs="Times New Roman" w:eastAsia="Times New Roman" w:hint="default"/>
        </w:rPr>
        <w:t>4</w:t>
      </w:r>
      <w:r>
        <w:rPr/>
        <w:t>、机构方面：公司建立了适应自身发展需要的组织机构并明确了各机构的职能，可独立运作。</w:t>
      </w:r>
    </w:p>
    <w:p>
      <w:pPr>
        <w:pStyle w:val="BodyText"/>
        <w:spacing w:line="309" w:lineRule="auto" w:before="63"/>
        <w:ind w:left="254" w:right="1133"/>
        <w:jc w:val="both"/>
      </w:pPr>
      <w:r>
        <w:rPr>
          <w:rFonts w:ascii="Times New Roman" w:hAnsi="Times New Roman" w:cs="Times New Roman" w:eastAsia="Times New Roman" w:hint="default"/>
        </w:rPr>
        <w:t>5</w:t>
      </w:r>
      <w:r>
        <w:rPr/>
        <w:t>、财务方面：公司设有独立的财务部门及审计部门，配备了专门的财务人员及审计人员，建立了会计核算制度、财务管理 </w:t>
      </w:r>
      <w:r>
        <w:rPr>
          <w:spacing w:val="-2"/>
        </w:rPr>
        <w:t>制度即内部审计制度。公司开立独立银行账户，不存在与控股股东共用账户的情况。公司依法独立纳税进行纳税申报及履行</w:t>
      </w:r>
      <w:r>
        <w:rPr>
          <w:spacing w:val="-66"/>
        </w:rPr>
        <w:t> </w:t>
      </w:r>
      <w:r>
        <w:rPr>
          <w:spacing w:val="-66"/>
        </w:rPr>
      </w:r>
      <w:r>
        <w:rPr/>
        <w:t>纳税义务。公司控股股东未以任何形式占用公司货币资金或其他资产。</w:t>
      </w:r>
    </w:p>
    <w:p>
      <w:pPr>
        <w:spacing w:line="240" w:lineRule="auto" w:before="2"/>
        <w:rPr>
          <w:rFonts w:ascii="宋体" w:hAnsi="宋体" w:cs="宋体" w:eastAsia="宋体" w:hint="default"/>
          <w:sz w:val="21"/>
          <w:szCs w:val="21"/>
        </w:rPr>
      </w:pPr>
    </w:p>
    <w:p>
      <w:pPr>
        <w:pStyle w:val="Heading2"/>
        <w:spacing w:line="240" w:lineRule="auto"/>
        <w:ind w:left="254" w:right="1122"/>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54" w:right="1122"/>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54" w:right="1122"/>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2270"/>
        <w:gridCol w:w="1274"/>
        <w:gridCol w:w="1383"/>
        <w:gridCol w:w="1594"/>
        <w:gridCol w:w="1594"/>
        <w:gridCol w:w="1595"/>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2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2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2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2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2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2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4"/>
        <w:spacing w:line="240" w:lineRule="auto" w:before="35"/>
        <w:ind w:left="254" w:right="1122"/>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54" w:right="1122"/>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54" w:right="1122"/>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51"/>
      </w:tblGrid>
      <w:tr>
        <w:trPr>
          <w:trHeight w:val="322" w:hRule="exact"/>
        </w:trPr>
        <w:tc>
          <w:tcPr>
            <w:tcW w:w="956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63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5" w:right="35"/>
              <w:jc w:val="left"/>
              <w:rPr>
                <w:rFonts w:ascii="宋体" w:hAnsi="宋体" w:cs="宋体" w:eastAsia="宋体" w:hint="default"/>
                <w:sz w:val="18"/>
                <w:szCs w:val="18"/>
              </w:rPr>
            </w:pPr>
            <w:r>
              <w:rPr>
                <w:rFonts w:ascii="宋体" w:hAnsi="宋体" w:cs="宋体" w:eastAsia="宋体" w:hint="default"/>
                <w:sz w:val="18"/>
                <w:szCs w:val="18"/>
              </w:rPr>
              <w:t>是否连续两次 未亲自参加董</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95" w:right="23"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6" w:lineRule="auto"/>
        <w:jc w:val="left"/>
        <w:rPr>
          <w:rFonts w:ascii="宋体" w:hAnsi="宋体" w:cs="宋体" w:eastAsia="宋体" w:hint="default"/>
          <w:sz w:val="18"/>
          <w:szCs w:val="18"/>
        </w:rPr>
        <w:sectPr>
          <w:pgSz w:w="11910" w:h="16840"/>
          <w:pgMar w:header="747" w:footer="979" w:top="1060" w:bottom="1160" w:left="8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2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5" w:right="0"/>
              <w:jc w:val="left"/>
              <w:rPr>
                <w:rFonts w:ascii="宋体" w:hAnsi="宋体" w:cs="宋体" w:eastAsia="宋体" w:hint="default"/>
                <w:sz w:val="18"/>
                <w:szCs w:val="18"/>
              </w:rPr>
            </w:pPr>
            <w:r>
              <w:rPr>
                <w:rFonts w:ascii="宋体" w:hAnsi="宋体" w:cs="宋体" w:eastAsia="宋体" w:hint="default"/>
                <w:sz w:val="18"/>
                <w:szCs w:val="18"/>
              </w:rPr>
              <w:t>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57" w:lineRule="auto" w:before="51"/>
        <w:ind w:right="8052"/>
        <w:jc w:val="left"/>
      </w:pPr>
      <w:r>
        <w:rPr/>
        <w:t>连续两次未亲自出席董事会的说明 无</w:t>
      </w:r>
    </w:p>
    <w:p>
      <w:pPr>
        <w:spacing w:line="240" w:lineRule="auto" w:before="1"/>
        <w:rPr>
          <w:rFonts w:ascii="宋体" w:hAnsi="宋体" w:cs="宋体" w:eastAsia="宋体" w:hint="default"/>
          <w:sz w:val="20"/>
          <w:szCs w:val="20"/>
        </w:rPr>
      </w:pPr>
    </w:p>
    <w:p>
      <w:pPr>
        <w:pStyle w:val="Heading4"/>
        <w:spacing w:line="240" w:lineRule="auto"/>
        <w:ind w:right="0"/>
        <w:jc w:val="both"/>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7"/>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39"/>
        <w:ind w:right="0" w:firstLine="360"/>
        <w:jc w:val="left"/>
      </w:pPr>
      <w:r>
        <w:rPr>
          <w:spacing w:val="-4"/>
        </w:rPr>
        <w:t>公司独立董事勤勉尽责，严格按照中国证监会的相关规定及《公司章程》、《董事会议事规则》和《独立董事工作制度》</w:t>
      </w:r>
      <w:r>
        <w:rPr/>
        <w:t> </w:t>
      </w:r>
      <w:r>
        <w:rPr>
          <w:spacing w:val="-2"/>
        </w:rPr>
        <w:t>开展工作，关注公司运作，独立履行职责，对公司内部控制建设、管理体系建设和重大决策等方面提出了很多宝贵的专业性</w:t>
      </w:r>
      <w:r>
        <w:rPr>
          <w:spacing w:val="-66"/>
        </w:rPr>
        <w:t> </w:t>
      </w:r>
      <w:r>
        <w:rPr>
          <w:spacing w:val="-66"/>
        </w:rPr>
      </w:r>
      <w:r>
        <w:rPr>
          <w:spacing w:val="-2"/>
        </w:rPr>
        <w:t>建议，对公司财务及生产经营活动进行了有效监督，提高了公司决策的科学性，为完善公司监督机制，维护公司和全体股东</w:t>
      </w:r>
      <w:r>
        <w:rPr>
          <w:spacing w:val="-66"/>
        </w:rPr>
        <w:t> </w:t>
      </w:r>
      <w:r>
        <w:rPr>
          <w:spacing w:val="-66"/>
        </w:rPr>
      </w:r>
      <w:r>
        <w:rPr/>
        <w:t>的合法权益发挥了应有的作用。</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4" w:right="0" w:hanging="360"/>
        <w:jc w:val="left"/>
      </w:pPr>
      <w:r>
        <w:rPr>
          <w:rFonts w:ascii="Times New Roman" w:hAnsi="Times New Roman" w:cs="Times New Roman" w:eastAsia="Times New Roman" w:hint="default"/>
        </w:rPr>
        <w:t>1</w:t>
      </w:r>
      <w:r>
        <w:rPr/>
        <w:t>、审计委员会的履职情况 </w:t>
      </w:r>
      <w:r>
        <w:rPr>
          <w:spacing w:val="-2"/>
        </w:rPr>
        <w:t>报告期内，根据《董事会审计委员会工作细则》，审计委员会充分发挥了审核与监督作用，主要负责公司财务监督和核</w:t>
      </w:r>
    </w:p>
    <w:p>
      <w:pPr>
        <w:pStyle w:val="BodyText"/>
        <w:spacing w:line="309" w:lineRule="auto" w:before="31"/>
        <w:ind w:right="1133"/>
        <w:jc w:val="both"/>
      </w:pPr>
      <w:r>
        <w:rPr>
          <w:spacing w:val="-2"/>
        </w:rPr>
        <w:t>查工作及外部审计机构的沟通、协调工作。审计委员会对公司内部控制情况进行了核查，认为公司已经建立的内控制度体系</w:t>
      </w:r>
      <w:r>
        <w:rPr>
          <w:spacing w:val="-66"/>
        </w:rPr>
        <w:t> </w:t>
      </w:r>
      <w:r>
        <w:rPr>
          <w:spacing w:val="-66"/>
        </w:rPr>
      </w:r>
      <w:r>
        <w:rPr/>
        <w:t>符合相关法规的规定，并能有效控制相关风险。</w:t>
      </w:r>
      <w:r>
        <w:rPr>
          <w:rFonts w:ascii="Times New Roman" w:hAnsi="Times New Roman" w:cs="Times New Roman" w:eastAsia="Times New Roman" w:hint="default"/>
        </w:rPr>
        <w:t>2018</w:t>
      </w:r>
      <w:r>
        <w:rPr/>
        <w:t>年，审计委员会共召开了</w:t>
      </w:r>
      <w:r>
        <w:rPr>
          <w:rFonts w:ascii="Times New Roman" w:hAnsi="Times New Roman" w:cs="Times New Roman" w:eastAsia="Times New Roman" w:hint="default"/>
        </w:rPr>
        <w:t>2</w:t>
      </w:r>
      <w:r>
        <w:rPr/>
        <w:t>次会议，重点对公司定期财务报告、募集资 金使用情况、内部控制制度对等事项进行审议。</w:t>
      </w:r>
    </w:p>
    <w:p>
      <w:pPr>
        <w:pStyle w:val="BodyText"/>
        <w:spacing w:line="300" w:lineRule="auto" w:before="24"/>
        <w:ind w:left="514" w:right="1032" w:hanging="360"/>
        <w:jc w:val="left"/>
      </w:pPr>
      <w:r>
        <w:rPr>
          <w:rFonts w:ascii="Times New Roman" w:hAnsi="Times New Roman" w:cs="Times New Roman" w:eastAsia="Times New Roman" w:hint="default"/>
        </w:rPr>
        <w:t>2</w:t>
      </w:r>
      <w:r>
        <w:rPr/>
        <w:t>、提名委员会的履职情况 报告期内，根据《董事会提名委员会工作细则》，提名委员会对优化董事会组成，完善公司治理结构发挥了积极作用。</w:t>
      </w:r>
    </w:p>
    <w:p>
      <w:pPr>
        <w:pStyle w:val="BodyText"/>
        <w:spacing w:line="300" w:lineRule="auto" w:before="31"/>
        <w:ind w:right="0"/>
        <w:jc w:val="left"/>
      </w:pPr>
      <w:r>
        <w:rPr>
          <w:spacing w:val="-2"/>
        </w:rPr>
        <w:t>对公司董事（包括独立董事）、经理及其他高级管理人员的人选的选择向董事会提出意见和建议。</w:t>
      </w:r>
      <w:r>
        <w:rPr>
          <w:rFonts w:ascii="Times New Roman" w:hAnsi="Times New Roman" w:cs="Times New Roman" w:eastAsia="Times New Roman" w:hint="default"/>
          <w:spacing w:val="-2"/>
        </w:rPr>
        <w:t>2018</w:t>
      </w:r>
      <w:r>
        <w:rPr>
          <w:spacing w:val="-2"/>
        </w:rPr>
        <w:t>年度，提名委员会召</w:t>
      </w:r>
      <w:r>
        <w:rPr>
          <w:spacing w:val="-62"/>
        </w:rPr>
        <w:t> </w:t>
      </w:r>
      <w:r>
        <w:rPr>
          <w:spacing w:val="-62"/>
        </w:rPr>
      </w:r>
      <w:r>
        <w:rPr/>
        <w:t>开了</w:t>
      </w:r>
      <w:r>
        <w:rPr>
          <w:rFonts w:ascii="Times New Roman" w:hAnsi="Times New Roman" w:cs="Times New Roman" w:eastAsia="Times New Roman" w:hint="default"/>
        </w:rPr>
        <w:t>1</w:t>
      </w:r>
      <w:r>
        <w:rPr/>
        <w:t>次会议，对提名董事、高级管理人员相关事项进行了审议。</w:t>
      </w:r>
    </w:p>
    <w:p>
      <w:pPr>
        <w:pStyle w:val="BodyText"/>
        <w:spacing w:line="300" w:lineRule="auto" w:before="13"/>
        <w:ind w:left="514" w:right="0" w:hanging="360"/>
        <w:jc w:val="left"/>
      </w:pPr>
      <w:r>
        <w:rPr>
          <w:rFonts w:ascii="Times New Roman" w:hAnsi="Times New Roman" w:cs="Times New Roman" w:eastAsia="Times New Roman" w:hint="default"/>
        </w:rPr>
        <w:t>3</w:t>
      </w:r>
      <w:r>
        <w:rPr/>
        <w:t>、薪酬与考核委员会的履职情况 </w:t>
      </w:r>
      <w:r>
        <w:rPr>
          <w:spacing w:val="-2"/>
        </w:rPr>
        <w:t>报告期内，公司董事会薪酬与考核委员会依照相关法规及《公司章程》、《董事会薪酬与考核委员会工作细则》的规定</w:t>
      </w:r>
    </w:p>
    <w:p>
      <w:pPr>
        <w:pStyle w:val="BodyText"/>
        <w:spacing w:line="309" w:lineRule="auto" w:before="31"/>
        <w:ind w:right="1132"/>
        <w:jc w:val="both"/>
      </w:pPr>
      <w:r>
        <w:rPr/>
        <w:t>审查了公司董事及高级管理人员的履行职责情况等相关职责。</w:t>
      </w:r>
      <w:r>
        <w:rPr>
          <w:rFonts w:ascii="Times New Roman" w:hAnsi="Times New Roman" w:cs="Times New Roman" w:eastAsia="Times New Roman" w:hint="default"/>
        </w:rPr>
        <w:t>2018</w:t>
      </w:r>
      <w:r>
        <w:rPr/>
        <w:t>年度，薪酬与考核委员会召开了</w:t>
      </w:r>
      <w:r>
        <w:rPr>
          <w:rFonts w:ascii="Times New Roman" w:hAnsi="Times New Roman" w:cs="Times New Roman" w:eastAsia="Times New Roman" w:hint="default"/>
        </w:rPr>
        <w:t>1</w:t>
      </w:r>
      <w:r>
        <w:rPr/>
        <w:t>次会议，对公司</w:t>
      </w:r>
      <w:r>
        <w:rPr>
          <w:rFonts w:ascii="Times New Roman" w:hAnsi="Times New Roman" w:cs="Times New Roman" w:eastAsia="Times New Roman" w:hint="default"/>
        </w:rPr>
        <w:t>2018</w:t>
      </w:r>
      <w:r>
        <w:rPr/>
        <w:t>年 </w:t>
      </w:r>
      <w:r>
        <w:rPr>
          <w:spacing w:val="-2"/>
        </w:rPr>
        <w:t>度股票期权激励计划激励对象主体资格进行审议，委员会核查了公司高级管理人员的薪酬，认为其薪酬情况符合公司董事会</w:t>
      </w:r>
      <w:r>
        <w:rPr>
          <w:spacing w:val="-64"/>
        </w:rPr>
        <w:t> </w:t>
      </w:r>
      <w:r>
        <w:rPr>
          <w:spacing w:val="-64"/>
        </w:rPr>
      </w:r>
      <w:r>
        <w:rPr/>
        <w:t>和股东大会确定的相关报酬依据及公司的劳动人事管理制度。</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383.980011pt;margin-top:619.599976pt;width:149.8pt;height:15.6pt;mso-position-horizontal-relative:page;mso-position-vertical-relative:page;z-index:-1242424" coordorigin="7680,12392" coordsize="2996,312">
            <v:shape style="position:absolute;left:7680;top:12392;width:2996;height:312" coordorigin="7680,12392" coordsize="2996,312" path="m7680,12704l10675,12704,10675,12392,7680,12392,7680,12704xe" filled="true" fillcolor="#ffffff" stroked="false">
              <v:path arrowok="t"/>
              <v:fill type="solid"/>
            </v:shape>
            <w10:wrap type="none"/>
          </v:group>
        </w:pict>
      </w:r>
    </w:p>
    <w:p>
      <w:pPr>
        <w:pStyle w:val="BodyText"/>
        <w:spacing w:line="338" w:lineRule="auto" w:before="44"/>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t>高级管理人员报酬由董事会薪酬与考核委员会根据岗位绩效评价结果及薪酬分配政策提出高级管理人员的报酬数额和 </w:t>
      </w:r>
      <w:r>
        <w:rPr>
          <w:spacing w:val="-2"/>
        </w:rPr>
        <w:t>奖励方式，制定考核方案，报公司董事会，由董事会审议通过。报告期内，公司不断完善高级管理人员的考评机制。公司高</w:t>
      </w:r>
      <w:r>
        <w:rPr>
          <w:spacing w:val="-68"/>
        </w:rPr>
        <w:t> </w:t>
      </w:r>
      <w:r>
        <w:rPr>
          <w:spacing w:val="-68"/>
        </w:rPr>
      </w:r>
      <w:r>
        <w:rPr>
          <w:spacing w:val="-2"/>
        </w:rPr>
        <w:t>级管理人员的报酬按照公司《章程》、《董事会薪酬与考核委员会实施细则》等规定，结合其经营绩效、工作能力、岗位职</w:t>
      </w:r>
      <w:r>
        <w:rPr>
          <w:spacing w:val="-67"/>
        </w:rPr>
        <w:t> </w:t>
      </w:r>
      <w:r>
        <w:rPr>
          <w:spacing w:val="-67"/>
        </w:rPr>
      </w:r>
      <w:r>
        <w:rPr/>
        <w:t>责考核确定并发放。</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41"/>
        <w:gridCol w:w="3039"/>
      </w:tblGrid>
      <w:tr>
        <w:trPr>
          <w:trHeight w:val="32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3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63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22" w:right="-28"/>
              <w:jc w:val="left"/>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合，可能导致企业严重偏离控制目标。具 体到财务报告内部控制上，就是内部控制 中存在的、可能导致不能及时防止或发现 并纠正财务报表重大错报的一个或多个控 制缺陷的组合。</w:t>
            </w:r>
            <w:r>
              <w:rPr>
                <w:rFonts w:ascii="宋体" w:hAnsi="宋体" w:cs="宋体" w:eastAsia="宋体" w:hint="default"/>
                <w:spacing w:val="-31"/>
                <w:sz w:val="18"/>
                <w:szCs w:val="18"/>
              </w:rPr>
              <w:t> </w:t>
            </w:r>
            <w:r>
              <w:rPr>
                <w:rFonts w:ascii="宋体" w:hAnsi="宋体" w:cs="宋体" w:eastAsia="宋体" w:hint="default"/>
                <w:spacing w:val="-3"/>
                <w:sz w:val="18"/>
                <w:szCs w:val="18"/>
              </w:rPr>
              <w:t>重要缺陷，是指一个或多</w:t>
            </w:r>
            <w:r>
              <w:rPr>
                <w:rFonts w:ascii="宋体" w:hAnsi="宋体" w:cs="宋体" w:eastAsia="宋体" w:hint="default"/>
                <w:sz w:val="18"/>
                <w:szCs w:val="18"/>
              </w:rPr>
              <w:t> 个控制缺陷的组合，其严重程度和经济后 果低于重大缺陷，但仍有可能导致企业偏 </w:t>
            </w:r>
            <w:r>
              <w:rPr>
                <w:rFonts w:ascii="宋体" w:hAnsi="宋体" w:cs="宋体" w:eastAsia="宋体" w:hint="default"/>
                <w:spacing w:val="-6"/>
                <w:sz w:val="18"/>
                <w:szCs w:val="18"/>
              </w:rPr>
              <w:t>离控制目标。具体就是内部控制中存在的、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其严重程度不如重大缺陷、但足以引起企</w:t>
            </w:r>
            <w:r>
              <w:rPr>
                <w:rFonts w:ascii="宋体" w:hAnsi="宋体" w:cs="宋体" w:eastAsia="宋体" w:hint="default"/>
                <w:sz w:val="18"/>
                <w:szCs w:val="18"/>
              </w:rPr>
              <w:t> 业财务报告监督人员关注的一个或多个控 制缺陷的组合。一般缺陷，是指除重大缺 陷、重要缺陷之外的其他缺陷。</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10"/>
              <w:ind w:left="4" w:right="21"/>
              <w:jc w:val="left"/>
              <w:rPr>
                <w:rFonts w:ascii="宋体" w:hAnsi="宋体" w:cs="宋体" w:eastAsia="宋体" w:hint="default"/>
                <w:sz w:val="18"/>
                <w:szCs w:val="18"/>
              </w:rPr>
            </w:pPr>
            <w:r>
              <w:rPr>
                <w:rFonts w:ascii="宋体" w:hAnsi="宋体" w:cs="宋体" w:eastAsia="宋体" w:hint="default"/>
                <w:spacing w:val="-4"/>
                <w:sz w:val="18"/>
                <w:szCs w:val="18"/>
              </w:rPr>
              <w:t>重大缺陷，是指一个或多个控制缺陷的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组合，可能导致企业严重偏离控制目 </w:t>
            </w:r>
            <w:r>
              <w:rPr>
                <w:rFonts w:ascii="宋体" w:hAnsi="宋体" w:cs="宋体" w:eastAsia="宋体" w:hint="default"/>
                <w:spacing w:val="-4"/>
                <w:sz w:val="18"/>
                <w:szCs w:val="18"/>
              </w:rPr>
              <w:t>标。具体到非财务报告内部控制上，就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是内部控制中存在的、可能导致不能及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时防止或发现并纠正企业财务报表以 外的经营管理控制目标实现的一个或 </w:t>
            </w:r>
            <w:r>
              <w:rPr>
                <w:rFonts w:ascii="宋体" w:hAnsi="宋体" w:cs="宋体" w:eastAsia="宋体" w:hint="default"/>
                <w:spacing w:val="-4"/>
                <w:sz w:val="18"/>
                <w:szCs w:val="18"/>
              </w:rPr>
              <w:t>多个控制缺陷的组合。重要缺陷，是指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一个或多个控制缺陷的组合，其严重程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度和经济后果低于重大缺陷，但仍有可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能导致企业偏离控制目标。具体就是内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部控制中存在的、其严重程度不如重大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缺陷、但足以引起企业管理人员、监督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人员关注的一个或多个控制缺陷的组 </w:t>
            </w:r>
            <w:r>
              <w:rPr>
                <w:rFonts w:ascii="宋体" w:hAnsi="宋体" w:cs="宋体" w:eastAsia="宋体" w:hint="default"/>
                <w:spacing w:val="-4"/>
                <w:sz w:val="18"/>
                <w:szCs w:val="18"/>
              </w:rPr>
              <w:t>合。一般缺陷，是指除重大缺陷、重要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缺陷之外的其他缺陷。</w:t>
            </w:r>
          </w:p>
        </w:tc>
      </w:tr>
      <w:tr>
        <w:trPr>
          <w:trHeight w:val="31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189"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317"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316" w:lineRule="auto" w:before="10"/>
              <w:ind w:left="22" w:right="60"/>
              <w:jc w:val="both"/>
              <w:rPr>
                <w:rFonts w:ascii="宋体" w:hAnsi="宋体" w:cs="宋体" w:eastAsia="宋体" w:hint="default"/>
                <w:sz w:val="18"/>
                <w:szCs w:val="18"/>
              </w:rPr>
            </w:pPr>
            <w:r>
              <w:rPr>
                <w:rFonts w:ascii="宋体" w:hAnsi="宋体" w:cs="宋体" w:eastAsia="宋体" w:hint="default"/>
                <w:sz w:val="18"/>
                <w:szCs w:val="18"/>
              </w:rPr>
              <w:t>本年，按照孰低原则，公司以利润总额为 基数进行定量判断，具体缺陷等级划分如 下。</w:t>
            </w:r>
          </w:p>
        </w:tc>
        <w:tc>
          <w:tcPr>
            <w:tcW w:w="3039" w:type="dxa"/>
            <w:vMerge w:val="restart"/>
            <w:tcBorders>
              <w:top w:val="single" w:sz="4" w:space="0" w:color="000000"/>
              <w:left w:val="single" w:sz="4" w:space="0" w:color="000000"/>
              <w:right w:val="single" w:sz="4" w:space="0" w:color="000000"/>
            </w:tcBorders>
          </w:tcPr>
          <w:p>
            <w:pPr>
              <w:pStyle w:val="TableParagraph"/>
              <w:spacing w:line="316" w:lineRule="auto" w:before="10"/>
              <w:ind w:left="11" w:right="-42"/>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 在参照财务报告内部控制缺陷认定的 </w:t>
            </w:r>
            <w:r>
              <w:rPr>
                <w:rFonts w:ascii="宋体" w:hAnsi="宋体" w:cs="宋体" w:eastAsia="宋体" w:hint="default"/>
                <w:spacing w:val="-4"/>
                <w:sz w:val="18"/>
                <w:szCs w:val="18"/>
              </w:rPr>
              <w:t>基础上，以涉及金额大小为标准，造成</w:t>
            </w:r>
          </w:p>
        </w:tc>
      </w:tr>
      <w:tr>
        <w:trPr>
          <w:trHeight w:val="31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318"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105"/>
        <w:gridCol w:w="1379"/>
        <w:gridCol w:w="1734"/>
        <w:gridCol w:w="145"/>
        <w:gridCol w:w="1064"/>
        <w:gridCol w:w="1948"/>
      </w:tblGrid>
      <w:tr>
        <w:trPr>
          <w:trHeight w:val="33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05" w:type="dxa"/>
            <w:vMerge w:val="restart"/>
            <w:tcBorders>
              <w:top w:val="single" w:sz="4" w:space="0" w:color="000000"/>
              <w:left w:val="single" w:sz="4" w:space="0" w:color="000000"/>
              <w:right w:val="single" w:sz="8" w:space="0" w:color="000000"/>
            </w:tcBorders>
          </w:tcPr>
          <w:p>
            <w:pPr/>
          </w:p>
        </w:tc>
        <w:tc>
          <w:tcPr>
            <w:tcW w:w="1379" w:type="dxa"/>
            <w:tcBorders>
              <w:top w:val="single" w:sz="12" w:space="0" w:color="000000"/>
              <w:left w:val="single" w:sz="8" w:space="0" w:color="000000"/>
              <w:bottom w:val="single" w:sz="4" w:space="0" w:color="000000"/>
              <w:right w:val="single" w:sz="4" w:space="0" w:color="000000"/>
            </w:tcBorders>
          </w:tcPr>
          <w:p>
            <w:pPr>
              <w:pStyle w:val="TableParagraph"/>
              <w:spacing w:line="240" w:lineRule="auto" w:before="40"/>
              <w:ind w:right="4"/>
              <w:jc w:val="center"/>
              <w:rPr>
                <w:rFonts w:ascii="宋体" w:hAnsi="宋体" w:cs="宋体" w:eastAsia="宋体" w:hint="default"/>
                <w:sz w:val="18"/>
                <w:szCs w:val="18"/>
              </w:rPr>
            </w:pPr>
            <w:r>
              <w:rPr>
                <w:rFonts w:ascii="宋体" w:hAnsi="宋体" w:cs="宋体" w:eastAsia="宋体" w:hint="default"/>
                <w:sz w:val="18"/>
                <w:szCs w:val="18"/>
              </w:rPr>
              <w:t>内控缺陷等级</w:t>
            </w:r>
          </w:p>
        </w:tc>
        <w:tc>
          <w:tcPr>
            <w:tcW w:w="1734" w:type="dxa"/>
            <w:tcBorders>
              <w:top w:val="single" w:sz="12" w:space="0" w:color="000000"/>
              <w:left w:val="single" w:sz="4" w:space="0" w:color="000000"/>
              <w:bottom w:val="single" w:sz="4" w:space="0" w:color="000000"/>
              <w:right w:val="single" w:sz="8" w:space="0" w:color="000000"/>
            </w:tcBorders>
          </w:tcPr>
          <w:p>
            <w:pPr>
              <w:pStyle w:val="TableParagraph"/>
              <w:spacing w:line="240" w:lineRule="auto" w:before="40"/>
              <w:ind w:left="5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5" w:type="dxa"/>
            <w:vMerge w:val="restart"/>
            <w:tcBorders>
              <w:top w:val="single" w:sz="4" w:space="0" w:color="000000"/>
              <w:left w:val="single" w:sz="8" w:space="0" w:color="000000"/>
              <w:right w:val="single" w:sz="8" w:space="0" w:color="000000"/>
            </w:tcBorders>
          </w:tcPr>
          <w:p>
            <w:pPr/>
          </w:p>
        </w:tc>
        <w:tc>
          <w:tcPr>
            <w:tcW w:w="3012" w:type="dxa"/>
            <w:gridSpan w:val="2"/>
            <w:vMerge w:val="restart"/>
            <w:tcBorders>
              <w:top w:val="single" w:sz="4" w:space="0" w:color="000000"/>
              <w:left w:val="single" w:sz="4" w:space="0" w:color="000000"/>
              <w:right w:val="single" w:sz="4" w:space="0" w:color="000000"/>
            </w:tcBorders>
          </w:tcPr>
          <w:p>
            <w:pPr>
              <w:pStyle w:val="TableParagraph"/>
              <w:spacing w:line="307" w:lineRule="auto" w:before="10"/>
              <w:ind w:left="-17" w:right="21"/>
              <w:jc w:val="both"/>
              <w:rPr>
                <w:rFonts w:ascii="宋体" w:hAnsi="宋体" w:cs="宋体" w:eastAsia="宋体" w:hint="default"/>
                <w:sz w:val="18"/>
                <w:szCs w:val="18"/>
              </w:rPr>
            </w:pPr>
            <w:r>
              <w:rPr>
                <w:rFonts w:ascii="宋体" w:hAnsi="宋体" w:cs="宋体" w:eastAsia="宋体" w:hint="default"/>
                <w:sz w:val="18"/>
                <w:szCs w:val="18"/>
              </w:rPr>
              <w:t>直接财产损失占公司利润总额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的为 </w:t>
            </w:r>
            <w:r>
              <w:rPr>
                <w:rFonts w:ascii="宋体" w:hAnsi="宋体" w:cs="宋体" w:eastAsia="宋体" w:hint="default"/>
                <w:spacing w:val="-4"/>
                <w:sz w:val="18"/>
                <w:szCs w:val="18"/>
              </w:rPr>
              <w:t>重大缺陷，造成直接财产损失占公司利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的为重要缺陷，其他为一 般缺陷。具体金额如下：</w:t>
            </w:r>
          </w:p>
        </w:tc>
      </w:tr>
      <w:tr>
        <w:trPr>
          <w:trHeight w:val="610" w:hRule="exact"/>
        </w:trPr>
        <w:tc>
          <w:tcPr>
            <w:tcW w:w="3194" w:type="dxa"/>
            <w:vMerge/>
            <w:tcBorders>
              <w:left w:val="single" w:sz="4" w:space="0" w:color="000000"/>
              <w:right w:val="single" w:sz="4" w:space="0" w:color="000000"/>
            </w:tcBorders>
            <w:shd w:val="clear" w:color="auto" w:fill="D2D2D2"/>
          </w:tcPr>
          <w:p>
            <w:pPr/>
          </w:p>
        </w:tc>
        <w:tc>
          <w:tcPr>
            <w:tcW w:w="105" w:type="dxa"/>
            <w:vMerge/>
            <w:tcBorders>
              <w:left w:val="single" w:sz="4" w:space="0" w:color="000000"/>
              <w:right w:val="single" w:sz="8" w:space="0" w:color="000000"/>
            </w:tcBorders>
          </w:tcPr>
          <w:p>
            <w:pPr/>
          </w:p>
        </w:tc>
        <w:tc>
          <w:tcPr>
            <w:tcW w:w="137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一般缺陷</w:t>
            </w:r>
          </w:p>
        </w:tc>
        <w:tc>
          <w:tcPr>
            <w:tcW w:w="17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9"/>
              <w:ind w:left="3" w:right="0"/>
              <w:jc w:val="center"/>
              <w:rPr>
                <w:rFonts w:ascii="宋体" w:hAnsi="宋体" w:cs="宋体" w:eastAsia="宋体" w:hint="default"/>
                <w:sz w:val="18"/>
                <w:szCs w:val="18"/>
              </w:rPr>
            </w:pPr>
            <w:r>
              <w:rPr>
                <w:rFonts w:ascii="宋体" w:hAnsi="宋体" w:cs="宋体" w:eastAsia="宋体" w:hint="default"/>
                <w:sz w:val="18"/>
                <w:szCs w:val="18"/>
              </w:rPr>
              <w:t>潜在错报</w:t>
            </w:r>
          </w:p>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&lt;700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tc>
        <w:tc>
          <w:tcPr>
            <w:tcW w:w="145" w:type="dxa"/>
            <w:vMerge/>
            <w:tcBorders>
              <w:left w:val="single" w:sz="8" w:space="0" w:color="000000"/>
              <w:right w:val="single" w:sz="8" w:space="0" w:color="000000"/>
            </w:tcBorders>
          </w:tcPr>
          <w:p>
            <w:pPr/>
          </w:p>
        </w:tc>
        <w:tc>
          <w:tcPr>
            <w:tcW w:w="3012" w:type="dxa"/>
            <w:gridSpan w:val="2"/>
            <w:vMerge/>
            <w:tcBorders>
              <w:left w:val="single" w:sz="4" w:space="0" w:color="000000"/>
              <w:right w:val="single" w:sz="4" w:space="0" w:color="000000"/>
            </w:tcBorders>
          </w:tcPr>
          <w:p>
            <w:pPr/>
          </w:p>
        </w:tc>
      </w:tr>
      <w:tr>
        <w:trPr>
          <w:trHeight w:val="323" w:hRule="exact"/>
        </w:trPr>
        <w:tc>
          <w:tcPr>
            <w:tcW w:w="3194" w:type="dxa"/>
            <w:vMerge/>
            <w:tcBorders>
              <w:left w:val="single" w:sz="4" w:space="0" w:color="000000"/>
              <w:right w:val="single" w:sz="4" w:space="0" w:color="000000"/>
            </w:tcBorders>
            <w:shd w:val="clear" w:color="auto" w:fill="D2D2D2"/>
          </w:tcPr>
          <w:p>
            <w:pPr/>
          </w:p>
        </w:tc>
        <w:tc>
          <w:tcPr>
            <w:tcW w:w="105" w:type="dxa"/>
            <w:vMerge/>
            <w:tcBorders>
              <w:left w:val="single" w:sz="4" w:space="0" w:color="000000"/>
              <w:right w:val="single" w:sz="8" w:space="0" w:color="000000"/>
            </w:tcBorders>
          </w:tcPr>
          <w:p>
            <w:pPr/>
          </w:p>
        </w:tc>
        <w:tc>
          <w:tcPr>
            <w:tcW w:w="1379" w:type="dxa"/>
            <w:vMerge w:val="restart"/>
            <w:tcBorders>
              <w:top w:val="single" w:sz="4" w:space="0" w:color="000000"/>
              <w:left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重要缺陷</w:t>
            </w:r>
          </w:p>
        </w:tc>
        <w:tc>
          <w:tcPr>
            <w:tcW w:w="1734" w:type="dxa"/>
            <w:vMerge w:val="restart"/>
            <w:tcBorders>
              <w:top w:val="single" w:sz="4" w:space="0" w:color="000000"/>
              <w:left w:val="single" w:sz="4" w:space="0" w:color="000000"/>
              <w:right w:val="single" w:sz="8" w:space="0" w:color="000000"/>
            </w:tcBorders>
          </w:tcPr>
          <w:p>
            <w:pPr>
              <w:pStyle w:val="TableParagraph"/>
              <w:spacing w:line="240" w:lineRule="auto" w:before="31"/>
              <w:ind w:left="3" w:right="0"/>
              <w:jc w:val="center"/>
              <w:rPr>
                <w:rFonts w:ascii="宋体" w:hAnsi="宋体" w:cs="宋体" w:eastAsia="宋体" w:hint="default"/>
                <w:sz w:val="18"/>
                <w:szCs w:val="18"/>
              </w:rPr>
            </w:pP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p>
            <w:pPr>
              <w:pStyle w:val="TableParagraph"/>
              <w:spacing w:line="240" w:lineRule="auto" w:before="65"/>
              <w:ind w:left="3" w:right="0"/>
              <w:jc w:val="center"/>
              <w:rPr>
                <w:rFonts w:ascii="宋体" w:hAnsi="宋体" w:cs="宋体" w:eastAsia="宋体" w:hint="default"/>
                <w:sz w:val="18"/>
                <w:szCs w:val="18"/>
              </w:rPr>
            </w:pPr>
            <w:r>
              <w:rPr>
                <w:rFonts w:ascii="宋体" w:hAnsi="宋体" w:cs="宋体" w:eastAsia="宋体" w:hint="default"/>
                <w:sz w:val="18"/>
                <w:szCs w:val="18"/>
              </w:rPr>
              <w:t>≤潜在错报</w:t>
            </w:r>
          </w:p>
          <w:p>
            <w:pPr>
              <w:pStyle w:val="TableParagraph"/>
              <w:spacing w:line="240" w:lineRule="auto" w:before="64"/>
              <w:ind w:left="3" w:right="0"/>
              <w:jc w:val="center"/>
              <w:rPr>
                <w:rFonts w:ascii="宋体" w:hAnsi="宋体" w:cs="宋体" w:eastAsia="宋体" w:hint="default"/>
                <w:sz w:val="18"/>
                <w:szCs w:val="18"/>
              </w:rPr>
            </w:pPr>
            <w:r>
              <w:rPr>
                <w:rFonts w:ascii="宋体" w:hAnsi="宋体" w:cs="宋体" w:eastAsia="宋体" w:hint="default"/>
                <w:sz w:val="18"/>
                <w:szCs w:val="18"/>
              </w:rPr>
              <w:t>&lt;1400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tc>
        <w:tc>
          <w:tcPr>
            <w:tcW w:w="145" w:type="dxa"/>
            <w:vMerge/>
            <w:tcBorders>
              <w:left w:val="single" w:sz="8" w:space="0" w:color="000000"/>
              <w:right w:val="single" w:sz="8" w:space="0" w:color="000000"/>
            </w:tcBorders>
          </w:tcPr>
          <w:p>
            <w:pPr/>
          </w:p>
        </w:tc>
        <w:tc>
          <w:tcPr>
            <w:tcW w:w="3012" w:type="dxa"/>
            <w:gridSpan w:val="2"/>
            <w:vMerge/>
            <w:tcBorders>
              <w:left w:val="single" w:sz="4" w:space="0" w:color="000000"/>
              <w:bottom w:val="single" w:sz="8" w:space="0" w:color="000000"/>
              <w:right w:val="single" w:sz="4" w:space="0" w:color="000000"/>
            </w:tcBorders>
          </w:tcPr>
          <w:p>
            <w:pPr/>
          </w:p>
        </w:tc>
      </w:tr>
      <w:tr>
        <w:trPr>
          <w:trHeight w:val="588" w:hRule="exact"/>
        </w:trPr>
        <w:tc>
          <w:tcPr>
            <w:tcW w:w="3194" w:type="dxa"/>
            <w:vMerge/>
            <w:tcBorders>
              <w:left w:val="single" w:sz="4" w:space="0" w:color="000000"/>
              <w:right w:val="single" w:sz="4" w:space="0" w:color="000000"/>
            </w:tcBorders>
            <w:shd w:val="clear" w:color="auto" w:fill="D2D2D2"/>
          </w:tcPr>
          <w:p>
            <w:pPr/>
          </w:p>
        </w:tc>
        <w:tc>
          <w:tcPr>
            <w:tcW w:w="105" w:type="dxa"/>
            <w:vMerge/>
            <w:tcBorders>
              <w:left w:val="single" w:sz="4" w:space="0" w:color="000000"/>
              <w:right w:val="single" w:sz="8" w:space="0" w:color="000000"/>
            </w:tcBorders>
          </w:tcPr>
          <w:p>
            <w:pPr/>
          </w:p>
        </w:tc>
        <w:tc>
          <w:tcPr>
            <w:tcW w:w="1379" w:type="dxa"/>
            <w:vMerge/>
            <w:tcBorders>
              <w:left w:val="single" w:sz="8" w:space="0" w:color="000000"/>
              <w:bottom w:val="single" w:sz="4" w:space="0" w:color="000000"/>
              <w:right w:val="single" w:sz="4" w:space="0" w:color="000000"/>
            </w:tcBorders>
          </w:tcPr>
          <w:p>
            <w:pPr/>
          </w:p>
        </w:tc>
        <w:tc>
          <w:tcPr>
            <w:tcW w:w="1734" w:type="dxa"/>
            <w:vMerge/>
            <w:tcBorders>
              <w:left w:val="single" w:sz="4" w:space="0" w:color="000000"/>
              <w:bottom w:val="single" w:sz="4" w:space="0" w:color="000000"/>
              <w:right w:val="single" w:sz="8" w:space="0" w:color="000000"/>
            </w:tcBorders>
          </w:tcPr>
          <w:p>
            <w:pPr/>
          </w:p>
        </w:tc>
        <w:tc>
          <w:tcPr>
            <w:tcW w:w="145" w:type="dxa"/>
            <w:vMerge/>
            <w:tcBorders>
              <w:left w:val="single" w:sz="8" w:space="0" w:color="000000"/>
              <w:right w:val="single" w:sz="8" w:space="0" w:color="000000"/>
            </w:tcBorders>
          </w:tcPr>
          <w:p>
            <w:pPr/>
          </w:p>
        </w:tc>
        <w:tc>
          <w:tcPr>
            <w:tcW w:w="1064" w:type="dxa"/>
            <w:vMerge w:val="restart"/>
            <w:tcBorders>
              <w:top w:val="single" w:sz="8" w:space="0" w:color="000000"/>
              <w:left w:val="single" w:sz="35"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304" w:lineRule="auto"/>
              <w:ind w:left="98" w:right="70"/>
              <w:jc w:val="left"/>
              <w:rPr>
                <w:rFonts w:ascii="宋体" w:hAnsi="宋体" w:cs="宋体" w:eastAsia="宋体" w:hint="default"/>
                <w:sz w:val="18"/>
                <w:szCs w:val="18"/>
              </w:rPr>
            </w:pPr>
            <w:r>
              <w:rPr>
                <w:rFonts w:ascii="宋体" w:hAnsi="宋体" w:cs="宋体" w:eastAsia="宋体" w:hint="default"/>
                <w:spacing w:val="23"/>
                <w:sz w:val="18"/>
                <w:szCs w:val="18"/>
              </w:rPr>
              <w:t>内控缺陷</w:t>
            </w:r>
            <w:r>
              <w:rPr>
                <w:rFonts w:ascii="宋体" w:hAnsi="宋体" w:cs="宋体" w:eastAsia="宋体" w:hint="default"/>
                <w:spacing w:val="-59"/>
                <w:sz w:val="18"/>
                <w:szCs w:val="18"/>
              </w:rPr>
              <w:t> </w:t>
            </w:r>
            <w:r>
              <w:rPr>
                <w:rFonts w:ascii="宋体" w:hAnsi="宋体" w:cs="宋体" w:eastAsia="宋体" w:hint="default"/>
                <w:sz w:val="18"/>
                <w:szCs w:val="18"/>
              </w:rPr>
              <w:t>等级</w:t>
            </w:r>
          </w:p>
        </w:tc>
        <w:tc>
          <w:tcPr>
            <w:tcW w:w="1948" w:type="dxa"/>
            <w:vMerge w:val="restart"/>
            <w:tcBorders>
              <w:top w:val="single" w:sz="8" w:space="0" w:color="000000"/>
              <w:left w:val="single" w:sz="4" w:space="0" w:color="000000"/>
              <w:right w:val="single" w:sz="35" w:space="0" w:color="000000"/>
            </w:tcBorders>
          </w:tcPr>
          <w:p>
            <w:pPr>
              <w:pStyle w:val="TableParagraph"/>
              <w:spacing w:line="304" w:lineRule="auto" w:before="31"/>
              <w:ind w:left="103" w:right="130"/>
              <w:jc w:val="both"/>
              <w:rPr>
                <w:rFonts w:ascii="宋体" w:hAnsi="宋体" w:cs="宋体" w:eastAsia="宋体" w:hint="default"/>
                <w:sz w:val="18"/>
                <w:szCs w:val="18"/>
              </w:rPr>
            </w:pPr>
            <w:r>
              <w:rPr>
                <w:rFonts w:ascii="宋体" w:hAnsi="宋体" w:cs="宋体" w:eastAsia="宋体" w:hint="default"/>
                <w:spacing w:val="4"/>
                <w:sz w:val="18"/>
                <w:szCs w:val="18"/>
              </w:rPr>
              <w:t>潜在风险事件可能造 成的直接财产损失金 </w:t>
            </w:r>
            <w:r>
              <w:rPr>
                <w:rFonts w:ascii="宋体" w:hAnsi="宋体" w:cs="宋体" w:eastAsia="宋体" w:hint="default"/>
                <w:sz w:val="18"/>
                <w:szCs w:val="18"/>
              </w:rPr>
              <w:t>额</w:t>
            </w:r>
          </w:p>
        </w:tc>
      </w:tr>
      <w:tr>
        <w:trPr>
          <w:trHeight w:val="328" w:hRule="exact"/>
        </w:trPr>
        <w:tc>
          <w:tcPr>
            <w:tcW w:w="3194" w:type="dxa"/>
            <w:vMerge/>
            <w:tcBorders>
              <w:left w:val="single" w:sz="4" w:space="0" w:color="000000"/>
              <w:right w:val="single" w:sz="4" w:space="0" w:color="000000"/>
            </w:tcBorders>
            <w:shd w:val="clear" w:color="auto" w:fill="D2D2D2"/>
          </w:tcPr>
          <w:p>
            <w:pPr/>
          </w:p>
        </w:tc>
        <w:tc>
          <w:tcPr>
            <w:tcW w:w="105" w:type="dxa"/>
            <w:vMerge/>
            <w:tcBorders>
              <w:left w:val="single" w:sz="4" w:space="0" w:color="000000"/>
              <w:right w:val="single" w:sz="8" w:space="0" w:color="000000"/>
            </w:tcBorders>
          </w:tcPr>
          <w:p>
            <w:pPr/>
          </w:p>
        </w:tc>
        <w:tc>
          <w:tcPr>
            <w:tcW w:w="1379" w:type="dxa"/>
            <w:vMerge w:val="restart"/>
            <w:tcBorders>
              <w:top w:val="single" w:sz="4" w:space="0" w:color="000000"/>
              <w:left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1734" w:type="dxa"/>
            <w:vMerge w:val="restart"/>
            <w:tcBorders>
              <w:top w:val="single" w:sz="4" w:space="0" w:color="000000"/>
              <w:left w:val="single" w:sz="4" w:space="0" w:color="000000"/>
              <w:right w:val="single" w:sz="8"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p>
            <w:pPr>
              <w:pStyle w:val="TableParagraph"/>
              <w:spacing w:line="240" w:lineRule="auto" w:before="64"/>
              <w:ind w:left="3" w:right="0"/>
              <w:jc w:val="center"/>
              <w:rPr>
                <w:rFonts w:ascii="宋体" w:hAnsi="宋体" w:cs="宋体" w:eastAsia="宋体" w:hint="default"/>
                <w:sz w:val="18"/>
                <w:szCs w:val="18"/>
              </w:rPr>
            </w:pPr>
            <w:r>
              <w:rPr>
                <w:rFonts w:ascii="宋体" w:hAnsi="宋体" w:cs="宋体" w:eastAsia="宋体" w:hint="default"/>
                <w:sz w:val="18"/>
                <w:szCs w:val="18"/>
              </w:rPr>
              <w:t>≤潜在错报</w:t>
            </w:r>
          </w:p>
        </w:tc>
        <w:tc>
          <w:tcPr>
            <w:tcW w:w="145" w:type="dxa"/>
            <w:vMerge/>
            <w:tcBorders>
              <w:left w:val="single" w:sz="8" w:space="0" w:color="000000"/>
              <w:right w:val="single" w:sz="8" w:space="0" w:color="000000"/>
            </w:tcBorders>
          </w:tcPr>
          <w:p>
            <w:pPr/>
          </w:p>
        </w:tc>
        <w:tc>
          <w:tcPr>
            <w:tcW w:w="1064" w:type="dxa"/>
            <w:vMerge/>
            <w:tcBorders>
              <w:left w:val="single" w:sz="35" w:space="0" w:color="000000"/>
              <w:bottom w:val="single" w:sz="4" w:space="0" w:color="000000"/>
              <w:right w:val="single" w:sz="4" w:space="0" w:color="000000"/>
            </w:tcBorders>
          </w:tcPr>
          <w:p>
            <w:pPr/>
          </w:p>
        </w:tc>
        <w:tc>
          <w:tcPr>
            <w:tcW w:w="1948" w:type="dxa"/>
            <w:vMerge/>
            <w:tcBorders>
              <w:left w:val="single" w:sz="4" w:space="0" w:color="000000"/>
              <w:bottom w:val="single" w:sz="4" w:space="0" w:color="000000"/>
              <w:right w:val="single" w:sz="35" w:space="0" w:color="000000"/>
            </w:tcBorders>
          </w:tcPr>
          <w:p>
            <w:pPr/>
          </w:p>
        </w:tc>
      </w:tr>
      <w:tr>
        <w:trPr>
          <w:trHeight w:val="287" w:hRule="exact"/>
        </w:trPr>
        <w:tc>
          <w:tcPr>
            <w:tcW w:w="3194" w:type="dxa"/>
            <w:vMerge/>
            <w:tcBorders>
              <w:left w:val="single" w:sz="4" w:space="0" w:color="000000"/>
              <w:right w:val="single" w:sz="4" w:space="0" w:color="000000"/>
            </w:tcBorders>
            <w:shd w:val="clear" w:color="auto" w:fill="D2D2D2"/>
          </w:tcPr>
          <w:p>
            <w:pPr/>
          </w:p>
        </w:tc>
        <w:tc>
          <w:tcPr>
            <w:tcW w:w="105" w:type="dxa"/>
            <w:vMerge/>
            <w:tcBorders>
              <w:left w:val="single" w:sz="4" w:space="0" w:color="000000"/>
              <w:bottom w:val="nil" w:sz="6" w:space="0" w:color="auto"/>
              <w:right w:val="single" w:sz="8" w:space="0" w:color="000000"/>
            </w:tcBorders>
          </w:tcPr>
          <w:p>
            <w:pPr/>
          </w:p>
        </w:tc>
        <w:tc>
          <w:tcPr>
            <w:tcW w:w="1379" w:type="dxa"/>
            <w:vMerge/>
            <w:tcBorders>
              <w:left w:val="single" w:sz="8" w:space="0" w:color="000000"/>
              <w:bottom w:val="single" w:sz="8" w:space="0" w:color="000000"/>
              <w:right w:val="single" w:sz="4" w:space="0" w:color="000000"/>
            </w:tcBorders>
          </w:tcPr>
          <w:p>
            <w:pPr/>
          </w:p>
        </w:tc>
        <w:tc>
          <w:tcPr>
            <w:tcW w:w="1734" w:type="dxa"/>
            <w:vMerge/>
            <w:tcBorders>
              <w:left w:val="single" w:sz="4" w:space="0" w:color="000000"/>
              <w:bottom w:val="single" w:sz="8" w:space="0" w:color="000000"/>
              <w:right w:val="single" w:sz="8" w:space="0" w:color="000000"/>
            </w:tcBorders>
          </w:tcPr>
          <w:p>
            <w:pPr/>
          </w:p>
        </w:tc>
        <w:tc>
          <w:tcPr>
            <w:tcW w:w="145" w:type="dxa"/>
            <w:vMerge/>
            <w:tcBorders>
              <w:left w:val="single" w:sz="8" w:space="0" w:color="000000"/>
              <w:bottom w:val="nil" w:sz="6" w:space="0" w:color="auto"/>
              <w:right w:val="single" w:sz="8" w:space="0" w:color="000000"/>
            </w:tcBorders>
          </w:tcPr>
          <w:p>
            <w:pPr/>
          </w:p>
        </w:tc>
        <w:tc>
          <w:tcPr>
            <w:tcW w:w="1064" w:type="dxa"/>
            <w:vMerge w:val="restart"/>
            <w:tcBorders>
              <w:top w:val="single" w:sz="4" w:space="0" w:color="000000"/>
              <w:left w:val="single" w:sz="35"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1948" w:type="dxa"/>
            <w:vMerge w:val="restart"/>
            <w:tcBorders>
              <w:top w:val="single" w:sz="4" w:space="0" w:color="000000"/>
              <w:left w:val="single" w:sz="4" w:space="0" w:color="000000"/>
              <w:right w:val="single" w:sz="35"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潜在错报</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&lt;700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tc>
      </w:tr>
      <w:tr>
        <w:trPr>
          <w:trHeight w:val="323" w:hRule="exact"/>
        </w:trPr>
        <w:tc>
          <w:tcPr>
            <w:tcW w:w="3194" w:type="dxa"/>
            <w:vMerge/>
            <w:tcBorders>
              <w:left w:val="single" w:sz="4" w:space="0" w:color="000000"/>
              <w:right w:val="single" w:sz="4" w:space="0" w:color="000000"/>
            </w:tcBorders>
            <w:shd w:val="clear" w:color="auto" w:fill="D2D2D2"/>
          </w:tcPr>
          <w:p>
            <w:pPr/>
          </w:p>
        </w:tc>
        <w:tc>
          <w:tcPr>
            <w:tcW w:w="3363" w:type="dxa"/>
            <w:gridSpan w:val="4"/>
            <w:vMerge w:val="restart"/>
            <w:tcBorders>
              <w:top w:val="single" w:sz="8" w:space="0" w:color="000000"/>
              <w:left w:val="single" w:sz="4" w:space="0" w:color="000000"/>
              <w:right w:val="single" w:sz="35" w:space="0" w:color="000000"/>
            </w:tcBorders>
          </w:tcPr>
          <w:p>
            <w:pPr/>
          </w:p>
        </w:tc>
        <w:tc>
          <w:tcPr>
            <w:tcW w:w="1064" w:type="dxa"/>
            <w:vMerge/>
            <w:tcBorders>
              <w:left w:val="single" w:sz="35" w:space="0" w:color="000000"/>
              <w:bottom w:val="single" w:sz="4" w:space="0" w:color="000000"/>
              <w:right w:val="single" w:sz="4" w:space="0" w:color="000000"/>
            </w:tcBorders>
          </w:tcPr>
          <w:p>
            <w:pPr/>
          </w:p>
        </w:tc>
        <w:tc>
          <w:tcPr>
            <w:tcW w:w="1948" w:type="dxa"/>
            <w:vMerge/>
            <w:tcBorders>
              <w:left w:val="single" w:sz="4" w:space="0" w:color="000000"/>
              <w:bottom w:val="single" w:sz="4" w:space="0" w:color="000000"/>
              <w:right w:val="single" w:sz="35" w:space="0" w:color="000000"/>
            </w:tcBorders>
          </w:tcPr>
          <w:p>
            <w:pPr/>
          </w:p>
        </w:tc>
      </w:tr>
      <w:tr>
        <w:trPr>
          <w:trHeight w:val="911" w:hRule="exact"/>
        </w:trPr>
        <w:tc>
          <w:tcPr>
            <w:tcW w:w="3194" w:type="dxa"/>
            <w:vMerge/>
            <w:tcBorders>
              <w:left w:val="single" w:sz="4" w:space="0" w:color="000000"/>
              <w:right w:val="single" w:sz="4" w:space="0" w:color="000000"/>
            </w:tcBorders>
            <w:shd w:val="clear" w:color="auto" w:fill="D2D2D2"/>
          </w:tcPr>
          <w:p>
            <w:pPr/>
          </w:p>
        </w:tc>
        <w:tc>
          <w:tcPr>
            <w:tcW w:w="3363" w:type="dxa"/>
            <w:gridSpan w:val="4"/>
            <w:vMerge/>
            <w:tcBorders>
              <w:left w:val="single" w:sz="4" w:space="0" w:color="000000"/>
              <w:right w:val="single" w:sz="35" w:space="0" w:color="000000"/>
            </w:tcBorders>
          </w:tcPr>
          <w:p>
            <w:pPr/>
          </w:p>
        </w:tc>
        <w:tc>
          <w:tcPr>
            <w:tcW w:w="1064" w:type="dxa"/>
            <w:tcBorders>
              <w:top w:val="single" w:sz="4" w:space="0" w:color="000000"/>
              <w:left w:val="single" w:sz="35"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1948" w:type="dxa"/>
            <w:tcBorders>
              <w:top w:val="single" w:sz="4" w:space="0" w:color="000000"/>
              <w:left w:val="single" w:sz="4" w:space="0" w:color="000000"/>
              <w:bottom w:val="single" w:sz="4" w:space="0" w:color="000000"/>
              <w:right w:val="single" w:sz="35"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≤潜在错报</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&lt;1400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tc>
      </w:tr>
      <w:tr>
        <w:trPr>
          <w:trHeight w:val="630"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63" w:type="dxa"/>
            <w:gridSpan w:val="4"/>
            <w:vMerge/>
            <w:tcBorders>
              <w:left w:val="single" w:sz="4" w:space="0" w:color="000000"/>
              <w:bottom w:val="single" w:sz="4" w:space="0" w:color="000000"/>
              <w:right w:val="single" w:sz="35" w:space="0" w:color="000000"/>
            </w:tcBorders>
          </w:tcPr>
          <w:p>
            <w:pPr/>
          </w:p>
        </w:tc>
        <w:tc>
          <w:tcPr>
            <w:tcW w:w="1064" w:type="dxa"/>
            <w:tcBorders>
              <w:top w:val="single" w:sz="4" w:space="0" w:color="000000"/>
              <w:left w:val="single" w:sz="35"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重大缺陷</w:t>
            </w:r>
          </w:p>
        </w:tc>
        <w:tc>
          <w:tcPr>
            <w:tcW w:w="1948" w:type="dxa"/>
            <w:tcBorders>
              <w:top w:val="single" w:sz="4" w:space="0" w:color="000000"/>
              <w:left w:val="single" w:sz="4" w:space="0" w:color="000000"/>
              <w:bottom w:val="single" w:sz="12" w:space="0" w:color="000000"/>
              <w:right w:val="single" w:sz="35"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46"/>
                <w:sz w:val="18"/>
                <w:szCs w:val="18"/>
              </w:rPr>
              <w:t> </w:t>
            </w:r>
            <w:r>
              <w:rPr>
                <w:rFonts w:ascii="宋体" w:hAnsi="宋体" w:cs="宋体" w:eastAsia="宋体" w:hint="default"/>
                <w:sz w:val="18"/>
                <w:szCs w:val="18"/>
              </w:rPr>
              <w:t>万元人民币</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≤潜在错报</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6"/>
            <w:tcBorders>
              <w:top w:val="single" w:sz="8"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立信会计师事务所（特殊普通合伙）认为：公司按照财政部等五部委颁发的《企业内部控制基本规范》及相关规定于</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2"/>
      <w:bookmarkEnd w:id="152"/>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824"/>
        <w:gridCol w:w="1276"/>
        <w:gridCol w:w="1488"/>
      </w:tblGrid>
      <w:tr>
        <w:trPr>
          <w:trHeight w:val="63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406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可转换公司债 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万信转债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123005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60"/>
              <w:ind w:left="22"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第一年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w:t>
            </w:r>
            <w:r>
              <w:rPr>
                <w:rFonts w:ascii="宋体" w:hAnsi="宋体" w:cs="宋体" w:eastAsia="宋体" w:hint="default"/>
                <w:sz w:val="18"/>
                <w:szCs w:val="18"/>
              </w:rPr>
              <w:t>、 第二年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宋体" w:hAnsi="宋体" w:cs="宋体" w:eastAsia="宋体" w:hint="default"/>
                <w:sz w:val="18"/>
                <w:szCs w:val="18"/>
              </w:rPr>
              <w:t>、 第三年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第四年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w:t>
            </w:r>
            <w:r>
              <w:rPr>
                <w:rFonts w:ascii="宋体" w:hAnsi="宋体" w:cs="宋体" w:eastAsia="宋体" w:hint="default"/>
                <w:sz w:val="18"/>
                <w:szCs w:val="18"/>
              </w:rPr>
              <w:t>、 第五年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r>
              <w:rPr>
                <w:rFonts w:ascii="宋体" w:hAnsi="宋体" w:cs="宋体" w:eastAsia="宋体" w:hint="default"/>
                <w:sz w:val="18"/>
                <w:szCs w:val="18"/>
              </w:rPr>
              <w:t>、 第六年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采用每年付息一 </w:t>
            </w:r>
            <w:r>
              <w:rPr>
                <w:rFonts w:ascii="宋体" w:hAnsi="宋体" w:cs="宋体" w:eastAsia="宋体" w:hint="default"/>
                <w:spacing w:val="-2"/>
                <w:sz w:val="18"/>
                <w:szCs w:val="18"/>
              </w:rPr>
              <w:t>次的付息方式，计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息起始日为本次 可转换公司债券 </w:t>
            </w:r>
            <w:r>
              <w:rPr>
                <w:rFonts w:ascii="宋体" w:hAnsi="宋体" w:cs="宋体" w:eastAsia="宋体" w:hint="default"/>
                <w:spacing w:val="-2"/>
                <w:sz w:val="18"/>
                <w:szCs w:val="18"/>
              </w:rPr>
              <w:t>发行首日。在本次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发行的可转换公 司债券期满后五 </w:t>
            </w:r>
            <w:r>
              <w:rPr>
                <w:rFonts w:ascii="宋体" w:hAnsi="宋体" w:cs="宋体" w:eastAsia="宋体" w:hint="default"/>
                <w:spacing w:val="-2"/>
                <w:sz w:val="18"/>
                <w:szCs w:val="18"/>
              </w:rPr>
              <w:t>个交易日内，公司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将以债券面值的 </w:t>
            </w:r>
            <w:r>
              <w:rPr>
                <w:rFonts w:ascii="Times New Roman" w:hAnsi="Times New Roman" w:cs="Times New Roman" w:eastAsia="Times New Roman" w:hint="default"/>
                <w:spacing w:val="-7"/>
                <w:sz w:val="18"/>
                <w:szCs w:val="18"/>
              </w:rPr>
              <w:t>107%</w:t>
            </w:r>
            <w:r>
              <w:rPr>
                <w:rFonts w:ascii="宋体" w:hAnsi="宋体" w:cs="宋体" w:eastAsia="宋体" w:hint="default"/>
                <w:spacing w:val="-7"/>
                <w:sz w:val="18"/>
                <w:szCs w:val="18"/>
              </w:rPr>
              <w:t>（含最后一年</w:t>
            </w:r>
            <w:r>
              <w:rPr>
                <w:rFonts w:ascii="宋体" w:hAnsi="宋体" w:cs="宋体" w:eastAsia="宋体" w:hint="default"/>
                <w:sz w:val="18"/>
                <w:szCs w:val="18"/>
              </w:rPr>
              <w:t> </w:t>
            </w:r>
            <w:r>
              <w:rPr>
                <w:rFonts w:ascii="宋体" w:hAnsi="宋体" w:cs="宋体" w:eastAsia="宋体" w:hint="default"/>
                <w:spacing w:val="-2"/>
                <w:sz w:val="18"/>
                <w:szCs w:val="18"/>
              </w:rPr>
              <w:t>利息）的价格向投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资者赎回全部未 转股的可转债。</w:t>
            </w:r>
          </w:p>
        </w:tc>
      </w:tr>
      <w:tr>
        <w:trPr>
          <w:trHeight w:val="18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300" w:lineRule="auto"/>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年度可转 换公司债券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万信转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sz w:val="18"/>
              </w:rPr>
              <w:t>123021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120,000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2"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第一年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0.40%</w:t>
            </w:r>
            <w:r>
              <w:rPr>
                <w:rFonts w:ascii="宋体" w:hAnsi="宋体" w:cs="宋体" w:eastAsia="宋体" w:hint="default"/>
                <w:sz w:val="18"/>
                <w:szCs w:val="18"/>
              </w:rPr>
              <w:t>、 第二年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0.60%</w:t>
            </w:r>
            <w:r>
              <w:rPr>
                <w:rFonts w:ascii="宋体" w:hAnsi="宋体" w:cs="宋体" w:eastAsia="宋体" w:hint="default"/>
                <w:sz w:val="18"/>
                <w:szCs w:val="18"/>
              </w:rPr>
              <w:t>、 第三年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第四年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r>
              <w:rPr>
                <w:rFonts w:ascii="宋体" w:hAnsi="宋体" w:cs="宋体" w:eastAsia="宋体" w:hint="default"/>
                <w:sz w:val="18"/>
                <w:szCs w:val="18"/>
              </w:rPr>
              <w:t>、 第五年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w:t>
            </w:r>
            <w:r>
              <w:rPr>
                <w:rFonts w:ascii="宋体" w:hAnsi="宋体" w:cs="宋体" w:eastAsia="宋体" w:hint="default"/>
                <w:sz w:val="18"/>
                <w:szCs w:val="18"/>
              </w:rPr>
              <w:t>、 第六年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z w:val="18"/>
                <w:szCs w:val="18"/>
              </w:rPr>
              <w:t>采用每年付息一 次的付息方式，到 期归还本金并支 付最后一年利息。</w:t>
            </w:r>
          </w:p>
        </w:tc>
      </w:tr>
      <w:tr>
        <w:trPr>
          <w:trHeight w:val="63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5"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报告期内无需兑付利息</w:t>
            </w:r>
          </w:p>
        </w:tc>
      </w:tr>
      <w:tr>
        <w:trPr>
          <w:trHeight w:val="125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债券受托管理人和资信评级机构信息" w:id="153"/>
      <w:bookmarkEnd w:id="153"/>
      <w:r>
        <w:rPr>
          <w:b w:val="0"/>
          <w:bCs w:val="0"/>
        </w:rPr>
      </w:r>
      <w:r>
        <w:rPr/>
        <w:t>二、债券受托管理人和资信评级机构信息</w:t>
      </w:r>
      <w:r>
        <w:rPr>
          <w:b w:val="0"/>
          <w:bCs w:val="0"/>
        </w:rPr>
      </w:r>
    </w:p>
    <w:p>
      <w:pPr>
        <w:spacing w:line="240" w:lineRule="auto" w:before="1"/>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5pt;height:20.1pt;mso-position-horizontal-relative:char;mso-position-vertical-relative:line" type="#_x0000_t202" filled="true" fillcolor="#d2d2d2" stroked="true" strokeweight=".47998pt" strokecolor="#000000">
            <w10:anchorlock/>
            <v:textbox inset="0,0,0,0">
              <w:txbxContent>
                <w:p>
                  <w:pPr>
                    <w:pStyle w:val="BodyText"/>
                    <w:spacing w:line="240" w:lineRule="auto" w:before="52"/>
                    <w:ind w:left="22" w:right="0"/>
                    <w:jc w:val="left"/>
                  </w:pPr>
                  <w:r>
                    <w:rPr/>
                    <w:t>债券受托管理人：</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179"/>
        <w:gridCol w:w="1219"/>
        <w:gridCol w:w="773"/>
        <w:gridCol w:w="400"/>
        <w:gridCol w:w="1220"/>
        <w:gridCol w:w="1177"/>
        <w:gridCol w:w="1214"/>
        <w:gridCol w:w="1173"/>
        <w:gridCol w:w="1208"/>
      </w:tblGrid>
      <w:tr>
        <w:trPr>
          <w:trHeight w:val="407"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1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20" w:type="dxa"/>
            <w:tcBorders>
              <w:top w:val="single" w:sz="4" w:space="0" w:color="000000"/>
              <w:left w:val="single" w:sz="13" w:space="0" w:color="D2D2D2"/>
              <w:bottom w:val="single" w:sz="4" w:space="0" w:color="000000"/>
              <w:right w:val="single" w:sz="9" w:space="0" w:color="D2D2D2"/>
            </w:tcBorders>
          </w:tcPr>
          <w:p>
            <w:pP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14" w:type="dxa"/>
            <w:tcBorders>
              <w:top w:val="single" w:sz="4" w:space="0" w:color="000000"/>
              <w:left w:val="single" w:sz="13" w:space="0" w:color="D2D2D2"/>
              <w:bottom w:val="single" w:sz="4" w:space="0" w:color="000000"/>
              <w:right w:val="single" w:sz="13" w:space="0" w:color="D2D2D2"/>
            </w:tcBorders>
          </w:tcPr>
          <w:p>
            <w:pP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8" w:type="dxa"/>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12"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青浦区新业路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968 </w:t>
            </w:r>
            <w:r>
              <w:rPr>
                <w:rFonts w:ascii="宋体" w:hAnsi="宋体" w:cs="宋体" w:eastAsia="宋体" w:hint="default"/>
                <w:sz w:val="18"/>
                <w:szCs w:val="18"/>
              </w:rPr>
              <w:t>室</w:t>
            </w:r>
          </w:p>
        </w:tc>
      </w:tr>
      <w:tr>
        <w:trPr>
          <w:trHeight w:val="1338" w:hRule="exact"/>
        </w:trPr>
        <w:tc>
          <w:tcPr>
            <w:tcW w:w="3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1620"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77" w:type="dxa"/>
            <w:tcBorders>
              <w:top w:val="single" w:sz="4" w:space="0" w:color="000000"/>
              <w:left w:val="nil" w:sz="6" w:space="0" w:color="auto"/>
              <w:bottom w:val="single" w:sz="4" w:space="0" w:color="000000"/>
              <w:right w:val="nil" w:sz="6" w:space="0" w:color="auto"/>
            </w:tcBorders>
          </w:tcPr>
          <w:p>
            <w:pPr/>
          </w:p>
        </w:tc>
        <w:tc>
          <w:tcPr>
            <w:tcW w:w="1214" w:type="dxa"/>
            <w:tcBorders>
              <w:top w:val="single" w:sz="4" w:space="0" w:color="000000"/>
              <w:left w:val="nil" w:sz="6" w:space="0" w:color="auto"/>
              <w:bottom w:val="single" w:sz="4" w:space="0" w:color="000000"/>
              <w:right w:val="nil" w:sz="6" w:space="0" w:color="auto"/>
            </w:tcBorders>
          </w:tcPr>
          <w:p>
            <w:pPr/>
          </w:p>
        </w:tc>
        <w:tc>
          <w:tcPr>
            <w:tcW w:w="1173" w:type="dxa"/>
            <w:tcBorders>
              <w:top w:val="single" w:sz="4" w:space="0" w:color="000000"/>
              <w:left w:val="nil" w:sz="6" w:space="0" w:color="auto"/>
              <w:bottom w:val="single" w:sz="4" w:space="0" w:color="000000"/>
              <w:right w:val="nil" w:sz="6" w:space="0" w:color="auto"/>
            </w:tcBorders>
          </w:tcPr>
          <w:p>
            <w:pPr/>
          </w:p>
        </w:tc>
        <w:tc>
          <w:tcPr>
            <w:tcW w:w="1208" w:type="dxa"/>
            <w:tcBorders>
              <w:top w:val="single" w:sz="4" w:space="0" w:color="000000"/>
              <w:left w:val="nil" w:sz="6" w:space="0" w:color="auto"/>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216.679993pt;margin-top:-78.784393pt;width:318.5pt;height:43.65pt;mso-position-horizontal-relative:page;mso-position-vertical-relative:paragraph;z-index:-1242376" coordorigin="4334,-1576" coordsize="6370,873">
            <v:group style="position:absolute;left:4334;top:-1576;width:6370;height:469" coordorigin="4334,-1576" coordsize="6370,469">
              <v:shape style="position:absolute;left:4334;top:-1576;width:6370;height:469" coordorigin="4334,-1576" coordsize="6370,469" path="m4334,-1107l10703,-1107,10703,-1576,4334,-1576,4334,-1107xe" filled="true" fillcolor="#ffffff" stroked="false">
                <v:path arrowok="t"/>
                <v:fill type="solid"/>
              </v:shape>
            </v:group>
            <v:group style="position:absolute;left:4345;top:-1107;width:2;height:393" coordorigin="4345,-1107" coordsize="2,393">
              <v:shape style="position:absolute;left:4345;top:-1107;width:2;height:393" coordorigin="4345,-1107" coordsize="0,393" path="m4345,-1107l4345,-715e" filled="false" stroked="true" strokeweight="1.140pt" strokecolor="#ffffff">
                <v:path arrowok="t"/>
              </v:shape>
            </v:group>
            <v:group style="position:absolute;left:4356;top:-1107;width:6324;height:393" coordorigin="4356,-1107" coordsize="6324,393">
              <v:shape style="position:absolute;left:4356;top:-1107;width:6324;height:393" coordorigin="4356,-1107" coordsize="6324,393" path="m4356,-715l10680,-715,10680,-1107,4356,-1107,4356,-715xe" filled="true" fillcolor="#ffffff" stroked="false">
                <v:path arrowok="t"/>
                <v:fill type="solid"/>
              </v:shape>
            </v:group>
            <w10:wrap type="none"/>
          </v:group>
        </w:pict>
      </w:r>
      <w:bookmarkStart w:name="三、公司债券募集资金使用情况" w:id="154"/>
      <w:bookmarkEnd w:id="154"/>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61"/>
              <w:jc w:val="left"/>
              <w:rPr>
                <w:rFonts w:ascii="宋体" w:hAnsi="宋体" w:cs="宋体" w:eastAsia="宋体" w:hint="default"/>
                <w:sz w:val="18"/>
                <w:szCs w:val="18"/>
              </w:rPr>
            </w:pPr>
            <w:r>
              <w:rPr>
                <w:rFonts w:ascii="宋体" w:hAnsi="宋体" w:cs="宋体" w:eastAsia="宋体" w:hint="default"/>
                <w:sz w:val="18"/>
                <w:szCs w:val="18"/>
              </w:rPr>
              <w:t>参见本报告第四节经营情况讨论与分析之</w:t>
            </w:r>
            <w:r>
              <w:rPr>
                <w:rFonts w:ascii="Times New Roman" w:hAnsi="Times New Roman" w:cs="Times New Roman" w:eastAsia="Times New Roman" w:hint="default"/>
                <w:sz w:val="18"/>
                <w:szCs w:val="18"/>
              </w:rPr>
              <w:t>“</w:t>
            </w:r>
            <w:r>
              <w:rPr>
                <w:rFonts w:ascii="宋体" w:hAnsi="宋体" w:cs="宋体" w:eastAsia="宋体" w:hint="default"/>
                <w:sz w:val="18"/>
                <w:szCs w:val="18"/>
              </w:rPr>
              <w:t>五、投资状况分析</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募集资金使用情况 部分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募集资金专项账户运作正常</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公司债券信息评级情况" w:id="155"/>
      <w:bookmarkEnd w:id="155"/>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jc w:val="left"/>
      </w:pPr>
      <w:r>
        <w:rPr>
          <w:spacing w:val="-2"/>
        </w:rPr>
        <w:t>公司可转换公司债券经中诚信证券评估有限公司评级，主体级别为</w:t>
      </w:r>
      <w:r>
        <w:rPr>
          <w:rFonts w:ascii="Times New Roman" w:hAnsi="Times New Roman" w:cs="Times New Roman" w:eastAsia="Times New Roman" w:hint="default"/>
          <w:spacing w:val="-2"/>
        </w:rPr>
        <w:t>AA</w:t>
      </w:r>
      <w:r>
        <w:rPr>
          <w:spacing w:val="-2"/>
        </w:rPr>
        <w:t>，债券级别为</w:t>
      </w:r>
      <w:r>
        <w:rPr>
          <w:rFonts w:ascii="Times New Roman" w:hAnsi="Times New Roman" w:cs="Times New Roman" w:eastAsia="Times New Roman" w:hint="default"/>
          <w:spacing w:val="-2"/>
        </w:rPr>
        <w:t>AA</w:t>
      </w:r>
      <w:r>
        <w:rPr>
          <w:spacing w:val="-2"/>
        </w:rPr>
        <w:t>。公司</w:t>
      </w:r>
      <w:r>
        <w:rPr>
          <w:rFonts w:ascii="Times New Roman" w:hAnsi="Times New Roman" w:cs="Times New Roman" w:eastAsia="Times New Roman" w:hint="default"/>
          <w:spacing w:val="-2"/>
        </w:rPr>
        <w:t>2018</w:t>
      </w:r>
      <w:r>
        <w:rPr>
          <w:spacing w:val="-2"/>
        </w:rPr>
        <w:t>年度可转换公司债券发行</w:t>
      </w:r>
      <w:r>
        <w:rPr>
          <w:spacing w:val="-44"/>
        </w:rPr>
        <w:t> </w:t>
      </w:r>
      <w:r>
        <w:rPr/>
        <w:t>上市后，中诚信证券评估有限公司将进行跟踪评级。</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五、公司债券增信机制、偿债计划及其他偿债保障措施" w:id="156"/>
      <w:bookmarkEnd w:id="156"/>
      <w:r>
        <w:rPr>
          <w:b w:val="0"/>
          <w:bCs w:val="0"/>
        </w:rPr>
      </w:r>
      <w:r>
        <w:rPr/>
        <w:t>五、公司债券增信机制、偿债计划及其他偿债保障措施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报告期内债券持有人会议的召开情况" w:id="157"/>
      <w:bookmarkEnd w:id="157"/>
      <w:r>
        <w:rPr>
          <w:b w:val="0"/>
          <w:bCs w:val="0"/>
        </w:rPr>
      </w:r>
      <w:r>
        <w:rPr/>
        <w:t>六、报告期内债券持有人会议的召开情况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报告期内未召开债券持有人会议。</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报告期内债券受托管理人履行职责的情况" w:id="158"/>
      <w:bookmarkEnd w:id="158"/>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截至报告期末公司近2年的主要会计数据和财务指标" w:id="159"/>
      <w:bookmarkEnd w:id="159"/>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62,496.98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66,026.79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338" w:lineRule="auto" w:before="103"/>
        <w:ind w:right="55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利息保障倍数较上年同期减少了</w:t>
      </w:r>
      <w:r>
        <w:rPr>
          <w:rFonts w:ascii="Times New Roman" w:hAnsi="Times New Roman" w:cs="Times New Roman" w:eastAsia="Times New Roman" w:hint="default"/>
        </w:rPr>
        <w:t>36.17%</w:t>
      </w:r>
      <w:r>
        <w:rPr/>
        <w:t>，主要系净利润下降所致；</w:t>
      </w:r>
    </w:p>
    <w:p>
      <w:pPr>
        <w:pStyle w:val="BodyText"/>
        <w:spacing w:line="230" w:lineRule="exact"/>
        <w:ind w:right="0"/>
        <w:jc w:val="left"/>
      </w:pPr>
      <w:r>
        <w:rPr/>
        <w:t>现金利息保障倍数较上年同期增加了</w:t>
      </w:r>
      <w:r>
        <w:rPr>
          <w:rFonts w:ascii="Times New Roman" w:hAnsi="Times New Roman" w:cs="Times New Roman" w:eastAsia="Times New Roman" w:hint="default"/>
        </w:rPr>
        <w:t>242.00%</w:t>
      </w:r>
      <w:r>
        <w:rPr/>
        <w:t>，主要系经营活动产生的现金流量净额增加所致。</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报告期内对其他债券和债务融资工具的付息兑付情况" w:id="160"/>
      <w:bookmarkEnd w:id="160"/>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报告期内获得的银行授信情况、使用情况以及偿还银行贷款的情况" w:id="161"/>
      <w:bookmarkEnd w:id="161"/>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firstLine="360"/>
        <w:jc w:val="both"/>
      </w:pPr>
      <w:r>
        <w:rPr>
          <w:spacing w:val="-2"/>
        </w:rPr>
        <w:t>公司及控股子公司始终坚持合规运作、稳健经营，获得各商业银行较高信用评价和业务支持。截至报告期末，公司及控</w:t>
      </w:r>
      <w:r>
        <w:rPr/>
        <w:t> </w:t>
      </w:r>
      <w:r>
        <w:rPr>
          <w:spacing w:val="-1"/>
        </w:rPr>
        <w:t>股子公司获得主要合作银行授予综合信用额度约</w:t>
      </w:r>
      <w:r>
        <w:rPr>
          <w:rFonts w:ascii="Times New Roman" w:hAnsi="Times New Roman" w:cs="Times New Roman" w:eastAsia="Times New Roman" w:hint="default"/>
          <w:spacing w:val="-1"/>
        </w:rPr>
        <w:t>50.2</w:t>
      </w:r>
      <w:r>
        <w:rPr>
          <w:spacing w:val="-1"/>
        </w:rPr>
        <w:t>亿元。公司及控股子公司严格按照规定使用授信额度，按时偿还到期债</w:t>
      </w:r>
      <w:r>
        <w:rPr>
          <w:spacing w:val="-72"/>
        </w:rPr>
        <w:t> </w:t>
      </w:r>
      <w:r>
        <w:rPr>
          <w:spacing w:val="-72"/>
        </w:rPr>
      </w:r>
      <w:r>
        <w:rPr/>
        <w:t>务，未发生违约情形。截至报告期末，万达信息未发生贷款展期、减免情形。</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一、报告期内执行公司债券募集说明书相关约定或承诺的情况" w:id="162"/>
      <w:bookmarkEnd w:id="162"/>
      <w:r>
        <w:rPr>
          <w:b w:val="0"/>
          <w:bCs w:val="0"/>
        </w:rPr>
      </w: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报告期内，公司在公司治理、内部控制等方面不存在违反《公司法》、《公司章程》规定的情况，公司严格执行万信转</w:t>
      </w:r>
      <w:r>
        <w:rPr/>
        <w:t> 债募集说明书中的相关约定和承诺，不存在违反上述约定和承诺的行为。</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二、报告期内发生的重大事项" w:id="163"/>
      <w:bookmarkEnd w:id="163"/>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可参见本报告</w:t>
      </w:r>
      <w:r>
        <w:rPr>
          <w:rFonts w:ascii="Times New Roman" w:hAnsi="Times New Roman" w:cs="Times New Roman" w:eastAsia="Times New Roman" w:hint="default"/>
        </w:rPr>
        <w:t>“</w:t>
      </w:r>
      <w:r>
        <w:rPr/>
        <w:t>第五节</w:t>
      </w:r>
      <w:r>
        <w:rPr>
          <w:spacing w:val="-46"/>
        </w:rPr>
        <w:t> </w:t>
      </w:r>
      <w:r>
        <w:rPr/>
        <w:t>重要事项</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十八、其他重大事项的说明</w:t>
      </w:r>
      <w:r>
        <w:rPr>
          <w:rFonts w:ascii="Times New Roman" w:hAnsi="Times New Roman" w:cs="Times New Roman" w:eastAsia="Times New Roman" w:hint="default"/>
        </w:rPr>
        <w:t>”</w:t>
      </w:r>
      <w:r>
        <w:rPr/>
        <w:t>部分，详细说明了关于公司发行可转换公司债券相关事宜。</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三、公司债券是否存在保证人" w:id="164"/>
      <w:bookmarkEnd w:id="164"/>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65"/>
      <w:bookmarkEnd w:id="165"/>
      <w:r>
        <w:rPr>
          <w:b w:val="0"/>
          <w:bCs w:val="0"/>
        </w:rPr>
      </w:r>
      <w:bookmarkStart w:name="_bookmark10" w:id="166"/>
      <w:bookmarkEnd w:id="16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7"/>
      <w:bookmarkEnd w:id="16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ZA13112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 晔、吴 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316" w:lineRule="auto"/>
        <w:ind w:right="-20"/>
        <w:jc w:val="left"/>
      </w:pPr>
      <w:r>
        <w:rPr/>
        <w:t>万达信息股份有限公司全体股东： 一、审计意见</w:t>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2855" w:space="1425"/>
            <w:col w:w="6650"/>
          </w:cols>
        </w:sectPr>
      </w:pPr>
    </w:p>
    <w:p>
      <w:pPr>
        <w:pStyle w:val="BodyText"/>
        <w:spacing w:line="307" w:lineRule="auto" w:before="19"/>
        <w:ind w:right="0"/>
        <w:jc w:val="left"/>
      </w:pPr>
      <w:r>
        <w:rPr>
          <w:spacing w:val="-2"/>
        </w:rPr>
        <w:t>我们审计了万达信息股份有限公司（以下简称万达信息）财务报表，包括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8"/>
        </w:rPr>
        <w:t> </w:t>
      </w:r>
      <w:r>
        <w:rPr/>
        <w:t>年度的合并及母公司利润表、合并及母公司现金流量表、合并及母公司所有者权益变动表以及相关财务报表附注。 </w:t>
      </w:r>
      <w:r>
        <w:rPr>
          <w:spacing w:val="-2"/>
        </w:rPr>
        <w:t>我们认为，后附的财务报表在所有重大方面按照企业会计准则的规定编制，公允反映了万达信息</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w:t>
      </w:r>
      <w:r>
        <w:rPr>
          <w:spacing w:val="-56"/>
        </w:rPr>
        <w:t> </w:t>
      </w:r>
      <w:r>
        <w:rPr/>
        <w:t>公司财务状况以及</w:t>
      </w:r>
      <w:r>
        <w:rPr>
          <w:rFonts w:ascii="Times New Roman" w:hAnsi="Times New Roman" w:cs="Times New Roman" w:eastAsia="Times New Roman" w:hint="default"/>
        </w:rPr>
        <w:t>2018</w:t>
      </w:r>
      <w:r>
        <w:rPr/>
        <w:t>年度的合并及母公司经营成果和现金流量。</w:t>
      </w:r>
    </w:p>
    <w:p>
      <w:pPr>
        <w:spacing w:line="240" w:lineRule="auto" w:before="5"/>
        <w:rPr>
          <w:rFonts w:ascii="宋体" w:hAnsi="宋体" w:cs="宋体" w:eastAsia="宋体" w:hint="default"/>
          <w:sz w:val="24"/>
          <w:szCs w:val="24"/>
        </w:rPr>
      </w:pPr>
    </w:p>
    <w:p>
      <w:pPr>
        <w:pStyle w:val="BodyText"/>
        <w:spacing w:line="312" w:lineRule="auto"/>
        <w:ind w:right="0"/>
        <w:jc w:val="left"/>
      </w:pPr>
      <w:r>
        <w:rPr/>
        <w:t>二、形成审计意见的基础 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 </w:t>
      </w:r>
      <w:r>
        <w:rPr>
          <w:spacing w:val="-4"/>
        </w:rPr>
        <w:t>了我们在这些准则下的责任。按照中国注册会计师职业道德守则，我们独立于万达信息，并履行了职业道德方面的其他责任。</w:t>
      </w:r>
      <w:r>
        <w:rPr>
          <w:spacing w:val="-44"/>
        </w:rPr>
        <w:t> </w:t>
      </w:r>
      <w:r>
        <w:rPr>
          <w:spacing w:val="-44"/>
        </w:rPr>
      </w:r>
      <w:r>
        <w:rPr/>
        <w:t>我们相信，我们获取的审计证据是充分、适当的，为发表审计意见提供了基础。</w:t>
      </w:r>
    </w:p>
    <w:p>
      <w:pPr>
        <w:spacing w:line="240" w:lineRule="auto" w:before="7"/>
        <w:rPr>
          <w:rFonts w:ascii="宋体" w:hAnsi="宋体" w:cs="宋体" w:eastAsia="宋体" w:hint="default"/>
          <w:sz w:val="25"/>
          <w:szCs w:val="25"/>
        </w:rPr>
      </w:pPr>
    </w:p>
    <w:p>
      <w:pPr>
        <w:pStyle w:val="BodyText"/>
        <w:spacing w:line="316" w:lineRule="auto"/>
        <w:ind w:right="0"/>
        <w:jc w:val="left"/>
      </w:pPr>
      <w:r>
        <w:rPr/>
        <w:t>三、关键审计事项 </w:t>
      </w: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并形成审计意见为背景，我们不对这些事项单独发表意见。我们确定下列事项是需要在审计报告中沟通的关键审计事项。</w:t>
      </w:r>
    </w:p>
    <w:tbl>
      <w:tblPr>
        <w:tblW w:w="0" w:type="auto"/>
        <w:jc w:val="left"/>
        <w:tblInd w:w="146" w:type="dxa"/>
        <w:tblLayout w:type="fixed"/>
        <w:tblCellMar>
          <w:top w:w="0" w:type="dxa"/>
          <w:left w:w="0" w:type="dxa"/>
          <w:bottom w:w="0" w:type="dxa"/>
          <w:right w:w="0" w:type="dxa"/>
        </w:tblCellMar>
        <w:tblLook w:val="01E0"/>
      </w:tblPr>
      <w:tblGrid>
        <w:gridCol w:w="4310"/>
        <w:gridCol w:w="5331"/>
      </w:tblGrid>
      <w:tr>
        <w:trPr>
          <w:trHeight w:val="355" w:hRule="exact"/>
        </w:trPr>
        <w:tc>
          <w:tcPr>
            <w:tcW w:w="4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3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83"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53" w:hRule="exact"/>
        </w:trPr>
        <w:tc>
          <w:tcPr>
            <w:tcW w:w="9641"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b/>
                <w:bCs/>
                <w:sz w:val="18"/>
                <w:szCs w:val="18"/>
              </w:rPr>
              <w:t>（一）完工百分比法确认收入</w:t>
            </w:r>
            <w:r>
              <w:rPr>
                <w:rFonts w:ascii="宋体" w:hAnsi="宋体" w:cs="宋体" w:eastAsia="宋体" w:hint="default"/>
                <w:sz w:val="18"/>
                <w:szCs w:val="18"/>
              </w:rPr>
            </w:r>
          </w:p>
        </w:tc>
      </w:tr>
      <w:tr>
        <w:trPr>
          <w:trHeight w:val="4096" w:hRule="exact"/>
        </w:trPr>
        <w:tc>
          <w:tcPr>
            <w:tcW w:w="4310"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10"/>
              <w:ind w:left="2" w:right="-17"/>
              <w:jc w:val="left"/>
              <w:rPr>
                <w:rFonts w:ascii="宋体" w:hAnsi="宋体" w:cs="宋体" w:eastAsia="宋体" w:hint="default"/>
                <w:sz w:val="18"/>
                <w:szCs w:val="18"/>
              </w:rPr>
            </w:pPr>
            <w:r>
              <w:rPr>
                <w:rFonts w:ascii="宋体" w:hAnsi="宋体" w:cs="宋体" w:eastAsia="宋体" w:hint="default"/>
                <w:spacing w:val="-6"/>
                <w:sz w:val="18"/>
                <w:szCs w:val="18"/>
              </w:rPr>
              <w:t>参见财务报表附注五</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三十八</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（营业收入及营业成本），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年度万达信息实现营业收入</w:t>
            </w:r>
            <w:r>
              <w:rPr>
                <w:rFonts w:ascii="Times New Roman" w:hAnsi="Times New Roman" w:cs="Times New Roman" w:eastAsia="Times New Roman" w:hint="default"/>
                <w:spacing w:val="-1"/>
                <w:sz w:val="18"/>
                <w:szCs w:val="18"/>
              </w:rPr>
              <w:t>2,204,681,762.59</w:t>
            </w:r>
            <w:r>
              <w:rPr>
                <w:rFonts w:ascii="宋体" w:hAnsi="宋体" w:cs="宋体" w:eastAsia="宋体" w:hint="default"/>
                <w:spacing w:val="-1"/>
                <w:sz w:val="18"/>
                <w:szCs w:val="18"/>
              </w:rPr>
              <w:t>元，其</w:t>
            </w:r>
            <w:r>
              <w:rPr>
                <w:rFonts w:ascii="宋体" w:hAnsi="宋体" w:cs="宋体" w:eastAsia="宋体" w:hint="default"/>
                <w:sz w:val="18"/>
                <w:szCs w:val="18"/>
              </w:rPr>
              <w:t> 中软件开发及系统集成业务的营业收入占营业收入的 比重为</w:t>
            </w:r>
            <w:r>
              <w:rPr>
                <w:rFonts w:ascii="Times New Roman" w:hAnsi="Times New Roman" w:cs="Times New Roman" w:eastAsia="Times New Roman" w:hint="default"/>
                <w:sz w:val="18"/>
                <w:szCs w:val="18"/>
              </w:rPr>
              <w:t>79.01%</w:t>
            </w:r>
            <w:r>
              <w:rPr>
                <w:rFonts w:ascii="宋体" w:hAnsi="宋体" w:cs="宋体" w:eastAsia="宋体" w:hint="default"/>
                <w:sz w:val="18"/>
                <w:szCs w:val="18"/>
              </w:rPr>
              <w:t>。根据万达信息收入确认政策</w:t>
            </w:r>
            <w:r>
              <w:rPr>
                <w:rFonts w:ascii="Times New Roman" w:hAnsi="Times New Roman" w:cs="Times New Roman" w:eastAsia="Times New Roman" w:hint="default"/>
                <w:sz w:val="18"/>
                <w:szCs w:val="18"/>
              </w:rPr>
              <w:t>[</w:t>
            </w:r>
            <w:r>
              <w:rPr>
                <w:rFonts w:ascii="宋体" w:hAnsi="宋体" w:cs="宋体" w:eastAsia="宋体" w:hint="default"/>
                <w:sz w:val="18"/>
                <w:szCs w:val="18"/>
              </w:rPr>
              <w:t>详见财务 报表附注三（二十六）</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，软件开发及系统集成业务采 </w:t>
            </w:r>
            <w:r>
              <w:rPr>
                <w:rFonts w:ascii="宋体" w:hAnsi="宋体" w:cs="宋体" w:eastAsia="宋体" w:hint="default"/>
                <w:spacing w:val="-2"/>
                <w:sz w:val="18"/>
                <w:szCs w:val="18"/>
              </w:rPr>
              <w:t>用完工百分比法确认收入。由于采用完工百分比法确认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收入涉及管理层的会计估计判断，可能导致该类收入记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入错误的会计期间或遭到操控而产生固有风险。由于该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类收入是公司的关键绩效指标之一，我们把采用完工百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分比法确认的收入列为关键审计事项。</w:t>
            </w:r>
          </w:p>
        </w:tc>
        <w:tc>
          <w:tcPr>
            <w:tcW w:w="5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both"/>
              <w:rPr>
                <w:rFonts w:ascii="宋体" w:hAnsi="宋体" w:cs="宋体" w:eastAsia="宋体" w:hint="default"/>
                <w:sz w:val="18"/>
                <w:szCs w:val="18"/>
              </w:rPr>
            </w:pPr>
            <w:r>
              <w:rPr>
                <w:rFonts w:ascii="宋体" w:hAnsi="宋体" w:cs="宋体" w:eastAsia="宋体" w:hint="default"/>
                <w:sz w:val="18"/>
                <w:szCs w:val="18"/>
              </w:rPr>
              <w:t>我们执行的主要审计程序如下：</w:t>
            </w:r>
          </w:p>
          <w:p>
            <w:pPr>
              <w:pStyle w:val="TableParagraph"/>
              <w:spacing w:line="300" w:lineRule="auto" w:before="76"/>
              <w:ind w:left="2"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对万达信息收入确认相关的内部控制的设计及执行有效性进行</w:t>
            </w:r>
            <w:r>
              <w:rPr>
                <w:rFonts w:ascii="宋体" w:hAnsi="宋体" w:cs="宋体" w:eastAsia="宋体" w:hint="default"/>
                <w:w w:val="99"/>
                <w:sz w:val="18"/>
                <w:szCs w:val="18"/>
              </w:rPr>
              <w:t> </w:t>
            </w:r>
            <w:r>
              <w:rPr>
                <w:rFonts w:ascii="宋体" w:hAnsi="宋体" w:cs="宋体" w:eastAsia="宋体" w:hint="default"/>
                <w:sz w:val="18"/>
                <w:szCs w:val="18"/>
              </w:rPr>
              <w:t>了评估和测试；</w:t>
            </w:r>
          </w:p>
          <w:p>
            <w:pPr>
              <w:pStyle w:val="TableParagraph"/>
              <w:spacing w:line="300" w:lineRule="auto" w:before="31"/>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我们取得在建项目合同清单，检查相应的建造合同、结算收款等</w:t>
            </w:r>
            <w:r>
              <w:rPr>
                <w:rFonts w:ascii="宋体" w:hAnsi="宋体" w:cs="宋体" w:eastAsia="宋体" w:hint="default"/>
                <w:w w:val="99"/>
                <w:sz w:val="18"/>
                <w:szCs w:val="18"/>
              </w:rPr>
              <w:t> </w:t>
            </w:r>
            <w:r>
              <w:rPr>
                <w:rFonts w:ascii="宋体" w:hAnsi="宋体" w:cs="宋体" w:eastAsia="宋体" w:hint="default"/>
                <w:sz w:val="18"/>
                <w:szCs w:val="18"/>
              </w:rPr>
              <w:t>具体合同执行情况；</w:t>
            </w:r>
          </w:p>
          <w:p>
            <w:pPr>
              <w:pStyle w:val="TableParagraph"/>
              <w:spacing w:line="300" w:lineRule="auto" w:before="31"/>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检查完工进度表形成的过程与相关支持文件，比较不同期间的完</w:t>
            </w:r>
            <w:r>
              <w:rPr>
                <w:rFonts w:ascii="宋体" w:hAnsi="宋体" w:cs="宋体" w:eastAsia="宋体" w:hint="default"/>
                <w:w w:val="99"/>
                <w:sz w:val="18"/>
                <w:szCs w:val="18"/>
              </w:rPr>
              <w:t> </w:t>
            </w:r>
            <w:r>
              <w:rPr>
                <w:rFonts w:ascii="宋体" w:hAnsi="宋体" w:cs="宋体" w:eastAsia="宋体" w:hint="default"/>
                <w:sz w:val="18"/>
                <w:szCs w:val="18"/>
              </w:rPr>
              <w:t>工进度表的合理性；</w:t>
            </w:r>
          </w:p>
          <w:p>
            <w:pPr>
              <w:pStyle w:val="TableParagraph"/>
              <w:spacing w:line="300" w:lineRule="auto" w:before="31"/>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我们测试管理层作出会计估计以及相关的依据和数据，确定其预</w:t>
            </w:r>
            <w:r>
              <w:rPr>
                <w:rFonts w:ascii="宋体" w:hAnsi="宋体" w:cs="宋体" w:eastAsia="宋体" w:hint="default"/>
                <w:w w:val="99"/>
                <w:sz w:val="18"/>
                <w:szCs w:val="18"/>
              </w:rPr>
              <w:t> </w:t>
            </w:r>
            <w:r>
              <w:rPr>
                <w:rFonts w:ascii="宋体" w:hAnsi="宋体" w:cs="宋体" w:eastAsia="宋体" w:hint="default"/>
                <w:sz w:val="18"/>
                <w:szCs w:val="18"/>
              </w:rPr>
              <w:t>估的准确性；</w:t>
            </w:r>
          </w:p>
          <w:p>
            <w:pPr>
              <w:pStyle w:val="TableParagraph"/>
              <w:spacing w:line="240" w:lineRule="auto" w:before="32"/>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检查按照完工进度表确认收入的准确性；</w:t>
            </w:r>
          </w:p>
          <w:p>
            <w:pPr>
              <w:pStyle w:val="TableParagraph"/>
              <w:spacing w:line="309" w:lineRule="auto" w:before="63"/>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我们根据《企业会计准则第</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建造合同》会计政策，执行了实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w w:val="99"/>
                <w:sz w:val="18"/>
                <w:szCs w:val="18"/>
              </w:rPr>
              <w:t>质性测试程序，复核公司是否根据完工百分比会计政策确认建造合同</w:t>
            </w:r>
            <w:r>
              <w:rPr>
                <w:rFonts w:ascii="宋体" w:hAnsi="宋体" w:cs="宋体" w:eastAsia="宋体" w:hint="default"/>
                <w:w w:val="99"/>
                <w:sz w:val="18"/>
                <w:szCs w:val="18"/>
              </w:rPr>
              <w:t> </w:t>
            </w:r>
            <w:r>
              <w:rPr>
                <w:rFonts w:ascii="宋体" w:hAnsi="宋体" w:cs="宋体" w:eastAsia="宋体" w:hint="default"/>
                <w:sz w:val="18"/>
                <w:szCs w:val="18"/>
              </w:rPr>
              <w:t>的收入。</w:t>
            </w:r>
          </w:p>
        </w:tc>
      </w:tr>
    </w:tbl>
    <w:p>
      <w:pPr>
        <w:spacing w:after="0" w:line="30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0" w:right="1050"/>
        <w:jc w:val="right"/>
      </w:pPr>
      <w:r>
        <w:rPr/>
        <w:pict>
          <v:shape style="position:absolute;margin-left:56.34pt;margin-top:-48.368256pt;width:483.15pt;height:176.8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10"/>
                    <w:gridCol w:w="5331"/>
                  </w:tblGrid>
                  <w:tr>
                    <w:trPr>
                      <w:trHeight w:val="355" w:hRule="exact"/>
                    </w:trPr>
                    <w:tc>
                      <w:tcPr>
                        <w:tcW w:w="964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（二）商誉减值</w:t>
                        </w:r>
                        <w:r>
                          <w:rPr>
                            <w:rFonts w:ascii="宋体" w:hAnsi="宋体" w:cs="宋体" w:eastAsia="宋体" w:hint="default"/>
                            <w:sz w:val="18"/>
                            <w:szCs w:val="18"/>
                          </w:rPr>
                        </w:r>
                      </w:p>
                    </w:tc>
                  </w:tr>
                  <w:tr>
                    <w:trPr>
                      <w:trHeight w:val="3160" w:hRule="exact"/>
                    </w:trPr>
                    <w:tc>
                      <w:tcPr>
                        <w:tcW w:w="4310"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before="10"/>
                          <w:ind w:left="2" w:right="-28"/>
                          <w:jc w:val="left"/>
                          <w:rPr>
                            <w:rFonts w:ascii="宋体" w:hAnsi="宋体" w:cs="宋体" w:eastAsia="宋体" w:hint="default"/>
                            <w:sz w:val="18"/>
                            <w:szCs w:val="18"/>
                          </w:rPr>
                        </w:pPr>
                        <w:r>
                          <w:rPr>
                            <w:rFonts w:ascii="宋体" w:hAnsi="宋体" w:cs="宋体" w:eastAsia="宋体" w:hint="default"/>
                            <w:spacing w:val="-2"/>
                            <w:sz w:val="18"/>
                            <w:szCs w:val="18"/>
                          </w:rPr>
                          <w:t>参见财务报表附注五（十七）（商誉）及附注五（四十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二）（资产减值损失）所列示，截至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w:t>
                        </w:r>
                        <w:r>
                          <w:rPr>
                            <w:rFonts w:ascii="宋体" w:hAnsi="宋体" w:cs="宋体" w:eastAsia="宋体" w:hint="default"/>
                            <w:spacing w:val="-3"/>
                            <w:sz w:val="18"/>
                            <w:szCs w:val="18"/>
                          </w:rPr>
                          <w:t>公司合并报表中商誉账面价值为</w:t>
                        </w:r>
                        <w:r>
                          <w:rPr>
                            <w:rFonts w:ascii="Times New Roman" w:hAnsi="Times New Roman" w:cs="Times New Roman" w:eastAsia="Times New Roman" w:hint="default"/>
                            <w:spacing w:val="-3"/>
                            <w:sz w:val="18"/>
                            <w:szCs w:val="18"/>
                          </w:rPr>
                          <w:t>982,765,464.16</w:t>
                        </w:r>
                        <w:r>
                          <w:rPr>
                            <w:rFonts w:ascii="宋体" w:hAnsi="宋体" w:cs="宋体" w:eastAsia="宋体" w:hint="default"/>
                            <w:spacing w:val="-3"/>
                            <w:sz w:val="18"/>
                            <w:szCs w:val="18"/>
                          </w:rPr>
                          <w:t>元。管理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层在每年年度终了对商誉进行减值测试，并依据减值测</w:t>
                        </w:r>
                        <w:r>
                          <w:rPr>
                            <w:rFonts w:ascii="宋体" w:hAnsi="宋体" w:cs="宋体" w:eastAsia="宋体" w:hint="default"/>
                            <w:sz w:val="18"/>
                            <w:szCs w:val="18"/>
                          </w:rPr>
                          <w:t> 试的结果调整商誉的账面价值。因管理层商誉减值测试 的评估过程复杂，需要高度的判断，减值评估涉及确定 折现率等评估参数及对未来若干年的经营和财务情况 </w:t>
                        </w:r>
                        <w:r>
                          <w:rPr>
                            <w:rFonts w:ascii="宋体" w:hAnsi="宋体" w:cs="宋体" w:eastAsia="宋体" w:hint="default"/>
                            <w:spacing w:val="-3"/>
                            <w:sz w:val="18"/>
                            <w:szCs w:val="18"/>
                          </w:rPr>
                          <w:t>的假设，包括未来若干年的销售增长率和毛利率等。</w:t>
                        </w:r>
                        <w:r>
                          <w:rPr>
                            <w:rFonts w:ascii="宋体" w:hAnsi="宋体" w:cs="宋体" w:eastAsia="宋体" w:hint="default"/>
                            <w:spacing w:val="-63"/>
                            <w:sz w:val="18"/>
                            <w:szCs w:val="18"/>
                          </w:rPr>
                          <w:t> </w:t>
                        </w:r>
                        <w:r>
                          <w:rPr>
                            <w:rFonts w:ascii="宋体" w:hAnsi="宋体" w:cs="宋体" w:eastAsia="宋体" w:hint="default"/>
                            <w:sz w:val="18"/>
                            <w:szCs w:val="18"/>
                          </w:rPr>
                          <w:t>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为商誉账面价值较大，对财务报表影响重大，我们将商</w:t>
                        </w:r>
                        <w:r>
                          <w:rPr>
                            <w:rFonts w:ascii="宋体" w:hAnsi="宋体" w:cs="宋体" w:eastAsia="宋体" w:hint="default"/>
                            <w:sz w:val="18"/>
                            <w:szCs w:val="18"/>
                          </w:rPr>
                          <w:t> 誉减值列为关键审计事项。</w:t>
                        </w:r>
                      </w:p>
                    </w:tc>
                    <w:tc>
                      <w:tcPr>
                        <w:tcW w:w="5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p>
                        <w:pPr>
                          <w:pStyle w:val="TableParagraph"/>
                          <w:spacing w:line="307" w:lineRule="auto" w:before="76"/>
                          <w:ind w:left="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评估及测试与商誉减值测试相关的内部控制的设计及执行的有</w:t>
                        </w:r>
                        <w:r>
                          <w:rPr>
                            <w:rFonts w:ascii="宋体" w:hAnsi="宋体" w:cs="宋体" w:eastAsia="宋体" w:hint="default"/>
                            <w:w w:val="99"/>
                            <w:sz w:val="18"/>
                            <w:szCs w:val="18"/>
                          </w:rPr>
                          <w:t> </w:t>
                        </w:r>
                        <w:r>
                          <w:rPr>
                            <w:rFonts w:ascii="宋体" w:hAnsi="宋体" w:cs="宋体" w:eastAsia="宋体" w:hint="default"/>
                            <w:spacing w:val="-6"/>
                            <w:w w:val="99"/>
                            <w:sz w:val="18"/>
                            <w:szCs w:val="18"/>
                          </w:rPr>
                          <w:t>效性，包括外部评估专家的委聘、减值测试的复核及审批等内部控制</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分析管理层对商誉所属资产组的认定和进行商誉减值测试时采</w:t>
                        </w:r>
                        <w:r>
                          <w:rPr>
                            <w:rFonts w:ascii="宋体" w:hAnsi="宋体" w:cs="宋体" w:eastAsia="宋体" w:hint="default"/>
                            <w:w w:val="99"/>
                            <w:sz w:val="18"/>
                            <w:szCs w:val="18"/>
                          </w:rPr>
                          <w:t> </w:t>
                        </w:r>
                        <w:r>
                          <w:rPr>
                            <w:rFonts w:ascii="宋体" w:hAnsi="宋体" w:cs="宋体" w:eastAsia="宋体" w:hint="default"/>
                            <w:sz w:val="18"/>
                            <w:szCs w:val="18"/>
                          </w:rPr>
                          <w:t>用的关键假设和方法，检查相关的假设和方法的合理性；</w:t>
                        </w:r>
                      </w:p>
                      <w:p>
                        <w:pPr>
                          <w:pStyle w:val="TableParagraph"/>
                          <w:spacing w:line="240" w:lineRule="auto" w:before="2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复核管理层编制的商誉所属资产组可收回金额的计算表；</w:t>
                        </w:r>
                      </w:p>
                      <w:p>
                        <w:pPr>
                          <w:pStyle w:val="TableParagraph"/>
                          <w:spacing w:line="300" w:lineRule="auto" w:before="63"/>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比较商誉所属资产组的账面价值与其可收回金额的差异，确认是</w:t>
                        </w:r>
                        <w:r>
                          <w:rPr>
                            <w:rFonts w:ascii="宋体" w:hAnsi="宋体" w:cs="宋体" w:eastAsia="宋体" w:hint="default"/>
                            <w:w w:val="99"/>
                            <w:sz w:val="18"/>
                            <w:szCs w:val="18"/>
                          </w:rPr>
                          <w:t> </w:t>
                        </w:r>
                        <w:r>
                          <w:rPr>
                            <w:rFonts w:ascii="宋体" w:hAnsi="宋体" w:cs="宋体" w:eastAsia="宋体" w:hint="default"/>
                            <w:sz w:val="18"/>
                            <w:szCs w:val="18"/>
                          </w:rPr>
                          <w:t>否存在商誉减值情况。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14" w:lineRule="auto"/>
        <w:ind w:right="1118"/>
        <w:jc w:val="left"/>
      </w:pPr>
      <w:r>
        <w:rPr/>
        <w:t>四、其他信息 </w:t>
      </w:r>
      <w:r>
        <w:rPr>
          <w:spacing w:val="-2"/>
        </w:rPr>
        <w:t>万达信息管理层（以下简称管理层）对其他信息负责。其他信息包括万达信息</w:t>
      </w:r>
      <w:r>
        <w:rPr>
          <w:rFonts w:ascii="Times New Roman" w:hAnsi="Times New Roman" w:cs="Times New Roman" w:eastAsia="Times New Roman" w:hint="default"/>
          <w:spacing w:val="-2"/>
        </w:rPr>
        <w:t>2018</w:t>
      </w:r>
      <w:r>
        <w:rPr>
          <w:spacing w:val="-2"/>
        </w:rPr>
        <w:t>年年度报告中涵盖的信息，但不包括财务</w:t>
      </w:r>
      <w:r>
        <w:rPr>
          <w:spacing w:val="-62"/>
        </w:rPr>
        <w:t> </w:t>
      </w:r>
      <w:r>
        <w:rPr>
          <w:spacing w:val="-62"/>
        </w:rPr>
      </w:r>
      <w:r>
        <w:rPr/>
        <w:t>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5"/>
        </w:rPr>
        <w:t> </w:t>
      </w:r>
      <w:r>
        <w:rPr>
          <w:spacing w:val="-65"/>
        </w:rPr>
      </w:r>
      <w:r>
        <w:rPr/>
        <w:t>了解到的情况存在重大不一致或者似乎存在重大错报。</w:t>
      </w:r>
    </w:p>
    <w:p>
      <w:pPr>
        <w:pStyle w:val="BodyText"/>
        <w:spacing w:line="240" w:lineRule="auto" w:before="20"/>
        <w:ind w:right="0"/>
        <w:jc w:val="left"/>
      </w:pPr>
      <w:r>
        <w:rPr>
          <w:spacing w:val="-4"/>
        </w:rPr>
        <w:t>基于我们已执行的工作，如果我们确定其他信息存在重大错报，我们应当报告该事实。在这方面，我们无任何事项需要报告。</w:t>
      </w:r>
    </w:p>
    <w:p>
      <w:pPr>
        <w:spacing w:line="240" w:lineRule="auto" w:before="0"/>
        <w:rPr>
          <w:rFonts w:ascii="宋体" w:hAnsi="宋体" w:cs="宋体" w:eastAsia="宋体" w:hint="default"/>
          <w:sz w:val="18"/>
          <w:szCs w:val="18"/>
        </w:rPr>
      </w:pPr>
    </w:p>
    <w:p>
      <w:pPr>
        <w:pStyle w:val="BodyText"/>
        <w:spacing w:line="319" w:lineRule="auto" w:before="153"/>
        <w:ind w:right="0"/>
        <w:jc w:val="left"/>
      </w:pPr>
      <w:r>
        <w:rPr/>
        <w:t>五、管理层和治理层对财务报表的责任 </w:t>
      </w:r>
      <w:r>
        <w:rPr>
          <w:spacing w:val="-2"/>
        </w:rPr>
        <w:t>管理层负责按照企业会计准则的规定编制财务报表，使其实现公允反映，并设计、执行和维护必要的内部控制，以使财务报</w:t>
      </w:r>
      <w:r>
        <w:rPr>
          <w:spacing w:val="-66"/>
        </w:rPr>
        <w:t> </w:t>
      </w:r>
      <w:r>
        <w:rPr>
          <w:spacing w:val="-66"/>
        </w:rPr>
      </w:r>
      <w:r>
        <w:rPr/>
        <w:t>表不存在由于舞弊或错误导致的重大错报。 </w:t>
      </w:r>
      <w:r>
        <w:rPr>
          <w:spacing w:val="-2"/>
        </w:rPr>
        <w:t>在编制财务报表时，管理层负责评估万达信息的持续经营能力，披露与持续经营相关的事项（如适用），并运用持续经营假</w:t>
      </w:r>
      <w:r>
        <w:rPr>
          <w:spacing w:val="-66"/>
        </w:rPr>
        <w:t> </w:t>
      </w:r>
      <w:r>
        <w:rPr>
          <w:spacing w:val="-66"/>
        </w:rPr>
      </w:r>
      <w:r>
        <w:rPr/>
        <w:t>设，除非计划进行清算、终止运营或别无其他现实的选择。</w:t>
      </w:r>
    </w:p>
    <w:p>
      <w:pPr>
        <w:pStyle w:val="BodyText"/>
        <w:spacing w:line="240" w:lineRule="auto" w:before="17"/>
        <w:ind w:right="0"/>
        <w:jc w:val="left"/>
      </w:pPr>
      <w:r>
        <w:rPr/>
        <w:t>治理层负责监督万达信息的财务报告过程。</w:t>
      </w:r>
    </w:p>
    <w:p>
      <w:pPr>
        <w:spacing w:line="240" w:lineRule="auto" w:before="0"/>
        <w:rPr>
          <w:rFonts w:ascii="宋体" w:hAnsi="宋体" w:cs="宋体" w:eastAsia="宋体" w:hint="default"/>
          <w:sz w:val="18"/>
          <w:szCs w:val="18"/>
        </w:rPr>
      </w:pPr>
    </w:p>
    <w:p>
      <w:pPr>
        <w:pStyle w:val="BodyText"/>
        <w:spacing w:line="316" w:lineRule="auto" w:before="153"/>
        <w:ind w:right="1032"/>
        <w:jc w:val="left"/>
      </w:pPr>
      <w:r>
        <w:rPr/>
        <w:t>六、注册会计师对财务报表审计的责任 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19"/>
        <w:ind w:right="0"/>
        <w:jc w:val="left"/>
      </w:pPr>
      <w:r>
        <w:rPr/>
        <w:t>在按照审计准则执行审计工作的过程中，我们运用职业判断，并保持职业怀疑。同时，我们也执行以下工作：</w:t>
      </w:r>
    </w:p>
    <w:p>
      <w:pPr>
        <w:pStyle w:val="BodyText"/>
        <w:spacing w:line="309" w:lineRule="auto" w:before="76"/>
        <w:ind w:right="113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w:t>
      </w:r>
      <w:r>
        <w:rPr>
          <w:spacing w:val="-83"/>
        </w:rPr>
        <w:t> </w:t>
      </w:r>
      <w:r>
        <w:rPr>
          <w:spacing w:val="-83"/>
        </w:rPr>
      </w: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24"/>
        <w:ind w:right="0"/>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）对管理层使用持续经营假设的恰当性得出结论。同时，根据获取的审计证据，就可能导致对万达信息持续经营能力产</w:t>
      </w:r>
      <w:r>
        <w:rPr>
          <w:spacing w:val="-82"/>
        </w:rPr>
        <w:t> </w:t>
      </w:r>
      <w:r>
        <w:rPr>
          <w:spacing w:val="-82"/>
        </w:rPr>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6"/>
        </w:rPr>
        <w:t> </w:t>
      </w:r>
      <w:r>
        <w:rPr>
          <w:spacing w:val="-66"/>
        </w:rPr>
      </w:r>
      <w:r>
        <w:rPr/>
        <w:t>至审计报告日可获得的信息。然而，未来的事项或情况可能导致万达信息不能持续经营。</w:t>
      </w:r>
    </w:p>
    <w:p>
      <w:pPr>
        <w:pStyle w:val="BodyText"/>
        <w:spacing w:line="240" w:lineRule="auto" w:before="22"/>
        <w:ind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22"/>
        <w:jc w:val="left"/>
      </w:pPr>
      <w:r>
        <w:rPr/>
        <w:t>（</w:t>
      </w:r>
      <w:r>
        <w:rPr>
          <w:rFonts w:ascii="Times New Roman" w:hAnsi="Times New Roman" w:cs="Times New Roman" w:eastAsia="Times New Roman" w:hint="default"/>
        </w:rPr>
        <w:t>6</w:t>
      </w:r>
      <w:r>
        <w:rPr/>
        <w:t>）就万达信息中实体或业务活动的财务信息获取充分、适当的审计证据，以对财务报表发表审计意见。我们负责指导、</w:t>
      </w:r>
      <w:r>
        <w:rPr>
          <w:spacing w:val="-81"/>
        </w:rPr>
        <w:t> </w:t>
      </w:r>
      <w:r>
        <w:rPr>
          <w:spacing w:val="-81"/>
        </w:rPr>
      </w:r>
      <w:r>
        <w:rPr/>
        <w:t>监督和执行集团审计，并对审计意见承担全部责任。</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 </w:t>
      </w:r>
      <w:r>
        <w:rPr>
          <w:spacing w:val="-2"/>
        </w:rPr>
        <w:t>从与治理层沟通过的事项中，我们确定哪些事项对本期财务报表审计最为重要，因而构成关键审计事项。我们在审计报告中</w:t>
      </w:r>
      <w:r>
        <w:rPr>
          <w:spacing w:val="-66"/>
        </w:rPr>
        <w:t> </w:t>
      </w:r>
      <w:r>
        <w:rPr>
          <w:spacing w:val="-66"/>
        </w:rPr>
      </w:r>
      <w:r>
        <w:rPr>
          <w:spacing w:val="-2"/>
        </w:rPr>
        <w:t>描述这些事项，除非法律法规禁止公开披露这些事项，或在极少数情形下，如果合理预期在审计报告中沟通某事项造成的负</w:t>
      </w:r>
      <w:r>
        <w:rPr>
          <w:spacing w:val="-66"/>
        </w:rPr>
        <w:t> </w:t>
      </w:r>
      <w:r>
        <w:rPr>
          <w:spacing w:val="-66"/>
        </w:rPr>
      </w:r>
      <w:r>
        <w:rPr/>
        <w:t>面后果超过在公众利益方面产生的益处，我们确定不应在审计报告中沟通该事项。</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财务报表" w:id="168"/>
      <w:bookmarkEnd w:id="16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69"/>
      <w:bookmarkEnd w:id="16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编制单位：万达信息股份有限公司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1,044,892,808.43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1,875,429,283.00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10,319,624.19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12,108,512.95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1,530,034,738.02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1,183,358,649.28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1,530,034,738.02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1,183,277,649.28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12,619,547.15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17,444,203.53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169,255,836.49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151,682,689.09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1,142,657,237.61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1,266,129,752.77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187,319,160.72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178,228,441.59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50,809,496.80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117,683,378.34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4,147,908,449.41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4,802,064,910.55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299,558,717.02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305,276,717.02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821,747,390.34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606,490,785.70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91,180,730.41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60,880,005.98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23,084,923.66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379,524,704.21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437,063,022.05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41,238,721.58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48,439,796.56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740,370,833.29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596,420,569.32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259,794,336.21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95,317,367.41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982,765,464.16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1,014,754,667.80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8,360,735.96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12,484,836.23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26,947.05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24,657,000.00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24,657,000.00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3,672,283,556.84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3,201,811,715.12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7,820,192,006.25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8,003,876,625.67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2,635,084,838.20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3,112,050,000.00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383,024,655.62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442,956,304.81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10,308,570.19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19,154,234.09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1,637,128.03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15,674,184.98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123,978,336.94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152,072,564.84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59,902,271.61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59,412,383.32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8,873,837.75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8,832,139.77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172,394,525.99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99,548,637.81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3,386,330,326.58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3,900,868,309.85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622,350,634.32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494,083,702.34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667,046,181.61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23,342,763.42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30,247,130.64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133,276,632.40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98,504,451.96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778,970,030.14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1,289,881,466.55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4,165,300,356.72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5,190,749,776.40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1,099,449,688.00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1,031,082,642.00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217,821,742.90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1,098,069,412.27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262,302,307.66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979,663.68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910,542.28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145,834,602.82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123,154,105.48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1,288,393,574.83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1,117,231,532.11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3,632,726,941.60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2,752,502,872.43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22,164,707.93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60,623,976.84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3,654,891,649.53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2,813,126,849.27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7,820,192,006.25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8,003,876,625.67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法定代表人：史一兵</w:t>
        <w:tab/>
        <w:t>主管会计工作负责人：卞世军</w:t>
        <w:tab/>
        <w:t>会计机构负责人：郭伟民</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70"/>
      <w:bookmarkEnd w:id="17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558,421,739.12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1,446,800,372.85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1,225,312,519.11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863,700,995.88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1,225,312,519.11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863,700,995.88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3,655,089.52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7,668,559.52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616,147,057.16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388,874,004.86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1,099,434,078.59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937,520,600.31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9,127,491.98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11,205,524.75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3,512,097,975.48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3,655,770,058.17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299,558,717.02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305,276,717.02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22,916,135.33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29,232,591.14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1,848,548,338.60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1,880,977,481.41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18,446,605.10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321,821,538.59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357,728,852.46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34,651,570.96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38,356,641.31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656,642,865.26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506,792,248.13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257,718,675.88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93,499,473.92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6,632,488.11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9,908,433.14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24,657,000.00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24,657,000.00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3,491,593,934.85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3,246,429,438.53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7,003,691,910.33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6,902,199,496.70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2,458,384,838.20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2,791,050,000.00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161,259,154.94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296,005,292.30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9,202,934.69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12,549,072.31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90,680,827.64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95,531,927.84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234,319,455.14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94,806,963.71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5,219,626.22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5,092,206.48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119,950,032.56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67,189,150.47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3,073,797,243.17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3,357,132,406.63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482,109,515.74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302,059,548.30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667,046,181.61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23,342,763.42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28,457,130.64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505,452,279.16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997,562,860.55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3,579,249,522.33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4,354,695,267.18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1,099,449,688.00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1,031,082,642.00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217,821,742.90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1,228,381,164.27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390,636,563.90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2,363,526.48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2,363,526.48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145,834,602.82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123,154,105.48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948,413,406.43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782,445,648.76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3,424,442,388.00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2,547,504,229.52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7,003,691,910.33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6,902,199,496.70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71"/>
      <w:bookmarkEnd w:id="17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2,204,681,762.59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2,415,482,575.09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2,204,681,762.59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2,415,482,575.09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1"/>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2,037,530,491.95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2,153,067,152.72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1,223,695,192.99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1,484,357,032.69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1"/>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12,560,858.20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10,796,058.25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103,737,812.12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108,186,492.59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374,653,835.13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281,510,583.52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91,768,408.70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75,439,332.56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155,271,452.69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117,696,497.02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184,953,689.85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158,823,661.43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34,075,531.20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45,139,043.87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75,842,932.12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75,081,156.09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26,965,045.24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21,837,292.09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55,321,388.93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54,685,183.49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-2,920,676.82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53,393,449.44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167,949.81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-26,410.29</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106,970.55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三、营业利润（亏损以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249,712,625.17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338,911,487.66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8,682,280.65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28,762,206.15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1,824,629.90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577,793.18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256,570,275.92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367,095,900.63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31,325,625.44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42,425,235.95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五、净利润（净亏损以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225,244,650.48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324,670,664.68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225,244,650.48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324,670,664.68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231,999,258.41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326,506,950.26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-6,754,607.93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-1,836,285.58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69,121.40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-979,251.30</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69,121.40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-979,251.30</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69,121.40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-979,251.30</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69,121.40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-979,251.30</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225,313,771.88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323,691,413.38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232,068,379.81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325,527,698.96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-6,754,607.93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-1,836,285.58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0.2969</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法定代表人：史一兵</w:t>
        <w:tab/>
        <w:t>主管会计工作负责人：卞世军</w:t>
        <w:tab/>
        <w:t>会计机构负责人：郭伟民</w:t>
      </w:r>
    </w:p>
    <w:p>
      <w:pPr>
        <w:pStyle w:val="Heading4"/>
        <w:spacing w:line="240" w:lineRule="auto" w:before="63"/>
        <w:ind w:right="0"/>
        <w:jc w:val="left"/>
        <w:rPr>
          <w:b w:val="0"/>
          <w:bCs w:val="0"/>
        </w:rPr>
      </w:pPr>
      <w:bookmarkStart w:name="4、母公司利润表" w:id="172"/>
      <w:bookmarkEnd w:id="17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1,900,706,016.65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1,717,214,998.55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1,226,240,627.97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1,140,063,213.49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8,104,722.83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6,411,172.04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63,790,275.70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63,108,730.99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226,680,875.26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125,832,577.74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35,505,929.56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23,568,712.45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153,695,810.15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110,551,151.29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162,863,091.21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129,634,170.98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10,141,987.12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20,380,225.92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32,481,693.91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20,930,173.42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16,611,322.24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7,053,983.66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65,620,799.25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53,393,449.44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-2,920,676.82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53,393,449.44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73,753.51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236,511,956.27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287,196,700.23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1,332,959.50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20,511,995.36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959,026.57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236,885,889.20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307,378,695.59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10,080,915.84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20,223,513.22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226,804,973.36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287,155,182.37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226,804,973.36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287,155,182.37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226,804,973.36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287,155,182.37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5、合并现金流量表" w:id="173"/>
      <w:bookmarkEnd w:id="17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2,128,881,483.25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1,846,961,799.26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4,827,752.60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5,887,738.76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62,027,488.89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87,177,544.03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2,195,736,724.74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1,940,027,082.05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981,343,982.32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1,077,848,752.17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776,467,334.52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799,498,497.27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130,401,851.68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131,745,444.43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235,267,425.63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164,974,298.91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2,123,480,594.15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2,174,066,992.78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72,256,130.59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-234,039,910.73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226,188,888.76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149,322,000.00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31,306,434.66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1,291,734.05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233,975.74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421,667.82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-23,114,688.50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48,890,944.00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234,614,610.66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317,726,345.87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543,522,111.96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220,047,360.74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153,792,270.00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301,109,652.03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345,612,066.84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697,314,381.96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866,769,079.61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-462,699,771.30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-549,042,733.74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3,662,895,687.73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4,081,863,915.77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3,687,060,687.73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4,981,863,915.77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3,895,146,329.37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2,943,177,340.02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225,503,340.73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184,931,337.40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10,399,466.04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19,112,075.49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4,131,049,136.14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3,147,220,752.91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-443,988,448.41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1,834,643,162.86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111,967.28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-124,015.37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-834,320,121.84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1,051,436,503.02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1,875,429,283.00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823,992,779.98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1,041,109,161.16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1,875,429,283.00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74"/>
      <w:bookmarkEnd w:id="17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1,672,262,989.35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1,484,398,329.47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163,421,510.59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82,287,730.15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1,835,684,499.94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1,566,686,059.62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1,125,706,933.73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849,784,069.90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545,227,741.20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533,620,701.65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66,161,365.74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58,119,812.20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309,487,660.25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380,139,358.97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2,046,583,700.92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1,821,663,942.72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-210,899,200.98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-254,977,883.10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81,507,000.00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82,930,099.10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172,677.82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21,454,265.00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48,890,944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186,064,041.92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167,122,944.00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463,615,462.35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196,882,290.15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438,512,100.00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554,485,462.35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635,394,390.15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-368,421,420.43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-468,271,446.15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3,479,195,687.73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3,587,598,698.77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3,479,195,687.73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4,487,598,698.77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3,585,448,300.00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2,521,150,000.00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201,916,811.86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158,285,474.66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990,566.04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15,132,075.49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3,788,355,677.90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2,694,567,550.15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-309,159,990.17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1,793,031,148.62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101,977.85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-104,603.13</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-888,378,633.73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1,069,677,216.24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1,446,800,372.85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377,123,156.61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558,421,739.12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1,446,800,372.85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7、合并所有者权益变动表" w:id="175"/>
      <w:bookmarkEnd w:id="17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082,64</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6"/>
              <w:ind w:left="183" w:right="0"/>
              <w:jc w:val="left"/>
              <w:rPr>
                <w:rFonts w:ascii="Times New Roman" w:hAnsi="Times New Roman" w:cs="Times New Roman" w:eastAsia="Times New Roman" w:hint="default"/>
                <w:sz w:val="18"/>
                <w:szCs w:val="18"/>
              </w:rPr>
            </w:pPr>
            <w:r>
              <w:rPr>
                <w:rFonts w:ascii="Times New Roman"/>
                <w:sz w:val="18"/>
              </w:rPr>
              <w:t>2.90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262,302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,307.66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910,542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.28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123,154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,105.48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31,532.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60,623,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976.84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2,813,1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26,849.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082,64</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6"/>
              <w:ind w:left="183" w:right="0"/>
              <w:jc w:val="left"/>
              <w:rPr>
                <w:rFonts w:ascii="Times New Roman" w:hAnsi="Times New Roman" w:cs="Times New Roman" w:eastAsia="Times New Roman" w:hint="default"/>
                <w:sz w:val="18"/>
                <w:szCs w:val="18"/>
              </w:rPr>
            </w:pPr>
            <w:r>
              <w:rPr>
                <w:rFonts w:ascii="Times New Roman"/>
                <w:sz w:val="18"/>
              </w:rPr>
              <w:t>2.90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262,302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,307.66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910,542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.28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123,154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,105.48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31,532.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60,623,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976.84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2,813,1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26,849.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68,367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,046.0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6"/>
              <w:ind w:left="161" w:right="0"/>
              <w:jc w:val="center"/>
              <w:rPr>
                <w:rFonts w:ascii="Times New Roman" w:hAnsi="Times New Roman" w:cs="Times New Roman" w:eastAsia="Times New Roman" w:hint="default"/>
                <w:sz w:val="18"/>
                <w:szCs w:val="18"/>
              </w:rPr>
            </w:pPr>
            <w:r>
              <w:rPr>
                <w:rFonts w:ascii="Times New Roman"/>
                <w:sz w:val="18"/>
              </w:rPr>
              <w:t>2.90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835,767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22,680,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497.34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171,162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,042.72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-38,459,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268.91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841,764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,800.26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231,999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,258.41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-6,754,6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07.92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225,313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,771.88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68,367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,046.0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6"/>
              <w:ind w:left="161" w:right="0"/>
              <w:jc w:val="center"/>
              <w:rPr>
                <w:rFonts w:ascii="Times New Roman" w:hAnsi="Times New Roman" w:cs="Times New Roman" w:eastAsia="Times New Roman" w:hint="default"/>
                <w:sz w:val="18"/>
                <w:szCs w:val="18"/>
              </w:rPr>
            </w:pPr>
            <w:r>
              <w:rPr>
                <w:rFonts w:ascii="Times New Roman"/>
                <w:sz w:val="18"/>
              </w:rPr>
              <w:t>2.90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835,767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,104.61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-31,704,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660.99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654,607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,746.73</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68,367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,046.0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6"/>
              <w:ind w:left="161" w:right="0"/>
              <w:jc w:val="center"/>
              <w:rPr>
                <w:rFonts w:ascii="Times New Roman" w:hAnsi="Times New Roman" w:cs="Times New Roman" w:eastAsia="Times New Roman" w:hint="default"/>
                <w:sz w:val="18"/>
                <w:szCs w:val="18"/>
              </w:rPr>
            </w:pPr>
            <w:r>
              <w:rPr>
                <w:rFonts w:ascii="Times New Roman"/>
                <w:sz w:val="18"/>
              </w:rPr>
              <w:t>2.90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810,058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,100.37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660,603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,403.47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27,686,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27,686,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-1,977,4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-31,704,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-33,682,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7" w:right="0"/>
              <w:jc w:val="left"/>
              <w:rPr>
                <w:rFonts w:ascii="Times New Roman" w:hAnsi="Times New Roman" w:cs="Times New Roman" w:eastAsia="Times New Roman" w:hint="default"/>
                <w:sz w:val="18"/>
                <w:szCs w:val="18"/>
              </w:rPr>
            </w:pPr>
            <w:r>
              <w:rPr>
                <w:rFonts w:ascii="Times New Roman"/>
                <w:sz w:val="18"/>
              </w:rPr>
              <w:t>95.76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660.99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156.75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22,680,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497.34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-60,837,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215.69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-38,156,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718.35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22,680,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497.34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-22,680,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497.34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-39,181,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140.39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-39,181,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140.39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1,024,4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1,024,4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22.04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1,099,</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449,68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1,098,0</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69,412.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979,663</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145,834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,602.82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1,288,3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93,574.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22,164,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707.93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91,649.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9"/>
        <w:gridCol w:w="562"/>
        <w:gridCol w:w="520"/>
        <w:gridCol w:w="519"/>
        <w:gridCol w:w="542"/>
        <w:gridCol w:w="665"/>
        <w:gridCol w:w="665"/>
        <w:gridCol w:w="665"/>
        <w:gridCol w:w="665"/>
        <w:gridCol w:w="665"/>
        <w:gridCol w:w="665"/>
        <w:gridCol w:w="666"/>
        <w:gridCol w:w="664"/>
        <w:gridCol w:w="647"/>
      </w:tblGrid>
      <w:tr>
        <w:trPr>
          <w:trHeight w:val="402"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49" w:type="dxa"/>
            <w:vMerge/>
            <w:tcBorders>
              <w:left w:val="single" w:sz="4" w:space="0" w:color="000000"/>
              <w:right w:val="single" w:sz="4" w:space="0" w:color="000000"/>
            </w:tcBorders>
            <w:shd w:val="clear" w:color="auto" w:fill="D2D2D2"/>
          </w:tcPr>
          <w:p>
            <w:pPr/>
          </w:p>
        </w:tc>
        <w:tc>
          <w:tcPr>
            <w:tcW w:w="6799"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4"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799" w:type="dxa"/>
            <w:gridSpan w:val="11"/>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62"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3"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81"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50"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4"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4"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58" w:right="8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6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9" w:hRule="exact"/>
        </w:trPr>
        <w:tc>
          <w:tcPr>
            <w:tcW w:w="1449"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20" w:type="dxa"/>
            <w:vMerge/>
            <w:tcBorders>
              <w:left w:val="single" w:sz="4" w:space="0" w:color="000000"/>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49"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20" w:type="dxa"/>
            <w:vMerge/>
            <w:tcBorders>
              <w:left w:val="single" w:sz="4" w:space="0" w:color="000000"/>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4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20" w:type="dxa"/>
            <w:vMerge/>
            <w:tcBorders>
              <w:left w:val="single" w:sz="4" w:space="0" w:color="000000"/>
              <w:bottom w:val="single" w:sz="4" w:space="0" w:color="000000"/>
              <w:right w:val="single" w:sz="4" w:space="0" w:color="000000"/>
            </w:tcBorders>
            <w:shd w:val="clear" w:color="auto" w:fill="D2D2D2"/>
          </w:tcPr>
          <w:p>
            <w:pPr/>
          </w:p>
        </w:tc>
        <w:tc>
          <w:tcPr>
            <w:tcW w:w="519" w:type="dxa"/>
            <w:vMerge/>
            <w:tcBorders>
              <w:left w:val="single" w:sz="4" w:space="0" w:color="000000"/>
              <w:bottom w:val="single" w:sz="4" w:space="0" w:color="000000"/>
              <w:right w:val="single" w:sz="4" w:space="0" w:color="000000"/>
            </w:tcBorders>
            <w:shd w:val="clear" w:color="auto" w:fill="D2D2D2"/>
          </w:tcPr>
          <w:p>
            <w:pPr/>
          </w:p>
        </w:tc>
        <w:tc>
          <w:tcPr>
            <w:tcW w:w="5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56" w:right="0"/>
              <w:jc w:val="left"/>
              <w:rPr>
                <w:rFonts w:ascii="Times New Roman" w:hAnsi="Times New Roman" w:cs="Times New Roman" w:eastAsia="Times New Roman" w:hint="default"/>
                <w:sz w:val="18"/>
                <w:szCs w:val="18"/>
              </w:rPr>
            </w:pPr>
            <w:r>
              <w:rPr>
                <w:rFonts w:ascii="Times New Roman"/>
                <w:sz w:val="18"/>
              </w:rPr>
              <w:t>1,031,</w:t>
            </w:r>
          </w:p>
        </w:tc>
        <w:tc>
          <w:tcPr>
            <w:tcW w:w="520"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298,275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1,889,7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94,438,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850,372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51,873,</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2,327,9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082,64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,159.44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93.58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587.24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,579.35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544.34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32,305.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082,64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298,275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,159.44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1,889,7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93.58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94,438,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587.24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850,372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,579.35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51,873,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544.34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32,305.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6"/>
              <w:ind w:left="183" w:right="0"/>
              <w:jc w:val="left"/>
              <w:rPr>
                <w:rFonts w:ascii="Times New Roman" w:hAnsi="Times New Roman" w:cs="Times New Roman" w:eastAsia="Times New Roman" w:hint="default"/>
                <w:sz w:val="18"/>
                <w:szCs w:val="18"/>
              </w:rPr>
            </w:pPr>
            <w:r>
              <w:rPr>
                <w:rFonts w:ascii="Times New Roman"/>
                <w:sz w:val="18"/>
              </w:rPr>
              <w:t>2.90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-35,972,</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851.78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-979,25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266,858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,952.76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8,750,4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32.50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485,194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,543.32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-979,25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326,506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,950.26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-1,836,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285.58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323,691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,413.38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6"/>
              <w:ind w:left="183" w:right="0"/>
              <w:jc w:val="left"/>
              <w:rPr>
                <w:rFonts w:ascii="Times New Roman" w:hAnsi="Times New Roman" w:cs="Times New Roman" w:eastAsia="Times New Roman" w:hint="default"/>
                <w:sz w:val="18"/>
                <w:szCs w:val="18"/>
              </w:rPr>
            </w:pPr>
            <w:r>
              <w:rPr>
                <w:rFonts w:ascii="Times New Roman"/>
                <w:sz w:val="18"/>
              </w:rPr>
              <w:t>2.90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-35,972,</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851.78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10,586,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718.08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192,435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,609.20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10,586,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718.08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10,586,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718.08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6"/>
              <w:ind w:left="183" w:right="0"/>
              <w:jc w:val="left"/>
              <w:rPr>
                <w:rFonts w:ascii="Times New Roman" w:hAnsi="Times New Roman" w:cs="Times New Roman" w:eastAsia="Times New Roman" w:hint="default"/>
                <w:sz w:val="18"/>
                <w:szCs w:val="18"/>
              </w:rPr>
            </w:pPr>
            <w:r>
              <w:rPr>
                <w:rFonts w:ascii="Times New Roman"/>
                <w:sz w:val="18"/>
              </w:rPr>
              <w:t>2.90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,742.90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-35,972,</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851.78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-35,972,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851.78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-59,647,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997.50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-30,932,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479.26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518.24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-30,932,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479.26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-30,932,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479.26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082,64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6"/>
              <w:ind w:left="183" w:right="0"/>
              <w:jc w:val="left"/>
              <w:rPr>
                <w:rFonts w:ascii="Times New Roman" w:hAnsi="Times New Roman" w:cs="Times New Roman" w:eastAsia="Times New Roman" w:hint="default"/>
                <w:sz w:val="18"/>
                <w:szCs w:val="18"/>
              </w:rPr>
            </w:pPr>
            <w:r>
              <w:rPr>
                <w:rFonts w:ascii="Times New Roman"/>
                <w:sz w:val="18"/>
              </w:rPr>
              <w:t>2.90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262,302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,307.66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910,542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123,154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,105.48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31,532.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60,623,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976.84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2,813,1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26,849.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76"/>
      <w:bookmarkEnd w:id="17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1,031,08</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2,642.00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390,636,5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63.90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123,154,1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05.48</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782,445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,648.76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2,547,504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,229.52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1,031,08</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2,642.00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390,636,5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63.90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123,154,1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05.48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782,445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,648.76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2,547,504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,229.52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68,367,0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-217,82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1,742.9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837,744,6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22,680,49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165,967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,757.67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876,938,1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58.48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226,804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,973.36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226,804,9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73.36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68,367,0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1,742.9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837,744,6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688,289,9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03.47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68,367,0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1,742.9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810,058,1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660,603,4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03.47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27,686,50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27,686,50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22,680,49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-60,837,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215.69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-38,156,7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18.35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22,680,49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-22,680,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497.34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-38,156,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718.35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-38,156,7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18.35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1,099,44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1,228,381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2,363,526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145,834,6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948,413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3,424,442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4"/>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sz w:val="18"/>
              </w:rPr>
              <w:t>9,688.00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,164.27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02.82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,406.43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,388.00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1,031,08</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2,642.00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426,609,4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15.68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94,438,58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7.24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554,938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,463.89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2,109,432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,635.29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1,031,08</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2,642.00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426,609,4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15.68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94,438,58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7.24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554,938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,463.89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2,109,432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,635.29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-35,972,8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51.78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28,715,51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227,507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,184.87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438,071,5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94.23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287,155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,182.37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287,155,1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82.37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-35,972,8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51.78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181,848,8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91.12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217,821,7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42.90</w:t>
            </w: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-35,972,8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51.78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-35,972,8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51.78</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28,715,51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8.24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-59,647,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997.50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-30,932,4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79.26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28,715,51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8.24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518.24</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-30,932,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479.26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-30,932,4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79.26</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1,031,08</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2,642.00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390,636,5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123,154,1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05.48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782,445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,648.76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2,547,504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,229.52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77"/>
      <w:bookmarkEnd w:id="177"/>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0" w:firstLine="360"/>
        <w:jc w:val="both"/>
      </w:pPr>
      <w:r>
        <w:rPr>
          <w:spacing w:val="-1"/>
        </w:rPr>
        <w:t>万达信息股份有限公司（以下简称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）前身系上海万达信息系统有限公司，</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日经上海市人</w:t>
      </w:r>
      <w:r>
        <w:rPr/>
        <w:t> 民政府以沪府体改审（</w:t>
      </w:r>
      <w:r>
        <w:rPr>
          <w:rFonts w:ascii="Times New Roman" w:hAnsi="Times New Roman" w:cs="Times New Roman" w:eastAsia="Times New Roman" w:hint="default"/>
        </w:rPr>
        <w:t>1998</w:t>
      </w:r>
      <w:r>
        <w:rPr/>
        <w:t>）</w:t>
      </w:r>
      <w:r>
        <w:rPr>
          <w:rFonts w:ascii="Times New Roman" w:hAnsi="Times New Roman" w:cs="Times New Roman" w:eastAsia="Times New Roman" w:hint="default"/>
        </w:rPr>
        <w:t>073</w:t>
      </w:r>
      <w:r>
        <w:rPr/>
        <w:t>号</w:t>
      </w:r>
      <w:r>
        <w:rPr>
          <w:rFonts w:ascii="Times New Roman" w:hAnsi="Times New Roman" w:cs="Times New Roman" w:eastAsia="Times New Roman" w:hint="default"/>
        </w:rPr>
        <w:t>“</w:t>
      </w:r>
      <w:r>
        <w:rPr/>
        <w:t>关于同意设立上海万达信息股份有限公司的批复</w:t>
      </w:r>
      <w:r>
        <w:rPr>
          <w:rFonts w:ascii="Times New Roman" w:hAnsi="Times New Roman" w:cs="Times New Roman" w:eastAsia="Times New Roman" w:hint="default"/>
        </w:rPr>
        <w:t>”</w:t>
      </w:r>
      <w:r>
        <w:rPr/>
        <w:t>批准，公司转制成为上海万达信息股 </w:t>
      </w:r>
      <w:r>
        <w:rPr>
          <w:spacing w:val="-2"/>
        </w:rPr>
        <w:t>份有限公司，由上海科技投资公司、上海申能科技发展有限公司、上海浦东国际机场公司、上海有线电视台、上海精文投资</w:t>
      </w:r>
      <w:r>
        <w:rPr>
          <w:spacing w:val="-66"/>
        </w:rPr>
        <w:t> </w:t>
      </w:r>
      <w:r>
        <w:rPr>
          <w:spacing w:val="-66"/>
        </w:rPr>
      </w:r>
      <w:r>
        <w:rPr>
          <w:spacing w:val="-2"/>
        </w:rPr>
        <w:t>有限公司、上海长安信息技术咨询开发中心、上海计算机软件研究所、上海万达信息股份有限公司职工持股会等八方作为发</w:t>
      </w:r>
      <w:r>
        <w:rPr>
          <w:spacing w:val="-66"/>
        </w:rPr>
        <w:t> </w:t>
      </w:r>
      <w:r>
        <w:rPr>
          <w:spacing w:val="-66"/>
        </w:rPr>
      </w:r>
      <w:r>
        <w:rPr>
          <w:spacing w:val="-1"/>
        </w:rPr>
        <w:t>起人。根据发起人协议，以原上海万达信息系统有限公司</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日的账面净资产为人民币</w:t>
      </w:r>
      <w:r>
        <w:rPr>
          <w:rFonts w:ascii="Times New Roman" w:hAnsi="Times New Roman" w:cs="Times New Roman" w:eastAsia="Times New Roman" w:hint="default"/>
          <w:spacing w:val="-1"/>
        </w:rPr>
        <w:t>46,401,637.39</w:t>
      </w:r>
      <w:r>
        <w:rPr>
          <w:spacing w:val="-1"/>
        </w:rPr>
        <w:t>元按</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1</w:t>
      </w:r>
      <w:r>
        <w:rPr>
          <w:spacing w:val="-1"/>
        </w:rPr>
        <w:t>的比</w:t>
      </w:r>
      <w:r>
        <w:rPr>
          <w:spacing w:val="-66"/>
        </w:rPr>
        <w:t> </w:t>
      </w:r>
      <w:r>
        <w:rPr>
          <w:spacing w:val="-2"/>
        </w:rPr>
        <w:t>例折合为万达信息股份有限公司</w:t>
      </w:r>
      <w:r>
        <w:rPr>
          <w:rFonts w:ascii="Times New Roman" w:hAnsi="Times New Roman" w:cs="Times New Roman" w:eastAsia="Times New Roman" w:hint="default"/>
          <w:spacing w:val="-2"/>
        </w:rPr>
        <w:t>4,640</w:t>
      </w:r>
      <w:r>
        <w:rPr>
          <w:spacing w:val="-2"/>
        </w:rPr>
        <w:t>万股发起人法人股，溢余部分列入资本公积，货币资金出资</w:t>
      </w:r>
      <w:r>
        <w:rPr>
          <w:rFonts w:ascii="Times New Roman" w:hAnsi="Times New Roman" w:cs="Times New Roman" w:eastAsia="Times New Roman" w:hint="default"/>
          <w:spacing w:val="-2"/>
        </w:rPr>
        <w:t>860.00</w:t>
      </w:r>
      <w:r>
        <w:rPr>
          <w:spacing w:val="-2"/>
        </w:rPr>
        <w:t>万元按</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1</w:t>
      </w:r>
      <w:r>
        <w:rPr>
          <w:spacing w:val="-2"/>
        </w:rPr>
        <w:t>的比例折</w:t>
      </w:r>
      <w:r>
        <w:rPr>
          <w:spacing w:val="-54"/>
        </w:rPr>
        <w:t> </w:t>
      </w:r>
      <w:r>
        <w:rPr/>
        <w:t>合为万达信息股份有限公司</w:t>
      </w:r>
      <w:r>
        <w:rPr>
          <w:rFonts w:ascii="Times New Roman" w:hAnsi="Times New Roman" w:cs="Times New Roman" w:eastAsia="Times New Roman" w:hint="default"/>
        </w:rPr>
        <w:t>860</w:t>
      </w:r>
      <w:r>
        <w:rPr/>
        <w:t>万股发起人法人股。股份公司于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日取得换发后的企业法人营业执照，公司注册资 本为</w:t>
      </w:r>
      <w:r>
        <w:rPr>
          <w:rFonts w:ascii="Times New Roman" w:hAnsi="Times New Roman" w:cs="Times New Roman" w:eastAsia="Times New Roman" w:hint="default"/>
        </w:rPr>
        <w:t>5,500.00</w:t>
      </w:r>
      <w:r>
        <w:rPr/>
        <w:t>万元。</w:t>
      </w:r>
    </w:p>
    <w:p>
      <w:pPr>
        <w:pStyle w:val="BodyText"/>
        <w:spacing w:line="300" w:lineRule="auto" w:before="9"/>
        <w:ind w:right="1130" w:firstLine="360"/>
        <w:jc w:val="both"/>
      </w:pP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日经上海万达信息股份有限公司临时股东大会决议、上海市经济体制改革委员会于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日以沪体改</w:t>
      </w:r>
      <w:r>
        <w:rPr/>
        <w:t> 批字（</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015</w:t>
      </w:r>
      <w:r>
        <w:rPr/>
        <w:t>号文《关于同意上海万达信息股份有限公司职工持股会持股还原为自然人持股的批复》，同意将职工持股 会所持有万达股份公司</w:t>
      </w:r>
      <w:r>
        <w:rPr>
          <w:rFonts w:ascii="Times New Roman" w:hAnsi="Times New Roman" w:cs="Times New Roman" w:eastAsia="Times New Roman" w:hint="default"/>
        </w:rPr>
        <w:t>24.27%</w:t>
      </w:r>
      <w:r>
        <w:rPr/>
        <w:t>的股份（共计</w:t>
      </w:r>
      <w:r>
        <w:rPr>
          <w:rFonts w:ascii="Times New Roman" w:hAnsi="Times New Roman" w:cs="Times New Roman" w:eastAsia="Times New Roman" w:hint="default"/>
        </w:rPr>
        <w:t>1,335.00</w:t>
      </w:r>
      <w:r>
        <w:rPr/>
        <w:t>万元）还原到自然人持有，还原后注册资本仍为人民币</w:t>
      </w:r>
      <w:r>
        <w:rPr>
          <w:rFonts w:ascii="Times New Roman" w:hAnsi="Times New Roman" w:cs="Times New Roman" w:eastAsia="Times New Roman" w:hint="default"/>
        </w:rPr>
        <w:t>5,500.00</w:t>
      </w:r>
      <w:r>
        <w:rPr/>
        <w:t>万元。</w:t>
      </w:r>
    </w:p>
    <w:p>
      <w:pPr>
        <w:pStyle w:val="BodyText"/>
        <w:spacing w:line="304" w:lineRule="auto" w:before="13"/>
        <w:ind w:right="1130" w:firstLine="360"/>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日根据公司</w:t>
      </w:r>
      <w:r>
        <w:rPr>
          <w:rFonts w:ascii="Times New Roman" w:hAnsi="Times New Roman" w:cs="Times New Roman" w:eastAsia="Times New Roman" w:hint="default"/>
          <w:spacing w:val="-2"/>
        </w:rPr>
        <w:t>2001</w:t>
      </w:r>
      <w:r>
        <w:rPr>
          <w:spacing w:val="-2"/>
        </w:rPr>
        <w:t>年度第四次临时股东大会决议，公司由原股东增加股本人民币</w:t>
      </w:r>
      <w:r>
        <w:rPr>
          <w:rFonts w:ascii="Times New Roman" w:hAnsi="Times New Roman" w:cs="Times New Roman" w:eastAsia="Times New Roman" w:hint="default"/>
          <w:spacing w:val="-2"/>
        </w:rPr>
        <w:t>1,000.00</w:t>
      </w:r>
      <w:r>
        <w:rPr>
          <w:spacing w:val="-2"/>
        </w:rPr>
        <w:t>万元，变更后的股本</w:t>
      </w:r>
      <w:r>
        <w:rPr/>
        <w:t> </w:t>
      </w:r>
      <w:r>
        <w:rPr>
          <w:spacing w:val="-2"/>
        </w:rPr>
        <w:t>为人民币</w:t>
      </w:r>
      <w:r>
        <w:rPr>
          <w:rFonts w:ascii="Times New Roman" w:hAnsi="Times New Roman" w:cs="Times New Roman" w:eastAsia="Times New Roman" w:hint="default"/>
          <w:spacing w:val="-2"/>
        </w:rPr>
        <w:t>6,500.00</w:t>
      </w:r>
      <w:r>
        <w:rPr>
          <w:spacing w:val="-2"/>
        </w:rPr>
        <w:t>万元</w:t>
      </w:r>
      <w:r>
        <w:rPr>
          <w:rFonts w:ascii="Times New Roman" w:hAnsi="Times New Roman" w:cs="Times New Roman" w:eastAsia="Times New Roman" w:hint="default"/>
          <w:spacing w:val="-2"/>
        </w:rPr>
        <w:t>,</w:t>
      </w:r>
      <w:r>
        <w:rPr>
          <w:spacing w:val="-2"/>
        </w:rPr>
        <w:t>根据上海市国有资产管理委员会沪国资委授</w:t>
      </w:r>
      <w:r>
        <w:rPr>
          <w:rFonts w:ascii="Times New Roman" w:hAnsi="Times New Roman" w:cs="Times New Roman" w:eastAsia="Times New Roman" w:hint="default"/>
          <w:spacing w:val="-2"/>
        </w:rPr>
        <w:t>[1998]5</w:t>
      </w:r>
      <w:r>
        <w:rPr>
          <w:spacing w:val="-2"/>
        </w:rPr>
        <w:t>号文《关于授权上海机场（集团）有限公司统一经</w:t>
      </w:r>
      <w:r>
        <w:rPr>
          <w:spacing w:val="-36"/>
        </w:rPr>
        <w:t> </w:t>
      </w:r>
      <w:r>
        <w:rPr>
          <w:spacing w:val="-36"/>
        </w:rPr>
      </w:r>
      <w:r>
        <w:rPr/>
        <w:t>营上海机场（集团）有限公司国有资产的批复》，公司股东上海浦东国际机场公司改为上海机场（集团）有限公司</w:t>
      </w:r>
      <w:r>
        <w:rPr>
          <w:rFonts w:ascii="Times New Roman" w:hAnsi="Times New Roman" w:cs="Times New Roman" w:eastAsia="Times New Roman" w:hint="default"/>
        </w:rPr>
        <w:t>, 2001</w:t>
      </w:r>
      <w:r>
        <w:rPr/>
        <w:t>年 </w:t>
      </w:r>
      <w:r>
        <w:rPr>
          <w:spacing w:val="-2"/>
        </w:rPr>
        <w:t>公司股东由上海有线电视台改为上海电视台；根据《中共上海市委、上海市人民政府关于组建上海电影（集团）公司和上海</w:t>
      </w:r>
      <w:r>
        <w:rPr>
          <w:spacing w:val="-65"/>
        </w:rPr>
        <w:t> </w:t>
      </w:r>
      <w:r>
        <w:rPr>
          <w:spacing w:val="-65"/>
        </w:rPr>
      </w:r>
      <w:r>
        <w:rPr/>
        <w:t>文广新闻传媒集团的批复》，公司股东上海电视台后改为上海文广新闻传媒集团。</w:t>
      </w:r>
    </w:p>
    <w:p>
      <w:pPr>
        <w:pStyle w:val="BodyText"/>
        <w:spacing w:line="300" w:lineRule="auto" w:before="28"/>
        <w:ind w:right="1051" w:firstLine="360"/>
        <w:jc w:val="both"/>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月，经万达信息股东大会审议通过，同意上海万豪投资有限公司受让其他股东持有的部分股权，股权转让后， 上海万豪投资有限公司共计持有万达信息股权比例为</w:t>
      </w:r>
      <w:r>
        <w:rPr>
          <w:rFonts w:ascii="Times New Roman" w:hAnsi="Times New Roman" w:cs="Times New Roman" w:eastAsia="Times New Roman" w:hint="default"/>
        </w:rPr>
        <w:t>45.26%</w:t>
      </w:r>
      <w:r>
        <w:rPr/>
        <w:t>。</w:t>
      </w:r>
    </w:p>
    <w:p>
      <w:pPr>
        <w:pStyle w:val="BodyText"/>
        <w:spacing w:line="300" w:lineRule="auto" w:before="13"/>
        <w:ind w:right="1139" w:firstLine="360"/>
        <w:jc w:val="both"/>
      </w:pPr>
      <w:r>
        <w:rPr/>
        <w:t>根据公司</w:t>
      </w:r>
      <w:r>
        <w:rPr>
          <w:rFonts w:ascii="Times New Roman" w:hAnsi="Times New Roman" w:cs="Times New Roman" w:eastAsia="Times New Roman" w:hint="default"/>
        </w:rPr>
        <w:t>2006</w:t>
      </w:r>
      <w:r>
        <w:rPr/>
        <w:t>年第一次股东大会决议和修改后章程的规定，公司申请增加注册资本人民币</w:t>
      </w:r>
      <w:r>
        <w:rPr>
          <w:rFonts w:ascii="Times New Roman" w:hAnsi="Times New Roman" w:cs="Times New Roman" w:eastAsia="Times New Roman" w:hint="default"/>
        </w:rPr>
        <w:t>1,400.00</w:t>
      </w:r>
      <w:r>
        <w:rPr/>
        <w:t>万元，变更后的注册 资本为人民币</w:t>
      </w:r>
      <w:r>
        <w:rPr>
          <w:rFonts w:ascii="Times New Roman" w:hAnsi="Times New Roman" w:cs="Times New Roman" w:eastAsia="Times New Roman" w:hint="default"/>
        </w:rPr>
        <w:t>7,900.00</w:t>
      </w:r>
      <w:r>
        <w:rPr/>
        <w:t>万元。</w:t>
      </w:r>
    </w:p>
    <w:p>
      <w:pPr>
        <w:spacing w:after="0" w:line="300" w:lineRule="auto"/>
        <w:jc w:val="both"/>
        <w:sectPr>
          <w:footerReference w:type="default" r:id="rId15"/>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0" w:firstLine="360"/>
        <w:jc w:val="left"/>
      </w:pPr>
      <w:r>
        <w:rPr>
          <w:spacing w:val="-2"/>
        </w:rPr>
        <w:t>根据公司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日召开的临时股东大会决议和修改后章程的规定，公司申请增加注册资本人民币</w:t>
      </w:r>
      <w:r>
        <w:rPr>
          <w:rFonts w:ascii="Times New Roman" w:hAnsi="Times New Roman" w:cs="Times New Roman" w:eastAsia="Times New Roman" w:hint="default"/>
          <w:spacing w:val="-2"/>
        </w:rPr>
        <w:t>1,100.00</w:t>
      </w:r>
      <w:r>
        <w:rPr>
          <w:spacing w:val="-2"/>
        </w:rPr>
        <w:t>万元，变</w:t>
      </w:r>
      <w:r>
        <w:rPr/>
        <w:t> </w:t>
      </w:r>
      <w:r>
        <w:rPr>
          <w:spacing w:val="-2"/>
        </w:rPr>
        <w:t>更后的注册资本为人民币</w:t>
      </w:r>
      <w:r>
        <w:rPr>
          <w:rFonts w:ascii="Times New Roman" w:hAnsi="Times New Roman" w:cs="Times New Roman" w:eastAsia="Times New Roman" w:hint="default"/>
          <w:spacing w:val="-2"/>
        </w:rPr>
        <w:t>9,000.00</w:t>
      </w:r>
      <w:r>
        <w:rPr>
          <w:spacing w:val="-2"/>
        </w:rPr>
        <w:t>万元。新增注册资本由原股东上海万豪投资有限公司、新股东上海燊博投资管理有限公司、</w:t>
      </w:r>
      <w:r>
        <w:rPr>
          <w:spacing w:val="-58"/>
        </w:rPr>
        <w:t> </w:t>
      </w:r>
      <w:r>
        <w:rPr>
          <w:spacing w:val="-58"/>
        </w:rPr>
      </w:r>
      <w:r>
        <w:rPr>
          <w:spacing w:val="-2"/>
        </w:rPr>
        <w:t>北京赛昂传媒投资有限公司、深圳市中庸实业有限公司和北京世纪凯悦投资有限公司认缴。根据上海市科学技术委员会</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日签发的【沪科（</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563</w:t>
      </w:r>
      <w:r>
        <w:rPr/>
        <w:t>号】《关于撤销上海计算机软件研究所及资产划转上海计算机软件技术开发中心管 </w:t>
      </w:r>
      <w:r>
        <w:rPr>
          <w:spacing w:val="-2"/>
        </w:rPr>
        <w:t>理的通知》，万达信息股东上海计算机软件研究所撤销，其资产划转上海计算机软件技术开发中心，其他相关事宜由上海计</w:t>
      </w:r>
      <w:r>
        <w:rPr>
          <w:spacing w:val="-66"/>
        </w:rPr>
        <w:t> </w:t>
      </w:r>
      <w:r>
        <w:rPr>
          <w:spacing w:val="-66"/>
        </w:rPr>
      </w:r>
      <w:r>
        <w:rPr>
          <w:spacing w:val="-2"/>
        </w:rPr>
        <w:t>算机软件技术开发中心办理。万达信息董事会</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日召开临时会议通过了将原股东上海计算机软件研究所变更为上海</w:t>
      </w:r>
      <w:r>
        <w:rPr>
          <w:spacing w:val="-58"/>
        </w:rPr>
        <w:t> </w:t>
      </w:r>
      <w:r>
        <w:rPr/>
        <w:t>计算机软件技术开发中心的决议。</w:t>
      </w:r>
    </w:p>
    <w:p>
      <w:pPr>
        <w:pStyle w:val="BodyText"/>
        <w:spacing w:line="304" w:lineRule="auto" w:before="29"/>
        <w:ind w:right="1131" w:firstLine="360"/>
        <w:jc w:val="both"/>
      </w:pPr>
      <w:r>
        <w:rPr>
          <w:spacing w:val="-1"/>
        </w:rPr>
        <w:t>经中国证券监督管理委员会证监许可</w:t>
      </w:r>
      <w:r>
        <w:rPr>
          <w:rFonts w:ascii="Times New Roman" w:hAnsi="Times New Roman" w:cs="Times New Roman" w:eastAsia="Times New Roman" w:hint="default"/>
          <w:spacing w:val="-1"/>
        </w:rPr>
        <w:t>[2010]1905</w:t>
      </w:r>
      <w:r>
        <w:rPr>
          <w:spacing w:val="-1"/>
        </w:rPr>
        <w:t>号文《关于核准万达信息股份有限公司首次公开发行股票并在创业板上</w:t>
      </w:r>
      <w:r>
        <w:rPr/>
        <w:t> </w:t>
      </w:r>
      <w:r>
        <w:rPr>
          <w:spacing w:val="-2"/>
        </w:rPr>
        <w:t>市的批复》的核准，公司采用网下向股票配售对象询价配售发行与网上向社会公众投资者定价发行相结合的方式向社会公开</w:t>
      </w:r>
      <w:r>
        <w:rPr>
          <w:spacing w:val="-64"/>
        </w:rPr>
        <w:t> </w:t>
      </w:r>
      <w:r>
        <w:rPr>
          <w:spacing w:val="-64"/>
        </w:rPr>
      </w:r>
      <w:r>
        <w:rPr>
          <w:spacing w:val="-2"/>
        </w:rPr>
        <w:t>发行</w:t>
      </w:r>
      <w:r>
        <w:rPr>
          <w:rFonts w:ascii="Times New Roman" w:hAnsi="Times New Roman" w:cs="Times New Roman" w:eastAsia="Times New Roman" w:hint="default"/>
          <w:spacing w:val="-2"/>
        </w:rPr>
        <w:t>3,000</w:t>
      </w:r>
      <w:r>
        <w:rPr>
          <w:spacing w:val="-2"/>
        </w:rPr>
        <w:t>万股普通股并于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25</w:t>
      </w:r>
      <w:r>
        <w:rPr>
          <w:spacing w:val="-2"/>
        </w:rPr>
        <w:t>日起在深圳证券交易所上市交易，发行价格为每股</w:t>
      </w:r>
      <w:r>
        <w:rPr>
          <w:rFonts w:ascii="Times New Roman" w:hAnsi="Times New Roman" w:cs="Times New Roman" w:eastAsia="Times New Roman" w:hint="default"/>
          <w:spacing w:val="-2"/>
        </w:rPr>
        <w:t>28.00</w:t>
      </w:r>
      <w:r>
        <w:rPr>
          <w:spacing w:val="-2"/>
        </w:rPr>
        <w:t>元，募集资金总额为</w:t>
      </w:r>
      <w:r>
        <w:rPr>
          <w:rFonts w:ascii="Times New Roman" w:hAnsi="Times New Roman" w:cs="Times New Roman" w:eastAsia="Times New Roman" w:hint="default"/>
          <w:spacing w:val="-2"/>
        </w:rPr>
        <w:t>84,000.00</w:t>
      </w:r>
      <w:r>
        <w:rPr>
          <w:rFonts w:ascii="Times New Roman" w:hAnsi="Times New Roman" w:cs="Times New Roman" w:eastAsia="Times New Roman" w:hint="default"/>
          <w:spacing w:val="5"/>
        </w:rPr>
        <w:t> </w:t>
      </w:r>
      <w:r>
        <w:rPr/>
        <w:t>万元。扣除发行费用</w:t>
      </w:r>
      <w:r>
        <w:rPr>
          <w:rFonts w:ascii="Times New Roman" w:hAnsi="Times New Roman" w:cs="Times New Roman" w:eastAsia="Times New Roman" w:hint="default"/>
        </w:rPr>
        <w:t>6,387.50</w:t>
      </w:r>
      <w:r>
        <w:rPr/>
        <w:t>万元</w:t>
      </w:r>
      <w:r>
        <w:rPr>
          <w:rFonts w:ascii="Times New Roman" w:hAnsi="Times New Roman" w:cs="Times New Roman" w:eastAsia="Times New Roman" w:hint="default"/>
        </w:rPr>
        <w:t>,</w:t>
      </w:r>
      <w:r>
        <w:rPr/>
        <w:t>实际募集资金净额为</w:t>
      </w:r>
      <w:r>
        <w:rPr>
          <w:rFonts w:ascii="Times New Roman" w:hAnsi="Times New Roman" w:cs="Times New Roman" w:eastAsia="Times New Roman" w:hint="default"/>
        </w:rPr>
        <w:t>77,612.50</w:t>
      </w:r>
      <w:r>
        <w:rPr/>
        <w:t>万元。立信会计师事务所有限公司已于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日对公 司本次发行募集资金到位情况进行了审验，并出具了信会师报字（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10154</w:t>
      </w:r>
      <w:r>
        <w:rPr/>
        <w:t>号《验资报告》。变更后的注册资本为人 民币</w:t>
      </w:r>
      <w:r>
        <w:rPr>
          <w:rFonts w:ascii="Times New Roman" w:hAnsi="Times New Roman" w:cs="Times New Roman" w:eastAsia="Times New Roman" w:hint="default"/>
        </w:rPr>
        <w:t>12,000.00</w:t>
      </w:r>
      <w:r>
        <w:rPr/>
        <w:t>万元。</w:t>
      </w:r>
    </w:p>
    <w:p>
      <w:pPr>
        <w:pStyle w:val="BodyText"/>
        <w:spacing w:line="300" w:lineRule="auto" w:before="9"/>
        <w:ind w:right="0" w:firstLine="360"/>
        <w:jc w:val="left"/>
      </w:pPr>
      <w:r>
        <w:rPr/>
        <w:t>根据公司</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 </w:t>
      </w:r>
      <w:r>
        <w:rPr/>
        <w:t>日召开的</w:t>
      </w:r>
      <w:r>
        <w:rPr>
          <w:rFonts w:ascii="Times New Roman" w:hAnsi="Times New Roman" w:cs="Times New Roman" w:eastAsia="Times New Roman" w:hint="default"/>
        </w:rPr>
        <w:t>2012 </w:t>
      </w:r>
      <w:r>
        <w:rPr/>
        <w:t>年第二次临时股东大会审议通过：以公司原有总股本</w:t>
      </w:r>
      <w:r>
        <w:rPr>
          <w:rFonts w:ascii="Times New Roman" w:hAnsi="Times New Roman" w:cs="Times New Roman" w:eastAsia="Times New Roman" w:hint="default"/>
        </w:rPr>
        <w:t>120,000,000</w:t>
      </w:r>
      <w:r>
        <w:rPr>
          <w:rFonts w:ascii="Times New Roman" w:hAnsi="Times New Roman" w:cs="Times New Roman" w:eastAsia="Times New Roman" w:hint="default"/>
          <w:spacing w:val="44"/>
        </w:rPr>
        <w:t> </w:t>
      </w:r>
      <w:r>
        <w:rPr/>
        <w:t>股为基数，以 资本公积金向全体股东每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  </w:t>
      </w:r>
      <w:r>
        <w:rPr/>
        <w:t>股。</w:t>
      </w:r>
    </w:p>
    <w:p>
      <w:pPr>
        <w:pStyle w:val="BodyText"/>
        <w:spacing w:line="300" w:lineRule="auto" w:before="13"/>
        <w:ind w:right="1132" w:firstLine="360"/>
        <w:jc w:val="both"/>
      </w:pPr>
      <w:r>
        <w:rPr>
          <w:spacing w:val="-1"/>
        </w:rPr>
        <w:t>分红前本公司总股本为</w:t>
      </w:r>
      <w:r>
        <w:rPr>
          <w:rFonts w:ascii="Times New Roman" w:hAnsi="Times New Roman" w:cs="Times New Roman" w:eastAsia="Times New Roman" w:hint="default"/>
          <w:spacing w:val="-1"/>
        </w:rPr>
        <w:t>120,000,000</w:t>
      </w:r>
      <w:r>
        <w:rPr>
          <w:rFonts w:ascii="Times New Roman" w:hAnsi="Times New Roman" w:cs="Times New Roman" w:eastAsia="Times New Roman" w:hint="default"/>
        </w:rPr>
        <w:t> </w:t>
      </w:r>
      <w:r>
        <w:rPr>
          <w:spacing w:val="-5"/>
        </w:rPr>
        <w:t>股，分红后总股本增至</w:t>
      </w:r>
      <w:r>
        <w:rPr>
          <w:rFonts w:ascii="Times New Roman" w:hAnsi="Times New Roman" w:cs="Times New Roman" w:eastAsia="Times New Roman" w:hint="default"/>
          <w:spacing w:val="-5"/>
        </w:rPr>
        <w:t>240,000,000</w:t>
      </w:r>
      <w:r>
        <w:rPr>
          <w:rFonts w:ascii="Times New Roman" w:hAnsi="Times New Roman" w:cs="Times New Roman" w:eastAsia="Times New Roman" w:hint="default"/>
          <w:spacing w:val="8"/>
        </w:rPr>
        <w:t> </w:t>
      </w:r>
      <w:r>
        <w:rPr>
          <w:spacing w:val="-4"/>
        </w:rPr>
        <w:t>股。公司已于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日实施完成了上述</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t>年半年度权益分派。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日，公司已取得了上海市工商行政管理局换发的《企业法人营业执照》，完成了工商变更 登记手续。</w:t>
      </w:r>
    </w:p>
    <w:p>
      <w:pPr>
        <w:pStyle w:val="BodyText"/>
        <w:spacing w:line="307" w:lineRule="auto" w:before="31"/>
        <w:ind w:right="0" w:firstLine="360"/>
        <w:jc w:val="left"/>
      </w:pP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日，公司股票期权激励计划（</w:t>
      </w:r>
      <w:r>
        <w:rPr>
          <w:rFonts w:ascii="Times New Roman" w:hAnsi="Times New Roman" w:cs="Times New Roman" w:eastAsia="Times New Roman" w:hint="default"/>
        </w:rPr>
        <w:t>2011</w:t>
      </w:r>
      <w:r>
        <w:rPr/>
        <w:t>年度）首次授予股票期权第一个行权期已完成，已行权</w:t>
      </w:r>
      <w:r>
        <w:rPr>
          <w:rFonts w:ascii="Times New Roman" w:hAnsi="Times New Roman" w:cs="Times New Roman" w:eastAsia="Times New Roman" w:hint="default"/>
        </w:rPr>
        <w:t>3,555,200 </w:t>
      </w:r>
      <w:r>
        <w:rPr>
          <w:spacing w:val="-2"/>
        </w:rPr>
        <w:t>份，公司股本由</w:t>
      </w:r>
      <w:r>
        <w:rPr>
          <w:rFonts w:ascii="Times New Roman" w:hAnsi="Times New Roman" w:cs="Times New Roman" w:eastAsia="Times New Roman" w:hint="default"/>
          <w:spacing w:val="-2"/>
        </w:rPr>
        <w:t>240,000,000</w:t>
      </w:r>
      <w:r>
        <w:rPr>
          <w:spacing w:val="-2"/>
        </w:rPr>
        <w:t>股增至</w:t>
      </w:r>
      <w:r>
        <w:rPr>
          <w:rFonts w:ascii="Times New Roman" w:hAnsi="Times New Roman" w:cs="Times New Roman" w:eastAsia="Times New Roman" w:hint="default"/>
          <w:spacing w:val="-2"/>
        </w:rPr>
        <w:t>243,555,200</w:t>
      </w:r>
      <w:r>
        <w:rPr>
          <w:spacing w:val="-2"/>
        </w:rPr>
        <w:t>股。公司已于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日召开</w:t>
      </w:r>
      <w:r>
        <w:rPr>
          <w:rFonts w:ascii="Times New Roman" w:hAnsi="Times New Roman" w:cs="Times New Roman" w:eastAsia="Times New Roman" w:hint="default"/>
          <w:spacing w:val="-2"/>
        </w:rPr>
        <w:t>2013</w:t>
      </w:r>
      <w:r>
        <w:rPr>
          <w:spacing w:val="-2"/>
        </w:rPr>
        <w:t>年第三次临时股东大会审议通过了《关</w:t>
      </w:r>
      <w:r>
        <w:rPr>
          <w:spacing w:val="-32"/>
        </w:rPr>
        <w:t> </w:t>
      </w:r>
      <w:r>
        <w:rPr>
          <w:spacing w:val="-32"/>
        </w:rPr>
      </w:r>
      <w:r>
        <w:rPr>
          <w:spacing w:val="-2"/>
        </w:rPr>
        <w:t>于修订〈公司章程〉并变更注册资本的议案》，公司已取得了上海市工商行政管理局换发的《企业法人营业执照》，完成了</w:t>
      </w:r>
      <w:r>
        <w:rPr>
          <w:spacing w:val="-72"/>
        </w:rPr>
        <w:t> </w:t>
      </w:r>
      <w:r>
        <w:rPr>
          <w:spacing w:val="-72"/>
        </w:rPr>
      </w:r>
      <w:r>
        <w:rPr/>
        <w:t>工商变更登记手续。</w:t>
      </w:r>
    </w:p>
    <w:p>
      <w:pPr>
        <w:pStyle w:val="BodyText"/>
        <w:spacing w:line="240" w:lineRule="auto" w:before="26"/>
        <w:ind w:left="51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日，公司首期股票期权激励计划共计行权</w:t>
      </w:r>
      <w:r>
        <w:rPr>
          <w:rFonts w:ascii="Times New Roman" w:hAnsi="Times New Roman" w:cs="Times New Roman" w:eastAsia="Times New Roman" w:hint="default"/>
        </w:rPr>
        <w:t>12,000</w:t>
      </w:r>
      <w:r>
        <w:rPr/>
        <w:t>股，公司注册资本由</w:t>
      </w:r>
      <w:r>
        <w:rPr>
          <w:rFonts w:ascii="Times New Roman" w:hAnsi="Times New Roman" w:cs="Times New Roman" w:eastAsia="Times New Roman" w:hint="default"/>
        </w:rPr>
        <w:t>243,555,200.00</w:t>
      </w:r>
      <w:r>
        <w:rPr/>
        <w:t>元增至</w:t>
      </w:r>
      <w:r>
        <w:rPr>
          <w:rFonts w:ascii="Times New Roman" w:hAnsi="Times New Roman" w:cs="Times New Roman" w:eastAsia="Times New Roman" w:hint="default"/>
        </w:rPr>
        <w:t>243,567,200.00</w:t>
      </w:r>
      <w:r>
        <w:rPr/>
        <w:t>元。</w:t>
      </w:r>
    </w:p>
    <w:p>
      <w:pPr>
        <w:pStyle w:val="BodyText"/>
        <w:spacing w:line="300" w:lineRule="auto" w:before="63"/>
        <w:ind w:right="1132"/>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2013</w:t>
      </w:r>
      <w:r>
        <w:rPr/>
        <w:t>年度利润分配及资本公积转增股本预案经公司</w:t>
      </w:r>
      <w:r>
        <w:rPr>
          <w:rFonts w:ascii="Times New Roman" w:hAnsi="Times New Roman" w:cs="Times New Roman" w:eastAsia="Times New Roman" w:hint="default"/>
        </w:rPr>
        <w:t>2013</w:t>
      </w:r>
      <w:r>
        <w:rPr/>
        <w:t>年度股东大会审议通过并实施完毕，公司注册 </w:t>
      </w:r>
      <w:r>
        <w:rPr>
          <w:spacing w:val="-2"/>
        </w:rPr>
        <w:t>资本由</w:t>
      </w:r>
      <w:r>
        <w:rPr>
          <w:rFonts w:ascii="Times New Roman" w:hAnsi="Times New Roman" w:cs="Times New Roman" w:eastAsia="Times New Roman" w:hint="default"/>
          <w:spacing w:val="-2"/>
        </w:rPr>
        <w:t>243,555,200.00</w:t>
      </w:r>
      <w:r>
        <w:rPr>
          <w:spacing w:val="-2"/>
        </w:rPr>
        <w:t>元增至</w:t>
      </w:r>
      <w:r>
        <w:rPr>
          <w:rFonts w:ascii="Times New Roman" w:hAnsi="Times New Roman" w:cs="Times New Roman" w:eastAsia="Times New Roman" w:hint="default"/>
          <w:spacing w:val="-2"/>
        </w:rPr>
        <w:t>487,134,400.00</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日，公司已取得了上海市工商行政管理局换发的《企业法人营业</w:t>
      </w:r>
      <w:r>
        <w:rPr>
          <w:spacing w:val="-34"/>
        </w:rPr>
        <w:t> </w:t>
      </w:r>
      <w:r>
        <w:rPr>
          <w:spacing w:val="-34"/>
        </w:rPr>
      </w:r>
      <w:r>
        <w:rPr/>
        <w:t>执照》，上述新增注册资本已完成了工商变更登记手续，但未经会计师事务所验资。</w:t>
      </w:r>
    </w:p>
    <w:p>
      <w:pPr>
        <w:pStyle w:val="BodyText"/>
        <w:spacing w:line="240" w:lineRule="auto" w:before="3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日，万达信息股票期权激励计划（</w:t>
      </w:r>
      <w:r>
        <w:rPr>
          <w:rFonts w:ascii="Times New Roman" w:hAnsi="Times New Roman" w:cs="Times New Roman" w:eastAsia="Times New Roman" w:hint="default"/>
        </w:rPr>
        <w:t>2011</w:t>
      </w:r>
      <w:r>
        <w:rPr/>
        <w:t>年度）首次授予股票期权第二个行权期已完成，累计行权</w:t>
      </w:r>
      <w:r>
        <w:rPr>
          <w:rFonts w:ascii="Times New Roman" w:hAnsi="Times New Roman" w:cs="Times New Roman" w:eastAsia="Times New Roman" w:hint="default"/>
        </w:rPr>
        <w:t>5,681,600</w:t>
      </w:r>
    </w:p>
    <w:p>
      <w:pPr>
        <w:pStyle w:val="BodyText"/>
        <w:spacing w:line="240" w:lineRule="auto" w:before="63"/>
        <w:ind w:right="0"/>
        <w:jc w:val="both"/>
      </w:pPr>
      <w:r>
        <w:rPr/>
        <w:t>份，公司股本由</w:t>
      </w:r>
      <w:r>
        <w:rPr>
          <w:rFonts w:ascii="Times New Roman" w:hAnsi="Times New Roman" w:cs="Times New Roman" w:eastAsia="Times New Roman" w:hint="default"/>
        </w:rPr>
        <w:t>487,134,400</w:t>
      </w:r>
      <w:r>
        <w:rPr/>
        <w:t>股增至</w:t>
      </w:r>
      <w:r>
        <w:rPr>
          <w:rFonts w:ascii="Times New Roman" w:hAnsi="Times New Roman" w:cs="Times New Roman" w:eastAsia="Times New Roman" w:hint="default"/>
        </w:rPr>
        <w:t>492,816,000</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2015</w:t>
      </w:r>
      <w:r>
        <w:rPr/>
        <w:t>年第一次临时股东大会审议通过了《关于修订</w:t>
      </w:r>
    </w:p>
    <w:p>
      <w:pPr>
        <w:pStyle w:val="BodyText"/>
        <w:spacing w:line="240" w:lineRule="auto" w:before="63"/>
        <w:ind w:right="0"/>
        <w:jc w:val="both"/>
      </w:pPr>
      <w:r>
        <w:rPr/>
        <w:t>〈公司章程〉并变更注册资本的议案》。</w:t>
      </w:r>
    </w:p>
    <w:p>
      <w:pPr>
        <w:pStyle w:val="BodyText"/>
        <w:spacing w:line="302" w:lineRule="auto" w:before="76"/>
        <w:ind w:right="0" w:firstLine="360"/>
        <w:jc w:val="left"/>
      </w:pPr>
      <w:r>
        <w:rPr>
          <w:rFonts w:ascii="Times New Roman" w:hAnsi="Times New Roman" w:cs="Times New Roman" w:eastAsia="Times New Roman" w:hint="default"/>
          <w:spacing w:val="-2"/>
        </w:rPr>
        <w:t>2014</w:t>
      </w:r>
      <w:r>
        <w:rPr>
          <w:spacing w:val="-2"/>
        </w:rPr>
        <w:t>年万达信息召开第五届董事会</w:t>
      </w:r>
      <w:r>
        <w:rPr>
          <w:rFonts w:ascii="Times New Roman" w:hAnsi="Times New Roman" w:cs="Times New Roman" w:eastAsia="Times New Roman" w:hint="default"/>
          <w:spacing w:val="-2"/>
        </w:rPr>
        <w:t>2014</w:t>
      </w:r>
      <w:r>
        <w:rPr>
          <w:spacing w:val="-2"/>
        </w:rPr>
        <w:t>年第八次临时会议、</w:t>
      </w:r>
      <w:r>
        <w:rPr>
          <w:rFonts w:ascii="Times New Roman" w:hAnsi="Times New Roman" w:cs="Times New Roman" w:eastAsia="Times New Roman" w:hint="default"/>
          <w:spacing w:val="-2"/>
        </w:rPr>
        <w:t>2014</w:t>
      </w:r>
      <w:r>
        <w:rPr>
          <w:spacing w:val="-2"/>
        </w:rPr>
        <w:t>年第三次临时股东大会和第五届董事会</w:t>
      </w:r>
      <w:r>
        <w:rPr>
          <w:rFonts w:ascii="Times New Roman" w:hAnsi="Times New Roman" w:cs="Times New Roman" w:eastAsia="Times New Roman" w:hint="default"/>
          <w:spacing w:val="-2"/>
        </w:rPr>
        <w:t>2014</w:t>
      </w:r>
      <w:r>
        <w:rPr>
          <w:spacing w:val="-2"/>
        </w:rPr>
        <w:t>年第十八次</w:t>
      </w:r>
      <w:r>
        <w:rPr/>
        <w:t> </w:t>
      </w:r>
      <w:r>
        <w:rPr>
          <w:spacing w:val="-2"/>
        </w:rPr>
        <w:t>临时会议，审议通过了《关于公司向特定对象发行股份及支付现金购买资产并募集配套资金的议案》，公司向李诗定、许晓</w:t>
      </w:r>
      <w:r>
        <w:rPr>
          <w:spacing w:val="-66"/>
        </w:rPr>
        <w:t> </w:t>
      </w:r>
      <w:r>
        <w:rPr>
          <w:spacing w:val="-66"/>
        </w:rPr>
      </w:r>
      <w:r>
        <w:rPr/>
        <w:t>荣发行股份购买其持有的四川浩特</w:t>
      </w:r>
      <w:r>
        <w:rPr>
          <w:rFonts w:ascii="Times New Roman" w:hAnsi="Times New Roman" w:cs="Times New Roman" w:eastAsia="Times New Roman" w:hint="default"/>
        </w:rPr>
        <w:t>49%</w:t>
      </w:r>
      <w:r>
        <w:rPr/>
        <w:t>股权，并同时募集配套资金。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日，中国证监会出具了《关于核准万达信 息股份有限公司向李诗定等发行股份购买资产并募集配套资金的批复》（证监许可</w:t>
      </w:r>
      <w:r>
        <w:rPr>
          <w:rFonts w:ascii="Times New Roman" w:hAnsi="Times New Roman" w:cs="Times New Roman" w:eastAsia="Times New Roman" w:hint="default"/>
        </w:rPr>
        <w:t>[2015]124</w:t>
      </w:r>
      <w:r>
        <w:rPr/>
        <w:t>号），核准了公司向李诗定发 行</w:t>
      </w:r>
      <w:r>
        <w:rPr>
          <w:rFonts w:ascii="Times New Roman" w:hAnsi="Times New Roman" w:cs="Times New Roman" w:eastAsia="Times New Roman" w:hint="default"/>
        </w:rPr>
        <w:t>6,339,870</w:t>
      </w:r>
      <w:r>
        <w:rPr/>
        <w:t>股股份、向许晓荣发行</w:t>
      </w:r>
      <w:r>
        <w:rPr>
          <w:rFonts w:ascii="Times New Roman" w:hAnsi="Times New Roman" w:cs="Times New Roman" w:eastAsia="Times New Roman" w:hint="default"/>
        </w:rPr>
        <w:t>412,001</w:t>
      </w:r>
      <w:r>
        <w:rPr/>
        <w:t>股股份购买四川浩特</w:t>
      </w:r>
      <w:r>
        <w:rPr>
          <w:rFonts w:ascii="Times New Roman" w:hAnsi="Times New Roman" w:cs="Times New Roman" w:eastAsia="Times New Roman" w:hint="default"/>
        </w:rPr>
        <w:t>49%</w:t>
      </w:r>
      <w:r>
        <w:rPr/>
        <w:t>股权，并募集配套资金不超过</w:t>
      </w:r>
      <w:r>
        <w:rPr>
          <w:rFonts w:ascii="Times New Roman" w:hAnsi="Times New Roman" w:cs="Times New Roman" w:eastAsia="Times New Roman" w:hint="default"/>
        </w:rPr>
        <w:t>60,106,666.00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 </w:t>
      </w:r>
      <w:r>
        <w:rPr>
          <w:spacing w:val="-1"/>
        </w:rPr>
        <w:t>月，本次用于购买资产发行的</w:t>
      </w:r>
      <w:r>
        <w:rPr>
          <w:rFonts w:ascii="Times New Roman" w:hAnsi="Times New Roman" w:cs="Times New Roman" w:eastAsia="Times New Roman" w:hint="default"/>
          <w:spacing w:val="-1"/>
        </w:rPr>
        <w:t>6,751,871</w:t>
      </w:r>
      <w:r>
        <w:rPr>
          <w:spacing w:val="-1"/>
        </w:rPr>
        <w:t>股</w:t>
      </w:r>
      <w:r>
        <w:rPr>
          <w:rFonts w:ascii="Times New Roman" w:hAnsi="Times New Roman" w:cs="Times New Roman" w:eastAsia="Times New Roman" w:hint="default"/>
          <w:spacing w:val="-1"/>
        </w:rPr>
        <w:t>A</w:t>
      </w:r>
      <w:r>
        <w:rPr>
          <w:spacing w:val="-1"/>
        </w:rPr>
        <w:t>股股份在中国证券登记结算有限责任公司深圳分公司完成登记并于深圳证券交易</w:t>
      </w:r>
      <w:r>
        <w:rPr>
          <w:spacing w:val="-66"/>
        </w:rPr>
        <w:t> </w:t>
      </w:r>
      <w:r>
        <w:rPr/>
        <w:t>所创业板上市。公司股本由</w:t>
      </w:r>
      <w:r>
        <w:rPr>
          <w:rFonts w:ascii="Times New Roman" w:hAnsi="Times New Roman" w:cs="Times New Roman" w:eastAsia="Times New Roman" w:hint="default"/>
        </w:rPr>
        <w:t>492,816,000</w:t>
      </w:r>
      <w:r>
        <w:rPr/>
        <w:t>股增至</w:t>
      </w:r>
      <w:r>
        <w:rPr>
          <w:rFonts w:ascii="Times New Roman" w:hAnsi="Times New Roman" w:cs="Times New Roman" w:eastAsia="Times New Roman" w:hint="default"/>
        </w:rPr>
        <w:t>500,814,121</w:t>
      </w:r>
      <w:r>
        <w:rPr/>
        <w:t>股。</w:t>
      </w:r>
    </w:p>
    <w:p>
      <w:pPr>
        <w:pStyle w:val="BodyText"/>
        <w:spacing w:line="300" w:lineRule="auto" w:before="11"/>
        <w:ind w:right="112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2014</w:t>
      </w:r>
      <w:r>
        <w:rPr/>
        <w:t>年年度股东大审议通过以截至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日的公司总股本</w:t>
      </w:r>
      <w:r>
        <w:rPr>
          <w:rFonts w:ascii="Times New Roman" w:hAnsi="Times New Roman" w:cs="Times New Roman" w:eastAsia="Times New Roman" w:hint="default"/>
        </w:rPr>
        <w:t>500,814,121</w:t>
      </w:r>
      <w:r>
        <w:rPr/>
        <w:t>股为基数，以资本公积 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股，共计转增股本</w:t>
      </w:r>
      <w:r>
        <w:rPr>
          <w:rFonts w:ascii="Times New Roman" w:hAnsi="Times New Roman" w:cs="Times New Roman" w:eastAsia="Times New Roman" w:hint="default"/>
        </w:rPr>
        <w:t>500,814,121</w:t>
      </w:r>
      <w:r>
        <w:rPr/>
        <w:t>股。该方案已于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日实施完毕，公司总股本增至 </w:t>
      </w:r>
      <w:r>
        <w:rPr>
          <w:rFonts w:ascii="Times New Roman" w:hAnsi="Times New Roman" w:cs="Times New Roman" w:eastAsia="Times New Roman" w:hint="default"/>
        </w:rPr>
        <w:t>1,001,628,242</w:t>
      </w:r>
      <w:r>
        <w:rPr/>
        <w:t>股，各股东持股比例不变。</w:t>
      </w:r>
    </w:p>
    <w:p>
      <w:pPr>
        <w:pStyle w:val="BodyText"/>
        <w:spacing w:line="300" w:lineRule="auto" w:before="13"/>
        <w:ind w:right="1110" w:firstLine="360"/>
        <w:jc w:val="left"/>
      </w:pPr>
      <w:r>
        <w:rPr>
          <w:spacing w:val="-2"/>
        </w:rPr>
        <w:t>公司因股权激励计划（</w:t>
      </w:r>
      <w:r>
        <w:rPr>
          <w:rFonts w:ascii="Times New Roman" w:hAnsi="Times New Roman" w:cs="Times New Roman" w:eastAsia="Times New Roman" w:hint="default"/>
          <w:spacing w:val="-2"/>
        </w:rPr>
        <w:t>2011</w:t>
      </w:r>
      <w:r>
        <w:rPr>
          <w:spacing w:val="-2"/>
        </w:rPr>
        <w:t>年度）首次授予第三次行权、预留授予第二次行权及股权激励计划（</w:t>
      </w:r>
      <w:r>
        <w:rPr>
          <w:rFonts w:ascii="Times New Roman" w:hAnsi="Times New Roman" w:cs="Times New Roman" w:eastAsia="Times New Roman" w:hint="default"/>
          <w:spacing w:val="-2"/>
        </w:rPr>
        <w:t>2014</w:t>
      </w:r>
      <w:r>
        <w:rPr>
          <w:spacing w:val="-2"/>
        </w:rPr>
        <w:t>年度）首次授予第</w:t>
      </w:r>
      <w:r>
        <w:rPr/>
        <w:t> 一次行权，公司总股本进一步增加。</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2015</w:t>
      </w:r>
      <w:r>
        <w:rPr/>
        <w:t>年第五次临时股东大会，审议通过了《关于修订</w:t>
      </w:r>
      <w:r>
        <w:rPr>
          <w:rFonts w:ascii="Times New Roman" w:hAnsi="Times New Roman" w:cs="Times New Roman" w:eastAsia="Times New Roman" w:hint="default"/>
        </w:rPr>
        <w:t>&lt;</w:t>
      </w:r>
      <w:r>
        <w:rPr/>
        <w:t>公司 章程</w:t>
      </w:r>
      <w:r>
        <w:rPr>
          <w:rFonts w:ascii="Times New Roman" w:hAnsi="Times New Roman" w:cs="Times New Roman" w:eastAsia="Times New Roman" w:hint="default"/>
        </w:rPr>
        <w:t>&gt;</w:t>
      </w:r>
      <w:r>
        <w:rPr/>
        <w:t>并变更注册资本及增加经营范围的议案》，公司总股本增至</w:t>
      </w:r>
      <w:r>
        <w:rPr>
          <w:rFonts w:ascii="Times New Roman" w:hAnsi="Times New Roman" w:cs="Times New Roman" w:eastAsia="Times New Roman" w:hint="default"/>
        </w:rPr>
        <w:t>1,023,267,842.00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日，公司已取得了上海 市工商行政管理局换发的统一社会信用代码为</w:t>
      </w:r>
      <w:r>
        <w:rPr>
          <w:rFonts w:ascii="Times New Roman" w:hAnsi="Times New Roman" w:cs="Times New Roman" w:eastAsia="Times New Roman" w:hint="default"/>
        </w:rPr>
        <w:t>91310000132653687M</w:t>
      </w:r>
      <w:r>
        <w:rPr/>
        <w:t>《营业执照》，完成了工商变更登记手续。</w:t>
      </w:r>
    </w:p>
    <w:p>
      <w:pPr>
        <w:pStyle w:val="BodyText"/>
        <w:spacing w:line="240" w:lineRule="auto" w:before="13"/>
        <w:ind w:left="514" w:right="0"/>
        <w:jc w:val="left"/>
      </w:pP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日第五届董事会</w:t>
      </w:r>
      <w:r>
        <w:rPr>
          <w:rFonts w:ascii="Times New Roman" w:hAnsi="Times New Roman" w:cs="Times New Roman" w:eastAsia="Times New Roman" w:hint="default"/>
        </w:rPr>
        <w:t>2016</w:t>
      </w:r>
      <w:r>
        <w:rPr/>
        <w:t>年第六次临时会议通过的《关于股票期权激励计划（</w:t>
      </w:r>
      <w:r>
        <w:rPr>
          <w:rFonts w:ascii="Times New Roman" w:hAnsi="Times New Roman" w:cs="Times New Roman" w:eastAsia="Times New Roman" w:hint="default"/>
        </w:rPr>
        <w:t>2014</w:t>
      </w:r>
      <w:r>
        <w:rPr/>
        <w:t>年度）所激励对象、期</w:t>
      </w:r>
    </w:p>
    <w:p>
      <w:pPr>
        <w:spacing w:after="0" w:line="240" w:lineRule="auto"/>
        <w:jc w:val="left"/>
        <w:sectPr>
          <w:footerReference w:type="default" r:id="rId16"/>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spacing w:val="-2"/>
        </w:rPr>
        <w:t>权数量和行权价格调整的议案》和《关于股票期权激励计划（</w:t>
      </w:r>
      <w:r>
        <w:rPr>
          <w:rFonts w:ascii="Times New Roman" w:hAnsi="Times New Roman" w:cs="Times New Roman" w:eastAsia="Times New Roman" w:hint="default"/>
          <w:spacing w:val="-2"/>
        </w:rPr>
        <w:t>2014</w:t>
      </w:r>
      <w:r>
        <w:rPr>
          <w:spacing w:val="-2"/>
        </w:rPr>
        <w:t>年度）首次授予股票期权第二个行权期及预留期权第一个</w:t>
      </w:r>
      <w:r>
        <w:rPr>
          <w:spacing w:val="-62"/>
        </w:rPr>
        <w:t> </w:t>
      </w:r>
      <w:r>
        <w:rPr>
          <w:spacing w:val="-62"/>
        </w:rPr>
      </w:r>
      <w:r>
        <w:rPr>
          <w:spacing w:val="-1"/>
        </w:rPr>
        <w:t>行权期可行权的议案》。公司股票期权激励计划（</w:t>
      </w:r>
      <w:r>
        <w:rPr>
          <w:rFonts w:ascii="Times New Roman" w:hAnsi="Times New Roman" w:cs="Times New Roman" w:eastAsia="Times New Roman" w:hint="default"/>
          <w:spacing w:val="-1"/>
        </w:rPr>
        <w:t>2014</w:t>
      </w:r>
      <w:r>
        <w:rPr>
          <w:spacing w:val="-1"/>
        </w:rPr>
        <w:t>年度）首次授予期权第二个行权期实际行权</w:t>
      </w:r>
      <w:r>
        <w:rPr>
          <w:rFonts w:ascii="Times New Roman" w:hAnsi="Times New Roman" w:cs="Times New Roman" w:eastAsia="Times New Roman" w:hint="default"/>
          <w:spacing w:val="-1"/>
        </w:rPr>
        <w:t>781.48</w:t>
      </w:r>
      <w:r>
        <w:rPr>
          <w:spacing w:val="-1"/>
        </w:rPr>
        <w:t>万股股票期权。公</w:t>
      </w:r>
      <w:r>
        <w:rPr>
          <w:spacing w:val="-73"/>
        </w:rPr>
        <w:t> </w:t>
      </w:r>
      <w:r>
        <w:rPr>
          <w:spacing w:val="-73"/>
        </w:rPr>
      </w:r>
      <w:r>
        <w:rPr/>
        <w:t>司总股本增至</w:t>
      </w:r>
      <w:r>
        <w:rPr>
          <w:rFonts w:ascii="Times New Roman" w:hAnsi="Times New Roman" w:cs="Times New Roman" w:eastAsia="Times New Roman" w:hint="default"/>
        </w:rPr>
        <w:t>1,031,082,642.00</w:t>
      </w:r>
      <w:r>
        <w:rPr/>
        <w:t>元，完成了工商变更登记手续。</w:t>
      </w:r>
    </w:p>
    <w:p>
      <w:pPr>
        <w:pStyle w:val="BodyText"/>
        <w:spacing w:line="300" w:lineRule="auto" w:before="13"/>
        <w:ind w:right="1129" w:firstLine="360"/>
        <w:jc w:val="both"/>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[2017]2200</w:t>
      </w:r>
      <w:r>
        <w:rPr/>
        <w:t>号</w:t>
      </w:r>
      <w:r>
        <w:rPr>
          <w:rFonts w:ascii="Times New Roman" w:hAnsi="Times New Roman" w:cs="Times New Roman" w:eastAsia="Times New Roman" w:hint="default"/>
        </w:rPr>
        <w:t>”</w:t>
      </w:r>
      <w:r>
        <w:rPr/>
        <w:t>文核准，万达信息于</w:t>
      </w:r>
      <w:r>
        <w:rPr>
          <w:spacing w:val="-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日公开发行了</w:t>
      </w:r>
      <w:r>
        <w:rPr>
          <w:rFonts w:ascii="Times New Roman" w:hAnsi="Times New Roman" w:cs="Times New Roman" w:eastAsia="Times New Roman" w:hint="default"/>
        </w:rPr>
        <w:t>900</w:t>
      </w:r>
      <w:r>
        <w:rPr/>
        <w:t>万张可转换公 司债券，每张面值</w:t>
      </w:r>
      <w:r>
        <w:rPr>
          <w:rFonts w:ascii="Times New Roman" w:hAnsi="Times New Roman" w:cs="Times New Roman" w:eastAsia="Times New Roman" w:hint="default"/>
        </w:rPr>
        <w:t>100</w:t>
      </w:r>
      <w:r>
        <w:rPr/>
        <w:t>元，发行总额</w:t>
      </w:r>
      <w:r>
        <w:rPr>
          <w:rFonts w:ascii="Times New Roman" w:hAnsi="Times New Roman" w:cs="Times New Roman" w:eastAsia="Times New Roman" w:hint="default"/>
        </w:rPr>
        <w:t>90,000</w:t>
      </w:r>
      <w:r>
        <w:rPr/>
        <w:t>万元。根据相关规定和《万达信息股份有限公司公开发行可转换公司债券募集说 </w:t>
      </w:r>
      <w:r>
        <w:rPr>
          <w:spacing w:val="-2"/>
        </w:rPr>
        <w:t>明书》的约定，</w:t>
      </w:r>
      <w:r>
        <w:rPr>
          <w:rFonts w:ascii="Times New Roman" w:hAnsi="Times New Roman" w:cs="Times New Roman" w:eastAsia="Times New Roman" w:hint="default"/>
          <w:spacing w:val="-2"/>
        </w:rPr>
        <w:t>“</w:t>
      </w:r>
      <w:r>
        <w:rPr>
          <w:spacing w:val="-2"/>
        </w:rPr>
        <w:t>万信转债</w:t>
      </w:r>
      <w:r>
        <w:rPr>
          <w:rFonts w:ascii="Times New Roman" w:hAnsi="Times New Roman" w:cs="Times New Roman" w:eastAsia="Times New Roman" w:hint="default"/>
          <w:spacing w:val="-2"/>
        </w:rPr>
        <w:t>”</w:t>
      </w:r>
      <w:r>
        <w:rPr>
          <w:spacing w:val="-2"/>
        </w:rPr>
        <w:t>的转股期限为自发行结束之日起满六个月后的第一个交易日起至可转换公司债券到期日止，截止</w:t>
      </w:r>
      <w:r>
        <w:rPr>
          <w:spacing w:val="-44"/>
        </w:rPr>
        <w:t> </w:t>
      </w:r>
      <w:r>
        <w:rPr>
          <w:spacing w:val="-44"/>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共计转股</w:t>
      </w:r>
      <w:r>
        <w:rPr>
          <w:rFonts w:ascii="Times New Roman" w:hAnsi="Times New Roman" w:cs="Times New Roman" w:eastAsia="Times New Roman" w:hint="default"/>
        </w:rPr>
        <w:t>68,367,046</w:t>
      </w:r>
      <w:r>
        <w:rPr/>
        <w:t>股，公司总股本增至</w:t>
      </w:r>
      <w:r>
        <w:rPr>
          <w:rFonts w:ascii="Times New Roman" w:hAnsi="Times New Roman" w:cs="Times New Roman" w:eastAsia="Times New Roman" w:hint="default"/>
        </w:rPr>
        <w:t>1,099,449,688</w:t>
      </w:r>
      <w:r>
        <w:rPr/>
        <w:t>股。</w:t>
      </w:r>
    </w:p>
    <w:p>
      <w:pPr>
        <w:pStyle w:val="BodyText"/>
        <w:spacing w:line="309" w:lineRule="auto" w:before="13"/>
        <w:ind w:right="1109" w:firstLine="360"/>
        <w:jc w:val="both"/>
      </w:pPr>
      <w:r>
        <w:rPr>
          <w:spacing w:val="-2"/>
        </w:rPr>
        <w:t>公司所属行业为信息服务业。公司经营范围为：计算机专业领域内的技术咨询、开发、转让、培训、承包、中介、入股</w:t>
      </w:r>
      <w:r>
        <w:rPr/>
        <w:t> </w:t>
      </w:r>
      <w:r>
        <w:rPr>
          <w:spacing w:val="-2"/>
        </w:rPr>
        <w:t>及新产品的研制、试销，计算机及配件，普通机械及电器机械与器材，经济信息咨询服务，机械电器设备租赁，电子产品及</w:t>
      </w:r>
      <w:r>
        <w:rPr>
          <w:spacing w:val="-68"/>
        </w:rPr>
        <w:t> </w:t>
      </w:r>
      <w:r>
        <w:rPr>
          <w:spacing w:val="-68"/>
        </w:rPr>
      </w:r>
      <w:r>
        <w:rPr/>
        <w:t>通信设备销售，计算机信息系统集成，建筑智能化系统集成，（设计、施工），机场空管工程及航站楼弱电系统工程，</w:t>
      </w:r>
      <w:r>
        <w:rPr>
          <w:rFonts w:ascii="Times New Roman" w:hAnsi="Times New Roman" w:cs="Times New Roman" w:eastAsia="Times New Roman" w:hint="default"/>
        </w:rPr>
        <w:t>II</w:t>
      </w:r>
      <w:r>
        <w:rPr/>
        <w:t>、 </w:t>
      </w:r>
      <w:r>
        <w:rPr>
          <w:rFonts w:ascii="Times New Roman" w:hAnsi="Times New Roman" w:cs="Times New Roman" w:eastAsia="Times New Roman" w:hint="default"/>
          <w:spacing w:val="-2"/>
        </w:rPr>
        <w:t>III</w:t>
      </w:r>
      <w:r>
        <w:rPr>
          <w:spacing w:val="-2"/>
        </w:rPr>
        <w:t>类医疗器械经营（详见医疗器械经营企业许可证），自营进出口。【依法须经批准的项目，经相关部门批准后方可开展经</w:t>
      </w:r>
      <w:r>
        <w:rPr>
          <w:spacing w:val="-62"/>
        </w:rPr>
        <w:t> </w:t>
      </w:r>
      <w:r>
        <w:rPr>
          <w:spacing w:val="-62"/>
        </w:rPr>
      </w:r>
      <w:r>
        <w:rPr/>
        <w:t>营活动】</w:t>
      </w:r>
    </w:p>
    <w:p>
      <w:pPr>
        <w:pStyle w:val="BodyText"/>
        <w:spacing w:line="316" w:lineRule="auto" w:before="24"/>
        <w:ind w:left="514" w:right="4452"/>
        <w:jc w:val="left"/>
      </w:pPr>
      <w:r>
        <w:rPr/>
        <w:t>本公司的母公司为上海万豪投资有限公司，本公司的实际控制人为史一兵。 本财务报表业经公司全体董事于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日批准报出。</w:t>
      </w:r>
    </w:p>
    <w:p>
      <w:pPr>
        <w:spacing w:line="240" w:lineRule="auto" w:before="10"/>
        <w:rPr>
          <w:rFonts w:ascii="宋体" w:hAnsi="宋体" w:cs="宋体" w:eastAsia="宋体" w:hint="default"/>
          <w:sz w:val="23"/>
          <w:szCs w:val="23"/>
        </w:rPr>
      </w:pPr>
    </w:p>
    <w:p>
      <w:pPr>
        <w:pStyle w:val="BodyText"/>
        <w:spacing w:line="240" w:lineRule="auto"/>
        <w:ind w:left="868"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13"/>
        <w:rPr>
          <w:rFonts w:ascii="宋体" w:hAnsi="宋体" w:cs="宋体" w:eastAsia="宋体" w:hint="default"/>
          <w:sz w:val="3"/>
          <w:szCs w:val="3"/>
        </w:rPr>
      </w:pPr>
    </w:p>
    <w:tbl>
      <w:tblPr>
        <w:tblW w:w="0" w:type="auto"/>
        <w:jc w:val="left"/>
        <w:tblInd w:w="760" w:type="dxa"/>
        <w:tblLayout w:type="fixed"/>
        <w:tblCellMar>
          <w:top w:w="0" w:type="dxa"/>
          <w:left w:w="0" w:type="dxa"/>
          <w:bottom w:w="0" w:type="dxa"/>
          <w:right w:w="0" w:type="dxa"/>
        </w:tblCellMar>
        <w:tblLook w:val="01E0"/>
      </w:tblPr>
      <w:tblGrid>
        <w:gridCol w:w="7814"/>
      </w:tblGrid>
      <w:tr>
        <w:trPr>
          <w:trHeight w:val="355" w:hRule="exact"/>
        </w:trPr>
        <w:tc>
          <w:tcPr>
            <w:tcW w:w="7814"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杭州万达信息系统有限公司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宁波万达信息系统有限公司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深圳市万达信息有限公司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Wonders Info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Corp.</w:t>
            </w:r>
            <w:r>
              <w:rPr>
                <w:rFonts w:ascii="宋体" w:hAnsi="宋体" w:cs="宋体" w:eastAsia="宋体" w:hint="default"/>
                <w:sz w:val="18"/>
                <w:szCs w:val="18"/>
              </w:rPr>
              <w:t>美国万达信息有限公司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上海万达信息服务有限公司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南京爱递吉供应链管理服务有限公司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上海卫生信息工程技术研究中心有限公司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北京万达全城信息系统有限公司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上海格言管理有限公司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四川万达智能安防数据有限公司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杭州莱域科技有限公司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上海易可思信息技术有限公司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上海格金信息技术有限公司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克拉玛依市复高计算机科技有限公司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湖南凯歌医疗移动信息服务有限公司（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年度注销）</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24232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760" w:type="dxa"/>
        <w:tblLayout w:type="fixed"/>
        <w:tblCellMar>
          <w:top w:w="0" w:type="dxa"/>
          <w:left w:w="0" w:type="dxa"/>
          <w:bottom w:w="0" w:type="dxa"/>
          <w:right w:w="0" w:type="dxa"/>
        </w:tblCellMar>
        <w:tblLook w:val="01E0"/>
      </w:tblPr>
      <w:tblGrid>
        <w:gridCol w:w="7814"/>
      </w:tblGrid>
      <w:tr>
        <w:trPr>
          <w:trHeight w:val="689" w:hRule="exact"/>
        </w:trPr>
        <w:tc>
          <w:tcPr>
            <w:tcW w:w="7814"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湖南万达智慧城市信息技术有限公司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万达云医疗科技健康产业（上海）有限公司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四川万达智城云数据有限公司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上海耀学信息科技有限公司</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财务报表的编制基础" w:id="178"/>
      <w:bookmarkEnd w:id="178"/>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79"/>
      <w:bookmarkEnd w:id="17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7"/>
        </w:rPr>
        <w:t> </w:t>
      </w:r>
      <w:r>
        <w:rPr>
          <w:spacing w:val="-47"/>
        </w:rPr>
      </w:r>
      <w:r>
        <w:rPr/>
        <w:t>委员会《公开发行证券的公司信息披露编报规则第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持续经营" w:id="180"/>
      <w:bookmarkEnd w:id="18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81"/>
      <w:bookmarkEnd w:id="18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60" w:lineRule="auto" w:before="28"/>
        <w:ind w:right="8142"/>
        <w:jc w:val="left"/>
      </w:pPr>
      <w:r>
        <w:rPr/>
        <w:t>软件与信息技术服务业 具体会计政策和会计估计提示： 无</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1、遵循企业会计准则的声明" w:id="182"/>
      <w:bookmarkEnd w:id="18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18"/>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会计期间" w:id="183"/>
      <w:bookmarkEnd w:id="18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bookmarkStart w:name="3、营业周期" w:id="184"/>
      <w:bookmarkEnd w:id="18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本公司营业周期为</w:t>
      </w:r>
      <w:r>
        <w:rPr>
          <w:rFonts w:ascii="Times New Roman" w:hAnsi="Times New Roman" w:cs="Times New Roman" w:eastAsia="Times New Roman" w:hint="default"/>
        </w:rPr>
        <w:t>12</w:t>
      </w:r>
      <w:r>
        <w:rPr/>
        <w:t>个月。</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spacing w:line="506" w:lineRule="auto" w:before="35"/>
        <w:ind w:left="154" w:right="7602" w:firstLine="0"/>
        <w:jc w:val="left"/>
        <w:rPr>
          <w:rFonts w:ascii="宋体" w:hAnsi="宋体" w:cs="宋体" w:eastAsia="宋体" w:hint="default"/>
          <w:sz w:val="21"/>
          <w:szCs w:val="21"/>
        </w:rPr>
      </w:pPr>
      <w:bookmarkStart w:name="4、记账本位币" w:id="185"/>
      <w:bookmarkEnd w:id="18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4"/>
        <w:spacing w:line="240" w:lineRule="auto" w:before="105"/>
        <w:ind w:right="0"/>
        <w:jc w:val="left"/>
        <w:rPr>
          <w:b w:val="0"/>
          <w:bCs w:val="0"/>
        </w:rPr>
      </w:pPr>
      <w:bookmarkStart w:name="5、同一控制下和非同一控制下企业合并的会计处理方法" w:id="186"/>
      <w:bookmarkEnd w:id="18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360"/>
        <w:jc w:val="both"/>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16" w:lineRule="auto" w:before="19"/>
        <w:ind w:right="0"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1131" w:firstLine="360"/>
        <w:jc w:val="both"/>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6、合并财务报表的编制方法" w:id="187"/>
      <w:bookmarkEnd w:id="18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right="0"/>
        <w:jc w:val="left"/>
        <w:rPr>
          <w:b w:val="0"/>
          <w:bCs w:val="0"/>
        </w:rPr>
      </w:pPr>
      <w:r>
        <w:rPr/>
        <w:t>（</w:t>
      </w:r>
      <w:r>
        <w:rPr>
          <w:rFonts w:ascii="宋体" w:hAnsi="宋体" w:cs="宋体" w:eastAsia="宋体" w:hint="default"/>
        </w:rPr>
        <w:t>1</w:t>
      </w:r>
      <w:r>
        <w:rPr/>
        <w:t>）合并范围</w:t>
      </w:r>
      <w:r>
        <w:rPr>
          <w:b w:val="0"/>
          <w:bCs w:val="0"/>
        </w:rPr>
      </w:r>
    </w:p>
    <w:p>
      <w:pPr>
        <w:pStyle w:val="BodyText"/>
        <w:spacing w:line="316" w:lineRule="auto" w:before="76"/>
        <w:ind w:right="1133" w:firstLine="360"/>
        <w:jc w:val="both"/>
      </w:pPr>
      <w:r>
        <w:rPr>
          <w:spacing w:val="-2"/>
        </w:rPr>
        <w:t>本公司合并财务报表的合并范围以控制为基础确定，所有子公司（包括本公司所控制的被投资方可分割的部分）均纳入</w:t>
      </w:r>
      <w:r>
        <w:rPr/>
        <w:t> 合并财务报表。</w:t>
      </w:r>
    </w:p>
    <w:p>
      <w:pPr>
        <w:pStyle w:val="Heading6"/>
        <w:spacing w:line="240" w:lineRule="auto" w:before="19"/>
        <w:ind w:right="0"/>
        <w:jc w:val="left"/>
        <w:rPr>
          <w:b w:val="0"/>
          <w:bCs w:val="0"/>
        </w:rPr>
      </w:pPr>
      <w:r>
        <w:rPr/>
        <w:t>（</w:t>
      </w:r>
      <w:r>
        <w:rPr>
          <w:rFonts w:ascii="宋体" w:hAnsi="宋体" w:cs="宋体" w:eastAsia="宋体" w:hint="default"/>
        </w:rPr>
        <w:t>2</w:t>
      </w:r>
      <w:r>
        <w:rPr/>
        <w:t>）合并程序</w:t>
      </w:r>
      <w:r>
        <w:rPr>
          <w:b w:val="0"/>
          <w:bCs w:val="0"/>
        </w:rPr>
      </w:r>
    </w:p>
    <w:p>
      <w:pPr>
        <w:pStyle w:val="BodyText"/>
        <w:spacing w:line="319" w:lineRule="auto" w:before="76"/>
        <w:ind w:right="1130"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5"/>
        </w:rPr>
        <w:t> </w:t>
      </w:r>
      <w:r>
        <w:rPr>
          <w:spacing w:val="-65"/>
        </w:rPr>
      </w:r>
      <w:r>
        <w:rPr/>
        <w:t>体财务状况、经营成果和现金流量。</w:t>
      </w:r>
    </w:p>
    <w:p>
      <w:pPr>
        <w:pStyle w:val="BodyText"/>
        <w:spacing w:line="316" w:lineRule="auto" w:before="17"/>
        <w:ind w:right="1032"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514" w:right="0"/>
        <w:jc w:val="left"/>
      </w:pP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3"/>
        </w:rPr>
        <w:t> </w:t>
      </w:r>
      <w:r>
        <w:rPr>
          <w:spacing w:val="-63"/>
        </w:rPr>
      </w:r>
      <w:r>
        <w:rPr/>
        <w:t>而产生的其他综合收益除外。</w:t>
      </w:r>
    </w:p>
    <w:p>
      <w:pPr>
        <w:pStyle w:val="BodyText"/>
        <w:spacing w:line="240" w:lineRule="auto" w:before="19"/>
        <w:ind w:left="514" w:right="0"/>
        <w:jc w:val="left"/>
      </w:pPr>
      <w:r>
        <w:rPr>
          <w:rFonts w:ascii="Times New Roman" w:hAnsi="Times New Roman" w:cs="Times New Roman" w:eastAsia="Times New Roman" w:hint="default"/>
        </w:rPr>
        <w:t>2</w:t>
      </w:r>
      <w:r>
        <w:rPr/>
        <w:t>）处置子公司或业务</w:t>
      </w:r>
    </w:p>
    <w:p>
      <w:pPr>
        <w:pStyle w:val="BodyText"/>
        <w:spacing w:line="316" w:lineRule="auto" w:before="63"/>
        <w:ind w:left="514" w:right="0"/>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4" w:right="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103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9"/>
        <w:ind w:left="514" w:right="0"/>
        <w:jc w:val="left"/>
      </w:pPr>
      <w:r>
        <w:rPr/>
        <w:t>因其他投资方对子公司增资而导致本公司持股比例下降从而丧失控制权的，按照上述原则进行会计处理。</w:t>
      </w:r>
    </w:p>
    <w:p>
      <w:pPr>
        <w:pStyle w:val="BodyText"/>
        <w:spacing w:line="316" w:lineRule="auto" w:before="76"/>
        <w:ind w:left="514" w:right="0"/>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4" w:right="3552"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1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7"/>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4" w:right="0"/>
        <w:jc w:val="left"/>
      </w:pP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1118"/>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00" w:lineRule="auto" w:before="19"/>
        <w:ind w:left="514" w:right="1212"/>
        <w:jc w:val="left"/>
      </w:pP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7、合营安排分类及共同经营会计处理方法" w:id="188"/>
      <w:bookmarkEnd w:id="18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832"/>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63"/>
        <w:ind w:right="0"/>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现金及现金等价物的确定标准" w:id="189"/>
      <w:bookmarkEnd w:id="18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9、外币业务和外币报表折算" w:id="190"/>
      <w:bookmarkEnd w:id="19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right="0"/>
        <w:jc w:val="left"/>
        <w:rPr>
          <w:b w:val="0"/>
          <w:bCs w:val="0"/>
        </w:rPr>
      </w:pPr>
      <w:r>
        <w:rPr/>
        <w:t>（</w:t>
      </w:r>
      <w:r>
        <w:rPr>
          <w:rFonts w:ascii="宋体" w:hAnsi="宋体" w:cs="宋体" w:eastAsia="宋体" w:hint="default"/>
        </w:rPr>
        <w:t>1</w:t>
      </w:r>
      <w:r>
        <w:rPr/>
        <w:t>）外币业务</w:t>
      </w:r>
      <w:r>
        <w:rPr>
          <w:b w:val="0"/>
          <w:bCs w:val="0"/>
        </w:rPr>
      </w:r>
    </w:p>
    <w:p>
      <w:pPr>
        <w:pStyle w:val="BodyText"/>
        <w:spacing w:line="316" w:lineRule="auto" w:before="76"/>
        <w:ind w:left="514" w:right="0"/>
        <w:jc w:val="left"/>
      </w:pPr>
      <w:r>
        <w:rPr/>
        <w:t>外币业务采用交易发生日的即期汇率作为折算汇率将外币金额折合成人民币记账。 </w:t>
      </w:r>
      <w:r>
        <w:rPr>
          <w:spacing w:val="-2"/>
        </w:rPr>
        <w:t>资产负债表日外币货币性项目余额按资产负债表日即期汇率折算，由此产生的汇兑差额，除属于与购建符合资本化条件</w:t>
      </w:r>
    </w:p>
    <w:p>
      <w:pPr>
        <w:pStyle w:val="BodyText"/>
        <w:spacing w:line="240" w:lineRule="auto" w:before="19"/>
        <w:ind w:right="0"/>
        <w:jc w:val="left"/>
      </w:pPr>
      <w:r>
        <w:rPr/>
        <w:t>的资产相关的外币专门借款产生的汇兑差额按照借款费用资本化的原则处理外，均计入当期损益。</w:t>
      </w:r>
    </w:p>
    <w:p>
      <w:pPr>
        <w:pStyle w:val="BodyText"/>
        <w:spacing w:line="316" w:lineRule="auto" w:before="76"/>
        <w:ind w:left="514" w:right="0" w:hanging="360"/>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资产负债表中的资产和负债项目，采用资产负债表日的即期汇率折算；所有者权益项目除“未分配利润”项目外，其他</w:t>
      </w:r>
    </w:p>
    <w:p>
      <w:pPr>
        <w:pStyle w:val="BodyText"/>
        <w:spacing w:line="316" w:lineRule="auto" w:before="19"/>
        <w:ind w:left="514" w:right="2112" w:hanging="360"/>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0、金融工具" w:id="191"/>
      <w:bookmarkEnd w:id="19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金融工具包括金融资产、金融负债和权益工具。</w:t>
      </w:r>
    </w:p>
    <w:p>
      <w:pPr>
        <w:pStyle w:val="BodyText"/>
        <w:spacing w:line="300" w:lineRule="auto" w:before="76"/>
        <w:ind w:left="514" w:right="0" w:hanging="3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金融资产和金融负债于初始确认时分类为：以公允价值计量且其变动计入当期损益的金融资产或金融负债，包括交易性</w:t>
      </w:r>
    </w:p>
    <w:p>
      <w:pPr>
        <w:pStyle w:val="BodyText"/>
        <w:spacing w:line="319" w:lineRule="auto" w:before="31"/>
        <w:ind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Heading6"/>
        <w:spacing w:line="240" w:lineRule="auto" w:before="17"/>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pStyle w:val="BodyText"/>
        <w:spacing w:line="300" w:lineRule="auto" w:before="63"/>
        <w:ind w:left="514" w:right="0"/>
        <w:jc w:val="left"/>
      </w:pP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4" w:lineRule="auto" w:before="31"/>
        <w:ind w:left="514" w:right="2292"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pStyle w:val="BodyText"/>
        <w:spacing w:line="316" w:lineRule="auto" w:before="20"/>
        <w:ind w:right="0" w:firstLine="360"/>
        <w:jc w:val="left"/>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19"/>
        <w:ind w:left="514" w:right="0"/>
        <w:jc w:val="left"/>
      </w:pPr>
      <w:r>
        <w:rPr/>
        <w:t>处置时，将所取得价款与该投资账面价值之间的差额计入投资收益。</w:t>
      </w:r>
    </w:p>
    <w:p>
      <w:pPr>
        <w:pStyle w:val="BodyText"/>
        <w:spacing w:line="300" w:lineRule="auto" w:before="76"/>
        <w:ind w:left="514" w:right="1118"/>
        <w:jc w:val="left"/>
      </w:pP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31"/>
        <w:ind w:right="1118"/>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9"/>
        <w:ind w:left="514" w:right="0"/>
        <w:jc w:val="left"/>
      </w:pPr>
      <w:r>
        <w:rPr/>
        <w:t>收回或处置时，将取得的价款与该应收款项账面价值之间的差额计入当期损益。</w:t>
      </w:r>
    </w:p>
    <w:p>
      <w:pPr>
        <w:pStyle w:val="BodyText"/>
        <w:spacing w:line="300" w:lineRule="auto" w:before="76"/>
        <w:ind w:left="514" w:right="0"/>
        <w:jc w:val="left"/>
      </w:pP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31"/>
        <w:ind w:left="514" w:right="1032" w:hanging="360"/>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0"/>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00" w:lineRule="auto" w:before="19"/>
        <w:ind w:left="514" w:right="3732"/>
        <w:jc w:val="left"/>
      </w:pP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300" w:lineRule="auto" w:before="32"/>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公司发生金融资产转移时，如已将金融资产所有权上几乎所有的风险和报酬转移给转入方，则终止确认该金融资产；如</w:t>
      </w:r>
    </w:p>
    <w:p>
      <w:pPr>
        <w:pStyle w:val="BodyText"/>
        <w:spacing w:line="316" w:lineRule="auto" w:before="31"/>
        <w:ind w:left="514" w:right="0" w:hanging="360"/>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before="19"/>
        <w:ind w:right="0"/>
        <w:jc w:val="left"/>
      </w:pPr>
      <w:r>
        <w:rPr/>
        <w:t>融资产整体转移和部分转移。金融资产整体转移满足终止确认条件的，将下列两项金额的差额计入当期损益：</w:t>
      </w:r>
    </w:p>
    <w:p>
      <w:pPr>
        <w:pStyle w:val="BodyText"/>
        <w:spacing w:line="240" w:lineRule="auto" w:before="76"/>
        <w:ind w:left="514" w:right="0"/>
        <w:jc w:val="left"/>
      </w:pPr>
      <w:r>
        <w:rPr>
          <w:rFonts w:ascii="Times New Roman" w:hAnsi="Times New Roman" w:cs="Times New Roman" w:eastAsia="Times New Roman" w:hint="default"/>
        </w:rPr>
        <w:t>1</w:t>
      </w:r>
      <w:r>
        <w:rPr/>
        <w:t>）所转移金融资产的账面价值；</w:t>
      </w:r>
    </w:p>
    <w:p>
      <w:pPr>
        <w:pStyle w:val="BodyText"/>
        <w:spacing w:line="300" w:lineRule="auto" w:before="63"/>
        <w:ind w:right="1122" w:firstLine="360"/>
        <w:jc w:val="left"/>
      </w:pP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 的情形）之和。</w:t>
      </w:r>
    </w:p>
    <w:p>
      <w:pPr>
        <w:pStyle w:val="BodyText"/>
        <w:spacing w:line="316" w:lineRule="auto" w:before="31"/>
        <w:ind w:right="1032"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4" w:right="0"/>
        <w:jc w:val="left"/>
      </w:pPr>
      <w:r>
        <w:rPr>
          <w:rFonts w:ascii="Times New Roman" w:hAnsi="Times New Roman" w:cs="Times New Roman" w:eastAsia="Times New Roman" w:hint="default"/>
        </w:rPr>
        <w:t>1</w:t>
      </w:r>
      <w:r>
        <w:rPr/>
        <w:t>）终止确认部分的账面价值；</w:t>
      </w:r>
    </w:p>
    <w:p>
      <w:pPr>
        <w:pStyle w:val="BodyText"/>
        <w:spacing w:line="300" w:lineRule="auto" w:before="63"/>
        <w:ind w:right="1122" w:firstLine="360"/>
        <w:jc w:val="left"/>
      </w:pP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 融资产为可供出售金融资产的情形）之和。</w:t>
      </w:r>
    </w:p>
    <w:p>
      <w:pPr>
        <w:pStyle w:val="BodyText"/>
        <w:spacing w:line="240" w:lineRule="auto" w:before="31"/>
        <w:ind w:left="514" w:right="0"/>
        <w:jc w:val="left"/>
      </w:pPr>
      <w:r>
        <w:rPr/>
        <w:t>金融资产转移不满足终止确认条件的，继续确认该金融资产，所收到的对价确认为一项金融负债。</w:t>
      </w:r>
    </w:p>
    <w:p>
      <w:pPr>
        <w:spacing w:line="300" w:lineRule="auto" w:before="76"/>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pacing w:val="-2"/>
          <w:sz w:val="18"/>
          <w:szCs w:val="18"/>
        </w:rPr>
        <w:t>金融负债的现时义务全部或部分已经解除的，则终止确认该金融负债或其一部分；本公司若与债权人签定协议，以承担</w:t>
      </w:r>
    </w:p>
    <w:p>
      <w:pPr>
        <w:pStyle w:val="BodyText"/>
        <w:spacing w:line="316" w:lineRule="auto" w:before="31"/>
        <w:ind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00" w:lineRule="auto" w:before="19"/>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存在活跃市场的金融工具，以活跃市场中的报价确定其公允价值。不存在活跃市场的金融工具，采用估值技术确定其公</w:t>
      </w:r>
    </w:p>
    <w:p>
      <w:pPr>
        <w:pStyle w:val="BodyText"/>
        <w:spacing w:line="316" w:lineRule="auto" w:before="31"/>
        <w:ind w:right="113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300" w:lineRule="auto" w:before="19"/>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40" w:lineRule="auto" w:before="31"/>
        <w:ind w:right="0"/>
        <w:jc w:val="left"/>
      </w:pPr>
      <w:r>
        <w:rPr/>
        <w:t>有客观证据表明某项金融资产发生减值的，计提减值准备。</w:t>
      </w:r>
    </w:p>
    <w:p>
      <w:pPr>
        <w:pStyle w:val="BodyText"/>
        <w:spacing w:line="300" w:lineRule="auto" w:before="76"/>
        <w:ind w:left="514" w:right="0"/>
        <w:jc w:val="left"/>
      </w:pP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9" w:lineRule="auto" w:before="31"/>
        <w:ind w:left="514" w:right="0" w:hanging="36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7"/>
        <w:ind w:left="514" w:right="5712" w:hanging="360"/>
        <w:jc w:val="left"/>
      </w:pPr>
      <w:r>
        <w:rPr/>
        <w:t>事项有关的，原确认的减值损失予以转回，计入当期损益。 可供出售权益工具投资发生的减值损失，不通过损益转回。 </w:t>
      </w:r>
      <w:r>
        <w:rPr>
          <w:rFonts w:ascii="Times New Roman" w:hAnsi="Times New Roman" w:cs="Times New Roman" w:eastAsia="Times New Roman" w:hint="default"/>
        </w:rPr>
        <w:t>2</w:t>
      </w:r>
      <w:r>
        <w:rPr/>
        <w:t>）持有至到期投资的减值准备：</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持有至到期投资减值损失的计量比照应收款项减值损失计量方法处理。</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1、应收票据及应收账款" w:id="192"/>
      <w:bookmarkEnd w:id="192"/>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93"/>
      <w:bookmarkEnd w:id="19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94"/>
      <w:bookmarkEnd w:id="19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95"/>
      <w:bookmarkEnd w:id="19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63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63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96"/>
      <w:bookmarkEnd w:id="19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软件与信息技术服务业</w:t>
      </w:r>
    </w:p>
    <w:p>
      <w:pPr>
        <w:pStyle w:val="BodyText"/>
        <w:spacing w:line="300" w:lineRule="auto" w:before="115"/>
        <w:ind w:left="514" w:right="1118" w:hanging="3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存货包括在日常活动中持有以备出售的产成品或商品、处在生产过程中的在产品、在生产过程或提供劳务过程中耗用的</w:t>
      </w:r>
    </w:p>
    <w:p>
      <w:pPr>
        <w:pStyle w:val="BodyText"/>
        <w:spacing w:line="319" w:lineRule="auto" w:before="31"/>
        <w:ind w:right="0"/>
        <w:jc w:val="left"/>
      </w:pPr>
      <w:r>
        <w:rPr>
          <w:spacing w:val="-2"/>
        </w:rPr>
        <w:t>材料和物料等。具体分类为：原材料、低值易耗品、库存商品（包括库存的外购商品、自制商品产品、自制半成品等）、开</w:t>
      </w:r>
      <w:r>
        <w:rPr>
          <w:spacing w:val="-70"/>
        </w:rPr>
        <w:t> </w:t>
      </w:r>
      <w:r>
        <w:rPr>
          <w:spacing w:val="-70"/>
        </w:rPr>
      </w:r>
      <w:r>
        <w:rPr/>
        <w:t>发成本、建造合同形成的已完工未结算资产等。</w:t>
      </w:r>
    </w:p>
    <w:p>
      <w:pPr>
        <w:spacing w:line="300" w:lineRule="auto" w:before="17"/>
        <w:ind w:left="514" w:right="8052"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存货发出时按实际成本核算。</w:t>
      </w:r>
    </w:p>
    <w:p>
      <w:pPr>
        <w:spacing w:line="300" w:lineRule="auto" w:before="31"/>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产成品、库存商品和用于出售的材料等直接用于出售的商品存货，在正常生产经营过程中，以该存货的估计售价减去估</w:t>
      </w:r>
    </w:p>
    <w:p>
      <w:pPr>
        <w:pStyle w:val="BodyText"/>
        <w:spacing w:line="316" w:lineRule="auto" w:before="31"/>
        <w:ind w:right="113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9"/>
        <w:ind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514" w:right="1572"/>
        <w:jc w:val="left"/>
      </w:pPr>
      <w:r>
        <w:rPr/>
        <w:t>除有明确证据表明资产负债表日市场价格异常外，存货项目的可变现净值以资产负债表日市场价格为基础确定。 本期期末存货项目的可变现净值以资产负债表日市场价格为基础确定。 提示：如本期期末存货项目的可变现净值不是以资产负债表日市场价格为基础确定的，应充分披露具体原因。</w:t>
      </w:r>
    </w:p>
    <w:p>
      <w:pPr>
        <w:spacing w:line="300" w:lineRule="auto" w:before="19"/>
        <w:ind w:left="514" w:right="8952"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Heading6"/>
        <w:spacing w:line="240" w:lineRule="auto" w:before="31"/>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63"/>
        <w:ind w:left="514" w:right="0"/>
        <w:jc w:val="left"/>
      </w:pPr>
      <w:r>
        <w:rPr>
          <w:rFonts w:ascii="Times New Roman" w:hAnsi="Times New Roman" w:cs="Times New Roman" w:eastAsia="Times New Roman" w:hint="default"/>
        </w:rPr>
        <w:t>1</w:t>
      </w:r>
      <w:r>
        <w:rPr/>
        <w:t>）低值易耗品采用一次转销法</w:t>
      </w:r>
    </w:p>
    <w:p>
      <w:pPr>
        <w:pStyle w:val="BodyText"/>
        <w:spacing w:line="240" w:lineRule="auto" w:before="63"/>
        <w:ind w:left="514" w:right="0"/>
        <w:jc w:val="left"/>
      </w:pP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3、持有待售资产" w:id="197"/>
      <w:bookmarkEnd w:id="19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本公司将同时满足下列条件的非流动资产或处置组划分为持有待售类别：</w:t>
      </w:r>
    </w:p>
    <w:p>
      <w:pPr>
        <w:pStyle w:val="BodyText"/>
        <w:spacing w:line="240" w:lineRule="auto" w:before="76"/>
        <w:ind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22"/>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）出售极可能发生，即本公司已经就一项出售计划作出决议且获得确定的购买承诺，预计出售将在一年内完成。有关规 定要求本公司相关权力机构或者监管部门批准后方可出售的，已经获得批准。</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14、长期股权投资" w:id="198"/>
      <w:bookmarkEnd w:id="19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spacing w:line="300" w:lineRule="auto" w:before="0"/>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31"/>
        <w:ind w:right="1118"/>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13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Heading6"/>
        <w:spacing w:line="240" w:lineRule="auto" w:before="19"/>
        <w:ind w:right="0"/>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300" w:lineRule="auto" w:before="63"/>
        <w:ind w:left="514" w:right="0"/>
        <w:jc w:val="left"/>
      </w:pP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240" w:lineRule="auto" w:before="31"/>
        <w:ind w:right="0"/>
        <w:jc w:val="left"/>
      </w:pPr>
      <w:r>
        <w:rPr/>
        <w:t>合并日按照取得被合并方所有者权益在最终控制方合并财务报表中的账面价值的份额作为长期股权投资的初始投资成本</w:t>
      </w:r>
      <w:r>
        <w:rPr>
          <w:spacing w:val="-82"/>
        </w:rPr>
        <w:t>。</w:t>
      </w:r>
      <w:r>
        <w:rPr/>
        <w:t>因</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right="1131"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09" w:lineRule="auto" w:before="19"/>
        <w:ind w:left="514" w:right="3012"/>
        <w:jc w:val="left"/>
      </w:pP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24"/>
        <w:ind w:right="1131"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4" w:right="0"/>
        <w:jc w:val="left"/>
      </w:pPr>
      <w:r>
        <w:rPr/>
        <w:t>通过债务重组取得的长期股权投资，其初始投资成本按照公允价值为基础确定。</w:t>
      </w:r>
    </w:p>
    <w:p>
      <w:pPr>
        <w:pStyle w:val="Heading6"/>
        <w:spacing w:line="240" w:lineRule="auto" w:before="76"/>
        <w:ind w:right="0"/>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300" w:lineRule="auto" w:before="63"/>
        <w:ind w:left="514" w:right="0"/>
        <w:jc w:val="left"/>
      </w:pP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0"/>
        <w:jc w:val="left"/>
      </w:pPr>
      <w:r>
        <w:rPr/>
        <w:t>金股利或利润外，公司按照享有被投资单位宣告发放的现金股利或利润确认当期投资收益。</w:t>
      </w:r>
    </w:p>
    <w:p>
      <w:pPr>
        <w:pStyle w:val="BodyText"/>
        <w:spacing w:line="300" w:lineRule="auto" w:before="76"/>
        <w:ind w:left="514" w:right="0"/>
        <w:jc w:val="left"/>
      </w:pP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9" w:lineRule="auto" w:before="31"/>
        <w:ind w:right="0"/>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7"/>
        <w:ind w:right="113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3"/>
        </w:rPr>
        <w:t> </w:t>
      </w:r>
      <w:r>
        <w:rPr>
          <w:spacing w:val="-63"/>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316" w:lineRule="auto" w:before="1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2" w:lineRule="auto" w:before="19"/>
        <w:ind w:right="1131"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t>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 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032"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00" w:lineRule="auto" w:before="19"/>
        <w:ind w:left="514" w:right="4632"/>
        <w:jc w:val="left"/>
      </w:pP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2"/>
        <w:ind w:right="1131"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2"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7"/>
        <w:ind w:right="1132"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6"/>
        </w:rPr>
        <w:t> </w:t>
      </w:r>
      <w:r>
        <w:rPr>
          <w:spacing w:val="-66"/>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130"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5、投资性房地产" w:id="199"/>
      <w:bookmarkEnd w:id="19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right="1132"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9" w:lineRule="auto" w:before="19"/>
        <w:ind w:right="113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16、固定资产" w:id="200"/>
      <w:bookmarkEnd w:id="20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201"/>
      <w:bookmarkEnd w:id="20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2）折旧方法" w:id="202"/>
      <w:bookmarkEnd w:id="20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12.00</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19.20</w:t>
            </w:r>
          </w:p>
        </w:tc>
      </w:tr>
    </w:tbl>
    <w:p>
      <w:pPr>
        <w:pStyle w:val="BodyText"/>
        <w:spacing w:line="240" w:lineRule="auto" w:before="10"/>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融资租入固定资产的认定依据、计价和折旧方法" w:id="203"/>
      <w:bookmarkEnd w:id="20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0" w:firstLine="360"/>
        <w:jc w:val="both"/>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3"/>
        </w:rPr>
        <w:t> </w:t>
      </w:r>
      <w:r>
        <w:rPr>
          <w:spacing w:val="-73"/>
        </w:rPr>
      </w:r>
      <w:r>
        <w:rPr>
          <w:spacing w:val="-4"/>
        </w:rPr>
        <w:t>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）租赁开始日的最低租赁付款额现值，与该资产的公允价值不存在较大的差异。公司在承租开始</w:t>
      </w:r>
      <w:r>
        <w:rPr>
          <w:spacing w:val="-45"/>
        </w:rPr>
        <w:t> </w:t>
      </w:r>
      <w:r>
        <w:rPr>
          <w:spacing w:val="-45"/>
        </w:rPr>
      </w:r>
      <w:r>
        <w:rPr>
          <w:spacing w:val="-2"/>
        </w:rPr>
        <w:t>日，将租赁资产公允价值与最低租赁付款额现值两者中较低者作为租入资产的入账价值，将最低租赁付款额作为长期应付款</w:t>
      </w:r>
      <w:r>
        <w:rPr>
          <w:spacing w:val="-64"/>
        </w:rPr>
        <w:t> </w:t>
      </w:r>
      <w:r>
        <w:rPr>
          <w:spacing w:val="-64"/>
        </w:rPr>
      </w:r>
      <w:r>
        <w:rPr/>
        <w:t>的入账价值，其差额作为未确认的融资费。</w:t>
      </w: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bookmarkStart w:name="17、在建工程" w:id="204"/>
      <w:bookmarkEnd w:id="20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9"/>
        <w:ind w:left="514" w:right="0" w:hanging="360"/>
        <w:jc w:val="left"/>
      </w:pPr>
      <w:r>
        <w:rPr/>
        <w:t>软件与信息技术服务业 </w:t>
      </w:r>
      <w:r>
        <w:rPr>
          <w:spacing w:val="-2"/>
        </w:rPr>
        <w:t>在建工程项目按建造该项资产达到预定可使用状态前所发生的必要支出，作为固定资产的入账价值。所建造的固定资产</w:t>
      </w:r>
    </w:p>
    <w:p>
      <w:pPr>
        <w:pStyle w:val="BodyText"/>
        <w:spacing w:line="224" w:lineRule="exact"/>
        <w:ind w:right="0"/>
        <w:jc w:val="left"/>
      </w:pPr>
      <w:r>
        <w:rPr/>
        <w:t>在工程已达到预定可使用状态，但尚未办理竣工决算的，自达到预定可使用状态之日起，根据工程预算、造价或者工程实际</w:t>
      </w:r>
    </w:p>
    <w:p>
      <w:pPr>
        <w:pStyle w:val="BodyText"/>
        <w:spacing w:line="319" w:lineRule="auto" w:before="76"/>
        <w:ind w:right="0"/>
        <w:jc w:val="left"/>
      </w:pP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18、借款费用" w:id="205"/>
      <w:bookmarkEnd w:id="20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right="111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6"/>
        </w:rPr>
        <w:t> </w:t>
      </w:r>
      <w:r>
        <w:rPr>
          <w:spacing w:val="-66"/>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309" w:lineRule="auto" w:before="20"/>
        <w:ind w:right="1122"/>
        <w:jc w:val="left"/>
      </w:pPr>
      <w:r>
        <w:rPr/>
        <w:t>借款费用同时满足下列条件时开始资本化： </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）资产支出已经发生，资产支出包括为购建或者生产符合资本化条件的资产而以支付现金、转移非现金资产或者承担带息 债务形式发生的支出；</w:t>
      </w:r>
    </w:p>
    <w:p>
      <w:pPr>
        <w:pStyle w:val="BodyText"/>
        <w:spacing w:line="240" w:lineRule="auto" w:before="24"/>
        <w:ind w:right="0"/>
        <w:jc w:val="left"/>
      </w:pPr>
      <w:r>
        <w:rPr>
          <w:rFonts w:ascii="Times New Roman" w:hAnsi="Times New Roman" w:cs="Times New Roman" w:eastAsia="Times New Roman" w:hint="default"/>
        </w:rPr>
        <w:t>2</w:t>
      </w:r>
      <w:r>
        <w:rPr/>
        <w:t>）借款费用已经发生；</w:t>
      </w:r>
    </w:p>
    <w:p>
      <w:pPr>
        <w:pStyle w:val="BodyText"/>
        <w:spacing w:line="240" w:lineRule="auto" w:before="63"/>
        <w:ind w:right="0"/>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514" w:right="0" w:hanging="36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0"/>
        <w:jc w:val="left"/>
      </w:pPr>
      <w:r>
        <w:rPr/>
        <w:t>款费用资本化。</w:t>
      </w:r>
    </w:p>
    <w:p>
      <w:pPr>
        <w:pStyle w:val="BodyText"/>
        <w:spacing w:line="300" w:lineRule="auto" w:before="76"/>
        <w:ind w:left="514" w:right="0" w:hanging="36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9" w:lineRule="auto" w:before="13"/>
        <w:ind w:right="0"/>
        <w:jc w:val="left"/>
      </w:pPr>
      <w:r>
        <w:rPr>
          <w:spacing w:val="-2"/>
        </w:rPr>
        <w:t>该项中断如是所购建或生产的符合资本化条件的资产达到预定可使用状态或者可销售状态必要的程序，则借款费用继续资本</w:t>
      </w:r>
      <w:r>
        <w:rPr>
          <w:spacing w:val="-63"/>
        </w:rPr>
        <w:t> </w:t>
      </w:r>
      <w:r>
        <w:rPr>
          <w:spacing w:val="-63"/>
        </w:rPr>
      </w:r>
      <w:r>
        <w:rPr/>
        <w:t>化。在中断期间发生的借款费用确认为当期损益，直至资产的购建或者生产活动重新开始后借款费用继续资本化。</w:t>
      </w:r>
    </w:p>
    <w:p>
      <w:pPr>
        <w:spacing w:line="300" w:lineRule="auto" w:before="17"/>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240" w:lineRule="auto" w:before="31"/>
        <w:ind w:right="0"/>
        <w:jc w:val="left"/>
      </w:pPr>
      <w:r>
        <w:rPr/>
        <w:t>借款资金存入银行取得的利息收入或进行暂时性投资取得的投资收益后的金额，来确定借款费用的资本化金额。</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9、生物资产" w:id="206"/>
      <w:bookmarkEnd w:id="20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0、油气资产" w:id="207"/>
      <w:bookmarkEnd w:id="20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1、无形资产" w:id="208"/>
      <w:bookmarkEnd w:id="20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209"/>
      <w:bookmarkEnd w:id="20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spacing w:line="357" w:lineRule="auto" w:before="26"/>
        <w:ind w:left="154" w:right="895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w:t>
      </w:r>
      <w:r>
        <w:rPr>
          <w:rFonts w:ascii="宋体" w:hAnsi="宋体" w:cs="宋体" w:eastAsia="宋体" w:hint="default"/>
          <w:b/>
          <w:bCs/>
          <w:sz w:val="18"/>
          <w:szCs w:val="18"/>
        </w:rPr>
        <w:t>无形资产的计价方法</w:t>
      </w:r>
      <w:r>
        <w:rPr>
          <w:rFonts w:ascii="宋体" w:hAnsi="宋体" w:cs="宋体" w:eastAsia="宋体" w:hint="default"/>
          <w:sz w:val="18"/>
          <w:szCs w:val="18"/>
        </w:rPr>
      </w:r>
    </w:p>
    <w:p>
      <w:pPr>
        <w:pStyle w:val="BodyText"/>
        <w:spacing w:line="237" w:lineRule="exact"/>
        <w:ind w:right="0"/>
        <w:jc w:val="left"/>
      </w:pPr>
      <w:r>
        <w:rPr>
          <w:rFonts w:ascii="Times New Roman" w:hAnsi="Times New Roman" w:cs="Times New Roman" w:eastAsia="Times New Roman" w:hint="default"/>
        </w:rPr>
        <w:t>1</w:t>
      </w:r>
      <w:r>
        <w:rPr/>
        <w:t>）公司取得无形资产时按成本进行初始计量；</w:t>
      </w:r>
    </w:p>
    <w:p>
      <w:pPr>
        <w:pStyle w:val="BodyText"/>
        <w:spacing w:line="319" w:lineRule="auto" w:before="63"/>
        <w:ind w:left="229" w:right="1137" w:firstLine="360"/>
        <w:jc w:val="left"/>
      </w:pPr>
      <w:r>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 债务重组取得债务人用以抵债的无形资产，以该无形资产的公允价值为基础确定其入账价值，并将重组债务的账面价值与 该用以抵债的无形资产公允价值之间的差额，计入当期损益。</w:t>
      </w:r>
    </w:p>
    <w:p>
      <w:pPr>
        <w:pStyle w:val="BodyText"/>
        <w:spacing w:line="316" w:lineRule="auto" w:before="17"/>
        <w:ind w:right="1137" w:firstLine="435"/>
        <w:jc w:val="left"/>
      </w:pPr>
      <w:r>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 述前提的非货币性资产交换，以换出资产的账面价值和应支付的相关税费作为换入无形资产的成本，不确认损益。 </w:t>
      </w:r>
      <w:r>
        <w:rPr>
          <w:rFonts w:ascii="Times New Roman" w:hAnsi="Times New Roman" w:cs="Times New Roman" w:eastAsia="Times New Roman" w:hint="default"/>
        </w:rPr>
        <w:t>2</w:t>
      </w:r>
      <w:r>
        <w:rPr/>
        <w:t>）后续计量</w:t>
      </w:r>
    </w:p>
    <w:p>
      <w:pPr>
        <w:pStyle w:val="BodyText"/>
        <w:spacing w:line="316" w:lineRule="auto"/>
        <w:ind w:left="589" w:right="1137"/>
        <w:jc w:val="left"/>
      </w:pPr>
      <w:r>
        <w:rPr/>
        <w:t>在取得无形资产时分析判断其使用寿命。 对于使用寿命有限的无形资产，在为企业带来经济利益的期限内按直线法摊销；无法预见无形资产为企业带来经济利</w:t>
      </w:r>
    </w:p>
    <w:p>
      <w:pPr>
        <w:spacing w:line="316" w:lineRule="auto" w:before="19"/>
        <w:ind w:left="154" w:right="6177" w:firstLine="75"/>
        <w:jc w:val="left"/>
        <w:rPr>
          <w:rFonts w:ascii="宋体" w:hAnsi="宋体" w:cs="宋体" w:eastAsia="宋体" w:hint="default"/>
          <w:sz w:val="18"/>
          <w:szCs w:val="18"/>
        </w:rPr>
      </w:pPr>
      <w:r>
        <w:rPr>
          <w:rFonts w:ascii="宋体" w:hAnsi="宋体" w:cs="宋体" w:eastAsia="宋体" w:hint="default"/>
          <w:sz w:val="18"/>
          <w:szCs w:val="18"/>
        </w:rPr>
        <w:t>益期限的，视为使用寿命不确定的无形资产，不予摊销。 </w:t>
      </w:r>
      <w:r>
        <w:rPr>
          <w:rFonts w:ascii="宋体" w:hAnsi="宋体" w:cs="宋体" w:eastAsia="宋体" w:hint="default"/>
          <w:b/>
          <w:bCs/>
          <w:sz w:val="18"/>
          <w:szCs w:val="18"/>
        </w:rPr>
        <w:t>使用寿命有限的无形资产的使用寿命估计情况：</w:t>
      </w:r>
      <w:r>
        <w:rPr>
          <w:rFonts w:ascii="宋体" w:hAnsi="宋体" w:cs="宋体" w:eastAsia="宋体" w:hint="default"/>
          <w:sz w:val="18"/>
          <w:szCs w:val="18"/>
        </w:rPr>
      </w:r>
    </w:p>
    <w:tbl>
      <w:tblPr>
        <w:tblW w:w="0" w:type="auto"/>
        <w:jc w:val="left"/>
        <w:tblInd w:w="753" w:type="dxa"/>
        <w:tblLayout w:type="fixed"/>
        <w:tblCellMar>
          <w:top w:w="0" w:type="dxa"/>
          <w:left w:w="0" w:type="dxa"/>
          <w:bottom w:w="0" w:type="dxa"/>
          <w:right w:w="0" w:type="dxa"/>
        </w:tblCellMar>
        <w:tblLook w:val="01E0"/>
      </w:tblPr>
      <w:tblGrid>
        <w:gridCol w:w="5064"/>
        <w:gridCol w:w="2694"/>
      </w:tblGrid>
      <w:tr>
        <w:trPr>
          <w:trHeight w:val="355" w:hRule="exact"/>
        </w:trPr>
        <w:tc>
          <w:tcPr>
            <w:tcW w:w="5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预计使用寿命（年）</w:t>
            </w:r>
          </w:p>
        </w:tc>
      </w:tr>
      <w:tr>
        <w:trPr>
          <w:trHeight w:val="353" w:hRule="exact"/>
        </w:trPr>
        <w:tc>
          <w:tcPr>
            <w:tcW w:w="5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50</w:t>
            </w:r>
          </w:p>
        </w:tc>
      </w:tr>
      <w:tr>
        <w:trPr>
          <w:trHeight w:val="352" w:hRule="exact"/>
        </w:trPr>
        <w:tc>
          <w:tcPr>
            <w:tcW w:w="5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5</w:t>
            </w:r>
          </w:p>
        </w:tc>
      </w:tr>
      <w:tr>
        <w:trPr>
          <w:trHeight w:val="352" w:hRule="exact"/>
        </w:trPr>
        <w:tc>
          <w:tcPr>
            <w:tcW w:w="5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10</w:t>
            </w:r>
          </w:p>
        </w:tc>
      </w:tr>
      <w:tr>
        <w:trPr>
          <w:trHeight w:val="353" w:hRule="exact"/>
        </w:trPr>
        <w:tc>
          <w:tcPr>
            <w:tcW w:w="5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5-10</w:t>
            </w:r>
          </w:p>
        </w:tc>
      </w:tr>
      <w:tr>
        <w:trPr>
          <w:trHeight w:val="352" w:hRule="exact"/>
        </w:trPr>
        <w:tc>
          <w:tcPr>
            <w:tcW w:w="5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5</w:t>
            </w:r>
          </w:p>
        </w:tc>
      </w:tr>
      <w:tr>
        <w:trPr>
          <w:trHeight w:val="352" w:hRule="exact"/>
        </w:trPr>
        <w:tc>
          <w:tcPr>
            <w:tcW w:w="5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特许专营权</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约定的专营期限内</w:t>
            </w:r>
          </w:p>
        </w:tc>
      </w:tr>
    </w:tbl>
    <w:p>
      <w:pPr>
        <w:spacing w:line="316" w:lineRule="auto" w:before="19"/>
        <w:ind w:left="154" w:right="4377" w:firstLine="435"/>
        <w:jc w:val="left"/>
        <w:rPr>
          <w:rFonts w:ascii="宋体" w:hAnsi="宋体" w:cs="宋体" w:eastAsia="宋体" w:hint="default"/>
          <w:sz w:val="18"/>
          <w:szCs w:val="18"/>
        </w:rPr>
      </w:pPr>
      <w:r>
        <w:rPr>
          <w:rFonts w:ascii="宋体" w:hAnsi="宋体" w:cs="宋体" w:eastAsia="宋体" w:hint="default"/>
          <w:sz w:val="18"/>
          <w:szCs w:val="18"/>
        </w:rPr>
        <w:t>每年度终了，对使用寿命有限的无形资产的使用寿命及摊销方法进行复核。 </w:t>
      </w:r>
      <w:r>
        <w:rPr>
          <w:rFonts w:ascii="宋体" w:hAnsi="宋体" w:cs="宋体" w:eastAsia="宋体" w:hint="default"/>
          <w:b/>
          <w:bCs/>
          <w:sz w:val="18"/>
          <w:szCs w:val="18"/>
        </w:rPr>
        <w:t>使用寿命不确定的无形资产的判断依据以及对其使用寿命进行复核的程序</w:t>
      </w:r>
      <w:r>
        <w:rPr>
          <w:rFonts w:ascii="宋体" w:hAnsi="宋体" w:cs="宋体" w:eastAsia="宋体" w:hint="default"/>
          <w:sz w:val="18"/>
          <w:szCs w:val="18"/>
        </w:rPr>
      </w:r>
    </w:p>
    <w:p>
      <w:pPr>
        <w:pStyle w:val="BodyText"/>
        <w:spacing w:line="240" w:lineRule="auto" w:before="19"/>
        <w:ind w:left="589" w:right="0"/>
        <w:jc w:val="left"/>
      </w:pPr>
      <w:r>
        <w:rPr/>
        <w:t>使用寿命不确定的无形资产，应披露其使用寿命不确定的判断依据以及对其使用寿命进行复核的程序。</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内部研究开发支出会计政策" w:id="210"/>
      <w:bookmarkEnd w:id="21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589" w:right="1137"/>
        <w:jc w:val="left"/>
      </w:pPr>
      <w:r>
        <w:rPr/>
        <w:t>公司内部研究开发项目的支出分为研究阶段支出和开发阶段支出。 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316" w:lineRule="auto" w:before="17"/>
        <w:ind w:left="589" w:right="4377" w:hanging="360"/>
        <w:jc w:val="left"/>
      </w:pPr>
      <w:r>
        <w:rPr/>
        <w:t>改进的材料、装置、产品等活动的阶段。 内部研究开发项目开发阶段的支出，同时满足下列条件时确认为无形资产： </w:t>
      </w:r>
      <w:r>
        <w:rPr>
          <w:rFonts w:ascii="Times New Roman" w:hAnsi="Times New Roman" w:cs="Times New Roman" w:eastAsia="Times New Roman" w:hint="default"/>
        </w:rPr>
        <w:t>1</w:t>
      </w:r>
      <w:r>
        <w:rPr/>
        <w:t>）完成该无形资产以使其能够使用或出售在技术上具有可行性；</w:t>
      </w:r>
    </w:p>
    <w:p>
      <w:pPr>
        <w:pStyle w:val="BodyText"/>
        <w:spacing w:line="248" w:lineRule="exact"/>
        <w:ind w:left="589" w:right="0"/>
        <w:jc w:val="left"/>
      </w:pP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229" w:right="0" w:firstLine="360"/>
        <w:jc w:val="left"/>
      </w:pP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31"/>
        <w:ind w:left="589" w:right="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89" w:right="1677"/>
        <w:jc w:val="left"/>
      </w:pP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2、长期资产减值" w:id="211"/>
      <w:bookmarkEnd w:id="21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67" w:right="1130" w:firstLine="360"/>
        <w:jc w:val="both"/>
      </w:pPr>
      <w:r>
        <w:rPr>
          <w:spacing w:val="-1"/>
        </w:rPr>
        <w:t>长期股权投资、采用成本模式计量的投资性房地产、固定资产、在建工程、使用寿命有限的无形资产等长期资产，于</w:t>
      </w:r>
      <w:r>
        <w:rPr/>
        <w:t> </w:t>
      </w:r>
      <w:r>
        <w:rPr>
          <w:spacing w:val="-1"/>
        </w:rPr>
        <w:t>资产负债表日存在减值迹象的，进行减值测试。减值测试结果表明资产的可收回金额低于其账面价值的，按其差额计提减</w:t>
      </w:r>
      <w:r>
        <w:rPr>
          <w:spacing w:val="-52"/>
        </w:rPr>
        <w:t> </w:t>
      </w:r>
      <w:r>
        <w:rPr>
          <w:spacing w:val="-52"/>
        </w:rPr>
      </w:r>
      <w:r>
        <w:rPr>
          <w:spacing w:val="-1"/>
        </w:rPr>
        <w:t>值准备并计入减值损失。可收回金额为资产的公允价值减去处置费用后的净额与资产预计未来现金流量的现值两者之间的</w:t>
      </w:r>
      <w:r>
        <w:rPr>
          <w:spacing w:val="-53"/>
        </w:rPr>
        <w:t> </w:t>
      </w:r>
      <w:r>
        <w:rPr>
          <w:spacing w:val="-53"/>
        </w:rPr>
      </w:r>
      <w:r>
        <w:rPr>
          <w:spacing w:val="-1"/>
        </w:rPr>
        <w:t>较高者。资产减值准备按单项资产为基础计算并确认，如果难以对单项资产的可收回金额进行估计的，以该资产所属的资</w:t>
      </w:r>
      <w:r>
        <w:rPr>
          <w:spacing w:val="-52"/>
        </w:rPr>
        <w:t> </w:t>
      </w:r>
      <w:r>
        <w:rPr>
          <w:spacing w:val="-52"/>
        </w:rPr>
      </w:r>
      <w:r>
        <w:rPr/>
        <w:t>产组确定资产组的可收回金额。资产组是能够独立产生现金流入的最小资产组合。</w:t>
      </w:r>
    </w:p>
    <w:p>
      <w:pPr>
        <w:pStyle w:val="BodyText"/>
        <w:spacing w:line="316" w:lineRule="auto" w:before="19"/>
        <w:ind w:left="628" w:right="0"/>
        <w:jc w:val="left"/>
      </w:pPr>
      <w:r>
        <w:rPr/>
        <w:t>商誉和使用寿命不确定的无形资产至少在每年年度终了进行减值测试。 </w:t>
      </w:r>
      <w:r>
        <w:rPr>
          <w:spacing w:val="-3"/>
        </w:rPr>
        <w:t>本公司进行商誉减值测试，对于因企业合并形成的商誉的账面价值，自购买日起按照合理的方法分摊至相关的资产组；</w:t>
      </w:r>
    </w:p>
    <w:p>
      <w:pPr>
        <w:pStyle w:val="BodyText"/>
        <w:spacing w:line="316" w:lineRule="auto" w:before="19"/>
        <w:ind w:left="267" w:right="1027"/>
        <w:jc w:val="left"/>
      </w:pPr>
      <w:r>
        <w:rPr>
          <w:spacing w:val="-2"/>
        </w:rPr>
        <w:t>难以分摊至相关的资产组的，将其分摊至相关的资产组组合。在将商誉的账面价值分摊至相关的资产组或者资产组组合时，</w:t>
      </w:r>
      <w:r>
        <w:rPr>
          <w:spacing w:val="-88"/>
        </w:rPr>
        <w:t> </w:t>
      </w:r>
      <w:r>
        <w:rPr>
          <w:spacing w:val="-88"/>
        </w:rPr>
      </w:r>
      <w:r>
        <w:rPr/>
        <w:t>按照各资产组或者资产组组合的公允价值占相关资产组或者资产组组合公允价值总额的比例进行分摊。公允价值难以可靠</w:t>
      </w:r>
      <w:r>
        <w:rPr/>
        <w:t> 计量的，按照各资产组或者资产组组合的账面价值占相关资产组或者资产组组合账面价值总额的比例进行分摊。</w:t>
      </w:r>
    </w:p>
    <w:p>
      <w:pPr>
        <w:pStyle w:val="BodyText"/>
        <w:spacing w:line="316" w:lineRule="auto" w:before="19"/>
        <w:ind w:left="267" w:right="1118" w:firstLine="360"/>
        <w:jc w:val="left"/>
      </w:pPr>
      <w:r>
        <w:rPr/>
        <w:t>在对包含商誉的相关资产组或者资产组组合进行减值测试时，如与商誉相关的资产组或者资产组组合存在减值迹象 </w:t>
      </w:r>
      <w:r>
        <w:rPr>
          <w:spacing w:val="-1"/>
        </w:rPr>
        <w:t>的，先对不包含商誉的资产组或者资产组组合进行减值测试，计算可收回金额，并与相关账面价值相比较，确认相应的减</w:t>
      </w:r>
      <w:r>
        <w:rPr>
          <w:spacing w:val="-53"/>
        </w:rPr>
        <w:t> </w:t>
      </w:r>
      <w:r>
        <w:rPr>
          <w:spacing w:val="-53"/>
        </w:rPr>
      </w:r>
      <w:r>
        <w:rPr>
          <w:spacing w:val="-1"/>
        </w:rPr>
        <w:t>值损失。再对包含商誉的资产组或者资产组组合进行减值测试，比较这些相关资产组或者资产组组合的账面价值（包括所</w:t>
      </w:r>
      <w:r>
        <w:rPr>
          <w:spacing w:val="-52"/>
        </w:rPr>
        <w:t> </w:t>
      </w:r>
      <w:r>
        <w:rPr>
          <w:spacing w:val="-52"/>
        </w:rPr>
      </w:r>
      <w:r>
        <w:rPr>
          <w:spacing w:val="-1"/>
        </w:rPr>
        <w:t>分摊的商誉的账面价值部分）与其可收回金额，如相关资产组或者资产组组合的可收回金额低于其账面价值的，确认商誉</w:t>
      </w:r>
      <w:r>
        <w:rPr>
          <w:spacing w:val="-52"/>
        </w:rPr>
        <w:t> </w:t>
      </w:r>
      <w:r>
        <w:rPr>
          <w:spacing w:val="-52"/>
        </w:rPr>
      </w:r>
      <w:r>
        <w:rPr/>
        <w:t>的减值损失。 上述资产减值损失一经确认，在以后会计期间不予转回。</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3、长期待摊费用" w:id="212"/>
      <w:bookmarkEnd w:id="21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67" w:right="0" w:firstLine="360"/>
        <w:jc w:val="left"/>
      </w:pPr>
      <w:r>
        <w:rPr>
          <w:spacing w:val="-1"/>
        </w:rPr>
        <w:t>长期待摊费用为已经发生但应由本期和以后各期负担的分摊期限在一年以上的各项费用。本公司长期待摊费用包括以</w:t>
      </w:r>
      <w:r>
        <w:rPr/>
        <w:t> 经营租赁方式租入的固定资产改良支出等。</w:t>
      </w:r>
    </w:p>
    <w:p>
      <w:pPr>
        <w:pStyle w:val="Heading6"/>
        <w:spacing w:line="240" w:lineRule="auto" w:before="19"/>
        <w:ind w:right="0"/>
        <w:jc w:val="left"/>
        <w:rPr>
          <w:b w:val="0"/>
          <w:bCs w:val="0"/>
        </w:rPr>
      </w:pPr>
      <w:r>
        <w:rPr/>
        <w:t>（</w:t>
      </w:r>
      <w:r>
        <w:rPr>
          <w:rFonts w:ascii="宋体" w:hAnsi="宋体" w:cs="宋体" w:eastAsia="宋体" w:hint="default"/>
        </w:rPr>
        <w:t>1</w:t>
      </w:r>
      <w:r>
        <w:rPr/>
        <w:t>）摊销方法</w:t>
      </w:r>
      <w:r>
        <w:rPr>
          <w:b w:val="0"/>
          <w:bCs w:val="0"/>
        </w:rPr>
      </w:r>
    </w:p>
    <w:p>
      <w:pPr>
        <w:pStyle w:val="BodyText"/>
        <w:spacing w:line="240" w:lineRule="auto" w:before="76"/>
        <w:ind w:left="628" w:right="0"/>
        <w:jc w:val="left"/>
      </w:pPr>
      <w:r>
        <w:rPr/>
        <w:t>长期待摊费用在受益期内平均摊销</w:t>
      </w:r>
    </w:p>
    <w:p>
      <w:pPr>
        <w:pStyle w:val="Heading6"/>
        <w:spacing w:line="240" w:lineRule="auto" w:before="76"/>
        <w:ind w:right="0"/>
        <w:jc w:val="left"/>
        <w:rPr>
          <w:b w:val="0"/>
          <w:bCs w:val="0"/>
        </w:rPr>
      </w:pPr>
      <w:r>
        <w:rPr/>
        <w:t>（</w:t>
      </w:r>
      <w:r>
        <w:rPr>
          <w:rFonts w:ascii="宋体" w:hAnsi="宋体" w:cs="宋体" w:eastAsia="宋体" w:hint="default"/>
        </w:rPr>
        <w:t>2</w:t>
      </w:r>
      <w:r>
        <w:rPr/>
        <w:t>）摊销年限</w:t>
      </w:r>
      <w:r>
        <w:rPr>
          <w:b w:val="0"/>
          <w:bCs w:val="0"/>
        </w:rPr>
      </w:r>
    </w:p>
    <w:p>
      <w:pPr>
        <w:pStyle w:val="BodyText"/>
        <w:spacing w:line="316" w:lineRule="auto" w:before="77"/>
        <w:ind w:left="267" w:right="1279" w:firstLine="360"/>
        <w:jc w:val="left"/>
      </w:pPr>
      <w:r>
        <w:rPr/>
        <w:t>本公司本报告期内以经营租赁方式租入的固定资产改良支出在剩余租赁期限与租赁资产尚可使用年限两者孰短的期 限内平均摊销。</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4、职工薪酬" w:id="213"/>
      <w:bookmarkEnd w:id="21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214"/>
      <w:bookmarkEnd w:id="21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28" w:right="1098"/>
        <w:jc w:val="left"/>
      </w:pPr>
      <w:r>
        <w:rPr/>
        <w:t>本公司在职工为本公司提供服务的会计期间，将实际发生的短期薪酬确认为负债，并计入当期损益或相关资产成本。 </w:t>
      </w:r>
      <w:r>
        <w:rPr>
          <w:spacing w:val="-1"/>
        </w:rPr>
        <w:t>本公司为职工缴纳的社会保险费和住房公积金，以及按规定提取的工会经费和职工教育经费，在职工为本公司提供服</w:t>
      </w:r>
    </w:p>
    <w:p>
      <w:pPr>
        <w:pStyle w:val="BodyText"/>
        <w:spacing w:line="316" w:lineRule="auto" w:before="19"/>
        <w:ind w:left="628" w:right="4338" w:hanging="360"/>
        <w:jc w:val="left"/>
      </w:pPr>
      <w:r>
        <w:rPr/>
        <w:t>务的会计期间，根据规定的计提基础和计提比例计算确定相应的职工薪酬金额。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离职后福利的会计处理方法" w:id="215"/>
      <w:bookmarkEnd w:id="21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28" w:right="0"/>
        <w:jc w:val="left"/>
      </w:pP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本公司按当地政府的相关规定为职工缴纳基本养老保险和失业保险，在职工为本公司提供服务的会计期间，按以当地</w:t>
      </w:r>
    </w:p>
    <w:p>
      <w:pPr>
        <w:pStyle w:val="BodyText"/>
        <w:spacing w:line="316" w:lineRule="auto" w:before="31"/>
        <w:ind w:left="628" w:right="0" w:hanging="360"/>
        <w:jc w:val="left"/>
      </w:pPr>
      <w:r>
        <w:rPr/>
        <w:t>规定的缴纳基数和比例计算应缴纳金额，确认为负债，并计入当期损益或相关资产成本。 </w:t>
      </w:r>
      <w:r>
        <w:rPr>
          <w:spacing w:val="-2"/>
        </w:rPr>
        <w:t>除基本养老保险外，本公司还依据国家企业年金制度的相关政策建立了企业年金缴费制度（补充养老保险）</w:t>
      </w:r>
      <w:r>
        <w:rPr>
          <w:rFonts w:ascii="Times New Roman" w:hAnsi="Times New Roman" w:cs="Times New Roman" w:eastAsia="Times New Roman" w:hint="default"/>
          <w:spacing w:val="-2"/>
        </w:rPr>
        <w:t>/</w:t>
      </w:r>
      <w:r>
        <w:rPr>
          <w:spacing w:val="-2"/>
        </w:rPr>
        <w:t>企业年金</w:t>
      </w:r>
    </w:p>
    <w:p>
      <w:pPr>
        <w:pStyle w:val="BodyText"/>
        <w:spacing w:line="300" w:lineRule="auto"/>
        <w:ind w:left="628" w:right="1033" w:hanging="360"/>
        <w:jc w:val="left"/>
      </w:pPr>
      <w:r>
        <w:rPr>
          <w:spacing w:val="-3"/>
        </w:rPr>
        <w:t>计划。本公司按职工工资总额的一定比例向当地社会保险机构缴费</w:t>
      </w:r>
      <w:r>
        <w:rPr>
          <w:rFonts w:ascii="Times New Roman" w:hAnsi="Times New Roman" w:cs="Times New Roman" w:eastAsia="Times New Roman" w:hint="default"/>
          <w:spacing w:val="-3"/>
        </w:rPr>
        <w:t>/</w:t>
      </w:r>
      <w:r>
        <w:rPr>
          <w:spacing w:val="-3"/>
        </w:rPr>
        <w:t>年金计划缴费，相应支出计入当期损益或相关资产成本。</w:t>
      </w:r>
      <w:r>
        <w:rPr>
          <w:spacing w:val="-81"/>
        </w:rPr>
        <w:t> </w:t>
      </w:r>
      <w:r>
        <w:rPr>
          <w:spacing w:val="-81"/>
        </w:rPr>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本公司根据预期累计福利单位法确定的公式将设定受益计划产生的福利义务归属于职工提供服务的期间，并计入当期</w:t>
      </w:r>
    </w:p>
    <w:p>
      <w:pPr>
        <w:pStyle w:val="BodyText"/>
        <w:spacing w:line="316" w:lineRule="auto" w:before="31"/>
        <w:ind w:left="628" w:right="1278" w:hanging="360"/>
        <w:jc w:val="left"/>
      </w:pPr>
      <w:r>
        <w:rPr/>
        <w:t>损益或相关资产成本。 设定受益计划义务现值减去设定受益计划资产公允价值所形成的赤字或盈余确认为一项设定受益计划净负债或净资</w:t>
      </w:r>
    </w:p>
    <w:p>
      <w:pPr>
        <w:pStyle w:val="BodyText"/>
        <w:spacing w:line="316" w:lineRule="auto" w:before="19"/>
        <w:ind w:left="628" w:right="0" w:hanging="360"/>
        <w:jc w:val="left"/>
      </w:pPr>
      <w:r>
        <w:rPr/>
        <w:t>产。设定受益计划存在盈余的，本公司以设定受益计划的盈余和资产上限两项的孰低者计量设定受益计划净资产。 </w:t>
      </w:r>
      <w:r>
        <w:rPr>
          <w:spacing w:val="-1"/>
        </w:rPr>
        <w:t>所有设定受益计划义务，包括预期在职工提供服务的年度报告期间结束后的十二个月内支付的义务，根据资产负债表</w:t>
      </w:r>
    </w:p>
    <w:p>
      <w:pPr>
        <w:pStyle w:val="BodyText"/>
        <w:spacing w:line="316" w:lineRule="auto" w:before="19"/>
        <w:ind w:left="628" w:right="0" w:hanging="360"/>
        <w:jc w:val="left"/>
      </w:pPr>
      <w:r>
        <w:rPr/>
        <w:t>日与设定受益计划义务期限和币种相匹配的国债或活跃市场上的高质量公司债券的市场收益率予以折现。 </w:t>
      </w:r>
      <w:r>
        <w:rPr>
          <w:spacing w:val="-1"/>
        </w:rPr>
        <w:t>设定受益计划产生的服务成本和设定受益计划净负债或净资产的利息净额计入当期损益或相关资产成本；重新计量设</w:t>
      </w:r>
    </w:p>
    <w:p>
      <w:pPr>
        <w:pStyle w:val="BodyText"/>
        <w:spacing w:line="316" w:lineRule="auto" w:before="19"/>
        <w:ind w:left="267" w:right="0"/>
        <w:jc w:val="left"/>
      </w:pPr>
      <w:r>
        <w:rPr>
          <w:spacing w:val="-1"/>
        </w:rPr>
        <w:t>定受益计划净负债或净资产所产生的变动计入其他综合收益，并且在后续会计期间不转回至损益，在原设定受益计划终止</w:t>
      </w:r>
      <w:r>
        <w:rPr>
          <w:spacing w:val="-55"/>
        </w:rPr>
        <w:t> </w:t>
      </w:r>
      <w:r>
        <w:rPr>
          <w:spacing w:val="-55"/>
        </w:rPr>
      </w:r>
      <w:r>
        <w:rPr/>
        <w:t>时在权益范围内将原计入其他综合收益的部分全部结转至未分配利润。</w:t>
      </w:r>
    </w:p>
    <w:p>
      <w:pPr>
        <w:pStyle w:val="BodyText"/>
        <w:spacing w:line="240" w:lineRule="auto" w:before="19"/>
        <w:ind w:left="628" w:right="0"/>
        <w:jc w:val="left"/>
      </w:pPr>
      <w:r>
        <w:rPr/>
        <w:t>在设定受益计划结算时，按在结算日确定的设定受益计划义务现值和结算价格两者的差额，确认结算利得或损失。</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辞退福利的会计处理方法" w:id="216"/>
      <w:bookmarkEnd w:id="21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67" w:right="0" w:firstLine="360"/>
        <w:jc w:val="left"/>
      </w:pPr>
      <w:r>
        <w:rPr>
          <w:spacing w:val="-1"/>
        </w:rPr>
        <w:t>本公司在不能单方面撤回因解除劳动关系计划或裁减建议所提供的辞退福利时，或确认与涉及支付辞退福利的重组相</w:t>
      </w:r>
      <w:r>
        <w:rPr/>
        <w:t> 关的成本或费用时（两者孰早），确认辞退福利产生的职工薪酬负债，并计入当期损益。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其他长期职工福利的会计处理方法" w:id="217"/>
      <w:bookmarkEnd w:id="21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5、预计负债" w:id="218"/>
      <w:bookmarkEnd w:id="21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628" w:right="1458"/>
        <w:jc w:val="left"/>
      </w:pPr>
      <w:r>
        <w:rPr/>
        <w:t>预计负债的确认标准 与诉讼、债务担保、亏损合同、重组事项等或有事项相关的义务同时满足下列条件时，本公司确认为预计负债：</w:t>
      </w:r>
    </w:p>
    <w:p>
      <w:pPr>
        <w:pStyle w:val="BodyText"/>
        <w:spacing w:line="240" w:lineRule="auto" w:before="17"/>
        <w:ind w:left="628"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628"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628" w:right="0"/>
        <w:jc w:val="left"/>
      </w:pPr>
      <w:r>
        <w:rPr/>
        <w:t>（</w:t>
      </w:r>
      <w:r>
        <w:rPr>
          <w:rFonts w:ascii="Times New Roman" w:hAnsi="Times New Roman" w:cs="Times New Roman" w:eastAsia="Times New Roman" w:hint="default"/>
        </w:rPr>
        <w:t>3</w:t>
      </w:r>
      <w:r>
        <w:rPr/>
        <w:t>）该义务的金额能够可靠地计量。</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6、股份支付" w:id="219"/>
      <w:bookmarkEnd w:id="21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67" w:right="1130" w:firstLine="360"/>
        <w:jc w:val="both"/>
      </w:pPr>
      <w:r>
        <w:rPr>
          <w:spacing w:val="-1"/>
        </w:rPr>
        <w:t>本公司的股份支付是为了获取职工提供服务而授予权益工具或者承担以权益工具为基础确定的负债的交易。本公司的</w:t>
      </w:r>
      <w:r>
        <w:rPr/>
        <w:t> 股份支付分为以权益结算的股份支付和以现金结算的股份支付。</w:t>
      </w:r>
    </w:p>
    <w:p>
      <w:pPr>
        <w:pStyle w:val="BodyText"/>
        <w:spacing w:line="316" w:lineRule="auto" w:before="19"/>
        <w:ind w:left="628" w:right="0"/>
        <w:jc w:val="left"/>
      </w:pPr>
      <w:r>
        <w:rPr/>
        <w:t>以权益结算的股份支付及权益工具 </w:t>
      </w:r>
      <w:r>
        <w:rPr>
          <w:spacing w:val="-1"/>
        </w:rPr>
        <w:t>以权益结算的股份支付换取职工提供服务的，以授予职工权益工具的公允价值计量。授予后立即可行权的，在授予日</w:t>
      </w:r>
    </w:p>
    <w:p>
      <w:pPr>
        <w:pStyle w:val="BodyText"/>
        <w:spacing w:line="316" w:lineRule="auto" w:before="19"/>
        <w:ind w:left="267" w:right="1115"/>
        <w:jc w:val="both"/>
      </w:pPr>
      <w:r>
        <w:rPr/>
        <w:t>按照公允价值计入相关成本或费用，相应增加资本公积；完成等待期内的服务或达到规定业绩条件才可行权的，在等待期 </w:t>
      </w:r>
      <w:r>
        <w:rPr>
          <w:spacing w:val="-1"/>
        </w:rPr>
        <w:t>内每个资产负债表日，本公司根据最新取得的可行权职工人数变动、是否达到规定业绩条件等后续信息对可行权权益工具</w:t>
      </w:r>
      <w:r>
        <w:rPr>
          <w:spacing w:val="-55"/>
        </w:rPr>
        <w:t> </w:t>
      </w:r>
      <w:r>
        <w:rPr>
          <w:spacing w:val="-55"/>
        </w:rPr>
      </w:r>
      <w:r>
        <w:rPr/>
        <w:t>数量作出最佳估计，以此为基础，按照授予日的公允价值，将当期取得的服务计入相关成本或费用，相应增加资本公积。</w:t>
      </w:r>
      <w:r>
        <w:rPr/>
        <w:t> 权益工具的公允价值采用</w:t>
      </w:r>
      <w:r>
        <w:rPr>
          <w:rFonts w:ascii="Times New Roman" w:hAnsi="Times New Roman" w:cs="Times New Roman" w:eastAsia="Times New Roman" w:hint="default"/>
        </w:rPr>
        <w:t>BS</w:t>
      </w:r>
      <w:r>
        <w:rPr/>
        <w:t>模型确定，详见附注十－股份支付。</w:t>
      </w:r>
    </w:p>
    <w:p>
      <w:pPr>
        <w:pStyle w:val="BodyText"/>
        <w:spacing w:line="316" w:lineRule="auto"/>
        <w:ind w:left="267" w:right="1130" w:firstLine="360"/>
        <w:jc w:val="both"/>
      </w:pPr>
      <w:r>
        <w:rPr>
          <w:spacing w:val="-1"/>
        </w:rPr>
        <w:t>在满足业绩条件和服务期限条件的期间，应确认以权益结算的股份支付的成本或费用，并相应增加资本公积。可行权</w:t>
      </w:r>
      <w:r>
        <w:rPr/>
        <w:t> </w:t>
      </w:r>
      <w:r>
        <w:rPr>
          <w:spacing w:val="-1"/>
        </w:rPr>
        <w:t>日之前，于每个资产负债表日为以权益结算的股份支付确认的累计金额反映了等待期已届满的部分以及本公司对最终可行</w:t>
      </w:r>
      <w:r>
        <w:rPr>
          <w:spacing w:val="-53"/>
        </w:rPr>
        <w:t> </w:t>
      </w:r>
      <w:r>
        <w:rPr>
          <w:spacing w:val="-53"/>
        </w:rPr>
      </w:r>
      <w:r>
        <w:rPr/>
        <w:t>权的权益工具数量的最佳估计。</w:t>
      </w:r>
    </w:p>
    <w:p>
      <w:pPr>
        <w:pStyle w:val="BodyText"/>
        <w:spacing w:line="316" w:lineRule="auto" w:before="19"/>
        <w:ind w:left="267" w:right="1130" w:firstLine="360"/>
        <w:jc w:val="both"/>
      </w:pPr>
      <w:r>
        <w:rPr>
          <w:spacing w:val="-1"/>
        </w:rPr>
        <w:t>对于最终未能行权的股份支付，不确认成本或费用，除非行权条件是市场条件或非可行权条件，此时无论是否满足市</w:t>
      </w:r>
      <w:r>
        <w:rPr/>
        <w:t> 场条件或非可行权条件，只要满足所有可行权条件中的非市场条件，即视为可行权。</w:t>
      </w:r>
    </w:p>
    <w:p>
      <w:pPr>
        <w:pStyle w:val="BodyText"/>
        <w:spacing w:line="316" w:lineRule="auto" w:before="19"/>
        <w:ind w:left="267" w:right="1131" w:firstLine="360"/>
        <w:jc w:val="both"/>
      </w:pPr>
      <w:r>
        <w:rPr>
          <w:spacing w:val="-1"/>
        </w:rPr>
        <w:t>如果修改了以权益结算的股份支付的条款，至少按照未修改条款的情况确认取得的服务。此外，任何增加所授予权益</w:t>
      </w:r>
      <w:r>
        <w:rPr/>
        <w:t> 工具公允价值的修改，或在修改日对职工有利的变更，均确认取得服务的增加。</w:t>
      </w:r>
    </w:p>
    <w:p>
      <w:pPr>
        <w:pStyle w:val="BodyText"/>
        <w:spacing w:line="316" w:lineRule="auto" w:before="19"/>
        <w:ind w:left="267" w:right="1130" w:firstLine="360"/>
        <w:jc w:val="both"/>
      </w:pPr>
      <w:r>
        <w:rPr>
          <w:spacing w:val="-1"/>
        </w:rPr>
        <w:t>如果取消了以权益结算的股份支付，则于取消日作为加速行权处理，立即确认尚未确认的金额。职工或其他方能够选</w:t>
      </w:r>
      <w:r>
        <w:rPr/>
        <w:t> </w:t>
      </w:r>
      <w:r>
        <w:rPr>
          <w:spacing w:val="-1"/>
        </w:rPr>
        <w:t>择满足非可行权条件但在等待期内未满足的，作为取消以权益结算的股份支付处理。但是，如果授予新的权益工具，并在</w:t>
      </w:r>
      <w:r>
        <w:rPr>
          <w:spacing w:val="-55"/>
        </w:rPr>
        <w:t> </w:t>
      </w:r>
      <w:r>
        <w:rPr>
          <w:spacing w:val="-55"/>
        </w:rPr>
      </w:r>
      <w:r>
        <w:rPr>
          <w:spacing w:val="-1"/>
        </w:rPr>
        <w:t>新权益工具授予日认定所授予的新权益工具是用于替代被取消的权益工具的，则以与处理原权益工具条款和条件修改相同</w:t>
      </w:r>
      <w:r>
        <w:rPr>
          <w:spacing w:val="-53"/>
        </w:rPr>
        <w:t> </w:t>
      </w:r>
      <w:r>
        <w:rPr>
          <w:spacing w:val="-53"/>
        </w:rPr>
      </w:r>
      <w:r>
        <w:rPr/>
        <w:t>的方式，对所授予的替代权益工具进行处理。</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7、优先股、永续债等其他金融工具" w:id="220"/>
      <w:bookmarkEnd w:id="22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67" w:right="1130" w:firstLine="360"/>
        <w:jc w:val="both"/>
      </w:pPr>
      <w:r>
        <w:rPr>
          <w:spacing w:val="-1"/>
        </w:rPr>
        <w:t>本公司发行可转换公司债券时依据条款确定其是否同时包含负债和权益成份。发行的可转换公司债券既包含负债也包</w:t>
      </w:r>
      <w:r>
        <w:rPr/>
        <w:t> </w:t>
      </w:r>
      <w:r>
        <w:rPr>
          <w:spacing w:val="-1"/>
        </w:rPr>
        <w:t>含权益成份的，在初始确认时将负债和权益成份进行分拆，并分别进行处理。在进行分拆时，先确定负债成份的公允价值</w:t>
      </w:r>
      <w:r>
        <w:rPr>
          <w:spacing w:val="-53"/>
        </w:rPr>
        <w:t> </w:t>
      </w:r>
      <w:r>
        <w:rPr>
          <w:spacing w:val="-53"/>
        </w:rPr>
      </w:r>
      <w:r>
        <w:rPr>
          <w:spacing w:val="-1"/>
        </w:rPr>
        <w:t>并以此作为其初始确认金额，再按照可转换公司债券整体的发行价格扣除负债成份初始确认金额后的金额确定权益成份的</w:t>
      </w:r>
      <w:r>
        <w:rPr>
          <w:spacing w:val="-53"/>
        </w:rPr>
        <w:t> </w:t>
      </w:r>
      <w:r>
        <w:rPr>
          <w:spacing w:val="-53"/>
        </w:rPr>
      </w:r>
      <w:r>
        <w:rPr>
          <w:spacing w:val="-1"/>
        </w:rPr>
        <w:t>初始确认金额。交易费用在负债成份和权益成份之间按照各自的相对公允价值进行分摊。负债成份作为负债列示，以摊余</w:t>
      </w:r>
      <w:r>
        <w:rPr>
          <w:spacing w:val="-52"/>
        </w:rPr>
        <w:t> </w:t>
      </w:r>
      <w:r>
        <w:rPr>
          <w:spacing w:val="-52"/>
        </w:rPr>
      </w:r>
      <w:r>
        <w:rPr/>
        <w:t>成本进行后续计量，直至被撤销、转换或赎回。权益成份作为权益列示，不进行后续计量。</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8、收入" w:id="221"/>
      <w:bookmarkEnd w:id="22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240"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2"/>
        <w:ind w:left="628" w:right="0"/>
        <w:jc w:val="left"/>
      </w:pPr>
      <w:r>
        <w:rPr/>
        <w:t>（</w:t>
      </w:r>
      <w:r>
        <w:rPr>
          <w:rFonts w:ascii="Times New Roman" w:hAnsi="Times New Roman" w:cs="Times New Roman" w:eastAsia="Times New Roman" w:hint="default"/>
        </w:rPr>
        <w:t>1</w:t>
      </w:r>
      <w:r>
        <w:rPr/>
        <w:t>）本公司的主要业务分为软件开发、运营维护、系统集成三部分。 </w:t>
      </w:r>
      <w:r>
        <w:rPr>
          <w:spacing w:val="-1"/>
        </w:rPr>
        <w:t>软件开发：是指根据客户的需求，利用开发工具为客户提供一整套实现某种功能的软件产品或者利用已有产品进行的</w:t>
      </w:r>
    </w:p>
    <w:p>
      <w:pPr>
        <w:pStyle w:val="BodyText"/>
        <w:spacing w:line="319" w:lineRule="auto" w:before="30"/>
        <w:ind w:left="628" w:right="0" w:hanging="360"/>
        <w:jc w:val="left"/>
      </w:pPr>
      <w:r>
        <w:rPr/>
        <w:t>二次开发以满足客户的某种特定需求。 运营维护：指利用软件专业知识依托互联网，为客户提供应用服务。包括业务咨询，在线服务，系统维护等。 </w:t>
      </w:r>
      <w:r>
        <w:rPr>
          <w:spacing w:val="-1"/>
        </w:rPr>
        <w:t>系统集成：指根据用户的需求和投入资金的规模，应用各种计算机网络相关技术，选择各种软硬件设备，经过集成设</w:t>
      </w:r>
    </w:p>
    <w:p>
      <w:pPr>
        <w:pStyle w:val="BodyText"/>
        <w:spacing w:line="240" w:lineRule="auto" w:before="17"/>
        <w:ind w:left="267" w:right="0"/>
        <w:jc w:val="left"/>
      </w:pPr>
      <w:r>
        <w:rPr/>
        <w:t>计，安装调试等大量技术性工作使系统能够满足用户对实际工作要求。主要包括软硬件集成、网络布线等等。</w:t>
      </w:r>
    </w:p>
    <w:p>
      <w:pPr>
        <w:pStyle w:val="BodyText"/>
        <w:spacing w:line="300" w:lineRule="auto" w:before="76"/>
        <w:ind w:left="628" w:right="0"/>
        <w:jc w:val="left"/>
      </w:pPr>
      <w:r>
        <w:rPr/>
        <w:t>（</w:t>
      </w:r>
      <w:r>
        <w:rPr>
          <w:rFonts w:ascii="Times New Roman" w:hAnsi="Times New Roman" w:cs="Times New Roman" w:eastAsia="Times New Roman" w:hint="default"/>
        </w:rPr>
        <w:t>2</w:t>
      </w:r>
      <w:r>
        <w:rPr/>
        <w:t>）销售商品收入确认时间的具体判断标准 </w:t>
      </w:r>
      <w:r>
        <w:rPr>
          <w:spacing w:val="-1"/>
        </w:rPr>
        <w:t>公司已将商品所有权上的主要风险和报酬转移给购买方；公司既没有保留与所有权相联系的继续管理权，也没有对已</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267" w:right="1130"/>
        <w:jc w:val="both"/>
      </w:pPr>
      <w:r>
        <w:rPr>
          <w:spacing w:val="-1"/>
        </w:rPr>
        <w:t>售出的商品实施有效控制；收入的金额能够可靠地计量；相关的经济利益很可能流入企业；相关的已发生或将发生的成本</w:t>
      </w:r>
      <w:r>
        <w:rPr>
          <w:spacing w:val="-52"/>
        </w:rPr>
        <w:t> </w:t>
      </w:r>
      <w:r>
        <w:rPr>
          <w:spacing w:val="-52"/>
        </w:rPr>
      </w:r>
      <w:r>
        <w:rPr/>
        <w:t>能够可靠地计量时，确认商品销售收入实现。</w:t>
      </w:r>
    </w:p>
    <w:p>
      <w:pPr>
        <w:pStyle w:val="BodyText"/>
        <w:spacing w:line="312" w:lineRule="auto" w:before="19"/>
        <w:ind w:left="628" w:right="0"/>
        <w:jc w:val="left"/>
      </w:pPr>
      <w:r>
        <w:rPr/>
        <w:t>（</w:t>
      </w:r>
      <w:r>
        <w:rPr>
          <w:rFonts w:ascii="Times New Roman" w:hAnsi="Times New Roman" w:cs="Times New Roman" w:eastAsia="Times New Roman" w:hint="default"/>
        </w:rPr>
        <w:t>3</w:t>
      </w:r>
      <w:r>
        <w:rPr/>
        <w:t>）确认让渡资产使用权收入的依据 </w:t>
      </w:r>
      <w:r>
        <w:rPr>
          <w:spacing w:val="-3"/>
        </w:rPr>
        <w:t>与交易相关的经济利益很可能流入企业，收入的金额能够可靠地计量时。分别下列情况确定让渡资产使用权收入金额：</w:t>
      </w:r>
      <w:r>
        <w:rPr>
          <w:spacing w:val="-40"/>
        </w:rPr>
        <w:t> </w:t>
      </w:r>
      <w:r>
        <w:rPr>
          <w:spacing w:val="-40"/>
        </w:rPr>
      </w:r>
      <w:r>
        <w:rPr/>
        <w:t>利息收入金额，按照他人使用本企业货币资金的时间和实际利率计算确定。 使用费收入金额，按照有关合同或协议约定的收费时间和方法计算确定。</w:t>
      </w:r>
    </w:p>
    <w:p>
      <w:pPr>
        <w:pStyle w:val="BodyText"/>
        <w:spacing w:line="300" w:lineRule="auto" w:before="22"/>
        <w:ind w:left="628" w:right="0"/>
        <w:jc w:val="left"/>
      </w:pPr>
      <w:r>
        <w:rPr/>
        <w:t>（</w:t>
      </w:r>
      <w:r>
        <w:rPr>
          <w:rFonts w:ascii="Times New Roman" w:hAnsi="Times New Roman" w:cs="Times New Roman" w:eastAsia="Times New Roman" w:hint="default"/>
        </w:rPr>
        <w:t>4</w:t>
      </w:r>
      <w:r>
        <w:rPr/>
        <w:t>）按完工百分比法确认提供劳务的收入和建造合同收入时，确定合同完工进度的依据和方法 </w:t>
      </w:r>
      <w:r>
        <w:rPr>
          <w:spacing w:val="-1"/>
        </w:rPr>
        <w:t>在资产负债表日提供劳务交易的结果能够可靠估计的，采用完工百分比法确认提供劳务收入。提供劳务交易的完工进</w:t>
      </w:r>
    </w:p>
    <w:p>
      <w:pPr>
        <w:pStyle w:val="BodyText"/>
        <w:spacing w:line="316" w:lineRule="auto" w:before="31"/>
        <w:ind w:left="628" w:right="0" w:hanging="360"/>
        <w:jc w:val="left"/>
      </w:pPr>
      <w:r>
        <w:rPr/>
        <w:t>度，依据已完工作的测量或已经提供的劳务占应提供劳务总量的比例或已经发生的成本占估计总成本的比例确定。 </w:t>
      </w:r>
      <w:r>
        <w:rPr>
          <w:spacing w:val="-1"/>
        </w:rPr>
        <w:t>按照已收或应收的合同或协议价款确定提供劳务收入总额，但已收或应收的合同或协议价款不公允的除外。资产负债</w:t>
      </w:r>
    </w:p>
    <w:p>
      <w:pPr>
        <w:pStyle w:val="BodyText"/>
        <w:spacing w:line="316" w:lineRule="auto" w:before="19"/>
        <w:ind w:left="628" w:right="1098" w:hanging="360"/>
        <w:jc w:val="left"/>
      </w:pPr>
      <w:r>
        <w:rPr/>
        <w:t>表日按照提供劳务收入总额乘以完工进度扣除以前会计期间累计已确认提供劳务收入后的金额，确认当期提供劳务收入。 在资产负债表日提供劳务交易结果不能够可靠估计的，分别下列情况处理： </w:t>
      </w:r>
      <w:r>
        <w:rPr>
          <w:spacing w:val="-1"/>
        </w:rPr>
        <w:t>已经发生的劳务成本预计能够得到补偿的，按照已经发生的劳务成本金额确认提供劳务收入，并按相同金额结转劳务</w:t>
      </w:r>
    </w:p>
    <w:p>
      <w:pPr>
        <w:pStyle w:val="BodyText"/>
        <w:spacing w:line="240" w:lineRule="auto" w:before="19"/>
        <w:ind w:left="267" w:right="0"/>
        <w:jc w:val="left"/>
      </w:pPr>
      <w:r>
        <w:rPr/>
        <w:t>成本。</w:t>
      </w:r>
    </w:p>
    <w:p>
      <w:pPr>
        <w:pStyle w:val="BodyText"/>
        <w:spacing w:line="316" w:lineRule="auto" w:before="76"/>
        <w:ind w:left="628" w:right="0"/>
        <w:jc w:val="left"/>
      </w:pPr>
      <w:r>
        <w:rPr/>
        <w:t>已经发生的劳务成本预计不能够得到补偿的，将已经发生的劳务成本计入当期损益，不确认提供劳务收入。 确认建造合同收入的原则 </w:t>
      </w:r>
      <w:r>
        <w:rPr>
          <w:spacing w:val="-1"/>
        </w:rPr>
        <w:t>在建造合同的结果能够可靠估计的情况下，于资产负债表日按照完工百分比法确认合同收入和合同费用。合同完工进</w:t>
      </w:r>
    </w:p>
    <w:p>
      <w:pPr>
        <w:pStyle w:val="BodyText"/>
        <w:spacing w:line="316" w:lineRule="auto" w:before="19"/>
        <w:ind w:left="628" w:right="0" w:hanging="360"/>
        <w:jc w:val="left"/>
      </w:pPr>
      <w:r>
        <w:rPr/>
        <w:t>度按累计实际发生的合同成本占合同预计总成本的比例确定。 </w:t>
      </w:r>
      <w:r>
        <w:rPr>
          <w:spacing w:val="-2"/>
        </w:rPr>
        <w:t>建造合同的结果能够可靠估计是指同时满足：</w:t>
      </w:r>
      <w:r>
        <w:rPr>
          <w:rFonts w:ascii="Times New Roman" w:hAnsi="Times New Roman" w:cs="Times New Roman" w:eastAsia="Times New Roman" w:hint="default"/>
          <w:spacing w:val="-2"/>
        </w:rPr>
        <w:t>(1)</w:t>
      </w:r>
      <w:r>
        <w:rPr>
          <w:spacing w:val="-2"/>
        </w:rPr>
        <w:t>合同总收入能够可靠地计量；</w:t>
      </w:r>
      <w:r>
        <w:rPr>
          <w:rFonts w:ascii="Times New Roman" w:hAnsi="Times New Roman" w:cs="Times New Roman" w:eastAsia="Times New Roman" w:hint="default"/>
          <w:spacing w:val="-2"/>
        </w:rPr>
        <w:t>(2)</w:t>
      </w:r>
      <w:r>
        <w:rPr>
          <w:spacing w:val="-2"/>
        </w:rPr>
        <w:t>与合同相关的经济利益很可能流入企</w:t>
      </w:r>
    </w:p>
    <w:p>
      <w:pPr>
        <w:pStyle w:val="BodyText"/>
        <w:spacing w:line="300" w:lineRule="auto"/>
        <w:ind w:left="628" w:right="1032" w:hanging="360"/>
        <w:jc w:val="left"/>
      </w:pPr>
      <w:r>
        <w:rPr>
          <w:spacing w:val="-3"/>
        </w:rPr>
        <w:t>业；</w:t>
      </w:r>
      <w:r>
        <w:rPr>
          <w:rFonts w:ascii="Times New Roman" w:hAnsi="Times New Roman" w:cs="Times New Roman" w:eastAsia="Times New Roman" w:hint="default"/>
          <w:spacing w:val="-3"/>
        </w:rPr>
        <w:t>(3)</w:t>
      </w:r>
      <w:r>
        <w:rPr>
          <w:spacing w:val="-3"/>
        </w:rPr>
        <w:t>实际发生的合同成本能够清楚地区分和可靠地计量；</w:t>
      </w:r>
      <w:r>
        <w:rPr>
          <w:rFonts w:ascii="Times New Roman" w:hAnsi="Times New Roman" w:cs="Times New Roman" w:eastAsia="Times New Roman" w:hint="default"/>
          <w:spacing w:val="-3"/>
        </w:rPr>
        <w:t>(4)</w:t>
      </w:r>
      <w:r>
        <w:rPr>
          <w:spacing w:val="-3"/>
        </w:rPr>
        <w:t>合同完工进度和为完成合同尚需发生的成本能够可靠地确定。</w:t>
      </w:r>
      <w:r>
        <w:rPr>
          <w:spacing w:val="-82"/>
        </w:rPr>
        <w:t> </w:t>
      </w:r>
      <w:r>
        <w:rPr/>
        <w:t>如建造合同的结果不能可靠地估计，但合同成本能够收回的，合同收入根据能够收回的实际合同成本予以确认，合同</w:t>
      </w:r>
    </w:p>
    <w:p>
      <w:pPr>
        <w:pStyle w:val="BodyText"/>
        <w:spacing w:line="319" w:lineRule="auto" w:before="31"/>
        <w:ind w:left="267" w:right="1130"/>
        <w:jc w:val="both"/>
      </w:pPr>
      <w:r>
        <w:rPr>
          <w:spacing w:val="-1"/>
        </w:rPr>
        <w:t>成本在其发生的当期确认为合同费用；合同成本不可能收回的，在发生时立即确认为合同费用，不确认合同收入。使建造</w:t>
      </w:r>
      <w:r>
        <w:rPr>
          <w:spacing w:val="-53"/>
        </w:rPr>
        <w:t> </w:t>
      </w:r>
      <w:r>
        <w:rPr>
          <w:spacing w:val="-53"/>
        </w:rPr>
      </w:r>
      <w:r>
        <w:rPr/>
        <w:t>合同的结果不能可靠估计的不确定因素不复存在的，按照完工百分比法确定与建造合同有关的收入和费用。</w:t>
      </w:r>
    </w:p>
    <w:p>
      <w:pPr>
        <w:pStyle w:val="BodyText"/>
        <w:spacing w:line="240" w:lineRule="auto" w:before="17"/>
        <w:ind w:left="628" w:right="0"/>
        <w:jc w:val="left"/>
      </w:pPr>
      <w:r>
        <w:rPr/>
        <w:t>合同预计总成本超过合同总收入的，将预计损失确认为当期费用。</w:t>
      </w:r>
    </w:p>
    <w:p>
      <w:pPr>
        <w:pStyle w:val="BodyText"/>
        <w:spacing w:line="300" w:lineRule="auto" w:before="76"/>
        <w:ind w:left="628" w:right="0"/>
        <w:jc w:val="left"/>
      </w:pPr>
      <w:r>
        <w:rPr/>
        <w:t>（</w:t>
      </w:r>
      <w:r>
        <w:rPr>
          <w:rFonts w:ascii="Times New Roman" w:hAnsi="Times New Roman" w:cs="Times New Roman" w:eastAsia="Times New Roman" w:hint="default"/>
        </w:rPr>
        <w:t>5</w:t>
      </w:r>
      <w:r>
        <w:rPr/>
        <w:t>）项目收入确认具体原则： </w:t>
      </w:r>
      <w:r>
        <w:rPr>
          <w:spacing w:val="-1"/>
        </w:rPr>
        <w:t>软件开发项目：按照合同约定、在项目实施完成并经对方验收合格后确认收入；跨年度开发合同由公司业务技术部门</w:t>
      </w:r>
    </w:p>
    <w:p>
      <w:pPr>
        <w:pStyle w:val="BodyText"/>
        <w:spacing w:line="316" w:lineRule="auto" w:before="31"/>
        <w:ind w:left="628" w:right="0" w:hanging="360"/>
        <w:jc w:val="left"/>
      </w:pPr>
      <w:r>
        <w:rPr/>
        <w:t>提供项目开发进度，经用户确认后，按照完工百分比法确认收入。 </w:t>
      </w:r>
      <w:r>
        <w:rPr>
          <w:spacing w:val="-1"/>
        </w:rPr>
        <w:t>运营维护收入：按照合同约定、在运营维护服务已经提供，收到价款或取得收取价款的依据时，确认运营维护收入的</w:t>
      </w:r>
    </w:p>
    <w:p>
      <w:pPr>
        <w:pStyle w:val="BodyText"/>
        <w:spacing w:line="316" w:lineRule="auto" w:before="19"/>
        <w:ind w:left="267" w:right="1130"/>
        <w:jc w:val="both"/>
      </w:pPr>
      <w:r>
        <w:rPr>
          <w:spacing w:val="-1"/>
        </w:rPr>
        <w:t>实现；如运营维护服务的开始和完成分属不同的会计年度，在提供运营维护服务的结果能够可靠估计的情况下，在合同约</w:t>
      </w:r>
      <w:r>
        <w:rPr>
          <w:spacing w:val="-52"/>
        </w:rPr>
        <w:t> </w:t>
      </w:r>
      <w:r>
        <w:rPr>
          <w:spacing w:val="-52"/>
        </w:rPr>
      </w:r>
      <w:r>
        <w:rPr>
          <w:spacing w:val="-1"/>
        </w:rPr>
        <w:t>定的服务期限内，按进度确认相关的运营维护服务收入；合同明确约定服务成果需经客户验收确认的，根据客户验收情况</w:t>
      </w:r>
      <w:r>
        <w:rPr>
          <w:spacing w:val="-52"/>
        </w:rPr>
        <w:t> </w:t>
      </w:r>
      <w:r>
        <w:rPr>
          <w:spacing w:val="-52"/>
        </w:rPr>
      </w:r>
      <w:r>
        <w:rPr/>
        <w:t>确认收入。</w:t>
      </w:r>
    </w:p>
    <w:p>
      <w:pPr>
        <w:pStyle w:val="BodyText"/>
        <w:spacing w:line="316" w:lineRule="auto" w:before="19"/>
        <w:ind w:left="267" w:right="1130" w:firstLine="360"/>
        <w:jc w:val="both"/>
      </w:pPr>
      <w:r>
        <w:rPr>
          <w:spacing w:val="-1"/>
        </w:rPr>
        <w:t>系统集成收入：公司根据合同的约定，在相关货物发出并收取价款或取得收取价款的依据、并经对方用户验收合格后</w:t>
      </w:r>
      <w:r>
        <w:rPr/>
        <w:t> </w:t>
      </w:r>
      <w:r>
        <w:rPr>
          <w:spacing w:val="-1"/>
        </w:rPr>
        <w:t>确认系统集成收入的实现。对于跨年度开发项目，由公司业务技术部门提供项目开发进度，经用户确认后，按完工百分比</w:t>
      </w:r>
      <w:r>
        <w:rPr>
          <w:spacing w:val="-53"/>
        </w:rPr>
        <w:t> </w:t>
      </w:r>
      <w:r>
        <w:rPr>
          <w:spacing w:val="-53"/>
        </w:rPr>
      </w:r>
      <w:r>
        <w:rPr/>
        <w:t>确认收入。</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9、政府补助" w:id="222"/>
      <w:bookmarkEnd w:id="22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right="0"/>
        <w:jc w:val="left"/>
        <w:rPr>
          <w:b w:val="0"/>
          <w:bCs w:val="0"/>
        </w:rPr>
      </w:pPr>
      <w:r>
        <w:rPr/>
        <w:t>（</w:t>
      </w:r>
      <w:r>
        <w:rPr>
          <w:rFonts w:ascii="宋体" w:hAnsi="宋体" w:cs="宋体" w:eastAsia="宋体" w:hint="default"/>
        </w:rPr>
        <w:t>1</w:t>
      </w:r>
      <w:r>
        <w:rPr/>
        <w:t>）类型</w:t>
      </w:r>
      <w:r>
        <w:rPr>
          <w:b w:val="0"/>
          <w:bCs w:val="0"/>
        </w:rPr>
      </w:r>
    </w:p>
    <w:p>
      <w:pPr>
        <w:pStyle w:val="BodyText"/>
        <w:spacing w:line="316" w:lineRule="auto" w:before="76"/>
        <w:ind w:left="267" w:right="1133" w:firstLine="360"/>
        <w:jc w:val="both"/>
      </w:pPr>
      <w:r>
        <w:rPr>
          <w:spacing w:val="-1"/>
        </w:rPr>
        <w:t>政府补助，是本公司从政府无偿取得的货币性资产与非货币性资产。分为与资产相关的政府补助和与收益相关的政府</w:t>
      </w:r>
      <w:r>
        <w:rPr/>
        <w:t> 补助。</w:t>
      </w:r>
    </w:p>
    <w:p>
      <w:pPr>
        <w:pStyle w:val="BodyText"/>
        <w:spacing w:line="316" w:lineRule="auto" w:before="19"/>
        <w:ind w:left="267" w:right="1130" w:firstLine="360"/>
        <w:jc w:val="both"/>
      </w:pPr>
      <w:r>
        <w:rPr>
          <w:spacing w:val="-1"/>
        </w:rPr>
        <w:t>与资产相关的政府补助，是指本公司取得的、用于购建或以其他方式形成长期资产的政府补助。与收益相关的政府补</w:t>
      </w:r>
      <w:r>
        <w:rPr/>
        <w:t> 助，是指除与资产相关的政府补助之外的政府补助。</w:t>
      </w:r>
    </w:p>
    <w:p>
      <w:pPr>
        <w:pStyle w:val="BodyText"/>
        <w:spacing w:line="316" w:lineRule="auto" w:before="19"/>
        <w:ind w:left="267" w:right="1132" w:firstLine="360"/>
        <w:jc w:val="both"/>
      </w:pPr>
      <w:r>
        <w:rPr>
          <w:spacing w:val="-1"/>
        </w:rPr>
        <w:t>本公司将政府补助划分为与资产相关的具体标准为：将所取得的用于购建或以其他方式形成长期资产的政府补助界定</w:t>
      </w:r>
      <w:r>
        <w:rPr/>
        <w:t> 为与资产相关的政府补助。</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267" w:right="0" w:firstLine="360"/>
        <w:jc w:val="left"/>
      </w:pPr>
      <w:r>
        <w:rPr>
          <w:spacing w:val="-1"/>
        </w:rPr>
        <w:t>本公司将政府补助划分为与收益相关的具体标准为：将界定为与资产相关的政府补助以外其余的政府补助界定为与收</w:t>
      </w:r>
      <w:r>
        <w:rPr/>
        <w:t> 益相关的政府补助。</w:t>
      </w:r>
    </w:p>
    <w:p>
      <w:pPr>
        <w:pStyle w:val="BodyText"/>
        <w:spacing w:line="240" w:lineRule="auto" w:before="19"/>
        <w:ind w:left="628" w:right="0"/>
        <w:jc w:val="left"/>
      </w:pPr>
      <w:r>
        <w:rPr/>
        <w:t>对于政府文件未明确规定补助对象的，本公司将该政府补助划分为与资产相关或与收益相关的判断依据为：</w:t>
      </w:r>
    </w:p>
    <w:p>
      <w:pPr>
        <w:pStyle w:val="BodyText"/>
        <w:spacing w:line="300" w:lineRule="auto" w:before="76"/>
        <w:ind w:left="267" w:right="1189" w:firstLine="360"/>
        <w:jc w:val="left"/>
      </w:pPr>
      <w:r>
        <w:rPr>
          <w:rFonts w:ascii="Times New Roman" w:hAnsi="Times New Roman" w:cs="Times New Roman" w:eastAsia="Times New Roman" w:hint="default"/>
        </w:rPr>
        <w:t>1</w:t>
      </w:r>
      <w:r>
        <w:rPr/>
        <w:t>）政府文件明确了补助所针对的特定项目的，根据该特定项目的预算中将形成资产的支出金额和计入费用的支出金 额的相对比例进行划分，对该划分比例需在每个资产负债表日进行复核，必要时进行变更。</w:t>
      </w:r>
    </w:p>
    <w:p>
      <w:pPr>
        <w:pStyle w:val="BodyText"/>
        <w:spacing w:line="240" w:lineRule="auto" w:before="31"/>
        <w:ind w:left="628" w:right="0"/>
        <w:jc w:val="left"/>
      </w:pPr>
      <w:r>
        <w:rPr>
          <w:rFonts w:ascii="Times New Roman" w:hAnsi="Times New Roman" w:cs="Times New Roman" w:eastAsia="Times New Roman" w:hint="default"/>
        </w:rPr>
        <w:t>2</w:t>
      </w:r>
      <w:r>
        <w:rPr/>
        <w:t>）政府文件中对用途仅作一般性表述，没有指明特定项目的，作为与收益相关的政府补助。</w:t>
      </w:r>
    </w:p>
    <w:p>
      <w:pPr>
        <w:pStyle w:val="Heading6"/>
        <w:spacing w:line="240" w:lineRule="auto" w:before="63"/>
        <w:ind w:right="0"/>
        <w:jc w:val="left"/>
        <w:rPr>
          <w:b w:val="0"/>
          <w:bCs w:val="0"/>
        </w:rPr>
      </w:pPr>
      <w:r>
        <w:rPr/>
        <w:t>（</w:t>
      </w:r>
      <w:r>
        <w:rPr>
          <w:rFonts w:ascii="Times New Roman" w:hAnsi="Times New Roman" w:cs="Times New Roman" w:eastAsia="Times New Roman" w:hint="default"/>
        </w:rPr>
        <w:t>2</w:t>
      </w:r>
      <w:r>
        <w:rPr/>
        <w:t>）确认时点</w:t>
      </w:r>
      <w:r>
        <w:rPr>
          <w:b w:val="0"/>
          <w:bCs w:val="0"/>
        </w:rPr>
      </w:r>
    </w:p>
    <w:p>
      <w:pPr>
        <w:pStyle w:val="BodyText"/>
        <w:spacing w:line="316" w:lineRule="auto" w:before="63"/>
        <w:ind w:left="267" w:right="0" w:firstLine="360"/>
        <w:jc w:val="left"/>
      </w:pPr>
      <w:r>
        <w:rPr>
          <w:spacing w:val="-1"/>
        </w:rPr>
        <w:t>政府补助为货币性资产的，按照收到或应收的金额计量。政府补助为非货币性资产的，按照公允价值计量；公允价值</w:t>
      </w:r>
      <w:r>
        <w:rPr/>
        <w:t> 不能够可靠取得的，按照名义金额计量。按照名义金额计量的政府补助，直接计入当期损益。</w:t>
      </w:r>
    </w:p>
    <w:p>
      <w:pPr>
        <w:pStyle w:val="BodyText"/>
        <w:spacing w:line="240" w:lineRule="auto" w:before="19"/>
        <w:ind w:left="628" w:right="0"/>
        <w:jc w:val="left"/>
      </w:pPr>
      <w:r>
        <w:rPr/>
        <w:t>本公司对于政府补助在实际收到时，按照实收金额予以确认和计量。</w:t>
      </w:r>
    </w:p>
    <w:p>
      <w:pPr>
        <w:pStyle w:val="Heading6"/>
        <w:spacing w:line="240" w:lineRule="auto" w:before="76"/>
        <w:ind w:right="0"/>
        <w:jc w:val="left"/>
        <w:rPr>
          <w:b w:val="0"/>
          <w:bCs w:val="0"/>
        </w:rPr>
      </w:pPr>
      <w:r>
        <w:rPr/>
        <w:t>（</w:t>
      </w:r>
      <w:r>
        <w:rPr>
          <w:rFonts w:ascii="Times New Roman" w:hAnsi="Times New Roman" w:cs="Times New Roman" w:eastAsia="Times New Roman" w:hint="default"/>
        </w:rPr>
        <w:t>3</w:t>
      </w:r>
      <w:r>
        <w:rPr/>
        <w:t>）会计处理</w:t>
      </w:r>
      <w:r>
        <w:rPr>
          <w:b w:val="0"/>
          <w:bCs w:val="0"/>
        </w:rPr>
      </w:r>
    </w:p>
    <w:p>
      <w:pPr>
        <w:pStyle w:val="BodyText"/>
        <w:spacing w:line="316" w:lineRule="auto" w:before="63"/>
        <w:ind w:left="267" w:right="0" w:firstLine="360"/>
        <w:jc w:val="left"/>
      </w:pPr>
      <w:r>
        <w:rPr>
          <w:spacing w:val="-1"/>
        </w:rPr>
        <w:t>与资产相关的政府补助，确认为递延收益在相关资产使用寿命内按照合理、系统的方法分期计入当期损益（与本公司</w:t>
      </w:r>
      <w:r>
        <w:rPr/>
        <w:t> 日常活动相关的，计入其他收益；与本公司日常活动无关的，计入营业外收入）；</w:t>
      </w:r>
    </w:p>
    <w:p>
      <w:pPr>
        <w:pStyle w:val="BodyText"/>
        <w:spacing w:line="316" w:lineRule="auto" w:before="19"/>
        <w:ind w:left="267" w:right="0" w:firstLine="360"/>
        <w:jc w:val="left"/>
      </w:pPr>
      <w:r>
        <w:rPr/>
        <w:t>与收益相关的政府补助，用于补偿本公司以后期间的相关成本费用或损失的，确认为递延收益，并在确认相关成本费 </w:t>
      </w:r>
      <w:r>
        <w:rPr>
          <w:spacing w:val="-6"/>
        </w:rPr>
        <w:t>用或损失的期间，计入当期损益（与本公司日常活动相关的，计入其他收益；与本公司日常活动无关的，计入营业外收入）；</w:t>
      </w:r>
      <w:r>
        <w:rPr>
          <w:spacing w:val="-51"/>
        </w:rPr>
        <w:t> </w:t>
      </w:r>
      <w:r>
        <w:rPr>
          <w:spacing w:val="-51"/>
        </w:rPr>
      </w:r>
      <w:r>
        <w:rPr/>
        <w:t>用于补偿本公司已发生的相关成本费用或损失的，直接计入当期损益（与本公司日常活动相关的，计入其他收益；与本公</w:t>
      </w:r>
      <w:r>
        <w:rPr/>
        <w:t> 司日常活动无关的，计入营业外收入）。</w:t>
      </w:r>
    </w:p>
    <w:p>
      <w:pPr>
        <w:pStyle w:val="BodyText"/>
        <w:spacing w:line="240" w:lineRule="auto" w:before="19"/>
        <w:ind w:left="628" w:right="0"/>
        <w:jc w:val="left"/>
      </w:pPr>
      <w:r>
        <w:rPr/>
        <w:t>本公司取得的政策性优惠贷款贴息，区分以下两种情况，分别进行会计处理：</w:t>
      </w:r>
    </w:p>
    <w:p>
      <w:pPr>
        <w:pStyle w:val="BodyText"/>
        <w:spacing w:line="300" w:lineRule="auto" w:before="76"/>
        <w:ind w:left="267" w:right="1189" w:firstLine="360"/>
        <w:jc w:val="left"/>
      </w:pP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31"/>
        <w:ind w:left="628" w:right="0"/>
        <w:jc w:val="left"/>
      </w:pP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30、递延所得税资产/递延所得税负债" w:id="223"/>
      <w:bookmarkEnd w:id="22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67" w:right="1132" w:firstLine="360"/>
        <w:jc w:val="both"/>
      </w:pPr>
      <w:r>
        <w:rPr>
          <w:spacing w:val="-1"/>
        </w:rPr>
        <w:t>对于可抵扣暂时性差异确认递延所得税资产，以未来期间很可能取得的用来抵扣可抵扣暂时性差异的应纳税所得额为</w:t>
      </w:r>
      <w:r>
        <w:rPr/>
        <w:t> </w:t>
      </w:r>
      <w:r>
        <w:rPr>
          <w:spacing w:val="-1"/>
        </w:rPr>
        <w:t>限。对于能够结转以后年度的可抵扣亏损和税款抵减，以很可能获得用来抵扣可抵扣亏损和税款抵减的未来应纳税所得额</w:t>
      </w:r>
      <w:r>
        <w:rPr>
          <w:spacing w:val="-55"/>
        </w:rPr>
        <w:t> </w:t>
      </w:r>
      <w:r>
        <w:rPr>
          <w:spacing w:val="-55"/>
        </w:rPr>
      </w:r>
      <w:r>
        <w:rPr/>
        <w:t>为限，确认相应的递延所得税资产。</w:t>
      </w:r>
    </w:p>
    <w:p>
      <w:pPr>
        <w:pStyle w:val="BodyText"/>
        <w:spacing w:line="316" w:lineRule="auto" w:before="19"/>
        <w:ind w:left="628" w:right="0"/>
        <w:jc w:val="left"/>
      </w:pPr>
      <w:r>
        <w:rPr/>
        <w:t>对于应纳税暂时性差异，除特殊情况外，确认递延所得税负债。 </w:t>
      </w:r>
      <w:r>
        <w:rPr>
          <w:spacing w:val="-1"/>
        </w:rPr>
        <w:t>不确认递延所得税资产或递延所得税负债的特殊情况包括：商誉的初始确认；除企业合并以外的发生时既不影响会计</w:t>
      </w:r>
    </w:p>
    <w:p>
      <w:pPr>
        <w:pStyle w:val="BodyText"/>
        <w:spacing w:line="316" w:lineRule="auto" w:before="19"/>
        <w:ind w:left="628" w:right="0" w:hanging="360"/>
        <w:jc w:val="left"/>
      </w:pPr>
      <w:r>
        <w:rPr/>
        <w:t>利润也不影响应纳税所得额（或可抵扣亏损）的其他交易或事项。 </w:t>
      </w:r>
      <w:r>
        <w:rPr>
          <w:spacing w:val="-1"/>
        </w:rPr>
        <w:t>当拥有以净额结算的法定权利，且意图以净额结算或取得资产、清偿负债同时进行时，当期所得税资产及当期所得税</w:t>
      </w:r>
    </w:p>
    <w:p>
      <w:pPr>
        <w:pStyle w:val="BodyText"/>
        <w:spacing w:line="316" w:lineRule="auto" w:before="19"/>
        <w:ind w:left="628" w:right="0" w:hanging="360"/>
        <w:jc w:val="left"/>
      </w:pPr>
      <w:r>
        <w:rPr/>
        <w:t>负债以抵销后的净额列报。 </w:t>
      </w:r>
      <w:r>
        <w:rPr>
          <w:spacing w:val="-1"/>
        </w:rPr>
        <w:t>当拥有以净额结算当期所得税资产及当期所得税负债的法定权利，且递延所得税资产及递延所得税负债是与同一税收</w:t>
      </w:r>
    </w:p>
    <w:p>
      <w:pPr>
        <w:pStyle w:val="BodyText"/>
        <w:spacing w:line="316" w:lineRule="auto" w:before="19"/>
        <w:ind w:left="267" w:right="1130"/>
        <w:jc w:val="both"/>
      </w:pPr>
      <w:r>
        <w:rPr>
          <w:spacing w:val="-1"/>
        </w:rPr>
        <w:t>征管部门对同一纳税主体征收的所得税相关或者是对不同的纳税主体相关，但在未来每一具有重要性的递延所得税资产及</w:t>
      </w:r>
      <w:r>
        <w:rPr>
          <w:spacing w:val="-53"/>
        </w:rPr>
        <w:t> </w:t>
      </w:r>
      <w:r>
        <w:rPr>
          <w:spacing w:val="-53"/>
        </w:rPr>
      </w:r>
      <w:r>
        <w:rPr>
          <w:spacing w:val="-1"/>
        </w:rPr>
        <w:t>负债转回的期间内，涉及的纳税主体意图以净额结算当期所得税资产和负债或是同时取得资产、清偿负债时，递延所得税</w:t>
      </w:r>
      <w:r>
        <w:rPr>
          <w:spacing w:val="-52"/>
        </w:rPr>
        <w:t> </w:t>
      </w:r>
      <w:r>
        <w:rPr>
          <w:spacing w:val="-52"/>
        </w:rPr>
      </w:r>
      <w:r>
        <w:rPr/>
        <w:t>资产及递延所得税负债以抵销后的净额列报。</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1、租赁" w:id="224"/>
      <w:bookmarkEnd w:id="224"/>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25"/>
      <w:bookmarkEnd w:id="22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22"/>
        <w:jc w:val="left"/>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）公司租入资产所支付的租赁费，在不扣除免租期的整个租赁期内，按直线法进行分摊，计入当期费用。公司支付的与租 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2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）公司出租资产所收取的租赁费，在不扣除免租期的整个租赁期内，按直线法进行分摊，确认为租赁收入。公司支付的 </w:t>
      </w:r>
      <w:r>
        <w:rPr>
          <w:spacing w:val="-2"/>
        </w:rPr>
        <w:t>与租赁交易相关的初始直接费用，计入当期费用；如金额较大的，则予以资本化，在整个租赁期间内按照与租赁收入确认相</w:t>
      </w:r>
      <w:r>
        <w:rPr>
          <w:spacing w:val="-66"/>
        </w:rPr>
        <w:t> </w:t>
      </w:r>
      <w:r>
        <w:rPr>
          <w:spacing w:val="-66"/>
        </w:rPr>
      </w:r>
      <w:r>
        <w:rPr/>
        <w:t>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2）融资租赁的会计处理方法" w:id="226"/>
      <w:bookmarkEnd w:id="22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3"/>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 </w:t>
      </w:r>
      <w:r>
        <w:rPr>
          <w:spacing w:val="-2"/>
        </w:rPr>
        <w:t>值，将最低租赁付款额作为长期应付款的入账价值，其差额作为未确认的融资费用。公司采用实际利率法对未确认的融资费</w:t>
      </w:r>
      <w:r>
        <w:rPr>
          <w:spacing w:val="-66"/>
        </w:rPr>
        <w:t> </w:t>
      </w:r>
      <w:r>
        <w:rPr>
          <w:spacing w:val="-66"/>
        </w:rPr>
      </w:r>
      <w:r>
        <w:rPr/>
        <w:t>用，在资产租赁期间内摊销，计入财务费用。公司发生的初始直接费用，计入租入资产价值。</w:t>
      </w:r>
    </w:p>
    <w:p>
      <w:pPr>
        <w:pStyle w:val="BodyText"/>
        <w:spacing w:line="309" w:lineRule="auto" w:before="24"/>
        <w:ind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bookmarkStart w:name="32、其他重要的会计政策和会计估计" w:id="227"/>
      <w:bookmarkEnd w:id="22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4"/>
        </w:rPr>
        <w:t> </w:t>
      </w:r>
      <w:r>
        <w:rPr>
          <w:spacing w:val="-64"/>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0"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4" w:right="0"/>
        <w:jc w:val="left"/>
      </w:pPr>
      <w:r>
        <w:rPr/>
        <w:t>于资产负债表日，本公司需对财务报表项目金额进行判断、估计和假设的重要领域如下：</w:t>
      </w:r>
    </w:p>
    <w:p>
      <w:pPr>
        <w:pStyle w:val="BodyText"/>
        <w:spacing w:line="300" w:lineRule="auto" w:before="76"/>
        <w:ind w:left="514" w:right="1118" w:hanging="360"/>
        <w:jc w:val="left"/>
      </w:pPr>
      <w:r>
        <w:rPr/>
        <w:t>（</w:t>
      </w:r>
      <w:r>
        <w:rPr>
          <w:rFonts w:ascii="Times New Roman" w:hAnsi="Times New Roman" w:cs="Times New Roman" w:eastAsia="Times New Roman" w:hint="default"/>
        </w:rPr>
        <w:t>1</w:t>
      </w:r>
      <w:r>
        <w:rPr/>
        <w:t>）坏账准备计提 </w:t>
      </w:r>
      <w:r>
        <w:rPr>
          <w:spacing w:val="-2"/>
        </w:rPr>
        <w:t>本公司根据应收款项的会计政策，采用备抵法核算坏账损失。应收账款减值是基于评估应收账款的可收回性。鉴定应收</w:t>
      </w:r>
    </w:p>
    <w:p>
      <w:pPr>
        <w:pStyle w:val="BodyText"/>
        <w:spacing w:line="316" w:lineRule="auto" w:before="31"/>
        <w:ind w:right="0"/>
        <w:jc w:val="left"/>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9"/>
        <w:ind w:left="514" w:right="1118" w:hanging="360"/>
        <w:jc w:val="left"/>
      </w:pPr>
      <w:r>
        <w:rPr/>
        <w:t>（</w:t>
      </w:r>
      <w:r>
        <w:rPr>
          <w:rFonts w:ascii="Times New Roman" w:hAnsi="Times New Roman" w:cs="Times New Roman" w:eastAsia="Times New Roman" w:hint="default"/>
        </w:rPr>
        <w:t>2</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right="1132"/>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4" w:right="1118" w:hanging="360"/>
        <w:jc w:val="left"/>
      </w:pPr>
      <w:r>
        <w:rPr/>
        <w:t>（</w:t>
      </w:r>
      <w:r>
        <w:rPr>
          <w:rFonts w:ascii="Times New Roman" w:hAnsi="Times New Roman" w:cs="Times New Roman" w:eastAsia="Times New Roman" w:hint="default"/>
        </w:rPr>
        <w:t>3</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right="0"/>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240" w:lineRule="auto" w:before="19"/>
        <w:ind w:right="0"/>
        <w:jc w:val="left"/>
      </w:pPr>
      <w:r>
        <w:rPr/>
        <w:t>（</w:t>
      </w:r>
      <w:r>
        <w:rPr>
          <w:rFonts w:ascii="Times New Roman" w:hAnsi="Times New Roman" w:cs="Times New Roman" w:eastAsia="Times New Roman" w:hint="default"/>
        </w:rPr>
        <w:t>4</w:t>
      </w:r>
      <w:r>
        <w:rPr/>
        <w:t>）所得税</w:t>
      </w:r>
    </w:p>
    <w:p>
      <w:pPr>
        <w:pStyle w:val="BodyText"/>
        <w:spacing w:line="319" w:lineRule="auto" w:before="63"/>
        <w:ind w:right="1131" w:firstLine="360"/>
        <w:jc w:val="both"/>
      </w:pPr>
      <w:r>
        <w:rPr>
          <w:spacing w:val="-2"/>
        </w:rPr>
        <w:t>本公司在正常的经营活动中，有部分交易其最终的税务处理和计算存在一定的不确定性。部分项目是否能够在税前列支</w:t>
      </w:r>
      <w:r>
        <w:rPr/>
        <w:t> </w:t>
      </w: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3、重要会计政策和会计估计变更" w:id="228"/>
      <w:bookmarkEnd w:id="22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29"/>
      <w:bookmarkEnd w:id="22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44"/>
        <w:ind w:left="0" w:right="1138"/>
        <w:jc w:val="right"/>
      </w:pPr>
      <w:r>
        <w:rPr/>
        <w:pict>
          <v:shape style="position:absolute;margin-left:56.459999pt;margin-top:-61.718304pt;width:479.25pt;height:267.7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6"/>
                    <w:gridCol w:w="850"/>
                    <w:gridCol w:w="4324"/>
                  </w:tblGrid>
                  <w:tr>
                    <w:trPr>
                      <w:trHeight w:val="32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1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130"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 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 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 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850" w:type="dxa"/>
                        <w:tcBorders>
                          <w:top w:val="single" w:sz="4" w:space="0" w:color="000000"/>
                          <w:left w:val="single" w:sz="4" w:space="0" w:color="000000"/>
                          <w:bottom w:val="single" w:sz="4" w:space="0" w:color="000000"/>
                          <w:right w:val="single" w:sz="4" w:space="0" w:color="000000"/>
                        </w:tcBorders>
                      </w:tcPr>
                      <w:p>
                        <w:pP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 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1,530,034,738.02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1,183,358,649.28</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合并列示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应付票据</w:t>
                        </w:r>
                        <w:r>
                          <w:rPr>
                            <w:rFonts w:ascii="宋体" w:hAnsi="宋体" w:cs="宋体" w:eastAsia="宋体" w:hint="default"/>
                            <w:spacing w:val="1"/>
                            <w:sz w:val="18"/>
                            <w:szCs w:val="18"/>
                          </w:rPr>
                          <w:t>及</w:t>
                        </w:r>
                        <w:r>
                          <w:rPr>
                            <w:rFonts w:ascii="宋体" w:hAnsi="宋体" w:cs="宋体" w:eastAsia="宋体" w:hint="default"/>
                            <w:sz w:val="18"/>
                            <w:szCs w:val="18"/>
                          </w:rPr>
                          <w:t>应付账款</w:t>
                        </w:r>
                        <w:r>
                          <w:rPr>
                            <w:rFonts w:ascii="Times New Roman" w:hAnsi="Times New Roman" w:cs="Times New Roman" w:eastAsia="Times New Roman" w:hint="default"/>
                            <w:w w:val="100"/>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383,024</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655.62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442,956,304.81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8,873,83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上期金额</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8,832,13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.77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258"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 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 目。比较数据相应调整。</w:t>
                        </w:r>
                      </w:p>
                    </w:tc>
                    <w:tc>
                      <w:tcPr>
                        <w:tcW w:w="850" w:type="dxa"/>
                        <w:tcBorders>
                          <w:top w:val="single" w:sz="4" w:space="0" w:color="000000"/>
                          <w:left w:val="single" w:sz="4" w:space="0" w:color="000000"/>
                          <w:bottom w:val="single" w:sz="4" w:space="0" w:color="000000"/>
                          <w:right w:val="single" w:sz="4" w:space="0" w:color="000000"/>
                        </w:tcBorders>
                      </w:tcPr>
                      <w:p>
                        <w:pP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91,768,408.70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元，上期金额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75,439,332.56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35"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2" w:right="5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 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850" w:type="dxa"/>
                        <w:tcBorders>
                          <w:top w:val="single" w:sz="4" w:space="0" w:color="000000"/>
                          <w:left w:val="single" w:sz="4" w:space="0" w:color="000000"/>
                          <w:bottom w:val="single" w:sz="4" w:space="0" w:color="000000"/>
                          <w:right w:val="single" w:sz="4" w:space="0" w:color="000000"/>
                        </w:tcBorders>
                      </w:tcPr>
                      <w:p>
                        <w:pP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执行《财政部关于修订印发</w:t>
      </w:r>
      <w:r>
        <w:rPr>
          <w:rFonts w:ascii="Times New Roman" w:hAnsi="Times New Roman" w:cs="Times New Roman" w:eastAsia="Times New Roman" w:hint="default"/>
        </w:rPr>
        <w:t>2018</w:t>
      </w:r>
      <w:r>
        <w:rPr/>
        <w:t>年度一般企业财务报表格式的通知》财政部于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日发布了《财政部关于修订印发</w:t>
      </w:r>
    </w:p>
    <w:p>
      <w:pPr>
        <w:pStyle w:val="BodyText"/>
        <w:spacing w:line="240" w:lineRule="auto" w:before="63"/>
        <w:ind w:right="0"/>
        <w:jc w:val="left"/>
      </w:pP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号），对一般企业财务报表格式进行了修订。</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重要会计估计变更" w:id="230"/>
      <w:bookmarkEnd w:id="23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4、其他" w:id="231"/>
      <w:bookmarkEnd w:id="231"/>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税项" w:id="232"/>
      <w:bookmarkEnd w:id="23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33"/>
      <w:bookmarkEnd w:id="23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spacing w:line="240" w:lineRule="auto" w:before="44"/>
        <w:ind w:left="0" w:right="1138"/>
        <w:jc w:val="right"/>
      </w:pPr>
      <w:r>
        <w:rPr/>
        <w:pict>
          <v:shape style="position:absolute;margin-left:57.029999pt;margin-top:-22.748266pt;width:478.65pt;height:96.1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17"/>
                    <w:gridCol w:w="4252"/>
                    <w:gridCol w:w="3190"/>
                  </w:tblGrid>
                  <w:tr>
                    <w:trPr>
                      <w:trHeight w:val="32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4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2" w:type="dxa"/>
                        <w:vMerge w:val="restart"/>
                        <w:tcBorders>
                          <w:top w:val="single" w:sz="4" w:space="0" w:color="000000"/>
                          <w:left w:val="single" w:sz="9" w:space="0" w:color="D2D2D2"/>
                          <w:right w:val="single" w:sz="4" w:space="0" w:color="000000"/>
                        </w:tcBorders>
                      </w:tcPr>
                      <w:p>
                        <w:pPr>
                          <w:pStyle w:val="TableParagraph"/>
                          <w:spacing w:line="319" w:lineRule="auto" w:before="10"/>
                          <w:ind w:left="16" w:right="77"/>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 算销项税额，在扣除当期允许抵扣的进项税额后，差 额部分为应交增值税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2"/>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pacing w:val="-52"/>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1"/>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pacing w:val="-52"/>
                            <w:sz w:val="18"/>
                            <w:szCs w:val="18"/>
                          </w:rPr>
                          <w:t>、</w:t>
                        </w:r>
                        <w:r>
                          <w:rPr>
                            <w:rFonts w:ascii="Times New Roman" w:hAnsi="Times New Roman" w:cs="Times New Roman" w:eastAsia="Times New Roman" w:hint="default"/>
                            <w:sz w:val="18"/>
                            <w:szCs w:val="18"/>
                          </w:rPr>
                          <w:t>10%</w:t>
                        </w:r>
                        <w:r>
                          <w:rPr>
                            <w:rFonts w:ascii="宋体" w:hAnsi="宋体" w:cs="宋体" w:eastAsia="宋体" w:hint="default"/>
                            <w:spacing w:val="-5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宋体" w:hAnsi="宋体" w:cs="宋体" w:eastAsia="宋体" w:hint="default"/>
                            <w:spacing w:val="-52"/>
                            <w:sz w:val="18"/>
                            <w:szCs w:val="18"/>
                          </w:rPr>
                          <w:t>、</w:t>
                        </w:r>
                        <w:r>
                          <w:rPr>
                            <w:rFonts w:ascii="Times New Roman" w:hAnsi="Times New Roman" w:cs="Times New Roman" w:eastAsia="Times New Roman" w:hint="default"/>
                            <w:sz w:val="18"/>
                            <w:szCs w:val="18"/>
                          </w:rPr>
                          <w:t>16%</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1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25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2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2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2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2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t>存在不同企业所得税税率纳税主体的，披露情况说明</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宁波万达信息系统有限公司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杭州万达信息系统有限公司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上海万达信息服务有限公司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上海格言管理有限公司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万达云医疗科技健康产业（上海）有限公司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上海格金信息技术有限公司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深圳市万达信息有限公司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南京爱递吉供应链管理服务有限公司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上海卫生信息工程技术研究中心有限公司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北京万达全城信息系统有限公司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杭州莱域科技有限公司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上海易可思信息技术有限公司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克拉玛依市复高计算机科技有限公司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湖南万达智慧城市信息技术有限公司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四川万达智城云数据有限公司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四川万达智能安防数据有限公司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上海耀学信息科技有限公司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34"/>
      <w:bookmarkEnd w:id="23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41" w:firstLine="360"/>
        <w:jc w:val="both"/>
      </w:pPr>
      <w:r>
        <w:rPr/>
        <w:t>根据财税字〔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t>号财政部、国家税务总局《关于在上海市开展交通运输业和部分现代服务业营业税改征增值税 试点的通知》，主管税务机关对本公司部分符合技术合同免征条件的营业收入免征增值税。</w:t>
      </w:r>
    </w:p>
    <w:p>
      <w:pPr>
        <w:pStyle w:val="BodyText"/>
        <w:spacing w:line="300" w:lineRule="auto" w:before="31"/>
        <w:ind w:right="1199" w:firstLine="360"/>
        <w:jc w:val="both"/>
      </w:pPr>
      <w:r>
        <w:rPr/>
        <w:t>根据财政部、国家税务总局财税</w:t>
      </w:r>
      <w:r>
        <w:rPr>
          <w:rFonts w:ascii="Times New Roman" w:hAnsi="Times New Roman" w:cs="Times New Roman" w:eastAsia="Times New Roman" w:hint="default"/>
        </w:rPr>
        <w:t>[2011]100</w:t>
      </w:r>
      <w:r>
        <w:rPr/>
        <w:t>号《关于软件产品增值税政策的通知》，增值税一般纳税人销售其自行开发 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的部分实行即征即退政策。子公司或孙公司宁波 金唐软件有限公司、杭州莱域科技有限公司、上海格金信息技术有限公司部分软件产品符合上述条件。</w:t>
      </w:r>
    </w:p>
    <w:p>
      <w:pPr>
        <w:pStyle w:val="BodyText"/>
        <w:spacing w:line="316" w:lineRule="auto" w:before="31"/>
        <w:ind w:right="1141" w:firstLine="360"/>
        <w:jc w:val="both"/>
      </w:pPr>
      <w:r>
        <w:rPr/>
        <w:t>根据 《中华人民共和国企业所得税法》、《中华人民共和国企业所得税法实施条例》、《高科技企业认定管理办法》 以及《高新技术企业认定管理工作指引》规定，经认定的高新技术企业，减按</w:t>
      </w:r>
      <w:r>
        <w:rPr>
          <w:rFonts w:ascii="Times New Roman" w:hAnsi="Times New Roman" w:cs="Times New Roman" w:eastAsia="Times New Roman" w:hint="default"/>
        </w:rPr>
        <w:t>15%</w:t>
      </w:r>
      <w:r>
        <w:rPr/>
        <w:t>的税率征收企业所得税。</w:t>
      </w:r>
    </w:p>
    <w:p>
      <w:pPr>
        <w:pStyle w:val="BodyText"/>
        <w:spacing w:line="248" w:lineRule="exact"/>
        <w:ind w:left="514" w:right="0"/>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10</w:t>
      </w:r>
      <w:r>
        <w:rPr>
          <w:spacing w:val="-5"/>
        </w:rPr>
        <w:t>月本公司取得了上海市科学技术委员会、上海市财政局、上海市国家税务局、上海市地方税务局联合颁发的《高</w:t>
      </w:r>
    </w:p>
    <w:p>
      <w:pPr>
        <w:spacing w:after="0" w:line="248"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新技术企业证书》，认定有效期三年。</w:t>
      </w:r>
    </w:p>
    <w:p>
      <w:pPr>
        <w:pStyle w:val="BodyText"/>
        <w:spacing w:line="300" w:lineRule="auto" w:before="76"/>
        <w:ind w:right="1122"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月子公司四川浩特通信有限公司取得了四川省科学技术厅、四川省财政厅、四川省国家税务局、四川省地方税 务局联合颁发的《高新技术企业证书》，认定有效期三年。</w:t>
      </w:r>
    </w:p>
    <w:p>
      <w:pPr>
        <w:pStyle w:val="BodyText"/>
        <w:spacing w:line="300" w:lineRule="auto" w:before="31"/>
        <w:ind w:right="1025" w:firstLine="360"/>
        <w:jc w:val="left"/>
      </w:pPr>
      <w:r>
        <w:rPr>
          <w:spacing w:val="-10"/>
        </w:rPr>
        <w:t>依据《财政部 </w:t>
      </w:r>
      <w:r>
        <w:rPr/>
        <w:t>海关总署</w:t>
      </w:r>
      <w:r>
        <w:rPr>
          <w:spacing w:val="-43"/>
        </w:rPr>
        <w:t> </w:t>
      </w:r>
      <w:r>
        <w:rPr/>
        <w:t>国家税务总局关于深入实施西部大开发战略有关税收政策问题的通知》财税</w:t>
      </w:r>
      <w:r>
        <w:rPr>
          <w:rFonts w:ascii="Times New Roman" w:hAnsi="Times New Roman" w:cs="Times New Roman" w:eastAsia="Times New Roman" w:hint="default"/>
        </w:rPr>
        <w:t>[2011]58</w:t>
      </w:r>
      <w:r>
        <w:rPr/>
        <w:t>号第二条， 设在西部地区的鼓励类产业企业减按</w:t>
      </w:r>
      <w:r>
        <w:rPr>
          <w:rFonts w:ascii="Times New Roman" w:hAnsi="Times New Roman" w:cs="Times New Roman" w:eastAsia="Times New Roman" w:hint="default"/>
        </w:rPr>
        <w:t>15%</w:t>
      </w:r>
      <w:r>
        <w:rPr/>
        <w:t>的税率征收企业所得税，四川浩特通信有限公司于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日获取</w:t>
      </w:r>
      <w:r>
        <w:rPr>
          <w:rFonts w:ascii="Times New Roman" w:hAnsi="Times New Roman" w:cs="Times New Roman" w:eastAsia="Times New Roman" w:hint="default"/>
        </w:rPr>
        <w:t>2017</w:t>
      </w:r>
      <w:r>
        <w:rPr/>
        <w:t>年度税 减备案审核。</w:t>
      </w:r>
    </w:p>
    <w:p>
      <w:pPr>
        <w:pStyle w:val="BodyText"/>
        <w:spacing w:line="300" w:lineRule="auto" w:before="31"/>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月子公司宁波金唐软件有限公司取得了宁波市科学技术局、宁波市财政局、宁波市国家税务局、宁波市地方税</w:t>
      </w:r>
      <w:r>
        <w:rPr/>
        <w:t> 务局联合颁发的《高新技术企业证书》，认定有效期三年。</w:t>
      </w:r>
    </w:p>
    <w:p>
      <w:pPr>
        <w:pStyle w:val="BodyText"/>
        <w:spacing w:line="300" w:lineRule="auto" w:before="31"/>
        <w:ind w:right="0" w:firstLine="360"/>
        <w:jc w:val="left"/>
      </w:pPr>
      <w:r>
        <w:rPr>
          <w:spacing w:val="-1"/>
        </w:rPr>
        <w:t>据《财政部国家税务局关于进一步鼓励软件企业和集成电路产业发展企业所得税政策的通知》（财税</w:t>
      </w:r>
      <w:r>
        <w:rPr>
          <w:rFonts w:ascii="Times New Roman" w:hAnsi="Times New Roman" w:cs="Times New Roman" w:eastAsia="Times New Roman" w:hint="default"/>
          <w:spacing w:val="-1"/>
        </w:rPr>
        <w:t>[2012]27</w:t>
      </w:r>
      <w:r>
        <w:rPr>
          <w:spacing w:val="-1"/>
        </w:rPr>
        <w:t>号），孙</w:t>
      </w:r>
      <w:r>
        <w:rPr/>
        <w:t> 公司杭州莱域科技有限公司自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日享受免税政策。</w:t>
      </w:r>
    </w:p>
    <w:p>
      <w:pPr>
        <w:pStyle w:val="BodyText"/>
        <w:spacing w:line="300" w:lineRule="auto" w:before="13"/>
        <w:ind w:right="0"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月子公司上海复高计算机科技有限公司取得了上海市科学技术委员会、上海市财政局、上海市国家税务局、上</w:t>
      </w:r>
      <w:r>
        <w:rPr/>
        <w:t> 海市地方税务局联合颁发的《高新技术企业证书》，认定有效期三年。</w:t>
      </w:r>
    </w:p>
    <w:p>
      <w:pPr>
        <w:pStyle w:val="BodyText"/>
        <w:spacing w:line="300" w:lineRule="auto" w:before="31"/>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月子公司上海市民信箱信息服务有限公司复审取得了上海市科学技术委员会、上海市财政局、上海市国家税务</w:t>
      </w:r>
      <w:r>
        <w:rPr/>
        <w:t> 局、上海市地方税务局联合颁发的《高新技术企业证书》，认定有效期三年。</w:t>
      </w:r>
    </w:p>
    <w:p>
      <w:pPr>
        <w:pStyle w:val="BodyText"/>
        <w:spacing w:line="300" w:lineRule="auto" w:before="31"/>
        <w:ind w:right="1122"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月子公司湖南凯歌医疗信息技术有限公司复审取得了湖南省科学技术厅、湖南省财政局、湖南省国家税务局、 湖南省地方税务局联合颁发的《高新技术企业证书》，认定有效期三年。</w:t>
      </w:r>
    </w:p>
    <w:p>
      <w:pPr>
        <w:pStyle w:val="BodyText"/>
        <w:spacing w:line="300" w:lineRule="auto" w:before="31"/>
        <w:ind w:right="1032"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月子公司上海万达信息系统有限公司于取得了由上海市科学技术委员会、上海市财政局、上海市国家税务局、 上海市地方税务局联合颁发的《高新技术企业证书》，认定有效期三年。</w:t>
      </w:r>
    </w:p>
    <w:p>
      <w:pPr>
        <w:pStyle w:val="BodyText"/>
        <w:spacing w:line="309" w:lineRule="auto" w:before="31"/>
        <w:ind w:right="1131" w:firstLine="360"/>
        <w:jc w:val="both"/>
      </w:pPr>
      <w:r>
        <w:rPr>
          <w:spacing w:val="-2"/>
        </w:rPr>
        <w:t>根据《财政部国家税务总局关于将铁路运输和邮政业纳入营业税改增值税试点的通知》财税</w:t>
      </w:r>
      <w:r>
        <w:rPr>
          <w:rFonts w:ascii="Times New Roman" w:hAnsi="Times New Roman" w:cs="Times New Roman" w:eastAsia="Times New Roman" w:hint="default"/>
          <w:spacing w:val="-2"/>
        </w:rPr>
        <w:t>[2013]106</w:t>
      </w:r>
      <w:r>
        <w:rPr>
          <w:spacing w:val="-2"/>
        </w:rPr>
        <w:t>号《附件</w:t>
      </w:r>
      <w:r>
        <w:rPr>
          <w:rFonts w:ascii="Times New Roman" w:hAnsi="Times New Roman" w:cs="Times New Roman" w:eastAsia="Times New Roman" w:hint="default"/>
          <w:spacing w:val="-2"/>
        </w:rPr>
        <w:t>3.</w:t>
      </w:r>
      <w:r>
        <w:rPr>
          <w:spacing w:val="-2"/>
        </w:rPr>
        <w:t>营业税</w:t>
      </w:r>
      <w:r>
        <w:rPr/>
        <w:t> </w:t>
      </w:r>
      <w:r>
        <w:rPr>
          <w:spacing w:val="-2"/>
        </w:rPr>
        <w:t>改增值税试点过渡政策的规定》第一条第（四）款，主管税务机关对子公司湖南凯歌医疗信息技术有限公司部分符合技术开</w:t>
      </w:r>
      <w:r>
        <w:rPr>
          <w:spacing w:val="-66"/>
        </w:rPr>
        <w:t> </w:t>
      </w:r>
      <w:r>
        <w:rPr>
          <w:spacing w:val="-66"/>
        </w:rPr>
      </w:r>
      <w:r>
        <w:rPr/>
        <w:t>发合同免征条件的营业收入免征增值税。</w:t>
      </w:r>
    </w:p>
    <w:p>
      <w:pPr>
        <w:pStyle w:val="BodyText"/>
        <w:spacing w:line="319" w:lineRule="auto" w:before="24"/>
        <w:ind w:right="1118" w:firstLine="360"/>
        <w:jc w:val="left"/>
      </w:pPr>
      <w:r>
        <w:rPr>
          <w:spacing w:val="-2"/>
        </w:rPr>
        <w:t>子公司宁波万达信息系统有限公司企业所得税按应税所得额乘所得率核定征收，税务机关核定的应税所得率为应税收入</w:t>
      </w:r>
      <w:r>
        <w:rPr/>
        <w:t> 额的</w:t>
      </w:r>
      <w:r>
        <w:rPr>
          <w:rFonts w:ascii="Times New Roman" w:hAnsi="Times New Roman" w:cs="Times New Roman" w:eastAsia="Times New Roman" w:hint="default"/>
        </w:rPr>
        <w:t>15%</w:t>
      </w:r>
      <w:r>
        <w:rPr/>
        <w:t>。</w:t>
      </w:r>
    </w:p>
    <w:p>
      <w:pPr>
        <w:pStyle w:val="BodyText"/>
        <w:spacing w:line="340" w:lineRule="auto" w:before="38"/>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无</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其他" w:id="235"/>
      <w:bookmarkEnd w:id="235"/>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12" w:lineRule="auto"/>
        <w:ind w:right="1117"/>
        <w:jc w:val="left"/>
      </w:pPr>
      <w:r>
        <w:rPr>
          <w:spacing w:val="-1"/>
        </w:rPr>
        <w:t>注</w:t>
      </w:r>
      <w:r>
        <w:rPr>
          <w:rFonts w:ascii="Times New Roman" w:hAnsi="Times New Roman" w:cs="Times New Roman" w:eastAsia="Times New Roman" w:hint="default"/>
          <w:spacing w:val="-1"/>
        </w:rPr>
        <w:t>1</w:t>
      </w:r>
      <w:r>
        <w:rPr>
          <w:spacing w:val="-1"/>
        </w:rPr>
        <w:t>：小规模纳税人按</w:t>
      </w:r>
      <w:r>
        <w:rPr>
          <w:rFonts w:ascii="Times New Roman" w:hAnsi="Times New Roman" w:cs="Times New Roman" w:eastAsia="Times New Roman" w:hint="default"/>
          <w:spacing w:val="-1"/>
        </w:rPr>
        <w:t>3%</w:t>
      </w:r>
      <w:r>
        <w:rPr>
          <w:spacing w:val="-1"/>
        </w:rPr>
        <w:t>计缴增值税，子公司或孙公司宁波万达信息系统有限公司、杭州万达信息系统有限公司、深圳市万</w:t>
      </w:r>
      <w:r>
        <w:rPr/>
        <w:t> </w:t>
      </w:r>
      <w:r>
        <w:rPr>
          <w:spacing w:val="-2"/>
        </w:rPr>
        <w:t>达信息有限公司、上海格言管理有限公司、天津万达信息技术有限责任公司、北京万达全城信息系统有限公司、湖南万达智</w:t>
      </w:r>
      <w:r>
        <w:rPr>
          <w:spacing w:val="-65"/>
        </w:rPr>
        <w:t> </w:t>
      </w:r>
      <w:r>
        <w:rPr>
          <w:spacing w:val="-65"/>
        </w:rPr>
      </w:r>
      <w:r>
        <w:rPr/>
        <w:t>慧城市信息技术有限公司、永州潇湘云技术有限公司、湖南凯歌医疗移动信息服务有限公司为增值税小规模纳税人。 注</w:t>
      </w:r>
      <w:r>
        <w:rPr>
          <w:rFonts w:ascii="Times New Roman" w:hAnsi="Times New Roman" w:cs="Times New Roman" w:eastAsia="Times New Roman" w:hint="default"/>
        </w:rPr>
        <w:t>2</w:t>
      </w:r>
      <w:r>
        <w:rPr/>
        <w:t>：软件开发及运维服务收入按</w:t>
      </w:r>
      <w:r>
        <w:rPr>
          <w:rFonts w:ascii="Times New Roman" w:hAnsi="Times New Roman" w:cs="Times New Roman" w:eastAsia="Times New Roman" w:hint="default"/>
        </w:rPr>
        <w:t>6%</w:t>
      </w:r>
      <w:r>
        <w:rPr/>
        <w:t>计缴增值税。</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七、合并财务报表项目注释" w:id="236"/>
      <w:bookmarkEnd w:id="23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37"/>
      <w:bookmarkEnd w:id="23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298,523.67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144,339.44</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1,043,863,322.37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1,875,284,943.56</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730,962.39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1,044,892,808.43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1,875,429,283.00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434,721.95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479,126.75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240" w:lineRule="auto" w:before="115"/>
        <w:ind w:left="868" w:right="0"/>
        <w:jc w:val="left"/>
      </w:pPr>
      <w:r>
        <w:rPr/>
        <w:t>其中因抵押、质押或冻结等对使用有限制，以及放在境外且资金汇回受到限制的货币资金明细如下：</w:t>
      </w:r>
    </w:p>
    <w:p>
      <w:pPr>
        <w:spacing w:line="240" w:lineRule="auto" w:before="0"/>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3338"/>
        <w:gridCol w:w="2238"/>
        <w:gridCol w:w="2238"/>
      </w:tblGrid>
      <w:tr>
        <w:trPr>
          <w:trHeight w:val="355" w:hRule="exact"/>
        </w:trPr>
        <w:tc>
          <w:tcPr>
            <w:tcW w:w="3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480"/>
              <w:jc w:val="right"/>
              <w:rPr>
                <w:rFonts w:ascii="宋体" w:hAnsi="宋体" w:cs="宋体" w:eastAsia="宋体" w:hint="default"/>
                <w:sz w:val="18"/>
                <w:szCs w:val="18"/>
              </w:rPr>
            </w:pPr>
            <w:r>
              <w:rPr>
                <w:rFonts w:ascii="宋体" w:hAnsi="宋体" w:cs="宋体" w:eastAsia="宋体" w:hint="default"/>
                <w:sz w:val="18"/>
                <w:szCs w:val="18"/>
              </w:rPr>
              <w:t>项目</w:t>
            </w:r>
          </w:p>
        </w:tc>
        <w:tc>
          <w:tcPr>
            <w:tcW w:w="2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3,783,647.27</w:t>
            </w:r>
          </w:p>
        </w:tc>
        <w:tc>
          <w:tcPr>
            <w:tcW w:w="223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80"/>
              <w:jc w:val="right"/>
              <w:rPr>
                <w:rFonts w:ascii="宋体" w:hAnsi="宋体" w:cs="宋体" w:eastAsia="宋体" w:hint="default"/>
                <w:sz w:val="18"/>
                <w:szCs w:val="18"/>
              </w:rPr>
            </w:pPr>
            <w:r>
              <w:rPr>
                <w:rFonts w:ascii="宋体" w:hAnsi="宋体" w:cs="宋体" w:eastAsia="宋体" w:hint="default"/>
                <w:sz w:val="18"/>
                <w:szCs w:val="18"/>
              </w:rPr>
              <w:t>合计</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3,783,647.27</w:t>
            </w:r>
          </w:p>
        </w:tc>
        <w:tc>
          <w:tcPr>
            <w:tcW w:w="2238"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且其变动计入当期损益的金融资产" w:id="238"/>
      <w:bookmarkEnd w:id="23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10,319,624.19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12,108,512.95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10,319,624.19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12,108,512.95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10,319,624.19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12,108,512.95</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衍生金融资产" w:id="239"/>
      <w:bookmarkEnd w:id="23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及应收账款" w:id="240"/>
      <w:bookmarkEnd w:id="240"/>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1,530,034,738.02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1,183,277,649.28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1,530,034,738.02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1,183,358,649.28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41"/>
      <w:bookmarkEnd w:id="24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2"/>
        <w:ind w:right="0"/>
        <w:jc w:val="left"/>
      </w:pPr>
      <w:r>
        <w:rPr>
          <w:rFonts w:ascii="Times New Roman" w:hAnsi="Times New Roman" w:cs="Times New Roman" w:eastAsia="Times New Roman" w:hint="default"/>
        </w:rPr>
        <w:t>3)</w:t>
      </w:r>
      <w:r>
        <w:rPr/>
        <w:t>期末公司已背书或贴现且在资产负债表日尚未到期的应收票据</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2"/>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应收账款" w:id="242"/>
      <w:bookmarkEnd w:id="24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2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23" w:space="0" w:color="D2D2D2"/>
              <w:right w:val="single" w:sz="13" w:space="0" w:color="D2D2D2"/>
            </w:tcBorders>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23" w:space="0" w:color="D2D2D2"/>
              <w:bottom w:val="nil" w:sz="6" w:space="0" w:color="auto"/>
              <w:right w:val="single" w:sz="13" w:space="0" w:color="D2D2D2"/>
            </w:tcBorders>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1,656,43</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8,497.72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126,403,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759.70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5" w:right="0"/>
              <w:jc w:val="left"/>
              <w:rPr>
                <w:rFonts w:ascii="Times New Roman" w:hAnsi="Times New Roman" w:cs="Times New Roman" w:eastAsia="Times New Roman" w:hint="default"/>
                <w:sz w:val="18"/>
                <w:szCs w:val="18"/>
              </w:rPr>
            </w:pPr>
            <w:r>
              <w:rPr>
                <w:rFonts w:ascii="Times New Roman"/>
                <w:sz w:val="18"/>
              </w:rPr>
              <w:t>7.63%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1,530,034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,738.02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1,270,8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66,561.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87,588,91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5" w:right="0"/>
              <w:jc w:val="left"/>
              <w:rPr>
                <w:rFonts w:ascii="Times New Roman" w:hAnsi="Times New Roman" w:cs="Times New Roman" w:eastAsia="Times New Roman" w:hint="default"/>
                <w:sz w:val="18"/>
                <w:szCs w:val="18"/>
              </w:rPr>
            </w:pPr>
            <w:r>
              <w:rPr>
                <w:rFonts w:ascii="Times New Roman"/>
                <w:sz w:val="18"/>
              </w:rPr>
              <w:t>6.89%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1,183,277,6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49.28</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1,656,43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8,497.72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126,403,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759.70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5" w:right="0"/>
              <w:jc w:val="left"/>
              <w:rPr>
                <w:rFonts w:ascii="Times New Roman" w:hAnsi="Times New Roman" w:cs="Times New Roman" w:eastAsia="Times New Roman" w:hint="default"/>
                <w:sz w:val="18"/>
                <w:szCs w:val="18"/>
              </w:rPr>
            </w:pPr>
            <w:r>
              <w:rPr>
                <w:rFonts w:ascii="Times New Roman"/>
                <w:sz w:val="18"/>
              </w:rPr>
              <w:t>7.63%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1,530,034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,738.02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1,270,8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66,561.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87,588,91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5" w:right="0"/>
              <w:jc w:val="left"/>
              <w:rPr>
                <w:rFonts w:ascii="Times New Roman" w:hAnsi="Times New Roman" w:cs="Times New Roman" w:eastAsia="Times New Roman" w:hint="default"/>
                <w:sz w:val="18"/>
                <w:szCs w:val="18"/>
              </w:rPr>
            </w:pPr>
            <w:r>
              <w:rPr>
                <w:rFonts w:ascii="Times New Roman"/>
                <w:sz w:val="18"/>
              </w:rPr>
              <w:t>6.89%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1,183,277,6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49.28</w:t>
            </w:r>
          </w:p>
        </w:tc>
      </w:tr>
      <w:tr>
        <w:trPr>
          <w:trHeight w:val="31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638,975,019.98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436,855,535.33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13,105,666.06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1,075,830,555.31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13,105,666.06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1.22%</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364,101,563.85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18,205,078.21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62,457,633.05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6,245,763.30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154,048,745.51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588,847,252.13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55,173,083.22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11,034,616.64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20.00%</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42,126,053.62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21,063,026.82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56,749,608.67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56,749,608.67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1,656,438,497.72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126,403,759.70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确定该组合依据的说明：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60" w:lineRule="auto" w:before="44"/>
        <w:ind w:right="6432"/>
        <w:jc w:val="left"/>
      </w:pPr>
      <w:r>
        <w:rPr/>
        <w:t>相同账龄的应收款项具有类似的信用风险特征 组合中，采用余额百分比法计提坏账准备的应收账款：</w:t>
      </w:r>
    </w:p>
    <w:p>
      <w:pPr>
        <w:pStyle w:val="BodyText"/>
        <w:spacing w:line="348" w:lineRule="auto" w:before="2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pStyle w:val="BodyText"/>
        <w:spacing w:line="338" w:lineRule="auto" w:before="36"/>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无</w:t>
      </w:r>
    </w:p>
    <w:p>
      <w:pPr>
        <w:pStyle w:val="BodyText"/>
        <w:spacing w:line="240" w:lineRule="auto" w:before="43"/>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369"/>
        <w:jc w:val="left"/>
      </w:pPr>
      <w:r>
        <w:rPr/>
        <w:t>本期计提坏账准备金额</w:t>
      </w:r>
      <w:r>
        <w:rPr>
          <w:spacing w:val="-47"/>
        </w:rPr>
        <w:t> </w:t>
      </w:r>
      <w:r>
        <w:rPr>
          <w:rFonts w:ascii="Times New Roman" w:hAnsi="Times New Roman" w:cs="Times New Roman" w:eastAsia="Times New Roman" w:hint="default"/>
        </w:rPr>
        <w:t>39,019,165.89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48" w:lineRule="auto" w:before="52"/>
        <w:ind w:right="6822"/>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57" w:lineRule="auto" w:before="35"/>
        <w:ind w:right="8952"/>
        <w:jc w:val="left"/>
      </w:pPr>
      <w:r>
        <w:rPr/>
        <w:t>是 软件与信息技术服务业</w:t>
      </w:r>
    </w:p>
    <w:tbl>
      <w:tblPr>
        <w:tblW w:w="0" w:type="auto"/>
        <w:jc w:val="left"/>
        <w:tblInd w:w="146" w:type="dxa"/>
        <w:tblLayout w:type="fixed"/>
        <w:tblCellMar>
          <w:top w:w="0" w:type="dxa"/>
          <w:left w:w="0" w:type="dxa"/>
          <w:bottom w:w="0" w:type="dxa"/>
          <w:right w:w="0" w:type="dxa"/>
        </w:tblCellMar>
        <w:tblLook w:val="01E0"/>
      </w:tblPr>
      <w:tblGrid>
        <w:gridCol w:w="3544"/>
        <w:gridCol w:w="1702"/>
        <w:gridCol w:w="2553"/>
        <w:gridCol w:w="1274"/>
      </w:tblGrid>
      <w:tr>
        <w:trPr>
          <w:trHeight w:val="355" w:hRule="exact"/>
        </w:trPr>
        <w:tc>
          <w:tcPr>
            <w:tcW w:w="354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2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3544" w:type="dxa"/>
            <w:vMerge/>
            <w:tcBorders>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上海申康医院发展中心</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68,107,295.00</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4.11</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1,962,743.85</w:t>
            </w:r>
          </w:p>
        </w:tc>
      </w:tr>
      <w:tr>
        <w:trPr>
          <w:trHeight w:val="353"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上海市卫生健康委员会（注）</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44,767,600.40</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2.70</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29,269,100.03</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上海市人力资源和社会保障局信息中心</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37,811,400.00</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2.28</w:t>
            </w:r>
          </w:p>
        </w:tc>
        <w:tc>
          <w:tcPr>
            <w:tcW w:w="127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上海市公安局浦东分局</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34,584,480.00</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2.09</w:t>
            </w:r>
          </w:p>
        </w:tc>
        <w:tc>
          <w:tcPr>
            <w:tcW w:w="127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上海松江大学城建设发展有限公司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30,982,102.00</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1.87</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929,463.06</w:t>
            </w:r>
          </w:p>
        </w:tc>
      </w:tr>
      <w:tr>
        <w:trPr>
          <w:trHeight w:val="3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216,252,877.40</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13.05</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32,161,306.94</w:t>
            </w:r>
          </w:p>
        </w:tc>
      </w:tr>
    </w:tbl>
    <w:p>
      <w:pPr>
        <w:pStyle w:val="BodyText"/>
        <w:spacing w:line="300" w:lineRule="auto" w:before="28"/>
        <w:ind w:right="1118"/>
        <w:jc w:val="left"/>
      </w:pPr>
      <w:r>
        <w:rPr>
          <w:spacing w:val="-2"/>
        </w:rPr>
        <w:t>注：</w:t>
      </w:r>
      <w:r>
        <w:rPr>
          <w:rFonts w:ascii="Times New Roman" w:hAnsi="Times New Roman" w:cs="Times New Roman" w:eastAsia="Times New Roman" w:hint="default"/>
          <w:color w:val="333333"/>
          <w:spacing w:val="-2"/>
        </w:rPr>
        <w:t>2018</w:t>
      </w:r>
      <w:r>
        <w:rPr>
          <w:color w:val="333333"/>
          <w:spacing w:val="-2"/>
        </w:rPr>
        <w:t>年</w:t>
      </w:r>
      <w:r>
        <w:rPr>
          <w:rFonts w:ascii="Times New Roman" w:hAnsi="Times New Roman" w:cs="Times New Roman" w:eastAsia="Times New Roman" w:hint="default"/>
          <w:color w:val="333333"/>
          <w:spacing w:val="-2"/>
        </w:rPr>
        <w:t>11</w:t>
      </w:r>
      <w:r>
        <w:rPr>
          <w:color w:val="333333"/>
          <w:spacing w:val="-2"/>
        </w:rPr>
        <w:t>月，党中央、国务院正式批准《上海市机构改革方案》，原</w:t>
      </w:r>
      <w:r>
        <w:rPr>
          <w:spacing w:val="-2"/>
        </w:rPr>
        <w:t>上海市卫生和计划生育委员会改组为上海市卫生健</w:t>
      </w:r>
      <w:r>
        <w:rPr>
          <w:spacing w:val="-61"/>
        </w:rPr>
        <w:t> </w:t>
      </w:r>
      <w:r>
        <w:rPr>
          <w:spacing w:val="-61"/>
        </w:rPr>
      </w:r>
      <w:r>
        <w:rPr/>
        <w:t>康委员会。</w:t>
      </w:r>
    </w:p>
    <w:p>
      <w:pPr>
        <w:pStyle w:val="BodyText"/>
        <w:spacing w:line="338" w:lineRule="auto" w:before="72"/>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240" w:lineRule="auto" w:before="43"/>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预付款项" w:id="243"/>
      <w:bookmarkEnd w:id="243"/>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44"/>
      <w:bookmarkEnd w:id="24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12,578,164.11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16,533,465.43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41,383.04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910,738.10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12,619,547.15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17,444,203.53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按预付对象归集的期末余额前五名的预付款情况" w:id="245"/>
      <w:bookmarkEnd w:id="24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before="44"/>
        <w:ind w:left="0" w:right="1757"/>
        <w:jc w:val="right"/>
      </w:pPr>
      <w:r>
        <w:rPr/>
        <w:pict>
          <v:shape style="position:absolute;margin-left:86.660004pt;margin-top:.471709pt;width:418.2pt;height:124.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0"/>
                    <w:gridCol w:w="2126"/>
                    <w:gridCol w:w="3120"/>
                  </w:tblGrid>
                  <w:tr>
                    <w:trPr>
                      <w:trHeight w:val="355" w:hRule="exact"/>
                    </w:trPr>
                    <w:tc>
                      <w:tcPr>
                        <w:tcW w:w="3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p>
                    </w:tc>
                  </w:tr>
                  <w:tr>
                    <w:trPr>
                      <w:trHeight w:val="352"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四川锐恒信息技术有限公司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1,264,365.99</w:t>
                        </w:r>
                      </w:p>
                    </w:tc>
                    <w:tc>
                      <w:tcPr>
                        <w:tcW w:w="31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10.02</w:t>
                        </w:r>
                      </w:p>
                    </w:tc>
                  </w:tr>
                  <w:tr>
                    <w:trPr>
                      <w:trHeight w:val="352"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杭州海康威视科技有限公司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1,083,578.50</w:t>
                        </w:r>
                      </w:p>
                    </w:tc>
                    <w:tc>
                      <w:tcPr>
                        <w:tcW w:w="31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8.59</w:t>
                        </w:r>
                      </w:p>
                    </w:tc>
                  </w:tr>
                  <w:tr>
                    <w:trPr>
                      <w:trHeight w:val="353"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上海乾封贸易有限公司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756,000.00</w:t>
                        </w:r>
                      </w:p>
                    </w:tc>
                    <w:tc>
                      <w:tcPr>
                        <w:tcW w:w="31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5.99</w:t>
                        </w:r>
                      </w:p>
                    </w:tc>
                  </w:tr>
                  <w:tr>
                    <w:trPr>
                      <w:trHeight w:val="352"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米易恒缘物流有限责任公司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476,560.00</w:t>
                        </w:r>
                      </w:p>
                    </w:tc>
                    <w:tc>
                      <w:tcPr>
                        <w:tcW w:w="31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3.78</w:t>
                        </w:r>
                      </w:p>
                    </w:tc>
                  </w:tr>
                  <w:tr>
                    <w:trPr>
                      <w:trHeight w:val="352"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成都思维斯网络科技有限公司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294,620.00</w:t>
                        </w:r>
                      </w:p>
                    </w:tc>
                    <w:tc>
                      <w:tcPr>
                        <w:tcW w:w="31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2.33</w:t>
                        </w:r>
                      </w:p>
                    </w:tc>
                  </w:tr>
                  <w:tr>
                    <w:trPr>
                      <w:trHeight w:val="353" w:hRule="exact"/>
                    </w:trPr>
                    <w:tc>
                      <w:tcPr>
                        <w:tcW w:w="3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3,875,124.49</w:t>
                        </w:r>
                      </w:p>
                    </w:tc>
                    <w:tc>
                      <w:tcPr>
                        <w:tcW w:w="31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30.71</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7" w:lineRule="auto" w:before="44"/>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其他应收款" w:id="246"/>
      <w:bookmarkEnd w:id="24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169,255,836.49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151,682,689.09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169,255,836.49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151,682,689.09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47"/>
      <w:bookmarkEnd w:id="24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应收股利" w:id="248"/>
      <w:bookmarkEnd w:id="24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其他应收款" w:id="249"/>
      <w:bookmarkEnd w:id="24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205,524,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262.31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36,268,4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169,255,8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36.49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182,663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,899.71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30,981,21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151,682,68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9.09</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205,524,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262.31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36,268,4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17.65%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169,255,8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36.49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182,663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,899.71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30,981,21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0.62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16.96%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151,682,68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9.09</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52,626,085.30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18,235,197.55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547,055.92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70,861,282.85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547,055.92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58,413,762.98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2,920,688.16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14,405,637.05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1,440,563.72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42,833,154.54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31,360,118.02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11,024,384.52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2,204,876.90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5,307,057.81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2,653,528.91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26,501,712.21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26,501,712.21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186,513,837.42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36,268,425.82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7152"/>
        <w:jc w:val="left"/>
      </w:pPr>
      <w:r>
        <w:rPr/>
        <w:t>确定该组合依据的说明： 相同账龄的应收款项具有类似的信用风险特征 不计提坏账准备的其他应收款：</w:t>
      </w:r>
    </w:p>
    <w:tbl>
      <w:tblPr>
        <w:tblW w:w="0" w:type="auto"/>
        <w:jc w:val="left"/>
        <w:tblInd w:w="753" w:type="dxa"/>
        <w:tblLayout w:type="fixed"/>
        <w:tblCellMar>
          <w:top w:w="0" w:type="dxa"/>
          <w:left w:w="0" w:type="dxa"/>
          <w:bottom w:w="0" w:type="dxa"/>
          <w:right w:w="0" w:type="dxa"/>
        </w:tblCellMar>
        <w:tblLook w:val="01E0"/>
      </w:tblPr>
      <w:tblGrid>
        <w:gridCol w:w="2138"/>
        <w:gridCol w:w="1856"/>
        <w:gridCol w:w="1855"/>
        <w:gridCol w:w="1965"/>
      </w:tblGrid>
      <w:tr>
        <w:trPr>
          <w:trHeight w:val="355" w:hRule="exact"/>
        </w:trPr>
        <w:tc>
          <w:tcPr>
            <w:tcW w:w="2138" w:type="dxa"/>
            <w:vMerge w:val="restart"/>
            <w:tcBorders>
              <w:top w:val="single" w:sz="6" w:space="0" w:color="000000"/>
              <w:left w:val="single" w:sz="6" w:space="0" w:color="000000"/>
              <w:right w:val="single" w:sz="6" w:space="0" w:color="000000"/>
            </w:tcBorders>
          </w:tcPr>
          <w:p>
            <w:pPr>
              <w:pStyle w:val="TableParagraph"/>
              <w:spacing w:line="240" w:lineRule="auto" w:before="13"/>
              <w:ind w:left="43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567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2138" w:type="dxa"/>
            <w:vMerge/>
            <w:tcBorders>
              <w:left w:val="single" w:sz="6" w:space="0" w:color="000000"/>
              <w:bottom w:val="single" w:sz="12" w:space="0" w:color="000000"/>
              <w:right w:val="single" w:sz="6" w:space="0" w:color="000000"/>
            </w:tcBorders>
          </w:tcPr>
          <w:p>
            <w:pPr/>
          </w:p>
        </w:tc>
        <w:tc>
          <w:tcPr>
            <w:tcW w:w="1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left="46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left="5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
              <w:ind w:left="35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1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1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802" w:right="0"/>
              <w:jc w:val="left"/>
              <w:rPr>
                <w:rFonts w:ascii="Times New Roman" w:hAnsi="Times New Roman" w:cs="Times New Roman" w:eastAsia="Times New Roman" w:hint="default"/>
                <w:sz w:val="18"/>
                <w:szCs w:val="18"/>
              </w:rPr>
            </w:pPr>
            <w:r>
              <w:rPr>
                <w:rFonts w:ascii="Times New Roman"/>
                <w:sz w:val="18"/>
              </w:rPr>
              <w:t>19,010,424.89</w:t>
            </w:r>
          </w:p>
        </w:tc>
        <w:tc>
          <w:tcPr>
            <w:tcW w:w="1855" w:type="dxa"/>
            <w:tcBorders>
              <w:top w:val="single" w:sz="12" w:space="0" w:color="000000"/>
              <w:left w:val="single" w:sz="6" w:space="0" w:color="000000"/>
              <w:bottom w:val="single" w:sz="12" w:space="0" w:color="000000"/>
              <w:right w:val="single" w:sz="6" w:space="0" w:color="000000"/>
            </w:tcBorders>
          </w:tcPr>
          <w:p>
            <w:pPr/>
          </w:p>
        </w:tc>
        <w:tc>
          <w:tcPr>
            <w:tcW w:w="1965"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pStyle w:val="BodyText"/>
        <w:spacing w:line="240" w:lineRule="auto" w:before="43"/>
        <w:ind w:right="-13"/>
        <w:jc w:val="left"/>
      </w:pPr>
      <w:r>
        <w:rPr/>
        <w:t>组合中，采用余额百分比法计提坏账准备的其他应收款：</w:t>
      </w:r>
    </w:p>
    <w:p>
      <w:pPr>
        <w:pStyle w:val="BodyText"/>
        <w:spacing w:line="340" w:lineRule="auto" w:before="116"/>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5,483,580.20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2"/>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10"/>
        <w:ind w:right="-18"/>
        <w:jc w:val="left"/>
      </w:pPr>
      <w:r>
        <w:rPr/>
        <w:t>本期由于合并范围减少子公司而减少相应坏账准备金额</w:t>
      </w:r>
      <w:r>
        <w:rPr>
          <w:rFonts w:ascii="Times New Roman" w:hAnsi="Times New Roman" w:cs="Times New Roman" w:eastAsia="Times New Roman" w:hint="default"/>
        </w:rPr>
        <w:t>196,365.00</w:t>
      </w:r>
      <w:r>
        <w:rPr/>
        <w:t>元</w:t>
      </w:r>
    </w:p>
    <w:p>
      <w:pPr>
        <w:pStyle w:val="BodyText"/>
        <w:spacing w:line="240" w:lineRule="auto" w:before="63"/>
        <w:ind w:right="-18"/>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467" w:space="3363"/>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right="8952"/>
        <w:jc w:val="left"/>
      </w:pPr>
      <w:r>
        <w:rPr/>
        <w:t>其他应收款核销说明： 无</w:t>
      </w:r>
    </w:p>
    <w:p>
      <w:pPr>
        <w:pStyle w:val="BodyText"/>
        <w:spacing w:line="240" w:lineRule="auto" w:before="29"/>
        <w:ind w:right="0"/>
        <w:jc w:val="left"/>
      </w:pPr>
      <w:r>
        <w:rPr>
          <w:rFonts w:ascii="Times New Roman" w:hAnsi="Times New Roman" w:cs="Times New Roman" w:eastAsia="Times New Roman" w:hint="default"/>
        </w:rPr>
        <w:t>4)</w:t>
      </w:r>
      <w:r>
        <w:rPr/>
        <w:t>其他应收款按款项性质分类情况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205,524,262.31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182,663,899.71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205,524,262.31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182,663,899.71</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上海恒基浦业资产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股权转让尾款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长江联合金融租赁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上海浦东发展银行 空港支行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上海科技馆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8,249,215.20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上海市人民检察院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7,661,848.55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5,303,728.49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55,261,063.75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6,703,728.49</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309" w:lineRule="auto" w:before="10"/>
        <w:ind w:right="7362"/>
        <w:jc w:val="left"/>
      </w:pPr>
      <w:r>
        <w:rPr/>
        <w:t>无 </w:t>
      </w:r>
      <w:r>
        <w:rPr>
          <w:rFonts w:ascii="Times New Roman" w:hAnsi="Times New Roman" w:cs="Times New Roman" w:eastAsia="Times New Roman" w:hint="default"/>
        </w:rPr>
        <w:t>7)</w:t>
      </w:r>
      <w:r>
        <w:rPr/>
        <w:t>因金融资产转移而终止确认的其他应收款 无</w:t>
      </w:r>
    </w:p>
    <w:p>
      <w:pPr>
        <w:pStyle w:val="BodyText"/>
        <w:spacing w:line="338" w:lineRule="auto" w:before="65"/>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357" w:lineRule="auto" w:before="43"/>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7、存货" w:id="250"/>
      <w:bookmarkEnd w:id="250"/>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1）存货分类" w:id="251"/>
      <w:bookmarkEnd w:id="25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15,687,363.14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15,687,363.14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16,523,940.19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16,523,940.19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17,094.02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17,094.02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8,803,382.56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8,803,382.56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6,053,907.12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6,053,907.12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677,236.66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677,236.66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36,230,017.75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36,230,017.75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284,186,895.40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284,186,895.40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1,084,668,855.58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1,084,668,855.58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955,938,297.96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955,938,297.96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1,142,657,237.61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1,142,657,237.61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1,266,129,752.77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1,266,129,752.77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存货跌价准备" w:id="252"/>
      <w:bookmarkEnd w:id="25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存货期末余额含有借款费用资本化金额的说明" w:id="253"/>
      <w:bookmarkEnd w:id="25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期末建造合同形成的已完工未结算资产情况" w:id="254"/>
      <w:bookmarkEnd w:id="25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187,041,298.29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79,350,274.52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230,161,555.06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36,230,017.75</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8、持有待售资产" w:id="255"/>
      <w:bookmarkEnd w:id="255"/>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9、一年内到期的非流动资产" w:id="256"/>
      <w:bookmarkEnd w:id="256"/>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187,319,160.72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178,228,441.59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187,319,160.72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178,228,441.59</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0、其他流动资产" w:id="257"/>
      <w:bookmarkEnd w:id="257"/>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43,633,886.76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31,070,378.34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7,175,610.04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86,613,000.00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50,809,496.80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117,683,378.34</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1、可供出售金融资产" w:id="258"/>
      <w:bookmarkEnd w:id="258"/>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59"/>
      <w:bookmarkEnd w:id="25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299,558,717.02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299,558,717.02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305,276,717.02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305,276,717.02</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299,558,717.02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299,558,717.02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305,276,717.02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305,276,717.02</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299,558,717.02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299,558,717.02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305,276,717.02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305,276,717.02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60"/>
      <w:bookmarkEnd w:id="26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按成本计量的可供出售金融资产" w:id="261"/>
      <w:bookmarkEnd w:id="26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上海申银 万国证券 研究所有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9"/>
              <w:jc w:val="left"/>
              <w:rPr>
                <w:rFonts w:ascii="Times New Roman" w:hAnsi="Times New Roman" w:cs="Times New Roman" w:eastAsia="Times New Roman" w:hint="default"/>
                <w:sz w:val="18"/>
                <w:szCs w:val="18"/>
              </w:rPr>
            </w:pPr>
            <w:r>
              <w:rPr>
                <w:rFonts w:ascii="Times New Roman"/>
                <w:sz w:val="18"/>
              </w:rPr>
              <w:t>Healthcare Business</w:t>
            </w:r>
            <w:r>
              <w:rPr>
                <w:rFonts w:ascii="Times New Roman"/>
                <w:w w:val="99"/>
                <w:sz w:val="18"/>
              </w:rPr>
              <w:t> </w:t>
            </w:r>
            <w:r>
              <w:rPr>
                <w:rFonts w:ascii="Times New Roman"/>
                <w:sz w:val="18"/>
              </w:rPr>
              <w:t>Intelligenc</w:t>
            </w:r>
          </w:p>
          <w:p>
            <w:pPr>
              <w:pStyle w:val="TableParagraph"/>
              <w:spacing w:line="21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63,753,620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63,753,620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长江联合 金融租赁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227,775,09</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6.50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227,775,09</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6.50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上海数据 交易中心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上海嘉达 信息科技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5,748,000.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5,718,000.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305,276,71</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7.02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5,718,000.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299,558,71</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7.02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62"/>
      <w:bookmarkEnd w:id="26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63"/>
      <w:bookmarkEnd w:id="26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right="0"/>
        <w:jc w:val="left"/>
      </w:pPr>
      <w:r>
        <w:rPr/>
        <w:t>其他说明</w:t>
      </w:r>
    </w:p>
    <w:p>
      <w:pPr>
        <w:pStyle w:val="BodyText"/>
        <w:spacing w:line="300" w:lineRule="auto" w:before="115"/>
        <w:ind w:right="1167"/>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月公司总裁办公会议通过，公司以自有资金人民币</w:t>
      </w:r>
      <w:r>
        <w:rPr>
          <w:rFonts w:ascii="Times New Roman" w:hAnsi="Times New Roman" w:cs="Times New Roman" w:eastAsia="Times New Roman" w:hint="default"/>
        </w:rPr>
        <w:t>63,753,620.52</w:t>
      </w:r>
      <w:r>
        <w:rPr/>
        <w:t>元折合美元</w:t>
      </w:r>
      <w:r>
        <w:rPr>
          <w:rFonts w:ascii="Times New Roman" w:hAnsi="Times New Roman" w:cs="Times New Roman" w:eastAsia="Times New Roman" w:hint="default"/>
        </w:rPr>
        <w:t>999.4767</w:t>
      </w:r>
      <w:r>
        <w:rPr/>
        <w:t>万元，以每股</w:t>
      </w:r>
      <w:r>
        <w:rPr>
          <w:rFonts w:ascii="Times New Roman" w:hAnsi="Times New Roman" w:cs="Times New Roman" w:eastAsia="Times New Roman" w:hint="default"/>
        </w:rPr>
        <w:t>4.88</w:t>
      </w:r>
      <w:r>
        <w:rPr/>
        <w:t>美元的 价格增资认购</w:t>
      </w:r>
      <w:r>
        <w:rPr>
          <w:rFonts w:ascii="Times New Roman" w:hAnsi="Times New Roman" w:cs="Times New Roman" w:eastAsia="Times New Roman" w:hint="default"/>
        </w:rPr>
        <w:t>HEALTHCARE BUSINESS INTELLIGENCE SOLUTIONS</w:t>
      </w:r>
      <w:r>
        <w:rPr>
          <w:rFonts w:ascii="Times New Roman" w:hAnsi="Times New Roman" w:cs="Times New Roman" w:eastAsia="Times New Roman" w:hint="default"/>
          <w:spacing w:val="-8"/>
        </w:rPr>
        <w:t> </w:t>
      </w:r>
      <w:r>
        <w:rPr>
          <w:rFonts w:ascii="Times New Roman" w:hAnsi="Times New Roman" w:cs="Times New Roman" w:eastAsia="Times New Roman" w:hint="default"/>
        </w:rPr>
        <w:t>INC.(</w:t>
      </w:r>
      <w:r>
        <w:rPr/>
        <w:t>美国</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“HBI”</w:t>
      </w:r>
      <w:r>
        <w:rPr/>
        <w:t>）</w:t>
      </w:r>
      <w:r>
        <w:rPr>
          <w:rFonts w:ascii="Times New Roman" w:hAnsi="Times New Roman" w:cs="Times New Roman" w:eastAsia="Times New Roman" w:hint="default"/>
        </w:rPr>
        <w:t>A</w:t>
      </w:r>
      <w:r>
        <w:rPr/>
        <w:t>级可转换优先股</w:t>
      </w:r>
    </w:p>
    <w:p>
      <w:pPr>
        <w:pStyle w:val="BodyText"/>
        <w:spacing w:line="300" w:lineRule="auto" w:before="13"/>
        <w:ind w:right="1162"/>
        <w:jc w:val="left"/>
      </w:pPr>
      <w:r>
        <w:rPr>
          <w:rFonts w:ascii="Times New Roman" w:hAnsi="Times New Roman" w:cs="Times New Roman" w:eastAsia="Times New Roman" w:hint="default"/>
        </w:rPr>
        <w:t>204.8108</w:t>
      </w:r>
      <w:r>
        <w:rPr/>
        <w:t>万股，该</w:t>
      </w:r>
      <w:r>
        <w:rPr>
          <w:rFonts w:ascii="Times New Roman" w:hAnsi="Times New Roman" w:cs="Times New Roman" w:eastAsia="Times New Roman" w:hint="default"/>
        </w:rPr>
        <w:t>A</w:t>
      </w:r>
      <w:r>
        <w:rPr/>
        <w:t>级可转换优先股为非累积股利优先股且在一定的条件下可转换为</w:t>
      </w:r>
      <w:r>
        <w:rPr>
          <w:rFonts w:ascii="Times New Roman" w:hAnsi="Times New Roman" w:cs="Times New Roman" w:eastAsia="Times New Roman" w:hint="default"/>
        </w:rPr>
        <w:t>HBI</w:t>
      </w:r>
      <w:r>
        <w:rPr/>
        <w:t>公司普通股股份，如上述优先股全 部转换本公司将持有</w:t>
      </w:r>
      <w:r>
        <w:rPr>
          <w:rFonts w:ascii="Times New Roman" w:hAnsi="Times New Roman" w:cs="Times New Roman" w:eastAsia="Times New Roman" w:hint="default"/>
        </w:rPr>
        <w:t>HBI</w:t>
      </w:r>
      <w:r>
        <w:rPr/>
        <w:t>公司</w:t>
      </w:r>
      <w:r>
        <w:rPr>
          <w:rFonts w:ascii="Times New Roman" w:hAnsi="Times New Roman" w:cs="Times New Roman" w:eastAsia="Times New Roman" w:hint="default"/>
        </w:rPr>
        <w:t>25%</w:t>
      </w:r>
      <w:r>
        <w:rPr/>
        <w:t>的股份，截止资产负债表日公司正就</w:t>
      </w:r>
      <w:r>
        <w:rPr>
          <w:rFonts w:ascii="Times New Roman" w:hAnsi="Times New Roman" w:cs="Times New Roman" w:eastAsia="Times New Roman" w:hint="default"/>
        </w:rPr>
        <w:t>HBI</w:t>
      </w:r>
      <w:r>
        <w:rPr/>
        <w:t>公司重大重组事项与独立第三方进行洽谈，相关</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2"/>
        <w:jc w:val="left"/>
      </w:pPr>
      <w:r>
        <w:rPr/>
        <w:t>事项尚存在不确定性。 注</w:t>
      </w:r>
      <w:r>
        <w:rPr>
          <w:rFonts w:ascii="Times New Roman" w:hAnsi="Times New Roman" w:cs="Times New Roman" w:eastAsia="Times New Roman" w:hint="default"/>
        </w:rPr>
        <w:t>2</w:t>
      </w:r>
      <w:r>
        <w:rPr/>
        <w:t>：根据长江联合金融租赁有限公司董事会决议及</w:t>
      </w:r>
      <w:r>
        <w:rPr>
          <w:rFonts w:ascii="Times New Roman" w:hAnsi="Times New Roman" w:cs="Times New Roman" w:eastAsia="Times New Roman" w:hint="default"/>
        </w:rPr>
        <w:t>2016</w:t>
      </w:r>
      <w:r>
        <w:rPr/>
        <w:t>年修订后的章程规定，长江联合金融租赁有限公司增加注册资本人 民币</w:t>
      </w:r>
      <w:r>
        <w:rPr>
          <w:rFonts w:ascii="Times New Roman" w:hAnsi="Times New Roman" w:cs="Times New Roman" w:eastAsia="Times New Roman" w:hint="default"/>
        </w:rPr>
        <w:t>10</w:t>
      </w:r>
      <w:r>
        <w:rPr/>
        <w:t>亿元，增资完成后注册资本变更为人民币</w:t>
      </w:r>
      <w:r>
        <w:rPr>
          <w:rFonts w:ascii="Times New Roman" w:hAnsi="Times New Roman" w:cs="Times New Roman" w:eastAsia="Times New Roman" w:hint="default"/>
        </w:rPr>
        <w:t>20</w:t>
      </w:r>
      <w:r>
        <w:rPr/>
        <w:t>亿元，其中本公司出资仍为人民币</w:t>
      </w:r>
      <w:r>
        <w:rPr>
          <w:rFonts w:ascii="Times New Roman" w:hAnsi="Times New Roman" w:cs="Times New Roman" w:eastAsia="Times New Roman" w:hint="default"/>
        </w:rPr>
        <w:t>2</w:t>
      </w:r>
      <w:r>
        <w:rPr/>
        <w:t>亿元，持股比例降至</w:t>
      </w:r>
      <w:r>
        <w:rPr>
          <w:rFonts w:ascii="Times New Roman" w:hAnsi="Times New Roman" w:cs="Times New Roman" w:eastAsia="Times New Roman" w:hint="default"/>
        </w:rPr>
        <w:t>10%</w:t>
      </w:r>
      <w:r>
        <w:rPr/>
        <w:t>，相关变更 手续业已完成，公司对长江联合金融租赁有限公司不再具有重大影响，作为可供出售金融资产核算相关投资。 </w:t>
      </w:r>
      <w:r>
        <w:rPr>
          <w:spacing w:val="-2"/>
        </w:rPr>
        <w:t>注</w:t>
      </w:r>
      <w:r>
        <w:rPr>
          <w:rFonts w:ascii="Times New Roman" w:hAnsi="Times New Roman" w:cs="Times New Roman" w:eastAsia="Times New Roman" w:hint="default"/>
          <w:spacing w:val="-2"/>
        </w:rPr>
        <w:t>3</w:t>
      </w:r>
      <w:r>
        <w:rPr>
          <w:spacing w:val="-2"/>
        </w:rPr>
        <w:t>：根据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29</w:t>
      </w:r>
      <w:r>
        <w:rPr>
          <w:spacing w:val="-2"/>
        </w:rPr>
        <w:t>日公司高层办公会决议及上海数据交易中心有限公司章程规定，公司作为联合发起人之一，出资设立</w:t>
      </w:r>
      <w:r>
        <w:rPr>
          <w:spacing w:val="-58"/>
        </w:rPr>
        <w:t> </w:t>
      </w:r>
      <w:r>
        <w:rPr>
          <w:spacing w:val="-58"/>
        </w:rPr>
      </w:r>
      <w:r>
        <w:rPr/>
        <w:t>上海数据交易中心有限公司，上海数据交易中心有限公司注册资本人民币</w:t>
      </w:r>
      <w:r>
        <w:rPr>
          <w:rFonts w:ascii="Times New Roman" w:hAnsi="Times New Roman" w:cs="Times New Roman" w:eastAsia="Times New Roman" w:hint="default"/>
        </w:rPr>
        <w:t>2</w:t>
      </w:r>
      <w:r>
        <w:rPr/>
        <w:t>亿元，本公司出资人民币</w:t>
      </w:r>
      <w:r>
        <w:rPr>
          <w:rFonts w:ascii="Times New Roman" w:hAnsi="Times New Roman" w:cs="Times New Roman" w:eastAsia="Times New Roman" w:hint="default"/>
        </w:rPr>
        <w:t>600.00</w:t>
      </w:r>
      <w:r>
        <w:rPr/>
        <w:t>万元持股</w:t>
      </w:r>
      <w:r>
        <w:rPr>
          <w:rFonts w:ascii="Times New Roman" w:hAnsi="Times New Roman" w:cs="Times New Roman" w:eastAsia="Times New Roman" w:hint="default"/>
        </w:rPr>
        <w:t>3%</w:t>
      </w:r>
      <w:r>
        <w:rPr/>
        <w:t>。 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月公司与嘉实投资管理有限公司、宁波联创利鑫投资管理合伙企业（有限合伙）共同出资人民币</w:t>
      </w:r>
      <w:r>
        <w:rPr>
          <w:rFonts w:ascii="Times New Roman" w:hAnsi="Times New Roman" w:cs="Times New Roman" w:eastAsia="Times New Roman" w:hint="default"/>
        </w:rPr>
        <w:t>100,000.00 </w:t>
      </w:r>
      <w:r>
        <w:rPr>
          <w:spacing w:val="-1"/>
        </w:rPr>
        <w:t>万元设立上海嘉达信息科技有限公司，其中本公司出资人民币</w:t>
      </w:r>
      <w:r>
        <w:rPr>
          <w:rFonts w:ascii="Times New Roman" w:hAnsi="Times New Roman" w:cs="Times New Roman" w:eastAsia="Times New Roman" w:hint="default"/>
          <w:spacing w:val="-1"/>
        </w:rPr>
        <w:t>600.00</w:t>
      </w:r>
      <w:r>
        <w:rPr>
          <w:spacing w:val="-1"/>
        </w:rPr>
        <w:t>万元，持股</w:t>
      </w:r>
      <w:r>
        <w:rPr>
          <w:rFonts w:ascii="Times New Roman" w:hAnsi="Times New Roman" w:cs="Times New Roman" w:eastAsia="Times New Roman" w:hint="default"/>
          <w:spacing w:val="-1"/>
        </w:rPr>
        <w:t>0.60%</w:t>
      </w: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日收到中国证</w:t>
      </w:r>
      <w:r>
        <w:rPr>
          <w:spacing w:val="-81"/>
        </w:rPr>
        <w:t> </w:t>
      </w:r>
      <w:r>
        <w:rPr/>
        <w:t>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130</w:t>
      </w:r>
      <w:r>
        <w:rPr/>
        <w:t>号《关于核准万达信息股份有限公司向嘉实投资管理有 限公司等发行股份购买资产并募集配套资金的批复》，核准公司向嘉实投资管理有限公司发行</w:t>
      </w:r>
      <w:r>
        <w:rPr>
          <w:rFonts w:ascii="Times New Roman" w:hAnsi="Times New Roman" w:cs="Times New Roman" w:eastAsia="Times New Roman" w:hint="default"/>
        </w:rPr>
        <w:t>25,916,230</w:t>
      </w:r>
      <w:r>
        <w:rPr/>
        <w:t>股股份、向宁波联 </w:t>
      </w:r>
      <w:r>
        <w:rPr>
          <w:spacing w:val="-1"/>
        </w:rPr>
        <w:t>创利鑫投资管理合伙企业（有限合伙）发行</w:t>
      </w:r>
      <w:r>
        <w:rPr>
          <w:rFonts w:ascii="Times New Roman" w:hAnsi="Times New Roman" w:cs="Times New Roman" w:eastAsia="Times New Roman" w:hint="default"/>
          <w:spacing w:val="-1"/>
        </w:rPr>
        <w:t>17,452,006</w:t>
      </w:r>
      <w:r>
        <w:rPr>
          <w:spacing w:val="-1"/>
        </w:rPr>
        <w:t>股股份购买上海嘉达信息科技有限公司</w:t>
      </w:r>
      <w:r>
        <w:rPr>
          <w:rFonts w:ascii="Times New Roman" w:hAnsi="Times New Roman" w:cs="Times New Roman" w:eastAsia="Times New Roman" w:hint="default"/>
          <w:spacing w:val="-1"/>
        </w:rPr>
        <w:t>99.40%</w:t>
      </w:r>
      <w:r>
        <w:rPr>
          <w:spacing w:val="-1"/>
        </w:rPr>
        <w:t>股权，后因市场环境等</w:t>
      </w:r>
      <w:r>
        <w:rPr>
          <w:spacing w:val="-41"/>
        </w:rPr>
        <w:t> </w:t>
      </w:r>
      <w:r>
        <w:rPr>
          <w:spacing w:val="-41"/>
        </w:rPr>
      </w:r>
      <w:r>
        <w:rPr/>
        <w:t>因素考虑</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44"/>
        </w:rPr>
        <w:t> </w:t>
      </w:r>
      <w:r>
        <w:rPr/>
        <w:t>日公司与嘉实投资、宁波联创以及嘉达信息签订重大资产重组终止协议终止上述重组事项。公司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年对上海嘉达信息科技有限公司实施减资，减资后本公司实际出资变更为人民币</w:t>
      </w:r>
      <w:r>
        <w:rPr>
          <w:rFonts w:ascii="Times New Roman" w:hAnsi="Times New Roman" w:cs="Times New Roman" w:eastAsia="Times New Roman" w:hint="default"/>
        </w:rPr>
        <w:t>3.00</w:t>
      </w:r>
      <w:r>
        <w:rPr/>
        <w:t>万元。</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bookmarkStart w:name="12、持有至到期投资" w:id="264"/>
      <w:bookmarkEnd w:id="264"/>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65"/>
      <w:bookmarkEnd w:id="26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期末重要的持有至到期投资" w:id="266"/>
      <w:bookmarkEnd w:id="26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重分类的持有至到期投资" w:id="267"/>
      <w:bookmarkEnd w:id="26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0032"/>
        <w:jc w:val="left"/>
      </w:pPr>
      <w:r>
        <w:rPr/>
        <w:t>无 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3、长期应收款" w:id="268"/>
      <w:bookmarkEnd w:id="268"/>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69"/>
      <w:bookmarkEnd w:id="26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832,533,189.5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10,785,799.19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821,747,390.3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609,235,232.5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2,744,446.85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606,490,785.7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832,533,189.5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10,785,799.19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821,747,390.3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609,235,232.5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2,744,446.85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606,490,785.7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70"/>
      <w:bookmarkEnd w:id="27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转移长期应收款且继续涉入形成的资产、负债金额" w:id="271"/>
      <w:bookmarkEnd w:id="27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2"/>
        <w:jc w:val="left"/>
      </w:pPr>
      <w:r>
        <w:rPr/>
        <w:t>无 其他说明</w:t>
      </w:r>
    </w:p>
    <w:p>
      <w:pPr>
        <w:pStyle w:val="Heading5"/>
        <w:spacing w:line="240" w:lineRule="auto"/>
        <w:ind w:right="0"/>
        <w:jc w:val="left"/>
      </w:pPr>
      <w:r>
        <w:rPr/>
        <w:t>期末已对外质押长期应收款金额为</w:t>
      </w:r>
      <w:r>
        <w:rPr>
          <w:rFonts w:ascii="Times New Roman" w:hAnsi="Times New Roman" w:cs="Times New Roman" w:eastAsia="Times New Roman" w:hint="default"/>
        </w:rPr>
        <w:t>236,895,217.00</w:t>
      </w:r>
      <w:r>
        <w:rPr/>
        <w:t>元。</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14、长期股权投资" w:id="272"/>
      <w:bookmarkEnd w:id="27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11,633,42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603,849.5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12,237,27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上海昕鼎 网络科技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32,560,64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2,815,031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35,375,67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上海达保 贵生信息 科技股份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10,321,96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-1,989,05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8,332,913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上海久事 智慧体育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6,191,082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-2,233,27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3,957,807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上海万达 健青网络 科技有限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172,892.8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4" w:right="0"/>
              <w:jc w:val="left"/>
              <w:rPr>
                <w:rFonts w:ascii="Times New Roman" w:hAnsi="Times New Roman" w:cs="Times New Roman" w:eastAsia="Times New Roman" w:hint="default"/>
                <w:sz w:val="18"/>
                <w:szCs w:val="18"/>
              </w:rPr>
            </w:pPr>
            <w:r>
              <w:rPr>
                <w:rFonts w:ascii="Times New Roman"/>
                <w:sz w:val="18"/>
              </w:rPr>
              <w:t>-1,861.69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上海全程 玖玖健康 服务有限 公司（注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9,750,196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1,376,383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14,980,88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26,107,46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成都天府 市民云服 务有限公 </w:t>
            </w:r>
            <w:r>
              <w:rPr>
                <w:rFonts w:ascii="宋体" w:hAnsi="宋体" w:cs="宋体" w:eastAsia="宋体" w:hint="default"/>
                <w:spacing w:val="-9"/>
                <w:sz w:val="18"/>
                <w:szCs w:val="18"/>
              </w:rPr>
              <w:t>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468" w:lineRule="exact"/>
              <w:ind w:left="1" w:right="-49"/>
              <w:jc w:val="left"/>
              <w:rPr>
                <w:rFonts w:ascii="宋体" w:hAnsi="宋体" w:cs="宋体" w:eastAsia="宋体" w:hint="default"/>
                <w:sz w:val="20"/>
                <w:szCs w:val="20"/>
              </w:rPr>
            </w:pPr>
            <w:r>
              <w:rPr>
                <w:rFonts w:ascii="宋体" w:hAnsi="宋体" w:cs="宋体" w:eastAsia="宋体" w:hint="default"/>
                <w:position w:val="-8"/>
                <w:sz w:val="20"/>
                <w:szCs w:val="20"/>
              </w:rPr>
              <w:pict>
                <v:group style="width:39.3pt;height:23.4pt;mso-position-horizontal-relative:char;mso-position-vertical-relative:line" coordorigin="0,0" coordsize="786,468">
                  <v:group style="position:absolute;left:0;top:0;width:786;height:468" coordorigin="0,0" coordsize="786,468">
                    <v:shape style="position:absolute;left:0;top:0;width:786;height:468" coordorigin="0,0" coordsize="786,468" path="m0,468l786,468,786,0,0,0,0,468xe" filled="true" fillcolor="#ffffff" stroked="false">
                      <v:path arrowok="t"/>
                      <v:fill type="solid"/>
                    </v:shape>
                  </v:group>
                </v:group>
              </w:pict>
            </w:r>
            <w:r>
              <w:rPr>
                <w:rFonts w:ascii="宋体" w:hAnsi="宋体" w:cs="宋体" w:eastAsia="宋体" w:hint="default"/>
                <w:position w:val="-8"/>
                <w:sz w:val="20"/>
                <w:szCs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198,565.1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4,998,565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60,880,00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14,550,19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769,641.1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14,980,88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91,180,73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60,880,00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14,550,19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769,641.1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14,980,88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91,180,73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0.41</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pict>
          <v:shape style="position:absolute;margin-left:90.559998pt;margin-top:-95.298271pt;width:45.55pt;height:23.4pt;mso-position-horizontal-relative:page;mso-position-vertical-relative:paragraph;z-index:-1242184" type="#_x0000_t202" filled="false" stroked="false">
            <v:textbox inset="0,0,0,0">
              <w:txbxContent>
                <w:p>
                  <w:pPr>
                    <w:pStyle w:val="BodyText"/>
                    <w:spacing w:line="240" w:lineRule="auto" w:before="127"/>
                    <w:ind w:left="0" w:right="0"/>
                    <w:jc w:val="left"/>
                  </w:pPr>
                  <w:r>
                    <w:rPr/>
                    <w:t>）</w:t>
                  </w:r>
                </w:p>
              </w:txbxContent>
            </v:textbox>
            <w10:wrap type="none"/>
          </v:shape>
        </w:pict>
      </w:r>
      <w:r>
        <w:rPr/>
        <w:t>其他说明</w:t>
      </w:r>
    </w:p>
    <w:p>
      <w:pPr>
        <w:pStyle w:val="BodyText"/>
        <w:spacing w:line="304" w:lineRule="auto" w:before="116"/>
        <w:ind w:right="1029"/>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年公司与上海科技创业投资有限公司签订协议，约定公司出资</w:t>
      </w:r>
      <w:r>
        <w:rPr>
          <w:rFonts w:ascii="Times New Roman" w:hAnsi="Times New Roman" w:cs="Times New Roman" w:eastAsia="Times New Roman" w:hint="default"/>
        </w:rPr>
        <w:t>15,565,500.00</w:t>
      </w:r>
      <w:r>
        <w:rPr/>
        <w:t>元收购上海科技创业投资有限公司持 </w:t>
      </w:r>
      <w:r>
        <w:rPr>
          <w:spacing w:val="-1"/>
        </w:rPr>
        <w:t>有的上海昕鼎网络科技有限公司</w:t>
      </w:r>
      <w:r>
        <w:rPr>
          <w:rFonts w:ascii="Times New Roman" w:hAnsi="Times New Roman" w:cs="Times New Roman" w:eastAsia="Times New Roman" w:hint="default"/>
          <w:spacing w:val="-1"/>
        </w:rPr>
        <w:t>12.00%</w:t>
      </w:r>
      <w:r>
        <w:rPr>
          <w:spacing w:val="-1"/>
        </w:rPr>
        <w:t>的股份，公司对上海昕鼎网络科技有限公司具有重大影响，按权益法核算相关投资。</w:t>
      </w:r>
      <w:r>
        <w:rPr>
          <w:spacing w:val="-43"/>
        </w:rPr>
        <w:t> </w:t>
      </w:r>
      <w:r>
        <w:rPr>
          <w:spacing w:val="-43"/>
        </w:rPr>
      </w:r>
      <w:r>
        <w:rPr>
          <w:spacing w:val="-5"/>
        </w:rPr>
        <w:t>注</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2</w:t>
      </w:r>
      <w:r>
        <w:rPr>
          <w:spacing w:val="-5"/>
        </w:rPr>
        <w:t>月公司与中国太平洋人寿保险股份有限公司、上海紫丞网络科技合伙企业（有限合伙）共同出资人民币</w:t>
      </w:r>
      <w:r>
        <w:rPr>
          <w:rFonts w:ascii="Times New Roman" w:hAnsi="Times New Roman" w:cs="Times New Roman" w:eastAsia="Times New Roman" w:hint="default"/>
          <w:spacing w:val="-5"/>
        </w:rPr>
        <w:t>10,000.00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万元设立上海达保贵生信息科技股份有限公司，其中本公司出资人民币</w:t>
      </w:r>
      <w:r>
        <w:rPr>
          <w:rFonts w:ascii="Times New Roman" w:hAnsi="Times New Roman" w:cs="Times New Roman" w:eastAsia="Times New Roman" w:hint="default"/>
        </w:rPr>
        <w:t>4,000.00</w:t>
      </w:r>
      <w:r>
        <w:rPr/>
        <w:t>万元，持股</w:t>
      </w:r>
      <w:r>
        <w:rPr>
          <w:rFonts w:ascii="Times New Roman" w:hAnsi="Times New Roman" w:cs="Times New Roman" w:eastAsia="Times New Roman" w:hint="default"/>
        </w:rPr>
        <w:t>40%</w:t>
      </w:r>
      <w:r>
        <w:rPr/>
        <w:t>。上海达保贵生信息科技股 份有限公司于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日取得统一社会信用代码为</w:t>
      </w:r>
      <w:r>
        <w:rPr>
          <w:rFonts w:ascii="Times New Roman" w:hAnsi="Times New Roman" w:cs="Times New Roman" w:eastAsia="Times New Roman" w:hint="default"/>
        </w:rPr>
        <w:t>91310000MA1FL3QM0A</w:t>
      </w:r>
      <w:r>
        <w:rPr/>
        <w:t>的营业执照，公司对上海达保贵生信息科技 股份有限公司具有重大影响，按权益法核算相关投资。 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月公司与上海久事体育产业发展（集团）有限公司、上海久事投资管理有限公司及上海紫莘网络科技合伙企 </w:t>
      </w:r>
      <w:r>
        <w:rPr>
          <w:spacing w:val="-3"/>
        </w:rPr>
        <w:t>业（有限合伙）共同出资人民币</w:t>
      </w:r>
      <w:r>
        <w:rPr>
          <w:rFonts w:ascii="Times New Roman" w:hAnsi="Times New Roman" w:cs="Times New Roman" w:eastAsia="Times New Roman" w:hint="default"/>
          <w:spacing w:val="-3"/>
        </w:rPr>
        <w:t>2,000.00</w:t>
      </w:r>
      <w:r>
        <w:rPr>
          <w:spacing w:val="-3"/>
        </w:rPr>
        <w:t>万元设立上海久事智慧体育有限公司，其中本公司出资人民币</w:t>
      </w:r>
      <w:r>
        <w:rPr>
          <w:rFonts w:ascii="Times New Roman" w:hAnsi="Times New Roman" w:cs="Times New Roman" w:eastAsia="Times New Roman" w:hint="default"/>
          <w:spacing w:val="-3"/>
        </w:rPr>
        <w:t>680.00</w:t>
      </w:r>
      <w:r>
        <w:rPr>
          <w:spacing w:val="-3"/>
        </w:rPr>
        <w:t>万元，持股</w:t>
      </w:r>
      <w:r>
        <w:rPr>
          <w:rFonts w:ascii="Times New Roman" w:hAnsi="Times New Roman" w:cs="Times New Roman" w:eastAsia="Times New Roman" w:hint="default"/>
          <w:spacing w:val="-3"/>
        </w:rPr>
        <w:t>34%</w:t>
      </w:r>
      <w:r>
        <w:rPr>
          <w:spacing w:val="-3"/>
        </w:rPr>
        <w:t>。</w:t>
      </w:r>
      <w:r>
        <w:rPr>
          <w:spacing w:val="-88"/>
        </w:rPr>
        <w:t> </w:t>
      </w:r>
      <w:r>
        <w:rPr/>
        <w:t>上海久事智慧体育有限公司于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日取得统一社会信用代码为</w:t>
      </w:r>
      <w:r>
        <w:rPr>
          <w:rFonts w:ascii="Times New Roman" w:hAnsi="Times New Roman" w:cs="Times New Roman" w:eastAsia="Times New Roman" w:hint="default"/>
        </w:rPr>
        <w:t>91310101MA1FP90544</w:t>
      </w:r>
      <w:r>
        <w:rPr/>
        <w:t>的营业执照，公司对上海久事 智慧体育有限公司具有重大影响，按权益法核算相关投资。 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月公司与上海卓玟健康科技有限公司、自然人陈晓岚共同出资人民币</w:t>
      </w:r>
      <w:r>
        <w:rPr>
          <w:rFonts w:ascii="Times New Roman" w:hAnsi="Times New Roman" w:cs="Times New Roman" w:eastAsia="Times New Roman" w:hint="default"/>
        </w:rPr>
        <w:t>500.00</w:t>
      </w:r>
      <w:r>
        <w:rPr/>
        <w:t>万元设立上海万达健青网络科技有 限公司，其中本公司出资人民币</w:t>
      </w:r>
      <w:r>
        <w:rPr>
          <w:rFonts w:ascii="Times New Roman" w:hAnsi="Times New Roman" w:cs="Times New Roman" w:eastAsia="Times New Roman" w:hint="default"/>
        </w:rPr>
        <w:t>180.00</w:t>
      </w:r>
      <w:r>
        <w:rPr/>
        <w:t>万元，持股</w:t>
      </w:r>
      <w:r>
        <w:rPr>
          <w:rFonts w:ascii="Times New Roman" w:hAnsi="Times New Roman" w:cs="Times New Roman" w:eastAsia="Times New Roman" w:hint="default"/>
        </w:rPr>
        <w:t>36%</w:t>
      </w:r>
      <w:r>
        <w:rPr/>
        <w:t>。上海万达健青网络科技有限公司于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日取得统一社会信 用代码为</w:t>
      </w:r>
      <w:r>
        <w:rPr>
          <w:rFonts w:ascii="Times New Roman" w:hAnsi="Times New Roman" w:cs="Times New Roman" w:eastAsia="Times New Roman" w:hint="default"/>
        </w:rPr>
        <w:t>91310109MA1G5AYR58</w:t>
      </w:r>
      <w:r>
        <w:rPr/>
        <w:t>的营业执照，公司对上海万达健青网络科技有限公司具有重大影响，按权益法核算相关投 资。 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日本公司与翁思跃以及上海鹏都健康科技发展有限公司共同签署《增资协议书》，同意上海鹏都健康科 </w:t>
      </w:r>
      <w:r>
        <w:rPr>
          <w:spacing w:val="-2"/>
        </w:rPr>
        <w:t>技发展有限公司对上海全程玖玖健康服务有限公司（原上海万达全程健康服务有限公司，下同）进行增资，增资金额人民币</w:t>
      </w:r>
      <w:r>
        <w:rPr>
          <w:spacing w:val="-66"/>
        </w:rPr>
        <w:t> </w:t>
      </w:r>
      <w:r>
        <w:rPr>
          <w:spacing w:val="-66"/>
        </w:rPr>
      </w:r>
      <w:r>
        <w:rPr>
          <w:rFonts w:ascii="Times New Roman" w:hAnsi="Times New Roman" w:cs="Times New Roman" w:eastAsia="Times New Roman" w:hint="default"/>
        </w:rPr>
        <w:t>10,000.00</w:t>
      </w:r>
      <w:r>
        <w:rPr/>
        <w:t>万元，其中人民币</w:t>
      </w:r>
      <w:r>
        <w:rPr>
          <w:rFonts w:ascii="Times New Roman" w:hAnsi="Times New Roman" w:cs="Times New Roman" w:eastAsia="Times New Roman" w:hint="default"/>
        </w:rPr>
        <w:t>2,416.50</w:t>
      </w:r>
      <w:r>
        <w:rPr/>
        <w:t>万元计入上海全程玖玖健康服务有限公司的注册资本，其他部分计入资本公积，本次增 资后上海全程玖玖健康服务有限公司的注册资本将由</w:t>
      </w:r>
      <w:r>
        <w:rPr>
          <w:rFonts w:ascii="Times New Roman" w:hAnsi="Times New Roman" w:cs="Times New Roman" w:eastAsia="Times New Roman" w:hint="default"/>
        </w:rPr>
        <w:t>1,611.00</w:t>
      </w:r>
      <w:r>
        <w:rPr/>
        <w:t>万元增至</w:t>
      </w:r>
      <w:r>
        <w:rPr>
          <w:rFonts w:ascii="Times New Roman" w:hAnsi="Times New Roman" w:cs="Times New Roman" w:eastAsia="Times New Roman" w:hint="default"/>
        </w:rPr>
        <w:t>4,027.50</w:t>
      </w:r>
      <w:r>
        <w:rPr/>
        <w:t>万元，本公司的持股比例将由</w:t>
      </w:r>
      <w:r>
        <w:rPr>
          <w:rFonts w:ascii="Times New Roman" w:hAnsi="Times New Roman" w:cs="Times New Roman" w:eastAsia="Times New Roman" w:hint="default"/>
        </w:rPr>
        <w:t>55%</w:t>
      </w:r>
      <w:r>
        <w:rPr/>
        <w:t>变更为 </w:t>
      </w:r>
      <w:r>
        <w:rPr>
          <w:rFonts w:ascii="Times New Roman" w:hAnsi="Times New Roman" w:cs="Times New Roman" w:eastAsia="Times New Roman" w:hint="default"/>
        </w:rPr>
        <w:t>22%</w:t>
      </w:r>
      <w:r>
        <w:rPr/>
        <w:t>，因此上海全程玖玖健康服务有限公司不再是本公司的控股子公司，亦不再纳入公司的合并报表范围，对于本次处置后 的剩余股权投资，本公司按照其在丧失控制权日的公允价值进行重新计量。 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月公司与成都金控数据服务有限公司共同出资人民币</w:t>
      </w:r>
      <w:r>
        <w:rPr>
          <w:rFonts w:ascii="Times New Roman" w:hAnsi="Times New Roman" w:cs="Times New Roman" w:eastAsia="Times New Roman" w:hint="default"/>
        </w:rPr>
        <w:t>3,000.00</w:t>
      </w:r>
      <w:r>
        <w:rPr/>
        <w:t>万元设立成都天府市民云服务有限公司，其中本 公司认缴出资人民币</w:t>
      </w:r>
      <w:r>
        <w:rPr>
          <w:rFonts w:ascii="Times New Roman" w:hAnsi="Times New Roman" w:cs="Times New Roman" w:eastAsia="Times New Roman" w:hint="default"/>
        </w:rPr>
        <w:t>1,200.00</w:t>
      </w:r>
      <w:r>
        <w:rPr/>
        <w:t>万元，持股</w:t>
      </w:r>
      <w:r>
        <w:rPr>
          <w:rFonts w:ascii="Times New Roman" w:hAnsi="Times New Roman" w:cs="Times New Roman" w:eastAsia="Times New Roman" w:hint="default"/>
        </w:rPr>
        <w:t>40%</w:t>
      </w:r>
      <w:r>
        <w:rPr/>
        <w:t>。成都天府市民云服务有限公司于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日取得统一社会信用代码为 </w:t>
      </w:r>
      <w:r>
        <w:rPr>
          <w:rFonts w:ascii="Times New Roman" w:hAnsi="Times New Roman" w:cs="Times New Roman" w:eastAsia="Times New Roman" w:hint="default"/>
        </w:rPr>
        <w:t>91510100MA6CD828XH</w:t>
      </w:r>
      <w:r>
        <w:rPr/>
        <w:t>的营业执照，公司对成都天府市民云服务有限公司具有重大影响，按权益法核算相关投资。</w:t>
      </w:r>
    </w:p>
    <w:p>
      <w:pPr>
        <w:spacing w:after="0" w:line="304"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5、投资性房地产" w:id="273"/>
      <w:bookmarkEnd w:id="27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74"/>
      <w:bookmarkEnd w:id="27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26,633,388.03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1,225,000.00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27,858,388.03</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26,633,388.03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27,858,388.03</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26,633,388.03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1,225,000.00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27,858,388.03</w:t>
            </w: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4,753,916.50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19,547.87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4,773,464.37</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993,950.11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19,547.87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1,013,497.98</w:t>
            </w: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77" w:firstLine="63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）固定资 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3,759,966.39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3,759,966.39</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4,753,916.50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19,547.87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4,773,464.37</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9" w:right="0"/>
              <w:jc w:val="left"/>
              <w:rPr>
                <w:rFonts w:ascii="Times New Roman" w:hAnsi="Times New Roman" w:cs="Times New Roman" w:eastAsia="Times New Roman" w:hint="default"/>
                <w:sz w:val="18"/>
                <w:szCs w:val="18"/>
              </w:rPr>
            </w:pPr>
            <w:r>
              <w:rPr>
                <w:rFonts w:ascii="Times New Roman"/>
                <w:sz w:val="18"/>
              </w:rPr>
              <w:t>21,879,471.53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6" w:right="0"/>
              <w:jc w:val="left"/>
              <w:rPr>
                <w:rFonts w:ascii="Times New Roman" w:hAnsi="Times New Roman" w:cs="Times New Roman" w:eastAsia="Times New Roman" w:hint="default"/>
                <w:sz w:val="18"/>
                <w:szCs w:val="18"/>
              </w:rPr>
            </w:pPr>
            <w:r>
              <w:rPr>
                <w:rFonts w:ascii="Times New Roman"/>
                <w:sz w:val="18"/>
              </w:rPr>
              <w:t>1,205,452.13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5" w:right="0"/>
              <w:jc w:val="left"/>
              <w:rPr>
                <w:rFonts w:ascii="Times New Roman" w:hAnsi="Times New Roman" w:cs="Times New Roman" w:eastAsia="Times New Roman" w:hint="default"/>
                <w:sz w:val="18"/>
                <w:szCs w:val="18"/>
              </w:rPr>
            </w:pPr>
            <w:r>
              <w:rPr>
                <w:rFonts w:ascii="Times New Roman"/>
                <w:sz w:val="18"/>
              </w:rPr>
              <w:t>23,084,923.66</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75"/>
      <w:bookmarkEnd w:id="27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76"/>
      <w:bookmarkEnd w:id="27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57" w:lineRule="auto" w:before="52"/>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6、固定资产" w:id="277"/>
      <w:bookmarkEnd w:id="27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379,524,704.21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437,063,022.05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379,524,704.21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437,063,022.05</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78"/>
      <w:bookmarkEnd w:id="27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10"/>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425,885,802.96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21,807,719.88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39,036,210.72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161,413,520.36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41,596,110.98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689,739,364.90</w:t>
            </w: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12,377,467.32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786,922.78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11,313,110.66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6,203,122.33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1,304,636.94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31,985,260.03</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3,060,354.03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786,922.78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117,658.19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5,166,265.66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1,304,636.94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10,435,837.60</w:t>
            </w:r>
          </w:p>
        </w:tc>
      </w:tr>
      <w:tr>
        <w:trPr>
          <w:trHeight w:val="63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9,317,113.29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11,195,452.47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1,036,856.67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21,549,422.43</w:t>
            </w: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41,033,426.46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3,305,657.81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409,843.37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12,455,635.55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2,805,364.83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60,009,928.02</w:t>
            </w: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1,643,076.74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4,146,275.94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152,780.99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5,957,523.67</w:t>
            </w:r>
          </w:p>
        </w:tc>
      </w:tr>
      <w:tr>
        <w:trPr>
          <w:trHeight w:val="947"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( 2 )</w:t>
            </w:r>
            <w:r>
              <w:rPr>
                <w:rFonts w:ascii="宋体" w:hAnsi="宋体" w:cs="宋体" w:eastAsia="宋体" w:hint="default"/>
                <w:sz w:val="18"/>
                <w:szCs w:val="18"/>
              </w:rPr>
              <w:t>划</w:t>
            </w:r>
          </w:p>
          <w:p>
            <w:pPr>
              <w:pStyle w:val="TableParagraph"/>
              <w:spacing w:line="316" w:lineRule="auto" w:before="63"/>
              <w:ind w:left="22" w:right="61"/>
              <w:jc w:val="left"/>
              <w:rPr>
                <w:rFonts w:ascii="宋体" w:hAnsi="宋体" w:cs="宋体" w:eastAsia="宋体" w:hint="default"/>
                <w:sz w:val="18"/>
                <w:szCs w:val="18"/>
              </w:rPr>
            </w:pPr>
            <w:r>
              <w:rPr>
                <w:rFonts w:ascii="宋体" w:hAnsi="宋体" w:cs="宋体" w:eastAsia="宋体" w:hint="default"/>
                <w:sz w:val="18"/>
                <w:szCs w:val="18"/>
              </w:rPr>
              <w:t>分为投资性房地 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26,633,388.03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26,633,388.03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8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14,400,038.43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1,662,581.07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394,453.37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8,309,359.61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2,652,583.84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27,419,016.32</w:t>
            </w: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397,229,843.82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19,288,984.85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49,939,478.01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155,161,007.14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40,095,383.09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661,714,696.91</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77,060,699.75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14,202,210.38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21,264,381.33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107,846,223.56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32,302,827.83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252,676,342.85</w:t>
            </w:r>
          </w:p>
        </w:tc>
      </w:tr>
      <w:tr>
        <w:trPr>
          <w:trHeight w:val="63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16,478,623.65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1,599,568.85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7,297,679.00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22,349,795.66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2,745,395.53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50,471,062.69</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16,478,623.65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1,599,568.85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7,297,679.00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22,349,795.66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2,745,395.53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50,471,062.69</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7,011,205.42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2,250,573.44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282,341.01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9,829,570.21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1,583,722.76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20,957,412.84</w:t>
            </w: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1,577,353.67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3,975,815.63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130,334.05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5,696,931.35</w:t>
            </w:r>
          </w:p>
        </w:tc>
      </w:tr>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( 2 )</w:t>
            </w:r>
            <w:r>
              <w:rPr>
                <w:rFonts w:ascii="宋体" w:hAnsi="宋体" w:cs="宋体" w:eastAsia="宋体" w:hint="default"/>
                <w:sz w:val="18"/>
                <w:szCs w:val="18"/>
              </w:rPr>
              <w:t>划</w:t>
            </w:r>
          </w:p>
          <w:p>
            <w:pPr>
              <w:pStyle w:val="TableParagraph"/>
              <w:spacing w:line="316" w:lineRule="auto" w:before="63"/>
              <w:ind w:left="22" w:right="61"/>
              <w:jc w:val="left"/>
              <w:rPr>
                <w:rFonts w:ascii="宋体" w:hAnsi="宋体" w:cs="宋体" w:eastAsia="宋体" w:hint="default"/>
                <w:sz w:val="18"/>
                <w:szCs w:val="18"/>
              </w:rPr>
            </w:pPr>
            <w:r>
              <w:rPr>
                <w:rFonts w:ascii="宋体" w:hAnsi="宋体" w:cs="宋体" w:eastAsia="宋体" w:hint="default"/>
                <w:sz w:val="18"/>
                <w:szCs w:val="18"/>
              </w:rPr>
              <w:t>分为投资性房地 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3,759,966.39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3,759,966.39</w:t>
            </w:r>
          </w:p>
        </w:tc>
      </w:tr>
      <w:tr>
        <w:trPr>
          <w:trHeight w:val="635"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( 3 )</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3,251,239.03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673,219.77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268,913.01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5,853,754.58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1,453,388.71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11,500,515.10</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86,528,117.98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13,551,205.79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28,279,719.32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120,366,449.01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33,464,500.60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282,189,992.70</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310,701,725.84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5,737,779.06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21,659,758.69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34,794,558.13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6,630,882.49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379,524,704.21</w:t>
            </w: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348,825,103.21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7,605,509.50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17,771,829.39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53,567,296.80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9,293,283.15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437,063,022.05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79"/>
      <w:bookmarkEnd w:id="27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通过融资租赁租入的固定资产情况" w:id="280"/>
      <w:bookmarkEnd w:id="28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81"/>
      <w:bookmarkEnd w:id="28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82"/>
      <w:bookmarkEnd w:id="28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固定资产清理" w:id="283"/>
      <w:bookmarkEnd w:id="28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7、在建工程" w:id="284"/>
      <w:bookmarkEnd w:id="28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41,238,721.58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48,439,796.56</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41,238,721.58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48,439,796.56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85"/>
      <w:bookmarkEnd w:id="28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云服务上海基地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31,929,385.92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31,929,385.92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36,097,803.63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36,097,803.63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待安装零星工程 及设备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2,722,185.04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2,722,185.04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2,258,837.68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2,258,837.68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平安医院项目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1,815,525.94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1,815,525.94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1,647,336.76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1,647,336.76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自贡贡井雪亮工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1,781,315.58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1,781,315.58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1,443,330.69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1,443,330.69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自贡贡井雪亮工 程二期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1,446,890.80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1,446,890.80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汶川雪亮工程项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816,919.31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816,919.31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541,473.33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541,473.33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彭山天网项目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228,950.45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228,950.45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577,555.61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577,555.61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市民云零星设备 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497,548.54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497,548.54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农村信息化平台 建设项目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4,334,994.75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4,334,994.75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资阳雁江区雪亮 工程项目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893,528.54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893,528.54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眉山天网补点建 设工程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644,935.57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644,935.57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41,238,721.58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41,238,721.58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48,439,796.56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48,439,796.56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86"/>
      <w:bookmarkEnd w:id="28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云服务 上海基 地装修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36,097,8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03.63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5,148,69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9,317,11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31,929,3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45.61%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45.61%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彭山天 网项目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1,728,91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2,077,52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59.62%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平安医 院项目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7,600,00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1,647,33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353,311.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1,815,52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83.56%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市民云 零星设 备及服 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3,494,07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2,845,32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497,548.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农村信 息化平 台建设 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4,334,99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4,334,99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待安装</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2,258,83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3,071,53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885,654.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1,722,53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2,722,18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both"/>
              <w:rPr>
                <w:rFonts w:ascii="宋体" w:hAnsi="宋体" w:cs="宋体" w:eastAsia="宋体" w:hint="default"/>
                <w:sz w:val="18"/>
                <w:szCs w:val="18"/>
              </w:rPr>
            </w:pPr>
            <w:r>
              <w:rPr>
                <w:rFonts w:ascii="宋体" w:hAnsi="宋体" w:cs="宋体" w:eastAsia="宋体" w:hint="default"/>
                <w:sz w:val="18"/>
                <w:szCs w:val="18"/>
              </w:rPr>
              <w:t>零星工 程及设 备</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7.68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9.98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0" w:right="0"/>
              <w:jc w:val="left"/>
              <w:rPr>
                <w:rFonts w:ascii="Times New Roman" w:hAnsi="Times New Roman" w:cs="Times New Roman" w:eastAsia="Times New Roman" w:hint="default"/>
                <w:sz w:val="18"/>
                <w:szCs w:val="18"/>
              </w:rPr>
            </w:pPr>
            <w:r>
              <w:rPr>
                <w:rFonts w:ascii="Times New Roman"/>
                <w:sz w:val="18"/>
              </w:rPr>
              <w:t>8.34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5.04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资阳雁 江区雪 亮工程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1,421,60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1,475,41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自贡贡 井雪亮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6,116,90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1,443,33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1,781,31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29.12%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眉山天 网补点 建设工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9,005,40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8,287,87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8,932,80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汶川雪 亮工程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1,880,20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816,919.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43.45%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自贡贡 井雪亮 工程二 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3,141,20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1,446,89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1,446,89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46.06%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111,665,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48,439,7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96.56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24,726,6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21,549,4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22.43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10,378,2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74.09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41,238,7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21.58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87"/>
      <w:bookmarkEnd w:id="28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2"/>
        <w:ind w:right="1662"/>
        <w:jc w:val="left"/>
      </w:pPr>
      <w:r>
        <w:rPr/>
        <w:t>其他说明 注：本期其他减少金额中包括结转至长期待摊费用</w:t>
      </w:r>
      <w:r>
        <w:rPr>
          <w:rFonts w:ascii="Times New Roman" w:hAnsi="Times New Roman" w:cs="Times New Roman" w:eastAsia="Times New Roman" w:hint="default"/>
        </w:rPr>
        <w:t>2,563,497.05</w:t>
      </w:r>
      <w:r>
        <w:rPr/>
        <w:t>元、结转至无形资产</w:t>
      </w:r>
      <w:r>
        <w:rPr>
          <w:rFonts w:ascii="Times New Roman" w:hAnsi="Times New Roman" w:cs="Times New Roman" w:eastAsia="Times New Roman" w:hint="default"/>
        </w:rPr>
        <w:t>1,719,175.34</w:t>
      </w:r>
      <w:r>
        <w:rPr/>
        <w:t>元、结转至生产成本</w:t>
      </w:r>
    </w:p>
    <w:p>
      <w:pPr>
        <w:pStyle w:val="BodyText"/>
        <w:spacing w:line="214" w:lineRule="exact"/>
        <w:ind w:right="0"/>
        <w:jc w:val="left"/>
      </w:pPr>
      <w:r>
        <w:rPr>
          <w:rFonts w:ascii="Times New Roman" w:hAnsi="Times New Roman" w:cs="Times New Roman" w:eastAsia="Times New Roman" w:hint="default"/>
        </w:rPr>
        <w:t>1,760,606.95</w:t>
      </w:r>
      <w:r>
        <w:rPr/>
        <w:t>元，由于处置子公司西藏万达华波美信息技术有限公司导致合并减少</w:t>
      </w:r>
      <w:r>
        <w:rPr>
          <w:rFonts w:ascii="Times New Roman" w:hAnsi="Times New Roman" w:cs="Times New Roman" w:eastAsia="Times New Roman" w:hint="default"/>
        </w:rPr>
        <w:t>4,334,994.75</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工程物资" w:id="288"/>
      <w:bookmarkEnd w:id="28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8、生产性生物资产" w:id="289"/>
      <w:bookmarkEnd w:id="289"/>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90"/>
      <w:bookmarkEnd w:id="29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91"/>
      <w:bookmarkEnd w:id="29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9、油气资产" w:id="292"/>
      <w:bookmarkEnd w:id="292"/>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0、无形资产" w:id="293"/>
      <w:bookmarkEnd w:id="293"/>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94"/>
      <w:bookmarkEnd w:id="29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特许专营权</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16,083,895.00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6,606,584.80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10,347,621.40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819,805,279.73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40,888,878.10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40,152,000.00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933,884,259.03</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7,273,408.76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299,582,633.33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308,081,042.09</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7,273,408.76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297,863,457.99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305,136,866.75</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在建工程转入</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1,719,175.34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1,719,175.34</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109,723,820.22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122,698,820.22</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108,818,000.00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108,818,000.00</w:t>
            </w:r>
          </w:p>
        </w:tc>
      </w:tr>
      <w:tr>
        <w:trPr>
          <w:trHeight w:val="1027"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11" w:right="1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）划分为投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资性房地产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51"/>
              <w:jc w:val="righ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905,820.22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12,655,820.22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14,333,895.00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13,879,993.56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347,621.40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1,009,664,092.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40,888,878.10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40,152,000.00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1,119,266,480.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1,462,769.27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4,356,761.64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10,347,621.40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280,919,616.49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5,537,035.53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30,437,102.57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333,060,906.90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394,235.69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660,658.44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146,119,896.45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4,474,562.88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8,030,400.00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159,679,753.46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394,235.69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660,658.44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146,119,896.45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4,474,562.88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8,030,400.00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159,679,753.46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227,881.18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108,990,682.42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119,218,563.60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108,818,000.00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108,818,000.00</w:t>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）划分为投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资性房地产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19,547.87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19,547.87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208,333.31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172,682.42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10,381,015.73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1,629,123.78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5,017,420.08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347,621.40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318,048,830.52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10,011,598.41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38,467,502.57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373,522,096.76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4,402,782.81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4,402,782.81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970,768.04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970,768.04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970,768.04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970,768.04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5,373,550.85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5,373,550.85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12,704,771.22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8,862,573.48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691,615,262.32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25,503,728.84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1,684,497.43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740,370,833.29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14,621,125.73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2,249,823.16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538,885,663.24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30,949,059.76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9,714,897.43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596,420,569.32</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未办妥产权证书的土地使用权情况" w:id="295"/>
      <w:bookmarkEnd w:id="29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6342"/>
        <w:jc w:val="left"/>
      </w:pPr>
      <w:r>
        <w:rPr/>
        <w:t>其他说明： 注</w:t>
      </w:r>
      <w:r>
        <w:rPr>
          <w:rFonts w:ascii="Times New Roman" w:hAnsi="Times New Roman" w:cs="Times New Roman" w:eastAsia="Times New Roman" w:hint="default"/>
        </w:rPr>
        <w:t>1</w:t>
      </w:r>
      <w:r>
        <w:rPr/>
        <w:t>：部分内部研发形成的软件著作权尚在申请过程中。</w:t>
      </w:r>
    </w:p>
    <w:p>
      <w:pPr>
        <w:pStyle w:val="BodyText"/>
        <w:spacing w:line="214" w:lineRule="exact"/>
        <w:ind w:right="0"/>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年公司子公司四川浩特通信有限公司与雅安市市政建设工程有限公司签署协议，四川浩特通信有限公司出资建设</w:t>
      </w:r>
    </w:p>
    <w:p>
      <w:pPr>
        <w:pStyle w:val="BodyText"/>
        <w:spacing w:line="316" w:lineRule="auto" w:before="63"/>
        <w:ind w:right="0"/>
        <w:jc w:val="left"/>
      </w:pPr>
      <w:r>
        <w:rPr>
          <w:spacing w:val="-2"/>
        </w:rPr>
        <w:t>雅安市立体停车楼及路面停车系统项目，项目建成后四川浩特通信有限公司自雅安市政府获取前述立体停车楼及路面停车系</w:t>
      </w:r>
      <w:r>
        <w:rPr>
          <w:spacing w:val="-64"/>
        </w:rPr>
        <w:t> </w:t>
      </w:r>
      <w:r>
        <w:rPr>
          <w:spacing w:val="-64"/>
        </w:rPr>
      </w:r>
      <w:r>
        <w:rPr/>
        <w:t>统经营权，经营期限</w:t>
      </w:r>
      <w:r>
        <w:rPr>
          <w:rFonts w:ascii="Times New Roman" w:hAnsi="Times New Roman" w:cs="Times New Roman" w:eastAsia="Times New Roman" w:hint="default"/>
        </w:rPr>
        <w:t>8</w:t>
      </w:r>
      <w:r>
        <w:rPr/>
        <w:t>年，四川浩特通信有限公司将上述资产建设成本归集为无形资产核算。</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1、开发支出" w:id="296"/>
      <w:bookmarkEnd w:id="296"/>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新一代智慧 城市一体化 平台及应用 系统建设项 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93,499,473.9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418,047,081.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284,201,335.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227,345,220.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新一代智慧 医疗一体化 </w:t>
            </w:r>
            <w:r>
              <w:rPr>
                <w:rFonts w:ascii="Times New Roman" w:hAnsi="Times New Roman" w:cs="Times New Roman" w:eastAsia="Times New Roman" w:hint="default"/>
                <w:sz w:val="18"/>
                <w:szCs w:val="18"/>
              </w:rPr>
              <w:t>HIS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平台及 </w:t>
            </w:r>
            <w:r>
              <w:rPr>
                <w:rFonts w:ascii="宋体" w:hAnsi="宋体" w:cs="宋体" w:eastAsia="宋体" w:hint="default"/>
                <w:spacing w:val="-13"/>
                <w:sz w:val="18"/>
                <w:szCs w:val="18"/>
              </w:rPr>
              <w:t>应用系统（注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19,432,330.8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19,432,330.8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智慧养老综 合服务平台 及其智能物 </w:t>
            </w:r>
            <w:r>
              <w:rPr>
                <w:rFonts w:ascii="宋体" w:hAnsi="宋体" w:cs="宋体" w:eastAsia="宋体" w:hint="default"/>
                <w:spacing w:val="-13"/>
                <w:sz w:val="18"/>
                <w:szCs w:val="18"/>
              </w:rPr>
              <w:t>联云平台（注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10,941,125.0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10,941,125.0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零星开发项 目支出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1,817,893.49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21,193,298.3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20,935,531.4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2,075,660.33</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95,317,367.4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469,613,835.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305,136,866.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259,794,336.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r>
    </w:tbl>
    <w:p>
      <w:pPr>
        <w:pStyle w:val="BodyText"/>
        <w:spacing w:line="357" w:lineRule="auto" w:before="51"/>
        <w:ind w:right="5802"/>
        <w:jc w:val="left"/>
      </w:pPr>
      <w:r>
        <w:rPr/>
        <w:t>其他说明 注</w:t>
      </w:r>
      <w:r>
        <w:rPr>
          <w:rFonts w:ascii="Times New Roman" w:hAnsi="Times New Roman" w:cs="Times New Roman" w:eastAsia="Times New Roman" w:hint="default"/>
        </w:rPr>
        <w:t>1</w:t>
      </w:r>
      <w:r>
        <w:rPr/>
        <w:t>：新一代智慧城市一体化平台及应用系统建设项目情况说明</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0" w:firstLine="360"/>
        <w:jc w:val="left"/>
      </w:pPr>
      <w:r>
        <w:rPr>
          <w:spacing w:val="-2"/>
        </w:rPr>
        <w:t>本项目建设内容为：（一）基于智慧城市总体解决方案，研发新一代智慧城市一体化平台及应用系统，重点包括城市一</w:t>
      </w:r>
      <w:r>
        <w:rPr/>
        <w:t> </w:t>
      </w:r>
      <w:r>
        <w:rPr>
          <w:spacing w:val="-1"/>
        </w:rPr>
        <w:t>体化信息平台（</w:t>
      </w:r>
      <w:r>
        <w:rPr>
          <w:rFonts w:ascii="Times New Roman" w:hAnsi="Times New Roman" w:cs="Times New Roman" w:eastAsia="Times New Roman" w:hint="default"/>
          <w:spacing w:val="-1"/>
        </w:rPr>
        <w:t>iGWIM</w:t>
      </w:r>
      <w:r>
        <w:rPr>
          <w:spacing w:val="-1"/>
        </w:rPr>
        <w:t>）、智慧城市云平台（</w:t>
      </w:r>
      <w:r>
        <w:rPr>
          <w:rFonts w:ascii="Times New Roman" w:hAnsi="Times New Roman" w:cs="Times New Roman" w:eastAsia="Times New Roman" w:hint="default"/>
          <w:spacing w:val="-1"/>
        </w:rPr>
        <w:t>iCP</w:t>
      </w:r>
      <w:r>
        <w:rPr>
          <w:spacing w:val="-1"/>
        </w:rPr>
        <w:t>）、智慧城市大数据平台（</w:t>
      </w:r>
      <w:r>
        <w:rPr>
          <w:rFonts w:ascii="Times New Roman" w:hAnsi="Times New Roman" w:cs="Times New Roman" w:eastAsia="Times New Roman" w:hint="default"/>
          <w:spacing w:val="-1"/>
        </w:rPr>
        <w:t>iBDP</w:t>
      </w:r>
      <w:r>
        <w:rPr>
          <w:spacing w:val="-1"/>
        </w:rPr>
        <w:t>）、城市智能运行中心系统（</w:t>
      </w:r>
      <w:r>
        <w:rPr>
          <w:rFonts w:ascii="Times New Roman" w:hAnsi="Times New Roman" w:cs="Times New Roman" w:eastAsia="Times New Roman" w:hint="default"/>
          <w:spacing w:val="-1"/>
        </w:rPr>
        <w:t>IOC</w:t>
      </w:r>
      <w:r>
        <w:rPr>
          <w:spacing w:val="-1"/>
        </w:rPr>
        <w:t>）、政</w:t>
      </w:r>
      <w:r>
        <w:rPr>
          <w:spacing w:val="-56"/>
        </w:rPr>
        <w:t> </w:t>
      </w:r>
      <w:r>
        <w:rPr/>
        <w:t>务云协同应用系统（</w:t>
      </w:r>
      <w:r>
        <w:rPr>
          <w:rFonts w:ascii="Times New Roman" w:hAnsi="Times New Roman" w:cs="Times New Roman" w:eastAsia="Times New Roman" w:hint="default"/>
        </w:rPr>
        <w:t>iGOV</w:t>
      </w:r>
      <w:r>
        <w:rPr/>
        <w:t>）、市民云服务系统（</w:t>
      </w:r>
      <w:r>
        <w:rPr>
          <w:rFonts w:ascii="Times New Roman" w:hAnsi="Times New Roman" w:cs="Times New Roman" w:eastAsia="Times New Roman" w:hint="default"/>
        </w:rPr>
        <w:t>iCity</w:t>
      </w:r>
      <w:r>
        <w:rPr/>
        <w:t>）六个重点软件产品，支持在各城市以城市私有云建设、</w:t>
      </w:r>
      <w:r>
        <w:rPr>
          <w:rFonts w:ascii="Times New Roman" w:hAnsi="Times New Roman" w:cs="Times New Roman" w:eastAsia="Times New Roman" w:hint="default"/>
        </w:rPr>
        <w:t>PPP</w:t>
      </w:r>
      <w:r>
        <w:rPr/>
        <w:t>合作模 </w:t>
      </w:r>
      <w:r>
        <w:rPr>
          <w:spacing w:val="-2"/>
        </w:rPr>
        <w:t>式与租赁在线运营服务等多种模式落地；（二）购置软硬件设备，建设上海云计算中心、上海云计算副中心、成都云计算中</w:t>
      </w:r>
      <w:r>
        <w:rPr>
          <w:spacing w:val="-67"/>
        </w:rPr>
        <w:t> </w:t>
      </w:r>
      <w:r>
        <w:rPr>
          <w:spacing w:val="-67"/>
        </w:rPr>
      </w:r>
      <w:r>
        <w:rPr/>
        <w:t>心，支撑新一代智慧城市一体化平台及应用系统，提供云服务。</w:t>
      </w:r>
    </w:p>
    <w:p>
      <w:pPr>
        <w:pStyle w:val="BodyText"/>
        <w:spacing w:line="312" w:lineRule="auto" w:before="24"/>
        <w:ind w:right="1128" w:firstLine="360"/>
        <w:jc w:val="left"/>
      </w:pPr>
      <w:r>
        <w:rPr>
          <w:spacing w:val="-2"/>
        </w:rPr>
        <w:t>本项目将依托公司目前所拥有的相关领域的核心技术和成功经验，进行自主研发和集成创新，在行业基础系统的软件开</w:t>
      </w:r>
      <w:r>
        <w:rPr/>
        <w:t> </w:t>
      </w:r>
      <w:r>
        <w:rPr>
          <w:spacing w:val="-2"/>
        </w:rPr>
        <w:t>发与系统集成业务基础上，加大投入基于云计算模式的在线服务，建设城市级的云中心和云端应用，云中心主要建设城市一</w:t>
      </w:r>
      <w:r>
        <w:rPr>
          <w:spacing w:val="-66"/>
        </w:rPr>
        <w:t> </w:t>
      </w:r>
      <w:r>
        <w:rPr>
          <w:spacing w:val="-66"/>
        </w:rPr>
      </w:r>
      <w:r>
        <w:rPr>
          <w:spacing w:val="-2"/>
        </w:rPr>
        <w:t>体化信息平台、城市云平台和城市大数据平台，云端应用包括以市民为中心的市民云服务系统、面向行政管理与服务的政务</w:t>
      </w:r>
      <w:r>
        <w:rPr>
          <w:spacing w:val="-66"/>
        </w:rPr>
        <w:t> </w:t>
      </w:r>
      <w:r>
        <w:rPr>
          <w:spacing w:val="-66"/>
        </w:rPr>
      </w:r>
      <w:r>
        <w:rPr>
          <w:spacing w:val="-1"/>
        </w:rPr>
        <w:t>云协同应用系统和面向社会治理的城市智能运行中心系统，逐步消除</w:t>
      </w:r>
      <w:r>
        <w:rPr>
          <w:rFonts w:ascii="Times New Roman" w:hAnsi="Times New Roman" w:cs="Times New Roman" w:eastAsia="Times New Roman" w:hint="default"/>
          <w:spacing w:val="-1"/>
        </w:rPr>
        <w:t>“</w:t>
      </w:r>
      <w:r>
        <w:rPr>
          <w:spacing w:val="-1"/>
        </w:rPr>
        <w:t>数据孤岛</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行业烟囱</w:t>
      </w:r>
      <w:r>
        <w:rPr>
          <w:rFonts w:ascii="Times New Roman" w:hAnsi="Times New Roman" w:cs="Times New Roman" w:eastAsia="Times New Roman" w:hint="default"/>
          <w:spacing w:val="-1"/>
        </w:rPr>
        <w:t>”</w:t>
      </w:r>
      <w:r>
        <w:rPr>
          <w:spacing w:val="-1"/>
        </w:rPr>
        <w:t>现象，实现信息共享融通。公</w:t>
      </w:r>
      <w:r>
        <w:rPr>
          <w:spacing w:val="-80"/>
        </w:rPr>
        <w:t> </w:t>
      </w:r>
      <w:r>
        <w:rPr>
          <w:spacing w:val="-80"/>
        </w:rPr>
      </w:r>
      <w:r>
        <w:rPr>
          <w:spacing w:val="-2"/>
        </w:rPr>
        <w:t>司业务模式也将在信息化项目服务的基础上，扩展云服务模式的公共服务运营业务，包括部署于当地的智慧城市私有云运营</w:t>
      </w:r>
      <w:r>
        <w:rPr>
          <w:spacing w:val="-64"/>
        </w:rPr>
        <w:t> </w:t>
      </w:r>
      <w:r>
        <w:rPr>
          <w:spacing w:val="-64"/>
        </w:rPr>
      </w:r>
      <w:r>
        <w:rPr/>
        <w:t>服务、基于</w:t>
      </w:r>
      <w:r>
        <w:rPr>
          <w:rFonts w:ascii="Times New Roman" w:hAnsi="Times New Roman" w:cs="Times New Roman" w:eastAsia="Times New Roman" w:hint="default"/>
        </w:rPr>
        <w:t>PPP</w:t>
      </w:r>
      <w:r>
        <w:rPr/>
        <w:t>模式的联合运营服务以及部署于上海及成都的智慧城市公有云运营服务。 注</w:t>
      </w:r>
      <w:r>
        <w:rPr>
          <w:rFonts w:ascii="Times New Roman" w:hAnsi="Times New Roman" w:cs="Times New Roman" w:eastAsia="Times New Roman" w:hint="default"/>
        </w:rPr>
        <w:t>2</w:t>
      </w:r>
      <w:r>
        <w:rPr/>
        <w:t>：新一代智慧医疗一体化</w:t>
      </w:r>
      <w:r>
        <w:rPr>
          <w:rFonts w:ascii="Times New Roman" w:hAnsi="Times New Roman" w:cs="Times New Roman" w:eastAsia="Times New Roman" w:hint="default"/>
        </w:rPr>
        <w:t>HIS</w:t>
      </w:r>
      <w:r>
        <w:rPr/>
        <w:t>平台及应用系统情况说明</w:t>
      </w:r>
    </w:p>
    <w:p>
      <w:pPr>
        <w:pStyle w:val="BodyText"/>
        <w:spacing w:line="309" w:lineRule="auto" w:before="3"/>
        <w:ind w:right="1130" w:firstLine="360"/>
        <w:jc w:val="both"/>
      </w:pPr>
      <w:r>
        <w:rPr>
          <w:spacing w:val="-1"/>
        </w:rPr>
        <w:t>本项目建设内容为：基于智慧医疗总体解决方案，研发新一代智慧医疗一体化</w:t>
      </w:r>
      <w:r>
        <w:rPr>
          <w:rFonts w:ascii="Times New Roman" w:hAnsi="Times New Roman" w:cs="Times New Roman" w:eastAsia="Times New Roman" w:hint="default"/>
          <w:spacing w:val="-1"/>
        </w:rPr>
        <w:t>HIS</w:t>
      </w:r>
      <w:r>
        <w:rPr>
          <w:spacing w:val="-1"/>
        </w:rPr>
        <w:t>服务平台及应用系统，重点包含智慧</w:t>
      </w:r>
      <w:r>
        <w:rPr/>
        <w:t> </w:t>
      </w:r>
      <w:r>
        <w:rPr>
          <w:spacing w:val="-2"/>
        </w:rPr>
        <w:t>医疗云诊所服务平台、智慧医疗云社区服务平台、智慧医疗云医院信息平台和智慧医疗云协同服务平台等四个服务平台。同</w:t>
      </w:r>
      <w:r>
        <w:rPr>
          <w:spacing w:val="-66"/>
        </w:rPr>
        <w:t> </w:t>
      </w:r>
      <w:r>
        <w:rPr>
          <w:spacing w:val="-66"/>
        </w:rPr>
      </w:r>
      <w:r>
        <w:rPr/>
        <w:t>时，建设一主一辅两个智慧医疗云计算中心，支撑前述四个服务平台的相关应用。</w:t>
      </w:r>
    </w:p>
    <w:p>
      <w:pPr>
        <w:pStyle w:val="BodyText"/>
        <w:spacing w:line="316" w:lineRule="auto" w:before="24"/>
        <w:ind w:right="0" w:firstLine="360"/>
        <w:jc w:val="left"/>
      </w:pPr>
      <w:r>
        <w:rPr>
          <w:spacing w:val="-2"/>
        </w:rPr>
        <w:t>公司拟借助移动互联网、大数据与云计算等技术，构建一个标准化、智能化、系统化的立体式医疗信息化生态系统，以</w:t>
      </w:r>
      <w:r>
        <w:rPr/>
        <w:t> 实现线上线下服务一体化以及医前、医中、医后服务一体化的双闭环以及不同医疗机构的信息互联互通。</w:t>
      </w:r>
    </w:p>
    <w:p>
      <w:pPr>
        <w:pStyle w:val="BodyText"/>
        <w:spacing w:line="309" w:lineRule="auto" w:before="19"/>
        <w:ind w:right="1102" w:firstLine="360"/>
        <w:jc w:val="left"/>
      </w:pPr>
      <w:r>
        <w:rPr/>
        <w:t>公司拟建设的新一代智慧医疗一体化</w:t>
      </w:r>
      <w:r>
        <w:rPr>
          <w:rFonts w:ascii="Times New Roman" w:hAnsi="Times New Roman" w:cs="Times New Roman" w:eastAsia="Times New Roman" w:hint="default"/>
        </w:rPr>
        <w:t>HIS</w:t>
      </w:r>
      <w:r>
        <w:rPr/>
        <w:t>服务平台及应用系统项目在系统构架、功能性、信息互联互通等方面有显著的 </w:t>
      </w:r>
      <w:r>
        <w:rPr>
          <w:spacing w:val="-1"/>
        </w:rPr>
        <w:t>优势。在系统构架方面，新一代智慧医疗一体化</w:t>
      </w:r>
      <w:r>
        <w:rPr>
          <w:rFonts w:ascii="Times New Roman" w:hAnsi="Times New Roman" w:cs="Times New Roman" w:eastAsia="Times New Roman" w:hint="default"/>
          <w:spacing w:val="-1"/>
        </w:rPr>
        <w:t>HIS</w:t>
      </w:r>
      <w:r>
        <w:rPr>
          <w:spacing w:val="-1"/>
        </w:rPr>
        <w:t>系统具有更强的兼容开放性，模块扩展性强，能接入基于新语言与新技</w:t>
      </w:r>
      <w:r>
        <w:rPr>
          <w:spacing w:val="-50"/>
        </w:rPr>
        <w:t> </w:t>
      </w:r>
      <w:r>
        <w:rPr>
          <w:spacing w:val="-50"/>
        </w:rPr>
      </w:r>
      <w:r>
        <w:rPr/>
        <w:t>术的软件与应用；在功能上，新一代智慧医疗一体化</w:t>
      </w:r>
      <w:r>
        <w:rPr>
          <w:rFonts w:ascii="Times New Roman" w:hAnsi="Times New Roman" w:cs="Times New Roman" w:eastAsia="Times New Roman" w:hint="default"/>
        </w:rPr>
        <w:t>HIS</w:t>
      </w:r>
      <w:r>
        <w:rPr/>
        <w:t>系统功能覆盖广阔，从门诊、急诊、药房等服务管理、重症监护、 </w:t>
      </w:r>
      <w:r>
        <w:rPr>
          <w:spacing w:val="-2"/>
        </w:rPr>
        <w:t>手术等医疗管理延伸至临床决策辅助，从家庭医生、远程会诊、一键转诊延伸至疾病预防与管理，实现线上线下服务一体化</w:t>
      </w:r>
      <w:r>
        <w:rPr>
          <w:spacing w:val="-66"/>
        </w:rPr>
        <w:t> </w:t>
      </w:r>
      <w:r>
        <w:rPr>
          <w:spacing w:val="-66"/>
        </w:rPr>
      </w:r>
      <w:r>
        <w:rPr>
          <w:w w:val="95"/>
        </w:rPr>
        <w:t>以及医前、医中、医后服务一体化的双闭环；在信息互联互通方面，新一代智慧医疗一体化</w:t>
      </w:r>
      <w:r>
        <w:rPr>
          <w:rFonts w:ascii="Times New Roman" w:hAnsi="Times New Roman" w:cs="Times New Roman" w:eastAsia="Times New Roman" w:hint="default"/>
          <w:w w:val="95"/>
        </w:rPr>
        <w:t>HIS</w:t>
      </w:r>
      <w:r>
        <w:rPr>
          <w:w w:val="95"/>
        </w:rPr>
        <w:t>系统实现了各医疗机构内部</w:t>
      </w:r>
      <w:r>
        <w:rPr>
          <w:spacing w:val="41"/>
          <w:w w:val="95"/>
        </w:rPr>
        <w:t> </w:t>
      </w:r>
      <w:r>
        <w:rPr>
          <w:spacing w:val="41"/>
          <w:w w:val="95"/>
        </w:rPr>
      </w:r>
      <w:r>
        <w:rPr>
          <w:spacing w:val="-2"/>
        </w:rPr>
        <w:t>的横向整合和跨区域的纵向资源整合。一方面该项目通过云诊所、云社区、云医院三大服务平台横向整合资源，实现医疗机</w:t>
      </w:r>
      <w:r>
        <w:rPr>
          <w:spacing w:val="-66"/>
        </w:rPr>
        <w:t> </w:t>
      </w:r>
      <w:r>
        <w:rPr>
          <w:spacing w:val="-66"/>
        </w:rPr>
      </w:r>
      <w:r>
        <w:rPr>
          <w:spacing w:val="-2"/>
        </w:rPr>
        <w:t>构内部跨部门、跨学科的数据共享与协作；另一方面，在云计算中心的强大计算能力支持下，通过云协同服务平台纵向整合</w:t>
      </w:r>
      <w:r>
        <w:rPr>
          <w:spacing w:val="-66"/>
        </w:rPr>
        <w:t> </w:t>
      </w:r>
      <w:r>
        <w:rPr>
          <w:spacing w:val="-66"/>
        </w:rPr>
      </w:r>
      <w:r>
        <w:rPr/>
        <w:t>区域内医疗资源，形成统一平台，打通各级医疗机构的外部壁垒，实现数据互联互通以及移动化的医疗信息服务。 注</w:t>
      </w:r>
      <w:r>
        <w:rPr>
          <w:rFonts w:ascii="Times New Roman" w:hAnsi="Times New Roman" w:cs="Times New Roman" w:eastAsia="Times New Roman" w:hint="default"/>
        </w:rPr>
        <w:t>3</w:t>
      </w:r>
      <w:r>
        <w:rPr/>
        <w:t>：智慧养老综合服务平台及其智能物联云平台情况说明</w:t>
      </w:r>
    </w:p>
    <w:p>
      <w:pPr>
        <w:pStyle w:val="BodyText"/>
        <w:spacing w:line="316" w:lineRule="auto" w:before="5"/>
        <w:ind w:right="1131" w:firstLine="360"/>
        <w:jc w:val="both"/>
      </w:pPr>
      <w:r>
        <w:rPr>
          <w:spacing w:val="-2"/>
        </w:rPr>
        <w:t>本项目建设内容为：基于智慧养老总体解决方案，研发智慧养老综合服务平台及其智能物联云平台项目，重点包括医养</w:t>
      </w:r>
      <w:r>
        <w:rPr/>
        <w:t> </w:t>
      </w:r>
      <w:r>
        <w:rPr>
          <w:spacing w:val="-2"/>
        </w:rPr>
        <w:t>结合服务管理云平台、长期护理保险综合信息管理云平台、社区综合为老服务云平台、居家护理机构管理云平台、养老机构</w:t>
      </w:r>
      <w:r>
        <w:rPr>
          <w:spacing w:val="-66"/>
        </w:rPr>
        <w:t> </w:t>
      </w:r>
      <w:r>
        <w:rPr>
          <w:spacing w:val="-66"/>
        </w:rPr>
      </w:r>
      <w:r>
        <w:rPr>
          <w:spacing w:val="-2"/>
        </w:rPr>
        <w:t>管理云平台、养老地产颐养社区管理云平台和智能物联云平台及其产品。其中，研发的智能物联产品涵盖智能监护设备、智</w:t>
      </w:r>
      <w:r>
        <w:rPr>
          <w:spacing w:val="-66"/>
        </w:rPr>
        <w:t> </w:t>
      </w:r>
      <w:r>
        <w:rPr>
          <w:spacing w:val="-66"/>
        </w:rPr>
      </w:r>
      <w:r>
        <w:rPr/>
        <w:t>能安防监控设备、智能陪护设备三大产品线。</w:t>
      </w:r>
    </w:p>
    <w:p>
      <w:pPr>
        <w:pStyle w:val="BodyText"/>
        <w:spacing w:line="314" w:lineRule="auto" w:before="19"/>
        <w:ind w:right="1030" w:firstLine="360"/>
        <w:jc w:val="left"/>
      </w:pPr>
      <w:r>
        <w:rPr>
          <w:spacing w:val="-2"/>
        </w:rPr>
        <w:t>智慧养老综合服务平台及其智能物联云平台项目的建设，面向政府、企业、社区、个人等主体，实现对现有智慧养老信</w:t>
      </w:r>
      <w:r>
        <w:rPr/>
        <w:t> </w:t>
      </w:r>
      <w:r>
        <w:rPr>
          <w:spacing w:val="-3"/>
        </w:rPr>
        <w:t>息化需求的全覆盖，建立面向政府全过程监督的监管平台、面向企业或社区高效的养老经营平台、面向老年人群的</w:t>
      </w:r>
      <w:r>
        <w:rPr>
          <w:rFonts w:ascii="Times New Roman" w:hAnsi="Times New Roman" w:cs="Times New Roman" w:eastAsia="Times New Roman" w:hint="default"/>
          <w:spacing w:val="-3"/>
        </w:rPr>
        <w:t>O2O</w:t>
      </w:r>
      <w:r>
        <w:rPr>
          <w:spacing w:val="-3"/>
        </w:rPr>
        <w:t>平台，</w:t>
      </w:r>
      <w:r>
        <w:rPr>
          <w:spacing w:val="-85"/>
        </w:rPr>
        <w:t> </w:t>
      </w:r>
      <w:r>
        <w:rPr>
          <w:spacing w:val="-2"/>
        </w:rPr>
        <w:t>为老年人群提供功能丰富的智能监测、安防和看护等一站式的智慧养老服务，通过平台技术使得居家养老、社区养老成为可</w:t>
      </w:r>
      <w:r>
        <w:rPr>
          <w:spacing w:val="-66"/>
        </w:rPr>
        <w:t> </w:t>
      </w:r>
      <w:r>
        <w:rPr>
          <w:spacing w:val="-66"/>
        </w:rPr>
      </w:r>
      <w:r>
        <w:rPr>
          <w:spacing w:val="-2"/>
        </w:rPr>
        <w:t>能，解决养老服务资源不足、政府全过程监管、老年人群需求无法精准响应等众多社会问题，强化资源配置整合，提升机构</w:t>
      </w:r>
      <w:r>
        <w:rPr>
          <w:spacing w:val="-66"/>
        </w:rPr>
        <w:t> </w:t>
      </w:r>
      <w:r>
        <w:rPr>
          <w:spacing w:val="-66"/>
        </w:rPr>
      </w:r>
      <w:r>
        <w:rPr>
          <w:spacing w:val="-2"/>
        </w:rPr>
        <w:t>的服务管理效率，建立起有效的全程监控及服务网络，形成服务闭环和完整的服务生态体系，推动和促进整个智慧养老行业</w:t>
      </w:r>
      <w:r>
        <w:rPr>
          <w:spacing w:val="-66"/>
        </w:rPr>
        <w:t> </w:t>
      </w:r>
      <w:r>
        <w:rPr>
          <w:spacing w:val="-66"/>
        </w:rPr>
      </w:r>
      <w:r>
        <w:rPr/>
        <w:t>的产业升级和发展。</w:t>
      </w:r>
    </w:p>
    <w:p>
      <w:pPr>
        <w:pStyle w:val="BodyText"/>
        <w:spacing w:line="300" w:lineRule="auto" w:before="20"/>
        <w:ind w:right="0" w:firstLine="360"/>
        <w:jc w:val="left"/>
      </w:pPr>
      <w:r>
        <w:rPr/>
        <w:t>智能物联云平台顺应</w:t>
      </w:r>
      <w:r>
        <w:rPr>
          <w:rFonts w:ascii="Times New Roman" w:hAnsi="Times New Roman" w:cs="Times New Roman" w:eastAsia="Times New Roman" w:hint="default"/>
        </w:rPr>
        <w:t>“</w:t>
      </w:r>
      <w:r>
        <w:rPr/>
        <w:t>万物互联</w:t>
      </w:r>
      <w:r>
        <w:rPr>
          <w:rFonts w:ascii="Times New Roman" w:hAnsi="Times New Roman" w:cs="Times New Roman" w:eastAsia="Times New Roman" w:hint="default"/>
        </w:rPr>
        <w:t>”</w:t>
      </w:r>
      <w:r>
        <w:rPr/>
        <w:t>的物联网发展趋势，将不同类型、场景、空间的智能物联设备通过智能物联云平台进行 </w:t>
      </w:r>
      <w:r>
        <w:rPr>
          <w:spacing w:val="-4"/>
        </w:rPr>
        <w:t>数据的汇集和整合，对接智慧养老综合服务平台为社区、居家、机构等不同养老服务主体提供智能监测、安防和看护等服务。</w:t>
      </w:r>
    </w:p>
    <w:p>
      <w:pPr>
        <w:pStyle w:val="BodyText"/>
        <w:spacing w:line="319" w:lineRule="auto" w:before="31"/>
        <w:ind w:right="1131" w:firstLine="360"/>
        <w:jc w:val="both"/>
      </w:pPr>
      <w:r>
        <w:rPr>
          <w:spacing w:val="-2"/>
        </w:rPr>
        <w:t>项目将依托公司目前所拥有的民生保障领域核心技术和成功经验，进行自主研发和集成创新，在行业信息系统的业务基</w:t>
      </w:r>
      <w:r>
        <w:rPr/>
        <w:t> </w:t>
      </w:r>
      <w:r>
        <w:rPr>
          <w:spacing w:val="-2"/>
        </w:rPr>
        <w:t>础上，研发智慧养老综合服务平台及其智能物联云平台，重点包括医养结合服务管理云平台、长期护理保险综合信息管理云</w:t>
      </w:r>
      <w:r>
        <w:rPr>
          <w:spacing w:val="-66"/>
        </w:rPr>
        <w:t> </w:t>
      </w:r>
      <w:r>
        <w:rPr>
          <w:spacing w:val="-66"/>
        </w:rPr>
      </w:r>
      <w:r>
        <w:rPr>
          <w:spacing w:val="-2"/>
        </w:rPr>
        <w:t>平台、社区综合为老服务云平台、居家护理机构管理云平台、养老机构管理云平台、养老地产颐养社区管理云平台和智能物</w:t>
      </w:r>
      <w:r>
        <w:rPr>
          <w:spacing w:val="-66"/>
        </w:rPr>
        <w:t> </w:t>
      </w:r>
      <w:r>
        <w:rPr>
          <w:spacing w:val="-66"/>
        </w:rPr>
      </w:r>
      <w:r>
        <w:rPr/>
        <w:t>联云平台及其产品。</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2、商誉" w:id="297"/>
      <w:bookmarkEnd w:id="297"/>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98"/>
      <w:bookmarkEnd w:id="29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9,681,830.25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9,681,830.25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10,152,998.55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10,152,998.55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810,907.34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810,907.34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420,632,306.97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420,632,306.97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511,490,902.87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511,490,902.87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53,105,624.64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53,105,624.64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28,844,769.67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28,844,769.67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四川万达健康数 据有限公司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1,856,717.03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1,856,717.03</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宁波市万达数据 应用服务有限公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1,612,989.60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1,612,989.60</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万达志翔医疗科 技（北京）有限 责任公司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10,297,657.81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10,297,657.81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1,048,486,704.73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9,681,830.25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1,038,804,874.48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99"/>
      <w:bookmarkEnd w:id="29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12" w:space="0" w:color="E0FFFF"/>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上海市民信箱信</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left="378" w:right="0"/>
              <w:jc w:val="left"/>
              <w:rPr>
                <w:rFonts w:ascii="Times New Roman" w:hAnsi="Times New Roman" w:cs="Times New Roman" w:eastAsia="Times New Roman" w:hint="default"/>
                <w:sz w:val="18"/>
                <w:szCs w:val="18"/>
              </w:rPr>
            </w:pPr>
            <w:r>
              <w:rPr>
                <w:rFonts w:ascii="Times New Roman"/>
                <w:sz w:val="18"/>
              </w:rPr>
              <w:t>2,961,462.89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2,961,462.89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38"/>
              <w:jc w:val="center"/>
              <w:rPr>
                <w:rFonts w:ascii="宋体" w:hAnsi="宋体" w:cs="宋体" w:eastAsia="宋体" w:hint="default"/>
                <w:sz w:val="18"/>
                <w:szCs w:val="18"/>
              </w:rPr>
            </w:pPr>
            <w:r>
              <w:rPr>
                <w:rFonts w:ascii="宋体" w:hAnsi="宋体" w:cs="宋体" w:eastAsia="宋体" w:hint="default"/>
                <w:sz w:val="18"/>
                <w:szCs w:val="18"/>
              </w:rPr>
              <w:t>息服务有限公司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30,770,574.04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30,770,574.04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10,152,998.55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10,152,998.55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四川万达健康数 据有限公司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1,856,717.03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1,856,717.03</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万达志翔医疗科 技（北京）有限 责任公司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10,297,657.81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10,297,657.81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33,732,036.93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22,307,373.39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56,039,410.32</w:t>
            </w:r>
          </w:p>
        </w:tc>
      </w:tr>
    </w:tbl>
    <w:p>
      <w:pPr>
        <w:pStyle w:val="BodyText"/>
        <w:spacing w:line="357" w:lineRule="auto" w:before="51"/>
        <w:ind w:right="2832"/>
        <w:jc w:val="left"/>
      </w:pPr>
      <w:r>
        <w:rPr/>
        <w:pict>
          <v:shape style="position:absolute;margin-left:114.739998pt;margin-top:35.201691pt;width:368.8pt;height:212.4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9"/>
                    <w:gridCol w:w="1985"/>
                    <w:gridCol w:w="1985"/>
                  </w:tblGrid>
                  <w:tr>
                    <w:trPr>
                      <w:trHeight w:val="355"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业务分部</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62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9,681,830.25</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10,152,998.55</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10,152,998.55</w:t>
                        </w:r>
                      </w:p>
                    </w:tc>
                  </w:tr>
                  <w:tr>
                    <w:trPr>
                      <w:trHeight w:val="353"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810,907.34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810,907.34</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宁波金唐业务资产组</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420,632,306.97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420,632,306.97</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上海复高业务资产组</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511,490,902.87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511,490,902.87</w:t>
                        </w:r>
                      </w:p>
                    </w:tc>
                  </w:tr>
                  <w:tr>
                    <w:trPr>
                      <w:trHeight w:val="353"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湖南凯歌医疗业务资产组</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53,105,624.64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53,105,624.64</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市民信箱市民云业务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28,844,769.67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28,844,769.67</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1,856,717.03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1,856,717.03</w:t>
                        </w:r>
                      </w:p>
                    </w:tc>
                  </w:tr>
                  <w:tr>
                    <w:trPr>
                      <w:trHeight w:val="353"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1,612,989.60</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1,612,989.60</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10,297,657.81</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10,297,657.81</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1,038,804,874.48</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1,048,486,704.73</w:t>
                        </w:r>
                      </w:p>
                    </w:tc>
                  </w:tr>
                </w:tbl>
                <w:p>
                  <w:pPr/>
                </w:p>
              </w:txbxContent>
            </v:textbox>
            <w10:wrap type="none"/>
          </v:shape>
        </w:pict>
      </w:r>
      <w:r>
        <w:rPr/>
        <w:t>商誉所在资产组或资产组组合的相关信息 本公司的所有商誉已于购买日分摊至相关的资产组或资产组组合，分摊情况根据经营分部汇总如下：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309" w:lineRule="auto" w:before="44"/>
        <w:ind w:right="1129" w:firstLine="360"/>
        <w:jc w:val="both"/>
      </w:pPr>
      <w:r>
        <w:rPr>
          <w:spacing w:val="-2"/>
        </w:rPr>
        <w:t>在进行商誉减值测试时，本公司将相关资产（含商誉）的账面价值与其可收回金额进行比较，如果可收回金额低于账面</w:t>
      </w:r>
      <w:r>
        <w:rPr/>
        <w:t> </w:t>
      </w:r>
      <w:r>
        <w:rPr>
          <w:spacing w:val="-3"/>
        </w:rPr>
        <w:t>价值，相关差额计入当期损益。本公司除处置西藏万达华波美信息技术有限公司</w:t>
      </w:r>
      <w:r>
        <w:rPr>
          <w:rFonts w:ascii="Times New Roman" w:hAnsi="Times New Roman" w:cs="Times New Roman" w:eastAsia="Times New Roman" w:hint="default"/>
          <w:spacing w:val="-3"/>
        </w:rPr>
        <w:t>100%</w:t>
      </w:r>
      <w:r>
        <w:rPr>
          <w:spacing w:val="-3"/>
        </w:rPr>
        <w:t>股权外，其他业务分布商誉分摊于</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2"/>
        </w:rPr>
        <w:t> </w:t>
      </w:r>
      <w:r>
        <w:rPr/>
        <w:t>年度未发生变化。</w:t>
      </w:r>
    </w:p>
    <w:p>
      <w:pPr>
        <w:pStyle w:val="BodyText"/>
        <w:spacing w:line="319" w:lineRule="auto" w:before="65"/>
        <w:ind w:right="1130"/>
        <w:jc w:val="both"/>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Heading6"/>
        <w:spacing w:line="240" w:lineRule="auto" w:before="55"/>
        <w:ind w:right="0"/>
        <w:jc w:val="both"/>
        <w:rPr>
          <w:b w:val="0"/>
          <w:bCs w:val="0"/>
        </w:rPr>
      </w:pPr>
      <w:r>
        <w:rPr>
          <w:rFonts w:ascii="Times New Roman" w:hAnsi="Times New Roman" w:cs="Times New Roman" w:eastAsia="Times New Roman" w:hint="default"/>
        </w:rPr>
        <w:t>1</w:t>
      </w:r>
      <w:r>
        <w:rPr/>
        <w:t>、商誉计算过程</w:t>
      </w:r>
      <w:r>
        <w:rPr>
          <w:b w:val="0"/>
          <w:bCs w:val="0"/>
        </w:rPr>
      </w:r>
    </w:p>
    <w:p>
      <w:pPr>
        <w:pStyle w:val="BodyText"/>
        <w:spacing w:line="300" w:lineRule="auto" w:before="63"/>
        <w:ind w:right="1130"/>
        <w:jc w:val="both"/>
      </w:pPr>
      <w:r>
        <w:rPr>
          <w:spacing w:val="-2"/>
        </w:rPr>
        <w:t>（</w:t>
      </w:r>
      <w:r>
        <w:rPr>
          <w:rFonts w:ascii="Times New Roman" w:hAnsi="Times New Roman" w:cs="Times New Roman" w:eastAsia="Times New Roman" w:hint="default"/>
          <w:spacing w:val="-2"/>
        </w:rPr>
        <w:t>1</w:t>
      </w:r>
      <w:r>
        <w:rPr>
          <w:spacing w:val="-2"/>
        </w:rPr>
        <w:t>）本公司于</w:t>
      </w:r>
      <w:r>
        <w:rPr>
          <w:rFonts w:ascii="Times New Roman" w:hAnsi="Times New Roman" w:cs="Times New Roman" w:eastAsia="Times New Roman" w:hint="default"/>
          <w:spacing w:val="-2"/>
        </w:rPr>
        <w:t>2012</w:t>
      </w:r>
      <w:r>
        <w:rPr>
          <w:spacing w:val="-2"/>
        </w:rPr>
        <w:t>年以人民币</w:t>
      </w:r>
      <w:r>
        <w:rPr>
          <w:rFonts w:ascii="Times New Roman" w:hAnsi="Times New Roman" w:cs="Times New Roman" w:eastAsia="Times New Roman" w:hint="default"/>
          <w:spacing w:val="-2"/>
        </w:rPr>
        <w:t>3,800.00</w:t>
      </w:r>
      <w:r>
        <w:rPr>
          <w:spacing w:val="-2"/>
        </w:rPr>
        <w:t>万元为合并成本购买西藏万达华波美信息技术有限公司（原名西藏新时代华波美信息</w:t>
      </w:r>
      <w:r>
        <w:rPr>
          <w:spacing w:val="-52"/>
        </w:rPr>
        <w:t> </w:t>
      </w:r>
      <w:r>
        <w:rPr>
          <w:spacing w:val="-52"/>
        </w:rPr>
      </w:r>
      <w:r>
        <w:rPr>
          <w:spacing w:val="-1"/>
        </w:rPr>
        <w:t>技术有限公司）</w:t>
      </w:r>
      <w:r>
        <w:rPr>
          <w:rFonts w:ascii="Times New Roman" w:hAnsi="Times New Roman" w:cs="Times New Roman" w:eastAsia="Times New Roman" w:hint="default"/>
          <w:spacing w:val="-1"/>
        </w:rPr>
        <w:t>51.22%</w:t>
      </w:r>
      <w:r>
        <w:rPr>
          <w:spacing w:val="-1"/>
        </w:rPr>
        <w:t>权益。归属于本公司的可辨认净资产在购买日的公允价值为人民币</w:t>
      </w:r>
      <w:r>
        <w:rPr>
          <w:rFonts w:ascii="Times New Roman" w:hAnsi="Times New Roman" w:cs="Times New Roman" w:eastAsia="Times New Roman" w:hint="default"/>
          <w:spacing w:val="-1"/>
        </w:rPr>
        <w:t>28,318,169.75</w:t>
      </w:r>
      <w:r>
        <w:rPr>
          <w:spacing w:val="-1"/>
        </w:rPr>
        <w:t>元，两者的差额人民</w:t>
      </w:r>
      <w:r>
        <w:rPr>
          <w:spacing w:val="-83"/>
        </w:rPr>
        <w:t> </w:t>
      </w:r>
      <w:r>
        <w:rPr>
          <w:spacing w:val="-83"/>
        </w:rPr>
      </w:r>
      <w:r>
        <w:rPr>
          <w:spacing w:val="-1"/>
        </w:rPr>
        <w:t>币</w:t>
      </w:r>
      <w:r>
        <w:rPr>
          <w:rFonts w:ascii="Times New Roman" w:hAnsi="Times New Roman" w:cs="Times New Roman" w:eastAsia="Times New Roman" w:hint="default"/>
          <w:spacing w:val="-1"/>
        </w:rPr>
        <w:t>9,681,830.25</w:t>
      </w:r>
      <w:r>
        <w:rPr>
          <w:spacing w:val="-1"/>
        </w:rPr>
        <w:t>元确认为商誉。</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月公司将持有西藏万达华波美信息技术有限公司</w:t>
      </w:r>
      <w:r>
        <w:rPr>
          <w:rFonts w:ascii="Times New Roman" w:hAnsi="Times New Roman" w:cs="Times New Roman" w:eastAsia="Times New Roman" w:hint="default"/>
          <w:spacing w:val="-1"/>
        </w:rPr>
        <w:t>51.22%</w:t>
      </w:r>
      <w:r>
        <w:rPr>
          <w:spacing w:val="-1"/>
        </w:rPr>
        <w:t>股权全部转让予深圳市华波美</w:t>
      </w:r>
      <w:r>
        <w:rPr>
          <w:spacing w:val="-81"/>
        </w:rPr>
        <w:t> </w:t>
      </w:r>
      <w:r>
        <w:rPr>
          <w:spacing w:val="-81"/>
        </w:rPr>
      </w:r>
      <w:r>
        <w:rPr/>
        <w:t>通信技术有限公司，西藏万达华波美信息技术有限公司期末不再纳入本公司合并范围。</w:t>
      </w:r>
    </w:p>
    <w:p>
      <w:pPr>
        <w:pStyle w:val="BodyText"/>
        <w:spacing w:line="300" w:lineRule="auto" w:before="31"/>
        <w:ind w:right="1132"/>
        <w:jc w:val="both"/>
      </w:pPr>
      <w:r>
        <w:rPr>
          <w:spacing w:val="-1"/>
        </w:rPr>
        <w:t>（</w:t>
      </w:r>
      <w:r>
        <w:rPr>
          <w:rFonts w:ascii="Times New Roman" w:hAnsi="Times New Roman" w:cs="Times New Roman" w:eastAsia="Times New Roman" w:hint="default"/>
          <w:spacing w:val="-1"/>
        </w:rPr>
        <w:t>2</w:t>
      </w:r>
      <w:r>
        <w:rPr>
          <w:spacing w:val="-1"/>
        </w:rPr>
        <w:t>）本公司于</w:t>
      </w:r>
      <w:r>
        <w:rPr>
          <w:rFonts w:ascii="Times New Roman" w:hAnsi="Times New Roman" w:cs="Times New Roman" w:eastAsia="Times New Roman" w:hint="default"/>
          <w:spacing w:val="-1"/>
        </w:rPr>
        <w:t>2013</w:t>
      </w:r>
      <w:r>
        <w:rPr>
          <w:spacing w:val="-1"/>
        </w:rPr>
        <w:t>年以人民币</w:t>
      </w:r>
      <w:r>
        <w:rPr>
          <w:rFonts w:ascii="Times New Roman" w:hAnsi="Times New Roman" w:cs="Times New Roman" w:eastAsia="Times New Roman" w:hint="default"/>
          <w:spacing w:val="-1"/>
        </w:rPr>
        <w:t>5,100.00</w:t>
      </w:r>
      <w:r>
        <w:rPr>
          <w:spacing w:val="-1"/>
        </w:rPr>
        <w:t>万元为合并成本购买四川浩特通信有限公司</w:t>
      </w:r>
      <w:r>
        <w:rPr>
          <w:rFonts w:ascii="Times New Roman" w:hAnsi="Times New Roman" w:cs="Times New Roman" w:eastAsia="Times New Roman" w:hint="default"/>
          <w:spacing w:val="-1"/>
        </w:rPr>
        <w:t>51%</w:t>
      </w:r>
      <w:r>
        <w:rPr>
          <w:spacing w:val="-1"/>
        </w:rPr>
        <w:t>权益。归属于本公司的可辨认净资产</w:t>
      </w:r>
      <w:r>
        <w:rPr>
          <w:spacing w:val="-84"/>
        </w:rPr>
        <w:t> </w:t>
      </w:r>
      <w:r>
        <w:rPr>
          <w:spacing w:val="-84"/>
        </w:rPr>
      </w:r>
      <w:r>
        <w:rPr/>
        <w:t>在购买日的公允价值为人民币</w:t>
      </w:r>
      <w:r>
        <w:rPr>
          <w:rFonts w:ascii="Times New Roman" w:hAnsi="Times New Roman" w:cs="Times New Roman" w:eastAsia="Times New Roman" w:hint="default"/>
        </w:rPr>
        <w:t>40,847,001.45</w:t>
      </w:r>
      <w:r>
        <w:rPr/>
        <w:t>元，两者的差额人民币</w:t>
      </w:r>
      <w:r>
        <w:rPr>
          <w:rFonts w:ascii="Times New Roman" w:hAnsi="Times New Roman" w:cs="Times New Roman" w:eastAsia="Times New Roman" w:hint="default"/>
        </w:rPr>
        <w:t>10,152,998.55</w:t>
      </w:r>
      <w:r>
        <w:rPr/>
        <w:t>元确认为商誉。</w:t>
      </w:r>
    </w:p>
    <w:p>
      <w:pPr>
        <w:pStyle w:val="BodyText"/>
        <w:spacing w:line="300" w:lineRule="auto" w:before="13"/>
        <w:ind w:right="1132"/>
        <w:jc w:val="both"/>
      </w:pPr>
      <w:r>
        <w:rPr>
          <w:spacing w:val="-1"/>
        </w:rPr>
        <w:t>（</w:t>
      </w:r>
      <w:r>
        <w:rPr>
          <w:rFonts w:ascii="Times New Roman" w:hAnsi="Times New Roman" w:cs="Times New Roman" w:eastAsia="Times New Roman" w:hint="default"/>
          <w:spacing w:val="-1"/>
        </w:rPr>
        <w:t>3</w:t>
      </w:r>
      <w:r>
        <w:rPr>
          <w:spacing w:val="-1"/>
        </w:rPr>
        <w:t>）本公司于</w:t>
      </w:r>
      <w:r>
        <w:rPr>
          <w:rFonts w:ascii="Times New Roman" w:hAnsi="Times New Roman" w:cs="Times New Roman" w:eastAsia="Times New Roman" w:hint="default"/>
          <w:spacing w:val="-1"/>
        </w:rPr>
        <w:t>2013</w:t>
      </w:r>
      <w:r>
        <w:rPr>
          <w:spacing w:val="-1"/>
        </w:rPr>
        <w:t>年以人民币</w:t>
      </w:r>
      <w:r>
        <w:rPr>
          <w:rFonts w:ascii="Times New Roman" w:hAnsi="Times New Roman" w:cs="Times New Roman" w:eastAsia="Times New Roman" w:hint="default"/>
          <w:spacing w:val="-1"/>
        </w:rPr>
        <w:t>2,743,182.91</w:t>
      </w:r>
      <w:r>
        <w:rPr>
          <w:spacing w:val="-1"/>
        </w:rPr>
        <w:t>元为合并成本购买上海华奕医疗信息技术有限公司</w:t>
      </w:r>
      <w:r>
        <w:rPr>
          <w:rFonts w:ascii="Times New Roman" w:hAnsi="Times New Roman" w:cs="Times New Roman" w:eastAsia="Times New Roman" w:hint="default"/>
          <w:spacing w:val="-1"/>
        </w:rPr>
        <w:t>52%</w:t>
      </w:r>
      <w:r>
        <w:rPr>
          <w:spacing w:val="-1"/>
        </w:rPr>
        <w:t>权益。归属于本公司的可</w:t>
      </w:r>
      <w:r>
        <w:rPr>
          <w:spacing w:val="-37"/>
        </w:rPr>
        <w:t> </w:t>
      </w:r>
      <w:r>
        <w:rPr>
          <w:spacing w:val="-37"/>
        </w:rPr>
      </w:r>
      <w:r>
        <w:rPr/>
        <w:t>辨认净资产在购买日的公允价值为人民币</w:t>
      </w:r>
      <w:r>
        <w:rPr>
          <w:rFonts w:ascii="Times New Roman" w:hAnsi="Times New Roman" w:cs="Times New Roman" w:eastAsia="Times New Roman" w:hint="default"/>
        </w:rPr>
        <w:t>1,932,275.57</w:t>
      </w:r>
      <w:r>
        <w:rPr/>
        <w:t>元，两者的差额人民币</w:t>
      </w:r>
      <w:r>
        <w:rPr>
          <w:rFonts w:ascii="Times New Roman" w:hAnsi="Times New Roman" w:cs="Times New Roman" w:eastAsia="Times New Roman" w:hint="default"/>
        </w:rPr>
        <w:t>810,907.34</w:t>
      </w:r>
      <w:r>
        <w:rPr/>
        <w:t>元确认为商誉。</w:t>
      </w:r>
    </w:p>
    <w:p>
      <w:pPr>
        <w:pStyle w:val="BodyText"/>
        <w:spacing w:line="300" w:lineRule="auto" w:before="13"/>
        <w:ind w:right="1169"/>
        <w:jc w:val="both"/>
      </w:pPr>
      <w:r>
        <w:rPr/>
        <w:t>（</w:t>
      </w:r>
      <w:r>
        <w:rPr>
          <w:rFonts w:ascii="Times New Roman" w:hAnsi="Times New Roman" w:cs="Times New Roman" w:eastAsia="Times New Roman" w:hint="default"/>
        </w:rPr>
        <w:t>4</w:t>
      </w:r>
      <w:r>
        <w:rPr/>
        <w:t>）本公司于</w:t>
      </w:r>
      <w:r>
        <w:rPr>
          <w:rFonts w:ascii="Times New Roman" w:hAnsi="Times New Roman" w:cs="Times New Roman" w:eastAsia="Times New Roman" w:hint="default"/>
        </w:rPr>
        <w:t>2014</w:t>
      </w:r>
      <w:r>
        <w:rPr/>
        <w:t>年以人民币</w:t>
      </w:r>
      <w:r>
        <w:rPr>
          <w:rFonts w:ascii="Times New Roman" w:hAnsi="Times New Roman" w:cs="Times New Roman" w:eastAsia="Times New Roman" w:hint="default"/>
        </w:rPr>
        <w:t>5</w:t>
      </w:r>
      <w:r>
        <w:rPr/>
        <w:t>亿元为合并成本购买宁波金唐软件有限公司</w:t>
      </w:r>
      <w:r>
        <w:rPr>
          <w:rFonts w:ascii="Times New Roman" w:hAnsi="Times New Roman" w:cs="Times New Roman" w:eastAsia="Times New Roman" w:hint="default"/>
        </w:rPr>
        <w:t>100%</w:t>
      </w:r>
      <w:r>
        <w:rPr/>
        <w:t>权益。归属于本公司的可辨认净资产在购 买日的公允价值为人民币</w:t>
      </w:r>
      <w:r>
        <w:rPr>
          <w:rFonts w:ascii="Times New Roman" w:hAnsi="Times New Roman" w:cs="Times New Roman" w:eastAsia="Times New Roman" w:hint="default"/>
        </w:rPr>
        <w:t>79,367,693.03</w:t>
      </w:r>
      <w:r>
        <w:rPr/>
        <w:t>元，两者的差额人民币</w:t>
      </w:r>
      <w:r>
        <w:rPr>
          <w:rFonts w:ascii="Times New Roman" w:hAnsi="Times New Roman" w:cs="Times New Roman" w:eastAsia="Times New Roman" w:hint="default"/>
        </w:rPr>
        <w:t>420,632,306.97</w:t>
      </w:r>
      <w:r>
        <w:rPr/>
        <w:t>元确认为商誉。</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97"/>
        <w:jc w:val="left"/>
      </w:pPr>
      <w:r>
        <w:rPr/>
        <w:t>（</w:t>
      </w: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2014</w:t>
      </w:r>
      <w:r>
        <w:rPr/>
        <w:t>年以人民币</w:t>
      </w:r>
      <w:r>
        <w:rPr>
          <w:rFonts w:ascii="Times New Roman" w:hAnsi="Times New Roman" w:cs="Times New Roman" w:eastAsia="Times New Roman" w:hint="default"/>
        </w:rPr>
        <w:t>6.5</w:t>
      </w:r>
      <w:r>
        <w:rPr/>
        <w:t>亿元为合并成本购买上海复高计算机科技有限公司</w:t>
      </w:r>
      <w:r>
        <w:rPr>
          <w:rFonts w:ascii="Times New Roman" w:hAnsi="Times New Roman" w:cs="Times New Roman" w:eastAsia="Times New Roman" w:hint="default"/>
        </w:rPr>
        <w:t>100%</w:t>
      </w:r>
      <w:r>
        <w:rPr/>
        <w:t>权益。归属于本公司的可辨认净 资产在购买日的公允价值为人民币</w:t>
      </w:r>
      <w:r>
        <w:rPr>
          <w:rFonts w:ascii="Times New Roman" w:hAnsi="Times New Roman" w:cs="Times New Roman" w:eastAsia="Times New Roman" w:hint="default"/>
        </w:rPr>
        <w:t>138,509,097.13</w:t>
      </w:r>
      <w:r>
        <w:rPr/>
        <w:t>元，两者的差额人民币</w:t>
      </w:r>
      <w:r>
        <w:rPr>
          <w:rFonts w:ascii="Times New Roman" w:hAnsi="Times New Roman" w:cs="Times New Roman" w:eastAsia="Times New Roman" w:hint="default"/>
        </w:rPr>
        <w:t>511,490,902.87</w:t>
      </w:r>
      <w:r>
        <w:rPr/>
        <w:t>元确认为商誉。</w:t>
      </w:r>
    </w:p>
    <w:p>
      <w:pPr>
        <w:pStyle w:val="BodyText"/>
        <w:spacing w:line="300" w:lineRule="auto" w:before="13"/>
        <w:ind w:right="1152"/>
        <w:jc w:val="left"/>
      </w:pPr>
      <w:r>
        <w:rPr/>
        <w:t>（</w:t>
      </w:r>
      <w:r>
        <w:rPr>
          <w:rFonts w:ascii="Times New Roman" w:hAnsi="Times New Roman" w:cs="Times New Roman" w:eastAsia="Times New Roman" w:hint="default"/>
        </w:rPr>
        <w:t>6</w:t>
      </w:r>
      <w:r>
        <w:rPr/>
        <w:t>）本公司于</w:t>
      </w:r>
      <w:r>
        <w:rPr>
          <w:rFonts w:ascii="Times New Roman" w:hAnsi="Times New Roman" w:cs="Times New Roman" w:eastAsia="Times New Roman" w:hint="default"/>
        </w:rPr>
        <w:t>2015</w:t>
      </w:r>
      <w:r>
        <w:rPr/>
        <w:t>年以人民币</w:t>
      </w:r>
      <w:r>
        <w:rPr>
          <w:rFonts w:ascii="Times New Roman" w:hAnsi="Times New Roman" w:cs="Times New Roman" w:eastAsia="Times New Roman" w:hint="default"/>
        </w:rPr>
        <w:t>5,800.00</w:t>
      </w:r>
      <w:r>
        <w:rPr/>
        <w:t>万元为合并成本购买湖南凯歌医疗信息技术有限公司</w:t>
      </w:r>
      <w:r>
        <w:rPr>
          <w:rFonts w:ascii="Times New Roman" w:hAnsi="Times New Roman" w:cs="Times New Roman" w:eastAsia="Times New Roman" w:hint="default"/>
        </w:rPr>
        <w:t>100%</w:t>
      </w:r>
      <w:r>
        <w:rPr/>
        <w:t>权益。归属于本公司的可 辨认净资产在购买日的公允价值为人民币</w:t>
      </w:r>
      <w:r>
        <w:rPr>
          <w:rFonts w:ascii="Times New Roman" w:hAnsi="Times New Roman" w:cs="Times New Roman" w:eastAsia="Times New Roman" w:hint="default"/>
        </w:rPr>
        <w:t>4,894,375.36</w:t>
      </w:r>
      <w:r>
        <w:rPr/>
        <w:t>元，两者的差额人民币</w:t>
      </w:r>
      <w:r>
        <w:rPr>
          <w:rFonts w:ascii="Times New Roman" w:hAnsi="Times New Roman" w:cs="Times New Roman" w:eastAsia="Times New Roman" w:hint="default"/>
        </w:rPr>
        <w:t>53,105,624.64</w:t>
      </w:r>
      <w:r>
        <w:rPr/>
        <w:t>元确认为商誉。</w:t>
      </w:r>
    </w:p>
    <w:p>
      <w:pPr>
        <w:pStyle w:val="BodyText"/>
        <w:spacing w:line="300" w:lineRule="auto" w:before="13"/>
        <w:ind w:right="1197"/>
        <w:jc w:val="left"/>
      </w:pPr>
      <w:r>
        <w:rPr/>
        <w:t>（</w:t>
      </w:r>
      <w:r>
        <w:rPr>
          <w:rFonts w:ascii="Times New Roman" w:hAnsi="Times New Roman" w:cs="Times New Roman" w:eastAsia="Times New Roman" w:hint="default"/>
        </w:rPr>
        <w:t>7</w:t>
      </w:r>
      <w:r>
        <w:rPr/>
        <w:t>）本公司于</w:t>
      </w:r>
      <w:r>
        <w:rPr>
          <w:rFonts w:ascii="Times New Roman" w:hAnsi="Times New Roman" w:cs="Times New Roman" w:eastAsia="Times New Roman" w:hint="default"/>
        </w:rPr>
        <w:t>2015</w:t>
      </w:r>
      <w:r>
        <w:rPr/>
        <w:t>年以人民币</w:t>
      </w:r>
      <w:r>
        <w:rPr>
          <w:rFonts w:ascii="Times New Roman" w:hAnsi="Times New Roman" w:cs="Times New Roman" w:eastAsia="Times New Roman" w:hint="default"/>
        </w:rPr>
        <w:t>51,960,225.86</w:t>
      </w:r>
      <w:r>
        <w:rPr/>
        <w:t>元为合并成本购买上海市民信箱信息服务有限公司</w:t>
      </w:r>
      <w:r>
        <w:rPr>
          <w:rFonts w:ascii="Times New Roman" w:hAnsi="Times New Roman" w:cs="Times New Roman" w:eastAsia="Times New Roman" w:hint="default"/>
        </w:rPr>
        <w:t>61%</w:t>
      </w:r>
      <w:r>
        <w:rPr/>
        <w:t>权益。归属于本公司的 可辨认净资产在购买日的公允价值为人民币</w:t>
      </w:r>
      <w:r>
        <w:rPr>
          <w:rFonts w:ascii="Times New Roman" w:hAnsi="Times New Roman" w:cs="Times New Roman" w:eastAsia="Times New Roman" w:hint="default"/>
        </w:rPr>
        <w:t>23,115,456.19</w:t>
      </w:r>
      <w:r>
        <w:rPr/>
        <w:t>元，两者的差额人民币</w:t>
      </w:r>
      <w:r>
        <w:rPr>
          <w:rFonts w:ascii="Times New Roman" w:hAnsi="Times New Roman" w:cs="Times New Roman" w:eastAsia="Times New Roman" w:hint="default"/>
        </w:rPr>
        <w:t>28,844,769.67</w:t>
      </w:r>
      <w:r>
        <w:rPr/>
        <w:t>元确认为商誉。</w:t>
      </w:r>
    </w:p>
    <w:p>
      <w:pPr>
        <w:pStyle w:val="BodyText"/>
        <w:spacing w:line="300" w:lineRule="auto" w:before="13"/>
        <w:ind w:right="0"/>
        <w:jc w:val="left"/>
      </w:pPr>
      <w:r>
        <w:rPr>
          <w:spacing w:val="-1"/>
        </w:rPr>
        <w:t>（</w:t>
      </w:r>
      <w:r>
        <w:rPr>
          <w:rFonts w:ascii="Times New Roman" w:hAnsi="Times New Roman" w:cs="Times New Roman" w:eastAsia="Times New Roman" w:hint="default"/>
          <w:spacing w:val="-1"/>
        </w:rPr>
        <w:t>8</w:t>
      </w:r>
      <w:r>
        <w:rPr>
          <w:spacing w:val="-1"/>
        </w:rPr>
        <w:t>）本公司于</w:t>
      </w:r>
      <w:r>
        <w:rPr>
          <w:rFonts w:ascii="Times New Roman" w:hAnsi="Times New Roman" w:cs="Times New Roman" w:eastAsia="Times New Roman" w:hint="default"/>
          <w:spacing w:val="-1"/>
        </w:rPr>
        <w:t>2017</w:t>
      </w:r>
      <w:r>
        <w:rPr>
          <w:spacing w:val="-1"/>
        </w:rPr>
        <w:t>年以人民币</w:t>
      </w:r>
      <w:r>
        <w:rPr>
          <w:rFonts w:ascii="Times New Roman" w:hAnsi="Times New Roman" w:cs="Times New Roman" w:eastAsia="Times New Roman" w:hint="default"/>
          <w:spacing w:val="-1"/>
        </w:rPr>
        <w:t>200.00</w:t>
      </w:r>
      <w:r>
        <w:rPr>
          <w:spacing w:val="-1"/>
        </w:rPr>
        <w:t>万元为合并成本购买四川万达健康数据有限公司</w:t>
      </w:r>
      <w:r>
        <w:rPr>
          <w:rFonts w:ascii="Times New Roman" w:hAnsi="Times New Roman" w:cs="Times New Roman" w:eastAsia="Times New Roman" w:hint="default"/>
          <w:spacing w:val="-1"/>
        </w:rPr>
        <w:t>100%</w:t>
      </w:r>
      <w:r>
        <w:rPr>
          <w:spacing w:val="-1"/>
        </w:rPr>
        <w:t>权益。归属于本公司的可辨认净</w:t>
      </w:r>
      <w:r>
        <w:rPr>
          <w:spacing w:val="-39"/>
        </w:rPr>
        <w:t> </w:t>
      </w:r>
      <w:r>
        <w:rPr>
          <w:spacing w:val="-39"/>
        </w:rPr>
      </w:r>
      <w:r>
        <w:rPr/>
        <w:t>资产在购买日的公允价值为人民币</w:t>
      </w:r>
      <w:r>
        <w:rPr>
          <w:rFonts w:ascii="Times New Roman" w:hAnsi="Times New Roman" w:cs="Times New Roman" w:eastAsia="Times New Roman" w:hint="default"/>
        </w:rPr>
        <w:t>143,282.97</w:t>
      </w:r>
      <w:r>
        <w:rPr/>
        <w:t>元，两者的差额人民币</w:t>
      </w:r>
      <w:r>
        <w:rPr>
          <w:rFonts w:ascii="Times New Roman" w:hAnsi="Times New Roman" w:cs="Times New Roman" w:eastAsia="Times New Roman" w:hint="default"/>
        </w:rPr>
        <w:t>1,856,717.03</w:t>
      </w:r>
      <w:r>
        <w:rPr/>
        <w:t>元确认为商誉。</w:t>
      </w:r>
    </w:p>
    <w:p>
      <w:pPr>
        <w:pStyle w:val="BodyText"/>
        <w:spacing w:line="300" w:lineRule="auto" w:before="13"/>
        <w:ind w:right="1152"/>
        <w:jc w:val="left"/>
      </w:pPr>
      <w:r>
        <w:rPr/>
        <w:t>（</w:t>
      </w:r>
      <w:r>
        <w:rPr>
          <w:rFonts w:ascii="Times New Roman" w:hAnsi="Times New Roman" w:cs="Times New Roman" w:eastAsia="Times New Roman" w:hint="default"/>
        </w:rPr>
        <w:t>9</w:t>
      </w:r>
      <w:r>
        <w:rPr/>
        <w:t>）本公司于</w:t>
      </w:r>
      <w:r>
        <w:rPr>
          <w:rFonts w:ascii="Times New Roman" w:hAnsi="Times New Roman" w:cs="Times New Roman" w:eastAsia="Times New Roman" w:hint="default"/>
        </w:rPr>
        <w:t>2017</w:t>
      </w:r>
      <w:r>
        <w:rPr/>
        <w:t>年以人民币</w:t>
      </w:r>
      <w:r>
        <w:rPr>
          <w:rFonts w:ascii="Times New Roman" w:hAnsi="Times New Roman" w:cs="Times New Roman" w:eastAsia="Times New Roman" w:hint="default"/>
        </w:rPr>
        <w:t>1,200.00</w:t>
      </w:r>
      <w:r>
        <w:rPr/>
        <w:t>万元为合并成本购买宁波市万达数据应用服务有限公司公司</w:t>
      </w:r>
      <w:r>
        <w:rPr>
          <w:rFonts w:ascii="Times New Roman" w:hAnsi="Times New Roman" w:cs="Times New Roman" w:eastAsia="Times New Roman" w:hint="default"/>
        </w:rPr>
        <w:t>100%</w:t>
      </w:r>
      <w:r>
        <w:rPr/>
        <w:t>权益。归属于本公 司的可辨认净资产在购买日的公允价值为人民币</w:t>
      </w:r>
      <w:r>
        <w:rPr>
          <w:rFonts w:ascii="Times New Roman" w:hAnsi="Times New Roman" w:cs="Times New Roman" w:eastAsia="Times New Roman" w:hint="default"/>
        </w:rPr>
        <w:t>10,387,010.40</w:t>
      </w:r>
      <w:r>
        <w:rPr/>
        <w:t>元，两者的差额人民币</w:t>
      </w:r>
      <w:r>
        <w:rPr>
          <w:rFonts w:ascii="Times New Roman" w:hAnsi="Times New Roman" w:cs="Times New Roman" w:eastAsia="Times New Roman" w:hint="default"/>
        </w:rPr>
        <w:t>1,612,989.60</w:t>
      </w:r>
      <w:r>
        <w:rPr/>
        <w:t>元确认为商誉。</w:t>
      </w:r>
    </w:p>
    <w:p>
      <w:pPr>
        <w:pStyle w:val="BodyText"/>
        <w:spacing w:line="300" w:lineRule="auto" w:before="13"/>
        <w:ind w:right="1152"/>
        <w:jc w:val="left"/>
        <w:rPr>
          <w:rFonts w:ascii="宋体" w:hAnsi="宋体" w:cs="宋体" w:eastAsia="宋体" w:hint="default"/>
        </w:rPr>
      </w:pPr>
      <w:r>
        <w:rPr/>
        <w:t>（</w:t>
      </w:r>
      <w:r>
        <w:rPr>
          <w:rFonts w:ascii="Times New Roman" w:hAnsi="Times New Roman" w:cs="Times New Roman" w:eastAsia="Times New Roman" w:hint="default"/>
        </w:rPr>
        <w:t>10</w:t>
      </w:r>
      <w:r>
        <w:rPr/>
        <w:t>）本公司于</w:t>
      </w:r>
      <w:r>
        <w:rPr>
          <w:rFonts w:ascii="Times New Roman" w:hAnsi="Times New Roman" w:cs="Times New Roman" w:eastAsia="Times New Roman" w:hint="default"/>
        </w:rPr>
        <w:t>2017</w:t>
      </w:r>
      <w:r>
        <w:rPr/>
        <w:t>年以人民币</w:t>
      </w:r>
      <w:r>
        <w:rPr>
          <w:rFonts w:ascii="Times New Roman" w:hAnsi="Times New Roman" w:cs="Times New Roman" w:eastAsia="Times New Roman" w:hint="default"/>
        </w:rPr>
        <w:t>3,500.00</w:t>
      </w:r>
      <w:r>
        <w:rPr/>
        <w:t>万元为合并成本购买万达志翔医疗科技（北京）有限责任公司</w:t>
      </w:r>
      <w:r>
        <w:rPr>
          <w:rFonts w:ascii="Times New Roman" w:hAnsi="Times New Roman" w:cs="Times New Roman" w:eastAsia="Times New Roman" w:hint="default"/>
        </w:rPr>
        <w:t>70%</w:t>
      </w:r>
      <w:r>
        <w:rPr/>
        <w:t>权益。归属于本 公司的可辨认净资产在购买日的公允价值为人民币</w:t>
      </w:r>
      <w:r>
        <w:rPr>
          <w:rFonts w:ascii="Times New Roman" w:hAnsi="Times New Roman" w:cs="Times New Roman" w:eastAsia="Times New Roman" w:hint="default"/>
        </w:rPr>
        <w:t>24,702,342.19</w:t>
      </w:r>
      <w:r>
        <w:rPr/>
        <w:t>元，两者的差额人民币</w:t>
      </w:r>
      <w:r>
        <w:rPr>
          <w:rFonts w:ascii="Times New Roman" w:hAnsi="Times New Roman" w:cs="Times New Roman" w:eastAsia="Times New Roman" w:hint="default"/>
        </w:rPr>
        <w:t>10,297,657.81</w:t>
      </w:r>
      <w:r>
        <w:rPr/>
        <w:t>元确认为商誉。 </w:t>
      </w:r>
      <w:r>
        <w:rPr>
          <w:rFonts w:ascii="Times New Roman" w:hAnsi="Times New Roman" w:cs="Times New Roman" w:eastAsia="Times New Roman" w:hint="default"/>
          <w:b/>
          <w:bCs/>
        </w:rPr>
        <w:t>2</w:t>
      </w:r>
      <w:r>
        <w:rPr>
          <w:rFonts w:ascii="宋体" w:hAnsi="宋体" w:cs="宋体" w:eastAsia="宋体" w:hint="default"/>
          <w:b/>
          <w:bCs/>
        </w:rPr>
        <w:t>、商誉所在资产组或资产组组合的相关信息</w:t>
      </w:r>
      <w:r>
        <w:rPr>
          <w:rFonts w:ascii="宋体" w:hAnsi="宋体" w:cs="宋体" w:eastAsia="宋体" w:hint="default"/>
        </w:rPr>
      </w:r>
    </w:p>
    <w:p>
      <w:pPr>
        <w:pStyle w:val="BodyText"/>
        <w:spacing w:line="240" w:lineRule="auto" w:before="13"/>
        <w:ind w:left="1430" w:right="0"/>
        <w:jc w:val="left"/>
      </w:pPr>
      <w:r>
        <w:rPr/>
        <w:t>本公司的所有商誉已于购买日分摊至相关的资产组或资产组组合，分摊情况根据经营分部汇总如下：</w:t>
      </w:r>
    </w:p>
    <w:p>
      <w:pPr>
        <w:spacing w:line="240" w:lineRule="auto" w:before="0"/>
        <w:rPr>
          <w:rFonts w:ascii="宋体" w:hAnsi="宋体" w:cs="宋体" w:eastAsia="宋体" w:hint="default"/>
          <w:sz w:val="5"/>
          <w:szCs w:val="5"/>
        </w:rPr>
      </w:pPr>
    </w:p>
    <w:tbl>
      <w:tblPr>
        <w:tblW w:w="0" w:type="auto"/>
        <w:jc w:val="left"/>
        <w:tblInd w:w="1314" w:type="dxa"/>
        <w:tblLayout w:type="fixed"/>
        <w:tblCellMar>
          <w:top w:w="0" w:type="dxa"/>
          <w:left w:w="0" w:type="dxa"/>
          <w:bottom w:w="0" w:type="dxa"/>
          <w:right w:w="0" w:type="dxa"/>
        </w:tblCellMar>
        <w:tblLook w:val="01E0"/>
      </w:tblPr>
      <w:tblGrid>
        <w:gridCol w:w="3369"/>
        <w:gridCol w:w="1985"/>
        <w:gridCol w:w="1985"/>
      </w:tblGrid>
      <w:tr>
        <w:trPr>
          <w:trHeight w:val="355"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业务分部</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9,681,830.25</w:t>
            </w:r>
          </w:p>
        </w:tc>
      </w:tr>
      <w:tr>
        <w:trPr>
          <w:trHeight w:val="353"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10,152,998.55</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10,152,998.55</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810,907.34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810,907.34</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宁波金唐业务资产组</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420,632,306.97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420,632,306.97</w:t>
            </w:r>
          </w:p>
        </w:tc>
      </w:tr>
      <w:tr>
        <w:trPr>
          <w:trHeight w:val="353"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上海复高业务资产组</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511,490,902.87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511,490,902.87</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湖南凯歌医疗业务资产组</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53,105,624.64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53,105,624.64</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市民信箱市民云业务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28,844,769.67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28,844,769.67</w:t>
            </w:r>
          </w:p>
        </w:tc>
      </w:tr>
      <w:tr>
        <w:trPr>
          <w:trHeight w:val="353"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1,856,717.03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1,856,717.03</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1,612,989.60</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1,612,989.60</w:t>
            </w:r>
          </w:p>
        </w:tc>
      </w:tr>
      <w:tr>
        <w:trPr>
          <w:trHeight w:val="35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10,297,657.81</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10,297,657.81</w:t>
            </w:r>
          </w:p>
        </w:tc>
      </w:tr>
      <w:tr>
        <w:trPr>
          <w:trHeight w:val="353"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1,038,804,874.48</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1,048,486,704.73</w:t>
            </w:r>
          </w:p>
        </w:tc>
      </w:tr>
    </w:tbl>
    <w:p>
      <w:pPr>
        <w:pStyle w:val="BodyText"/>
        <w:spacing w:line="309" w:lineRule="auto" w:before="10"/>
        <w:ind w:right="1129" w:firstLine="360"/>
        <w:jc w:val="both"/>
      </w:pPr>
      <w:r>
        <w:rPr>
          <w:spacing w:val="-2"/>
        </w:rPr>
        <w:t>在进行商誉减值测试时，本公司将相关资产（含商誉）的账面价值与其可收回金额进行比较，如果可收回金额低于账面</w:t>
      </w:r>
      <w:r>
        <w:rPr/>
        <w:t> </w:t>
      </w:r>
      <w:r>
        <w:rPr>
          <w:spacing w:val="-3"/>
        </w:rPr>
        <w:t>价值，相关差额计入当期损益。本公司除处置西藏万达华波美信息技术有限公司</w:t>
      </w:r>
      <w:r>
        <w:rPr>
          <w:rFonts w:ascii="Times New Roman" w:hAnsi="Times New Roman" w:cs="Times New Roman" w:eastAsia="Times New Roman" w:hint="default"/>
          <w:spacing w:val="-3"/>
        </w:rPr>
        <w:t>100%</w:t>
      </w:r>
      <w:r>
        <w:rPr>
          <w:spacing w:val="-3"/>
        </w:rPr>
        <w:t>股权外，其他业务分布商誉分摊于</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2"/>
        </w:rPr>
        <w:t> </w:t>
      </w:r>
      <w:r>
        <w:rPr/>
        <w:t>年度未发生变化。</w:t>
      </w:r>
    </w:p>
    <w:p>
      <w:pPr>
        <w:pStyle w:val="Heading6"/>
        <w:spacing w:line="240" w:lineRule="auto" w:before="24"/>
        <w:ind w:right="0"/>
        <w:jc w:val="left"/>
        <w:rPr>
          <w:b w:val="0"/>
          <w:bCs w:val="0"/>
        </w:rPr>
      </w:pPr>
      <w:r>
        <w:rPr>
          <w:rFonts w:ascii="Times New Roman" w:hAnsi="Times New Roman" w:cs="Times New Roman" w:eastAsia="Times New Roman" w:hint="default"/>
        </w:rPr>
        <w:t>3</w:t>
      </w:r>
      <w:r>
        <w:rPr/>
        <w:t>、评估方法的说明与选择</w:t>
      </w:r>
      <w:r>
        <w:rPr>
          <w:b w:val="0"/>
          <w:bCs w:val="0"/>
        </w:rPr>
      </w:r>
    </w:p>
    <w:p>
      <w:pPr>
        <w:pStyle w:val="BodyText"/>
        <w:spacing w:line="309" w:lineRule="auto" w:before="63"/>
        <w:ind w:right="1132" w:firstLine="360"/>
        <w:jc w:val="both"/>
      </w:pPr>
      <w:r>
        <w:rPr/>
        <w:t>根据《企业会计准则第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资产减值》的要求，可收回金额应当根据资产的公允价值减去处置费用后的净额与资 </w:t>
      </w:r>
      <w:r>
        <w:rPr>
          <w:spacing w:val="-2"/>
        </w:rPr>
        <w:t>产预计未来现金流量的现值两者之间较高者确定。商誉减值测试时采用的评估方法，应该充分考虑与商誉形成以及前期商誉</w:t>
      </w:r>
      <w:r>
        <w:rPr>
          <w:spacing w:val="-64"/>
        </w:rPr>
        <w:t> </w:t>
      </w:r>
      <w:r>
        <w:rPr>
          <w:spacing w:val="-64"/>
        </w:rPr>
      </w:r>
      <w:r>
        <w:rPr/>
        <w:t>减值测试采用的评估方法的一致性。</w:t>
      </w:r>
    </w:p>
    <w:p>
      <w:pPr>
        <w:pStyle w:val="BodyText"/>
        <w:spacing w:line="316" w:lineRule="auto" w:before="24"/>
        <w:ind w:right="1131" w:firstLine="360"/>
        <w:jc w:val="both"/>
      </w:pPr>
      <w:r>
        <w:rPr>
          <w:spacing w:val="-2"/>
        </w:rPr>
        <w:t>由于本公司整体层面对业务模块的调整，涉及四川浩特通信有限公司、四川万达健康数据有限公司以及万达志翔医疗科</w:t>
      </w:r>
      <w:r>
        <w:rPr/>
        <w:t> </w:t>
      </w:r>
      <w:r>
        <w:rPr>
          <w:spacing w:val="-2"/>
        </w:rPr>
        <w:t>技（北京）有限责任公司包含商誉的资产组未来可实现收益明显下降，故上述本期商誉减值测试的方法选用成本法。其余业</w:t>
      </w:r>
      <w:r>
        <w:rPr>
          <w:spacing w:val="-66"/>
        </w:rPr>
        <w:t> </w:t>
      </w:r>
      <w:r>
        <w:rPr>
          <w:spacing w:val="-66"/>
        </w:rPr>
      </w:r>
      <w:r>
        <w:rPr/>
        <w:t>务模块采用收益法中的现金流量折现模型。</w:t>
      </w:r>
    </w:p>
    <w:p>
      <w:pPr>
        <w:pStyle w:val="Heading6"/>
        <w:spacing w:line="240" w:lineRule="auto" w:before="19"/>
        <w:ind w:right="0"/>
        <w:jc w:val="left"/>
        <w:rPr>
          <w:b w:val="0"/>
          <w:bCs w:val="0"/>
        </w:rPr>
      </w:pPr>
      <w:r>
        <w:rPr>
          <w:rFonts w:ascii="Times New Roman" w:hAnsi="Times New Roman" w:cs="Times New Roman" w:eastAsia="Times New Roman" w:hint="default"/>
        </w:rPr>
        <w:t>4</w:t>
      </w:r>
      <w:r>
        <w:rPr/>
        <w:t>、采用未来现金流量折现方法的主要假设：</w:t>
      </w:r>
      <w:r>
        <w:rPr>
          <w:b w:val="0"/>
          <w:bCs w:val="0"/>
        </w:rPr>
      </w:r>
    </w:p>
    <w:p>
      <w:pPr>
        <w:spacing w:line="240" w:lineRule="auto" w:before="13"/>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2938"/>
        <w:gridCol w:w="1274"/>
        <w:gridCol w:w="1416"/>
        <w:gridCol w:w="856"/>
        <w:gridCol w:w="1331"/>
      </w:tblGrid>
      <w:tr>
        <w:trPr>
          <w:trHeight w:val="355" w:hRule="exact"/>
        </w:trPr>
        <w:tc>
          <w:tcPr>
            <w:tcW w:w="293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业务分部</w:t>
            </w:r>
          </w:p>
        </w:tc>
        <w:tc>
          <w:tcPr>
            <w:tcW w:w="4876"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664" w:hRule="exact"/>
        </w:trPr>
        <w:tc>
          <w:tcPr>
            <w:tcW w:w="2938" w:type="dxa"/>
            <w:vMerge/>
            <w:tcBorders>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49" w:right="88" w:hanging="361"/>
              <w:jc w:val="left"/>
              <w:rPr>
                <w:rFonts w:ascii="宋体" w:hAnsi="宋体" w:cs="宋体" w:eastAsia="宋体" w:hint="default"/>
                <w:sz w:val="18"/>
                <w:szCs w:val="18"/>
              </w:rPr>
            </w:pPr>
            <w:r>
              <w:rPr>
                <w:rFonts w:ascii="宋体" w:hAnsi="宋体" w:cs="宋体" w:eastAsia="宋体" w:hint="default"/>
                <w:sz w:val="18"/>
                <w:szCs w:val="18"/>
              </w:rPr>
              <w:t>预测期平均增 长率</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60"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60" w:right="59"/>
              <w:jc w:val="left"/>
              <w:rPr>
                <w:rFonts w:ascii="宋体" w:hAnsi="宋体" w:cs="宋体" w:eastAsia="宋体" w:hint="default"/>
                <w:sz w:val="18"/>
                <w:szCs w:val="18"/>
              </w:rPr>
            </w:pPr>
            <w:r>
              <w:rPr>
                <w:rFonts w:ascii="宋体" w:hAnsi="宋体" w:cs="宋体" w:eastAsia="宋体" w:hint="default"/>
                <w:sz w:val="18"/>
                <w:szCs w:val="18"/>
              </w:rPr>
              <w:t>预测期平 均毛利率</w:t>
            </w:r>
          </w:p>
        </w:tc>
        <w:tc>
          <w:tcPr>
            <w:tcW w:w="1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35"/>
              <w:jc w:val="right"/>
              <w:rPr>
                <w:rFonts w:ascii="宋体" w:hAnsi="宋体" w:cs="宋体" w:eastAsia="宋体" w:hint="default"/>
                <w:sz w:val="18"/>
                <w:szCs w:val="18"/>
              </w:rPr>
            </w:pPr>
            <w:r>
              <w:rPr>
                <w:rFonts w:ascii="宋体" w:hAnsi="宋体" w:cs="宋体" w:eastAsia="宋体" w:hint="default"/>
                <w:sz w:val="18"/>
                <w:szCs w:val="18"/>
              </w:rPr>
              <w:t>折现率（税前）</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8.32%</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59.70%</w:t>
            </w:r>
          </w:p>
        </w:tc>
        <w:tc>
          <w:tcPr>
            <w:tcW w:w="1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14.50%</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宁波金唐业务资产组</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8.90%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67.10%</w:t>
            </w:r>
          </w:p>
        </w:tc>
        <w:tc>
          <w:tcPr>
            <w:tcW w:w="1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753" w:type="dxa"/>
        <w:tblLayout w:type="fixed"/>
        <w:tblCellMar>
          <w:top w:w="0" w:type="dxa"/>
          <w:left w:w="0" w:type="dxa"/>
          <w:bottom w:w="0" w:type="dxa"/>
          <w:right w:w="0" w:type="dxa"/>
        </w:tblCellMar>
        <w:tblLook w:val="01E0"/>
      </w:tblPr>
      <w:tblGrid>
        <w:gridCol w:w="2938"/>
        <w:gridCol w:w="1274"/>
        <w:gridCol w:w="1416"/>
        <w:gridCol w:w="856"/>
        <w:gridCol w:w="1331"/>
      </w:tblGrid>
      <w:tr>
        <w:trPr>
          <w:trHeight w:val="355" w:hRule="exact"/>
        </w:trPr>
        <w:tc>
          <w:tcPr>
            <w:tcW w:w="2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上海复高业务资产组</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5.67%</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58.55%</w:t>
            </w:r>
          </w:p>
        </w:tc>
        <w:tc>
          <w:tcPr>
            <w:tcW w:w="13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13.07%</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湖南凯歌医疗业务资产组</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13.29%</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48.58%</w:t>
            </w:r>
          </w:p>
        </w:tc>
        <w:tc>
          <w:tcPr>
            <w:tcW w:w="1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13.40%</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市民信箱市民云业务</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28.68%</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69.14%</w:t>
            </w:r>
          </w:p>
        </w:tc>
        <w:tc>
          <w:tcPr>
            <w:tcW w:w="1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13.00%</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9.20%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71.29%</w:t>
            </w:r>
          </w:p>
        </w:tc>
        <w:tc>
          <w:tcPr>
            <w:tcW w:w="13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8.00%</w:t>
            </w:r>
          </w:p>
        </w:tc>
      </w:tr>
    </w:tbl>
    <w:p>
      <w:pPr>
        <w:pStyle w:val="BodyText"/>
        <w:spacing w:line="300" w:lineRule="auto" w:before="10"/>
        <w:ind w:left="514" w:right="0" w:hanging="360"/>
        <w:jc w:val="left"/>
      </w:pPr>
      <w:r>
        <w:rPr>
          <w:rFonts w:ascii="Times New Roman" w:hAnsi="Times New Roman" w:cs="Times New Roman" w:eastAsia="Times New Roman" w:hint="default"/>
          <w:b/>
          <w:bCs/>
        </w:rPr>
        <w:t>5</w:t>
      </w:r>
      <w:r>
        <w:rPr>
          <w:rFonts w:ascii="宋体" w:hAnsi="宋体" w:cs="宋体" w:eastAsia="宋体" w:hint="default"/>
          <w:b/>
          <w:bCs/>
        </w:rPr>
        <w:t>、商誉减值测试的方法</w:t>
      </w:r>
      <w:r>
        <w:rPr>
          <w:rFonts w:ascii="宋体" w:hAnsi="宋体" w:cs="宋体" w:eastAsia="宋体" w:hint="default"/>
          <w:b/>
          <w:bCs/>
          <w:w w:val="99"/>
        </w:rPr>
        <w:t> </w:t>
      </w:r>
      <w:r>
        <w:rPr>
          <w:spacing w:val="-2"/>
        </w:rPr>
        <w:t>资产负债表日，公司对前述采用现金流量折现模型测试的非同一控制下的企业并购形成的商誉进行了减值测试，在预计</w:t>
      </w:r>
    </w:p>
    <w:p>
      <w:pPr>
        <w:pStyle w:val="BodyText"/>
        <w:spacing w:line="312" w:lineRule="auto" w:before="31"/>
        <w:ind w:right="1132"/>
        <w:jc w:val="both"/>
      </w:pPr>
      <w:r>
        <w:rPr/>
        <w:t>可回收金额时，采用了与商誉有关的资产组来预测其未来现金流量现值。公司管理层根据最近一期的财务预算来编制未来</w:t>
      </w:r>
      <w:r>
        <w:rPr>
          <w:rFonts w:ascii="Times New Roman" w:hAnsi="Times New Roman" w:cs="Times New Roman" w:eastAsia="Times New Roman" w:hint="default"/>
        </w:rPr>
        <w:t>5 </w:t>
      </w:r>
      <w:r>
        <w:rPr/>
        <w:t>年（预算期）的现金流量预测，并推算之后年度的现金流量，并假定超过</w:t>
      </w:r>
      <w:r>
        <w:rPr>
          <w:rFonts w:ascii="Times New Roman" w:hAnsi="Times New Roman" w:cs="Times New Roman" w:eastAsia="Times New Roman" w:hint="default"/>
        </w:rPr>
        <w:t>5</w:t>
      </w:r>
      <w:r>
        <w:rPr/>
        <w:t>年财务预算之后年份的现金流量保持稳定。在预 </w:t>
      </w:r>
      <w:r>
        <w:rPr>
          <w:spacing w:val="-2"/>
        </w:rPr>
        <w:t>计未来现金流量时，根据该资产组未来的战略目标、业务发展及经营规划，通过结合历史年度的销售数据和预计市场需求变</w:t>
      </w:r>
      <w:r>
        <w:rPr>
          <w:spacing w:val="-66"/>
        </w:rPr>
        <w:t> </w:t>
      </w:r>
      <w:r>
        <w:rPr>
          <w:spacing w:val="-66"/>
        </w:rPr>
      </w:r>
      <w:r>
        <w:rPr>
          <w:spacing w:val="-2"/>
        </w:rPr>
        <w:t>化、产品预期价格变化等诸因素进行测算确定。在确定可收回金额所采用的折现率时，公司考虑了该资产组的行业资产回报</w:t>
      </w:r>
      <w:r>
        <w:rPr>
          <w:spacing w:val="-66"/>
        </w:rPr>
        <w:t> </w:t>
      </w:r>
      <w:r>
        <w:rPr>
          <w:spacing w:val="-66"/>
        </w:rPr>
      </w:r>
      <w:r>
        <w:rPr>
          <w:spacing w:val="-2"/>
        </w:rPr>
        <w:t>率、预期外部资金风险利率的变化等因素，通过对选取的可比公司相关数据进行分析后调整确定。另外对前述采用成本法测</w:t>
      </w:r>
      <w:r>
        <w:rPr>
          <w:spacing w:val="-66"/>
        </w:rPr>
        <w:t> </w:t>
      </w:r>
      <w:r>
        <w:rPr>
          <w:spacing w:val="-66"/>
        </w:rPr>
      </w:r>
      <w:r>
        <w:rPr/>
        <w:t>试的非同一控制下的企业并购形成的商誉也进行了减值测试。截止资产负债表日，本公司商誉减值测试情况如下：</w:t>
      </w:r>
    </w:p>
    <w:p>
      <w:pPr>
        <w:spacing w:line="240" w:lineRule="auto" w:before="10"/>
        <w:rPr>
          <w:rFonts w:ascii="宋体" w:hAnsi="宋体" w:cs="宋体" w:eastAsia="宋体" w:hint="default"/>
          <w:sz w:val="9"/>
          <w:szCs w:val="9"/>
        </w:rPr>
      </w:pPr>
    </w:p>
    <w:tbl>
      <w:tblPr>
        <w:tblW w:w="0" w:type="auto"/>
        <w:jc w:val="left"/>
        <w:tblInd w:w="230" w:type="dxa"/>
        <w:tblLayout w:type="fixed"/>
        <w:tblCellMar>
          <w:top w:w="0" w:type="dxa"/>
          <w:left w:w="0" w:type="dxa"/>
          <w:bottom w:w="0" w:type="dxa"/>
          <w:right w:w="0" w:type="dxa"/>
        </w:tblCellMar>
        <w:tblLook w:val="01E0"/>
      </w:tblPr>
      <w:tblGrid>
        <w:gridCol w:w="969"/>
        <w:gridCol w:w="970"/>
        <w:gridCol w:w="969"/>
        <w:gridCol w:w="969"/>
        <w:gridCol w:w="970"/>
        <w:gridCol w:w="969"/>
        <w:gridCol w:w="969"/>
        <w:gridCol w:w="970"/>
        <w:gridCol w:w="969"/>
        <w:gridCol w:w="969"/>
      </w:tblGrid>
      <w:tr>
        <w:trPr>
          <w:trHeight w:val="231" w:hRule="exact"/>
        </w:trPr>
        <w:tc>
          <w:tcPr>
            <w:tcW w:w="969" w:type="dxa"/>
            <w:tcBorders>
              <w:top w:val="single" w:sz="5" w:space="0" w:color="000000"/>
              <w:left w:val="single" w:sz="5" w:space="0" w:color="000000"/>
              <w:bottom w:val="nil" w:sz="6" w:space="0" w:color="auto"/>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Style w:val="TableParagraph"/>
              <w:spacing w:line="207" w:lineRule="exact"/>
              <w:ind w:left="84" w:right="0"/>
              <w:jc w:val="left"/>
              <w:rPr>
                <w:rFonts w:ascii="宋体" w:hAnsi="宋体" w:cs="宋体" w:eastAsia="宋体" w:hint="default"/>
                <w:sz w:val="18"/>
                <w:szCs w:val="18"/>
              </w:rPr>
            </w:pPr>
            <w:r>
              <w:rPr>
                <w:rFonts w:ascii="宋体" w:hAnsi="宋体" w:cs="宋体" w:eastAsia="宋体" w:hint="default"/>
                <w:b/>
                <w:bCs/>
                <w:spacing w:val="10"/>
                <w:sz w:val="18"/>
                <w:szCs w:val="18"/>
              </w:rPr>
              <w:t>未确认归</w:t>
            </w:r>
            <w:r>
              <w:rPr>
                <w:rFonts w:ascii="宋体" w:hAnsi="宋体" w:cs="宋体" w:eastAsia="宋体" w:hint="default"/>
                <w:sz w:val="18"/>
                <w:szCs w:val="18"/>
              </w:rPr>
            </w: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r>
      <w:tr>
        <w:trPr>
          <w:trHeight w:val="655" w:hRule="exact"/>
        </w:trPr>
        <w:tc>
          <w:tcPr>
            <w:tcW w:w="969" w:type="dxa"/>
            <w:tcBorders>
              <w:top w:val="nil" w:sz="6" w:space="0" w:color="auto"/>
              <w:left w:val="single" w:sz="5" w:space="0" w:color="000000"/>
              <w:bottom w:val="nil" w:sz="6" w:space="0" w:color="auto"/>
              <w:right w:val="single" w:sz="5"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b/>
                <w:bCs/>
                <w:spacing w:val="10"/>
                <w:sz w:val="18"/>
                <w:szCs w:val="18"/>
              </w:rPr>
              <w:t>业务分部</w:t>
            </w:r>
            <w:r>
              <w:rPr>
                <w:rFonts w:ascii="宋体" w:hAnsi="宋体" w:cs="宋体" w:eastAsia="宋体" w:hint="default"/>
                <w:sz w:val="18"/>
                <w:szCs w:val="18"/>
              </w:rPr>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18" w:lineRule="exact" w:before="109"/>
              <w:ind w:left="182" w:right="95" w:hanging="97"/>
              <w:jc w:val="left"/>
              <w:rPr>
                <w:rFonts w:ascii="宋体" w:hAnsi="宋体" w:cs="宋体" w:eastAsia="宋体" w:hint="default"/>
                <w:sz w:val="18"/>
                <w:szCs w:val="18"/>
              </w:rPr>
            </w:pPr>
            <w:r>
              <w:rPr>
                <w:rFonts w:ascii="宋体" w:hAnsi="宋体" w:cs="宋体" w:eastAsia="宋体" w:hint="default"/>
                <w:b/>
                <w:bCs/>
                <w:spacing w:val="10"/>
                <w:sz w:val="18"/>
                <w:szCs w:val="18"/>
              </w:rPr>
              <w:t>母公司持</w:t>
            </w:r>
            <w:r>
              <w:rPr>
                <w:rFonts w:ascii="宋体" w:hAnsi="宋体" w:cs="宋体" w:eastAsia="宋体" w:hint="default"/>
                <w:b/>
                <w:bCs/>
                <w:spacing w:val="-82"/>
                <w:sz w:val="18"/>
                <w:szCs w:val="18"/>
              </w:rPr>
              <w:t> </w:t>
            </w:r>
            <w:r>
              <w:rPr>
                <w:rFonts w:ascii="宋体" w:hAnsi="宋体" w:cs="宋体" w:eastAsia="宋体" w:hint="default"/>
                <w:b/>
                <w:bCs/>
                <w:spacing w:val="10"/>
                <w:sz w:val="18"/>
                <w:szCs w:val="18"/>
              </w:rPr>
              <w:t>股比例</w:t>
            </w:r>
            <w:r>
              <w:rPr>
                <w:rFonts w:ascii="宋体" w:hAnsi="宋体" w:cs="宋体" w:eastAsia="宋体" w:hint="default"/>
                <w:sz w:val="18"/>
                <w:szCs w:val="18"/>
              </w:rPr>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18" w:lineRule="exact" w:before="109"/>
              <w:ind w:left="375" w:right="95" w:hanging="291"/>
              <w:jc w:val="left"/>
              <w:rPr>
                <w:rFonts w:ascii="宋体" w:hAnsi="宋体" w:cs="宋体" w:eastAsia="宋体" w:hint="default"/>
                <w:sz w:val="18"/>
                <w:szCs w:val="18"/>
              </w:rPr>
            </w:pPr>
            <w:r>
              <w:rPr>
                <w:rFonts w:ascii="宋体" w:hAnsi="宋体" w:cs="宋体" w:eastAsia="宋体" w:hint="default"/>
                <w:b/>
                <w:bCs/>
                <w:spacing w:val="10"/>
                <w:sz w:val="18"/>
                <w:szCs w:val="18"/>
              </w:rPr>
              <w:t>母公司商</w:t>
            </w:r>
            <w:r>
              <w:rPr>
                <w:rFonts w:ascii="宋体" w:hAnsi="宋体" w:cs="宋体" w:eastAsia="宋体" w:hint="default"/>
                <w:b/>
                <w:bCs/>
                <w:spacing w:val="-82"/>
                <w:sz w:val="18"/>
                <w:szCs w:val="18"/>
              </w:rPr>
              <w:t> </w:t>
            </w:r>
            <w:r>
              <w:rPr>
                <w:rFonts w:ascii="宋体" w:hAnsi="宋体" w:cs="宋体" w:eastAsia="宋体" w:hint="default"/>
                <w:b/>
                <w:bCs/>
                <w:sz w:val="18"/>
                <w:szCs w:val="18"/>
              </w:rPr>
              <w:t>誉</w:t>
            </w:r>
            <w:r>
              <w:rPr>
                <w:rFonts w:ascii="宋体" w:hAnsi="宋体" w:cs="宋体" w:eastAsia="宋体" w:hint="default"/>
                <w:sz w:val="18"/>
                <w:szCs w:val="18"/>
              </w:rPr>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191" w:lineRule="exact"/>
              <w:ind w:left="84" w:right="0"/>
              <w:jc w:val="left"/>
              <w:rPr>
                <w:rFonts w:ascii="宋体" w:hAnsi="宋体" w:cs="宋体" w:eastAsia="宋体" w:hint="default"/>
                <w:sz w:val="18"/>
                <w:szCs w:val="18"/>
              </w:rPr>
            </w:pPr>
            <w:r>
              <w:rPr>
                <w:rFonts w:ascii="宋体" w:hAnsi="宋体" w:cs="宋体" w:eastAsia="宋体" w:hint="default"/>
                <w:b/>
                <w:bCs/>
                <w:spacing w:val="10"/>
                <w:sz w:val="18"/>
                <w:szCs w:val="18"/>
              </w:rPr>
              <w:t>属于少数</w:t>
            </w:r>
            <w:r>
              <w:rPr>
                <w:rFonts w:ascii="宋体" w:hAnsi="宋体" w:cs="宋体" w:eastAsia="宋体" w:hint="default"/>
                <w:sz w:val="18"/>
                <w:szCs w:val="18"/>
              </w:rPr>
            </w:r>
          </w:p>
          <w:p>
            <w:pPr>
              <w:pStyle w:val="TableParagraph"/>
              <w:spacing w:line="218" w:lineRule="exact" w:before="27"/>
              <w:ind w:left="84" w:right="95"/>
              <w:jc w:val="left"/>
              <w:rPr>
                <w:rFonts w:ascii="宋体" w:hAnsi="宋体" w:cs="宋体" w:eastAsia="宋体" w:hint="default"/>
                <w:sz w:val="18"/>
                <w:szCs w:val="18"/>
              </w:rPr>
            </w:pPr>
            <w:r>
              <w:rPr>
                <w:rFonts w:ascii="宋体" w:hAnsi="宋体" w:cs="宋体" w:eastAsia="宋体" w:hint="default"/>
                <w:b/>
                <w:bCs/>
                <w:spacing w:val="10"/>
                <w:sz w:val="18"/>
                <w:szCs w:val="18"/>
              </w:rPr>
              <w:t>股东权益</w:t>
            </w:r>
            <w:r>
              <w:rPr>
                <w:rFonts w:ascii="宋体" w:hAnsi="宋体" w:cs="宋体" w:eastAsia="宋体" w:hint="default"/>
                <w:b/>
                <w:bCs/>
                <w:spacing w:val="-82"/>
                <w:sz w:val="18"/>
                <w:szCs w:val="18"/>
              </w:rPr>
              <w:t> </w:t>
            </w:r>
            <w:r>
              <w:rPr>
                <w:rFonts w:ascii="宋体" w:hAnsi="宋体" w:cs="宋体" w:eastAsia="宋体" w:hint="default"/>
                <w:b/>
                <w:bCs/>
                <w:spacing w:val="10"/>
                <w:sz w:val="18"/>
                <w:szCs w:val="18"/>
              </w:rPr>
              <w:t>的商誉价</w:t>
            </w:r>
            <w:r>
              <w:rPr>
                <w:rFonts w:ascii="宋体" w:hAnsi="宋体" w:cs="宋体" w:eastAsia="宋体" w:hint="default"/>
                <w:sz w:val="18"/>
                <w:szCs w:val="18"/>
              </w:rPr>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b/>
                <w:bCs/>
                <w:spacing w:val="10"/>
                <w:sz w:val="18"/>
                <w:szCs w:val="18"/>
              </w:rPr>
              <w:t>商誉合计</w:t>
            </w:r>
            <w:r>
              <w:rPr>
                <w:rFonts w:ascii="宋体" w:hAnsi="宋体" w:cs="宋体" w:eastAsia="宋体" w:hint="default"/>
                <w:sz w:val="18"/>
                <w:szCs w:val="18"/>
              </w:rPr>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191" w:lineRule="exact"/>
              <w:ind w:left="84" w:right="0"/>
              <w:jc w:val="left"/>
              <w:rPr>
                <w:rFonts w:ascii="宋体" w:hAnsi="宋体" w:cs="宋体" w:eastAsia="宋体" w:hint="default"/>
                <w:sz w:val="18"/>
                <w:szCs w:val="18"/>
              </w:rPr>
            </w:pPr>
            <w:r>
              <w:rPr>
                <w:rFonts w:ascii="宋体" w:hAnsi="宋体" w:cs="宋体" w:eastAsia="宋体" w:hint="default"/>
                <w:b/>
                <w:bCs/>
                <w:spacing w:val="10"/>
                <w:sz w:val="18"/>
                <w:szCs w:val="18"/>
              </w:rPr>
              <w:t>可辨认资</w:t>
            </w:r>
            <w:r>
              <w:rPr>
                <w:rFonts w:ascii="宋体" w:hAnsi="宋体" w:cs="宋体" w:eastAsia="宋体" w:hint="default"/>
                <w:sz w:val="18"/>
                <w:szCs w:val="18"/>
              </w:rPr>
            </w:r>
          </w:p>
          <w:p>
            <w:pPr>
              <w:pStyle w:val="TableParagraph"/>
              <w:spacing w:line="218" w:lineRule="exact" w:before="27"/>
              <w:ind w:left="278" w:right="95" w:hanging="194"/>
              <w:jc w:val="left"/>
              <w:rPr>
                <w:rFonts w:ascii="宋体" w:hAnsi="宋体" w:cs="宋体" w:eastAsia="宋体" w:hint="default"/>
                <w:sz w:val="18"/>
                <w:szCs w:val="18"/>
              </w:rPr>
            </w:pPr>
            <w:r>
              <w:rPr>
                <w:rFonts w:ascii="宋体" w:hAnsi="宋体" w:cs="宋体" w:eastAsia="宋体" w:hint="default"/>
                <w:b/>
                <w:bCs/>
                <w:spacing w:val="10"/>
                <w:sz w:val="18"/>
                <w:szCs w:val="18"/>
              </w:rPr>
              <w:t>产组账面</w:t>
            </w:r>
            <w:r>
              <w:rPr>
                <w:rFonts w:ascii="宋体" w:hAnsi="宋体" w:cs="宋体" w:eastAsia="宋体" w:hint="default"/>
                <w:b/>
                <w:bCs/>
                <w:spacing w:val="-82"/>
                <w:sz w:val="18"/>
                <w:szCs w:val="18"/>
              </w:rPr>
              <w:t> </w:t>
            </w:r>
            <w:r>
              <w:rPr>
                <w:rFonts w:ascii="宋体" w:hAnsi="宋体" w:cs="宋体" w:eastAsia="宋体" w:hint="default"/>
                <w:b/>
                <w:bCs/>
                <w:spacing w:val="10"/>
                <w:sz w:val="18"/>
                <w:szCs w:val="18"/>
              </w:rPr>
              <w:t>价值</w:t>
            </w:r>
            <w:r>
              <w:rPr>
                <w:rFonts w:ascii="宋体" w:hAnsi="宋体" w:cs="宋体" w:eastAsia="宋体" w:hint="default"/>
                <w:sz w:val="18"/>
                <w:szCs w:val="18"/>
              </w:rPr>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191" w:lineRule="exact"/>
              <w:ind w:left="84" w:right="0"/>
              <w:jc w:val="left"/>
              <w:rPr>
                <w:rFonts w:ascii="宋体" w:hAnsi="宋体" w:cs="宋体" w:eastAsia="宋体" w:hint="default"/>
                <w:sz w:val="18"/>
                <w:szCs w:val="18"/>
              </w:rPr>
            </w:pPr>
            <w:r>
              <w:rPr>
                <w:rFonts w:ascii="宋体" w:hAnsi="宋体" w:cs="宋体" w:eastAsia="宋体" w:hint="default"/>
                <w:b/>
                <w:bCs/>
                <w:spacing w:val="10"/>
                <w:sz w:val="18"/>
                <w:szCs w:val="18"/>
              </w:rPr>
              <w:t>包含商誉</w:t>
            </w:r>
            <w:r>
              <w:rPr>
                <w:rFonts w:ascii="宋体" w:hAnsi="宋体" w:cs="宋体" w:eastAsia="宋体" w:hint="default"/>
                <w:sz w:val="18"/>
                <w:szCs w:val="18"/>
              </w:rPr>
            </w:r>
          </w:p>
          <w:p>
            <w:pPr>
              <w:pStyle w:val="TableParagraph"/>
              <w:spacing w:line="218" w:lineRule="exact" w:before="27"/>
              <w:ind w:left="84" w:right="95"/>
              <w:jc w:val="left"/>
              <w:rPr>
                <w:rFonts w:ascii="宋体" w:hAnsi="宋体" w:cs="宋体" w:eastAsia="宋体" w:hint="default"/>
                <w:sz w:val="18"/>
                <w:szCs w:val="18"/>
              </w:rPr>
            </w:pPr>
            <w:r>
              <w:rPr>
                <w:rFonts w:ascii="宋体" w:hAnsi="宋体" w:cs="宋体" w:eastAsia="宋体" w:hint="default"/>
                <w:b/>
                <w:bCs/>
                <w:spacing w:val="10"/>
                <w:sz w:val="18"/>
                <w:szCs w:val="18"/>
              </w:rPr>
              <w:t>的资产组</w:t>
            </w:r>
            <w:r>
              <w:rPr>
                <w:rFonts w:ascii="宋体" w:hAnsi="宋体" w:cs="宋体" w:eastAsia="宋体" w:hint="default"/>
                <w:b/>
                <w:bCs/>
                <w:spacing w:val="-82"/>
                <w:sz w:val="18"/>
                <w:szCs w:val="18"/>
              </w:rPr>
              <w:t> </w:t>
            </w:r>
            <w:r>
              <w:rPr>
                <w:rFonts w:ascii="宋体" w:hAnsi="宋体" w:cs="宋体" w:eastAsia="宋体" w:hint="default"/>
                <w:b/>
                <w:bCs/>
                <w:spacing w:val="10"/>
                <w:sz w:val="18"/>
                <w:szCs w:val="18"/>
              </w:rPr>
              <w:t>账面价值</w:t>
            </w:r>
            <w:r>
              <w:rPr>
                <w:rFonts w:ascii="宋体" w:hAnsi="宋体" w:cs="宋体" w:eastAsia="宋体" w:hint="default"/>
                <w:sz w:val="18"/>
                <w:szCs w:val="18"/>
              </w:rPr>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30" w:lineRule="exact" w:before="87"/>
              <w:ind w:left="375" w:right="71" w:hanging="267"/>
              <w:jc w:val="left"/>
              <w:rPr>
                <w:rFonts w:ascii="宋体" w:hAnsi="宋体" w:cs="宋体" w:eastAsia="宋体" w:hint="default"/>
                <w:sz w:val="18"/>
                <w:szCs w:val="18"/>
              </w:rPr>
            </w:pPr>
            <w:r>
              <w:rPr>
                <w:rFonts w:ascii="宋体" w:hAnsi="宋体" w:cs="宋体" w:eastAsia="宋体" w:hint="default"/>
                <w:b/>
                <w:bCs/>
                <w:spacing w:val="10"/>
                <w:sz w:val="18"/>
                <w:szCs w:val="18"/>
              </w:rPr>
              <w:t>可收回金</w:t>
            </w:r>
            <w:r>
              <w:rPr>
                <w:rFonts w:ascii="宋体" w:hAnsi="宋体" w:cs="宋体" w:eastAsia="宋体" w:hint="default"/>
                <w:b/>
                <w:bCs/>
                <w:spacing w:val="-82"/>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18" w:lineRule="exact" w:before="109"/>
              <w:ind w:left="84" w:right="95"/>
              <w:jc w:val="left"/>
              <w:rPr>
                <w:rFonts w:ascii="宋体" w:hAnsi="宋体" w:cs="宋体" w:eastAsia="宋体" w:hint="default"/>
                <w:sz w:val="18"/>
                <w:szCs w:val="18"/>
              </w:rPr>
            </w:pPr>
            <w:r>
              <w:rPr>
                <w:rFonts w:ascii="宋体" w:hAnsi="宋体" w:cs="宋体" w:eastAsia="宋体" w:hint="default"/>
                <w:b/>
                <w:bCs/>
                <w:spacing w:val="10"/>
                <w:sz w:val="18"/>
                <w:szCs w:val="18"/>
              </w:rPr>
              <w:t>可收回－</w:t>
            </w:r>
            <w:r>
              <w:rPr>
                <w:rFonts w:ascii="宋体" w:hAnsi="宋体" w:cs="宋体" w:eastAsia="宋体" w:hint="default"/>
                <w:b/>
                <w:bCs/>
                <w:spacing w:val="-82"/>
                <w:sz w:val="18"/>
                <w:szCs w:val="18"/>
              </w:rPr>
              <w:t> </w:t>
            </w:r>
            <w:r>
              <w:rPr>
                <w:rFonts w:ascii="宋体" w:hAnsi="宋体" w:cs="宋体" w:eastAsia="宋体" w:hint="default"/>
                <w:b/>
                <w:bCs/>
                <w:spacing w:val="10"/>
                <w:sz w:val="18"/>
                <w:szCs w:val="18"/>
              </w:rPr>
              <w:t>账面价值</w:t>
            </w:r>
            <w:r>
              <w:rPr>
                <w:rFonts w:ascii="宋体" w:hAnsi="宋体" w:cs="宋体" w:eastAsia="宋体" w:hint="default"/>
                <w:sz w:val="18"/>
                <w:szCs w:val="18"/>
              </w:rPr>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b/>
                <w:bCs/>
                <w:spacing w:val="10"/>
                <w:sz w:val="18"/>
                <w:szCs w:val="18"/>
              </w:rPr>
              <w:t>是否减值</w:t>
            </w:r>
            <w:r>
              <w:rPr>
                <w:rFonts w:ascii="宋体" w:hAnsi="宋体" w:cs="宋体" w:eastAsia="宋体" w:hint="default"/>
                <w:sz w:val="18"/>
                <w:szCs w:val="18"/>
              </w:rPr>
            </w:r>
          </w:p>
        </w:tc>
      </w:tr>
      <w:tr>
        <w:trPr>
          <w:trHeight w:val="205" w:hRule="exact"/>
        </w:trPr>
        <w:tc>
          <w:tcPr>
            <w:tcW w:w="969" w:type="dxa"/>
            <w:tcBorders>
              <w:top w:val="nil" w:sz="6" w:space="0" w:color="auto"/>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Style w:val="TableParagraph"/>
              <w:spacing w:line="200" w:lineRule="exact"/>
              <w:ind w:right="21"/>
              <w:jc w:val="center"/>
              <w:rPr>
                <w:rFonts w:ascii="宋体" w:hAnsi="宋体" w:cs="宋体" w:eastAsia="宋体" w:hint="default"/>
                <w:sz w:val="18"/>
                <w:szCs w:val="18"/>
              </w:rPr>
            </w:pPr>
            <w:r>
              <w:rPr>
                <w:rFonts w:ascii="宋体" w:hAnsi="宋体" w:cs="宋体" w:eastAsia="宋体" w:hint="default"/>
                <w:b/>
                <w:bCs/>
                <w:w w:val="100"/>
                <w:sz w:val="18"/>
                <w:szCs w:val="18"/>
              </w:rPr>
              <w:t>值</w:t>
            </w:r>
            <w:r>
              <w:rPr>
                <w:rFonts w:ascii="宋体" w:hAnsi="宋体" w:cs="宋体" w:eastAsia="宋体" w:hint="default"/>
                <w:w w:val="100"/>
                <w:sz w:val="18"/>
                <w:szCs w:val="18"/>
              </w:rPr>
            </w: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r>
      <w:tr>
        <w:trPr>
          <w:trHeight w:val="437" w:hRule="exact"/>
        </w:trPr>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18" w:lineRule="exact" w:before="7"/>
              <w:ind w:left="24" w:right="23"/>
              <w:jc w:val="left"/>
              <w:rPr>
                <w:rFonts w:ascii="宋体" w:hAnsi="宋体" w:cs="宋体" w:eastAsia="宋体" w:hint="default"/>
                <w:sz w:val="18"/>
                <w:szCs w:val="18"/>
              </w:rPr>
            </w:pPr>
            <w:r>
              <w:rPr>
                <w:rFonts w:ascii="宋体" w:hAnsi="宋体" w:cs="宋体" w:eastAsia="宋体" w:hint="default"/>
                <w:sz w:val="18"/>
                <w:szCs w:val="18"/>
              </w:rPr>
              <w:t>四川浩特通</w:t>
            </w:r>
            <w:r>
              <w:rPr>
                <w:rFonts w:ascii="宋体" w:hAnsi="宋体" w:cs="宋体" w:eastAsia="宋体" w:hint="default"/>
                <w:spacing w:val="-85"/>
                <w:sz w:val="18"/>
                <w:szCs w:val="18"/>
              </w:rPr>
              <w:t> </w:t>
            </w:r>
            <w:r>
              <w:rPr>
                <w:rFonts w:ascii="宋体" w:hAnsi="宋体" w:cs="宋体" w:eastAsia="宋体" w:hint="default"/>
                <w:sz w:val="18"/>
                <w:szCs w:val="18"/>
              </w:rPr>
              <w:t>信有限公司</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29"/>
              <w:jc w:val="right"/>
              <w:rPr>
                <w:rFonts w:ascii="Times New Roman" w:hAnsi="Times New Roman" w:cs="Times New Roman" w:eastAsia="Times New Roman" w:hint="default"/>
                <w:sz w:val="18"/>
                <w:szCs w:val="18"/>
              </w:rPr>
            </w:pPr>
            <w:r>
              <w:rPr>
                <w:rFonts w:ascii="Times New Roman"/>
                <w:spacing w:val="-5"/>
                <w:sz w:val="18"/>
              </w:rPr>
              <w:t>100.00%</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6"/>
                <w:sz w:val="18"/>
              </w:rPr>
              <w:t>1,015.30</w:t>
            </w:r>
          </w:p>
        </w:tc>
        <w:tc>
          <w:tcPr>
            <w:tcW w:w="969" w:type="dxa"/>
            <w:tcBorders>
              <w:top w:val="single" w:sz="5" w:space="0" w:color="000000"/>
              <w:left w:val="single" w:sz="5" w:space="0" w:color="000000"/>
              <w:bottom w:val="single" w:sz="5" w:space="0" w:color="000000"/>
              <w:right w:val="single" w:sz="5" w:space="0" w:color="000000"/>
            </w:tcBorders>
          </w:tcPr>
          <w:p>
            <w:pP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6"/>
                <w:sz w:val="18"/>
              </w:rPr>
              <w:t>1,015.30</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6"/>
                <w:sz w:val="18"/>
              </w:rPr>
              <w:t>19,769.52</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pacing w:val="-6"/>
                <w:sz w:val="18"/>
              </w:rPr>
              <w:t>20,784.82</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6"/>
                <w:sz w:val="18"/>
              </w:rPr>
              <w:t>21,754.50</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pacing w:val="-5"/>
                <w:sz w:val="18"/>
              </w:rPr>
              <w:t>969.68</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w w:val="101"/>
                <w:sz w:val="18"/>
                <w:szCs w:val="18"/>
              </w:rPr>
              <w:t>注</w:t>
            </w:r>
            <w:r>
              <w:rPr>
                <w:rFonts w:ascii="宋体" w:hAnsi="宋体" w:cs="宋体" w:eastAsia="宋体" w:hint="default"/>
                <w:sz w:val="18"/>
                <w:szCs w:val="18"/>
              </w:rPr>
            </w:r>
          </w:p>
        </w:tc>
      </w:tr>
      <w:tr>
        <w:trPr>
          <w:trHeight w:val="230" w:hRule="exact"/>
        </w:trPr>
        <w:tc>
          <w:tcPr>
            <w:tcW w:w="969" w:type="dxa"/>
            <w:tcBorders>
              <w:top w:val="single" w:sz="5" w:space="0" w:color="000000"/>
              <w:left w:val="single" w:sz="5" w:space="0" w:color="000000"/>
              <w:bottom w:val="nil" w:sz="6" w:space="0" w:color="auto"/>
              <w:right w:val="single" w:sz="5"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上海华奕医</w:t>
            </w: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r>
      <w:tr>
        <w:trPr>
          <w:trHeight w:val="219" w:hRule="exact"/>
        </w:trPr>
        <w:tc>
          <w:tcPr>
            <w:tcW w:w="969" w:type="dxa"/>
            <w:tcBorders>
              <w:top w:val="nil" w:sz="6" w:space="0" w:color="auto"/>
              <w:left w:val="single" w:sz="5" w:space="0" w:color="000000"/>
              <w:bottom w:val="nil" w:sz="6" w:space="0" w:color="auto"/>
              <w:right w:val="single" w:sz="5"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疗信息技术</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5"/>
                <w:sz w:val="18"/>
              </w:rPr>
              <w:t>52.00%</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4"/>
                <w:sz w:val="18"/>
              </w:rPr>
              <w:t>81.09</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4"/>
                <w:sz w:val="18"/>
              </w:rPr>
              <w:t>74.85</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5"/>
                <w:sz w:val="18"/>
              </w:rPr>
              <w:t>155.94</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5"/>
                <w:sz w:val="18"/>
              </w:rPr>
              <w:t>189.31</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5"/>
                <w:sz w:val="18"/>
              </w:rPr>
              <w:t>345.25</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6"/>
                <w:sz w:val="18"/>
              </w:rPr>
              <w:t>1,600.00</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8"/>
              <w:jc w:val="right"/>
              <w:rPr>
                <w:rFonts w:ascii="Times New Roman" w:hAnsi="Times New Roman" w:cs="Times New Roman" w:eastAsia="Times New Roman" w:hint="default"/>
                <w:sz w:val="18"/>
                <w:szCs w:val="18"/>
              </w:rPr>
            </w:pPr>
            <w:r>
              <w:rPr>
                <w:rFonts w:ascii="Times New Roman"/>
                <w:spacing w:val="-6"/>
                <w:sz w:val="18"/>
              </w:rPr>
              <w:t>1,254.75</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05" w:hRule="exact"/>
        </w:trPr>
        <w:tc>
          <w:tcPr>
            <w:tcW w:w="969" w:type="dxa"/>
            <w:tcBorders>
              <w:top w:val="nil" w:sz="6" w:space="0" w:color="auto"/>
              <w:left w:val="single" w:sz="5" w:space="0" w:color="000000"/>
              <w:bottom w:val="single" w:sz="5" w:space="0" w:color="000000"/>
              <w:right w:val="single" w:sz="5"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r>
      <w:tr>
        <w:trPr>
          <w:trHeight w:val="436" w:hRule="exact"/>
        </w:trPr>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18" w:lineRule="exact" w:before="7"/>
              <w:ind w:left="24" w:right="23"/>
              <w:jc w:val="left"/>
              <w:rPr>
                <w:rFonts w:ascii="宋体" w:hAnsi="宋体" w:cs="宋体" w:eastAsia="宋体" w:hint="default"/>
                <w:sz w:val="18"/>
                <w:szCs w:val="18"/>
              </w:rPr>
            </w:pPr>
            <w:r>
              <w:rPr>
                <w:rFonts w:ascii="宋体" w:hAnsi="宋体" w:cs="宋体" w:eastAsia="宋体" w:hint="default"/>
                <w:sz w:val="18"/>
                <w:szCs w:val="18"/>
              </w:rPr>
              <w:t>宁波金唐业</w:t>
            </w:r>
            <w:r>
              <w:rPr>
                <w:rFonts w:ascii="宋体" w:hAnsi="宋体" w:cs="宋体" w:eastAsia="宋体" w:hint="default"/>
                <w:spacing w:val="-85"/>
                <w:sz w:val="18"/>
                <w:szCs w:val="18"/>
              </w:rPr>
              <w:t> </w:t>
            </w:r>
            <w:r>
              <w:rPr>
                <w:rFonts w:ascii="宋体" w:hAnsi="宋体" w:cs="宋体" w:eastAsia="宋体" w:hint="default"/>
                <w:sz w:val="18"/>
                <w:szCs w:val="18"/>
              </w:rPr>
              <w:t>务资产组</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29"/>
              <w:jc w:val="right"/>
              <w:rPr>
                <w:rFonts w:ascii="Times New Roman" w:hAnsi="Times New Roman" w:cs="Times New Roman" w:eastAsia="Times New Roman" w:hint="default"/>
                <w:sz w:val="18"/>
                <w:szCs w:val="18"/>
              </w:rPr>
            </w:pPr>
            <w:r>
              <w:rPr>
                <w:rFonts w:ascii="Times New Roman"/>
                <w:spacing w:val="-5"/>
                <w:sz w:val="18"/>
              </w:rPr>
              <w:t>100.00%</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6"/>
                <w:sz w:val="18"/>
              </w:rPr>
              <w:t>42,063.23</w:t>
            </w:r>
          </w:p>
        </w:tc>
        <w:tc>
          <w:tcPr>
            <w:tcW w:w="969" w:type="dxa"/>
            <w:tcBorders>
              <w:top w:val="single" w:sz="5" w:space="0" w:color="000000"/>
              <w:left w:val="single" w:sz="5" w:space="0" w:color="000000"/>
              <w:bottom w:val="single" w:sz="5" w:space="0" w:color="000000"/>
              <w:right w:val="single" w:sz="5" w:space="0" w:color="000000"/>
            </w:tcBorders>
          </w:tcPr>
          <w:p>
            <w:pP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6"/>
                <w:sz w:val="18"/>
              </w:rPr>
              <w:t>42,063.23</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pacing w:val="-5"/>
                <w:sz w:val="18"/>
              </w:rPr>
              <w:t>218.49</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pacing w:val="-6"/>
                <w:sz w:val="18"/>
              </w:rPr>
              <w:t>42,281.72</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6"/>
                <w:sz w:val="18"/>
              </w:rPr>
              <w:t>50,600.00</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6"/>
                <w:sz w:val="18"/>
              </w:rPr>
              <w:t>8,318.28</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37" w:hRule="exact"/>
        </w:trPr>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18" w:lineRule="exact" w:before="7"/>
              <w:ind w:left="24" w:right="23"/>
              <w:jc w:val="left"/>
              <w:rPr>
                <w:rFonts w:ascii="宋体" w:hAnsi="宋体" w:cs="宋体" w:eastAsia="宋体" w:hint="default"/>
                <w:sz w:val="18"/>
                <w:szCs w:val="18"/>
              </w:rPr>
            </w:pPr>
            <w:r>
              <w:rPr>
                <w:rFonts w:ascii="宋体" w:hAnsi="宋体" w:cs="宋体" w:eastAsia="宋体" w:hint="default"/>
                <w:sz w:val="18"/>
                <w:szCs w:val="18"/>
              </w:rPr>
              <w:t>上海复高业</w:t>
            </w:r>
            <w:r>
              <w:rPr>
                <w:rFonts w:ascii="宋体" w:hAnsi="宋体" w:cs="宋体" w:eastAsia="宋体" w:hint="default"/>
                <w:spacing w:val="-85"/>
                <w:sz w:val="18"/>
                <w:szCs w:val="18"/>
              </w:rPr>
              <w:t> </w:t>
            </w:r>
            <w:r>
              <w:rPr>
                <w:rFonts w:ascii="宋体" w:hAnsi="宋体" w:cs="宋体" w:eastAsia="宋体" w:hint="default"/>
                <w:sz w:val="18"/>
                <w:szCs w:val="18"/>
              </w:rPr>
              <w:t>务资产组</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29"/>
              <w:jc w:val="right"/>
              <w:rPr>
                <w:rFonts w:ascii="Times New Roman" w:hAnsi="Times New Roman" w:cs="Times New Roman" w:eastAsia="Times New Roman" w:hint="default"/>
                <w:sz w:val="18"/>
                <w:szCs w:val="18"/>
              </w:rPr>
            </w:pPr>
            <w:r>
              <w:rPr>
                <w:rFonts w:ascii="Times New Roman"/>
                <w:spacing w:val="-5"/>
                <w:sz w:val="18"/>
              </w:rPr>
              <w:t>100.00%</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6"/>
                <w:sz w:val="18"/>
              </w:rPr>
              <w:t>51,149.09</w:t>
            </w:r>
          </w:p>
        </w:tc>
        <w:tc>
          <w:tcPr>
            <w:tcW w:w="969" w:type="dxa"/>
            <w:tcBorders>
              <w:top w:val="single" w:sz="5" w:space="0" w:color="000000"/>
              <w:left w:val="single" w:sz="5" w:space="0" w:color="000000"/>
              <w:bottom w:val="single" w:sz="5" w:space="0" w:color="000000"/>
              <w:right w:val="single" w:sz="5" w:space="0" w:color="000000"/>
            </w:tcBorders>
          </w:tcPr>
          <w:p>
            <w:pP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6"/>
                <w:sz w:val="18"/>
              </w:rPr>
              <w:t>51,149.09</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5"/>
                <w:sz w:val="18"/>
              </w:rPr>
              <w:t>187.68</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6"/>
                <w:sz w:val="18"/>
              </w:rPr>
              <w:t>51,336.77</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6"/>
                <w:sz w:val="18"/>
              </w:rPr>
              <w:t>72,300.00</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6"/>
                <w:sz w:val="18"/>
              </w:rPr>
              <w:t>20,963.23</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31" w:hRule="exact"/>
        </w:trPr>
        <w:tc>
          <w:tcPr>
            <w:tcW w:w="969" w:type="dxa"/>
            <w:tcBorders>
              <w:top w:val="single" w:sz="5" w:space="0" w:color="000000"/>
              <w:left w:val="single" w:sz="5" w:space="0" w:color="000000"/>
              <w:bottom w:val="nil" w:sz="6" w:space="0" w:color="auto"/>
              <w:right w:val="single" w:sz="5"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湖南凯歌医</w:t>
            </w: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vMerge w:val="restart"/>
            <w:tcBorders>
              <w:top w:val="single" w:sz="5" w:space="0" w:color="000000"/>
              <w:left w:val="single" w:sz="5" w:space="0" w:color="000000"/>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r>
      <w:tr>
        <w:trPr>
          <w:trHeight w:val="219" w:hRule="exact"/>
        </w:trPr>
        <w:tc>
          <w:tcPr>
            <w:tcW w:w="969" w:type="dxa"/>
            <w:tcBorders>
              <w:top w:val="nil" w:sz="6" w:space="0" w:color="auto"/>
              <w:left w:val="single" w:sz="5" w:space="0" w:color="000000"/>
              <w:bottom w:val="nil" w:sz="6" w:space="0" w:color="auto"/>
              <w:right w:val="single" w:sz="5"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疗业务资产</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5"/>
                <w:sz w:val="18"/>
              </w:rPr>
              <w:t>100.00%</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6"/>
                <w:sz w:val="18"/>
              </w:rPr>
              <w:t>5,310.56</w:t>
            </w:r>
          </w:p>
        </w:tc>
        <w:tc>
          <w:tcPr>
            <w:tcW w:w="969" w:type="dxa"/>
            <w:vMerge/>
            <w:tcBorders>
              <w:left w:val="single" w:sz="5" w:space="0" w:color="000000"/>
              <w:right w:val="single" w:sz="5" w:space="0" w:color="000000"/>
            </w:tcBorders>
          </w:tcPr>
          <w:p>
            <w:pP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6"/>
                <w:sz w:val="18"/>
              </w:rPr>
              <w:t>5,310.56</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2"/>
                <w:sz w:val="18"/>
              </w:rPr>
              <w:t>5.3</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6"/>
                <w:sz w:val="18"/>
              </w:rPr>
              <w:t>5,315.87</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6"/>
                <w:sz w:val="18"/>
              </w:rPr>
              <w:t>6,900.00</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8"/>
              <w:jc w:val="right"/>
              <w:rPr>
                <w:rFonts w:ascii="Times New Roman" w:hAnsi="Times New Roman" w:cs="Times New Roman" w:eastAsia="Times New Roman" w:hint="default"/>
                <w:sz w:val="18"/>
                <w:szCs w:val="18"/>
              </w:rPr>
            </w:pPr>
            <w:r>
              <w:rPr>
                <w:rFonts w:ascii="Times New Roman"/>
                <w:spacing w:val="-6"/>
                <w:sz w:val="18"/>
              </w:rPr>
              <w:t>1,584.13</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05" w:hRule="exact"/>
        </w:trPr>
        <w:tc>
          <w:tcPr>
            <w:tcW w:w="969" w:type="dxa"/>
            <w:tcBorders>
              <w:top w:val="nil" w:sz="6" w:space="0" w:color="auto"/>
              <w:left w:val="single" w:sz="5" w:space="0" w:color="000000"/>
              <w:bottom w:val="single" w:sz="5" w:space="0" w:color="000000"/>
              <w:right w:val="single" w:sz="5"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组</w:t>
            </w:r>
            <w:r>
              <w:rPr>
                <w:rFonts w:ascii="宋体" w:hAnsi="宋体" w:cs="宋体" w:eastAsia="宋体" w:hint="default"/>
                <w:sz w:val="18"/>
                <w:szCs w:val="18"/>
              </w:rPr>
            </w: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vMerge/>
            <w:tcBorders>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r>
      <w:tr>
        <w:trPr>
          <w:trHeight w:val="437" w:hRule="exact"/>
        </w:trPr>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18" w:lineRule="exact" w:before="7"/>
              <w:ind w:left="24" w:right="23"/>
              <w:jc w:val="left"/>
              <w:rPr>
                <w:rFonts w:ascii="宋体" w:hAnsi="宋体" w:cs="宋体" w:eastAsia="宋体" w:hint="default"/>
                <w:sz w:val="18"/>
                <w:szCs w:val="18"/>
              </w:rPr>
            </w:pPr>
            <w:r>
              <w:rPr>
                <w:rFonts w:ascii="宋体" w:hAnsi="宋体" w:cs="宋体" w:eastAsia="宋体" w:hint="default"/>
                <w:sz w:val="18"/>
                <w:szCs w:val="18"/>
              </w:rPr>
              <w:t>市民信箱市</w:t>
            </w:r>
            <w:r>
              <w:rPr>
                <w:rFonts w:ascii="宋体" w:hAnsi="宋体" w:cs="宋体" w:eastAsia="宋体" w:hint="default"/>
                <w:spacing w:val="-85"/>
                <w:sz w:val="18"/>
                <w:szCs w:val="18"/>
              </w:rPr>
              <w:t> </w:t>
            </w:r>
            <w:r>
              <w:rPr>
                <w:rFonts w:ascii="宋体" w:hAnsi="宋体" w:cs="宋体" w:eastAsia="宋体" w:hint="default"/>
                <w:sz w:val="18"/>
                <w:szCs w:val="18"/>
              </w:rPr>
              <w:t>民云业务</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29"/>
              <w:jc w:val="right"/>
              <w:rPr>
                <w:rFonts w:ascii="Times New Roman" w:hAnsi="Times New Roman" w:cs="Times New Roman" w:eastAsia="Times New Roman" w:hint="default"/>
                <w:sz w:val="18"/>
                <w:szCs w:val="18"/>
              </w:rPr>
            </w:pPr>
            <w:r>
              <w:rPr>
                <w:rFonts w:ascii="Times New Roman"/>
                <w:spacing w:val="-5"/>
                <w:sz w:val="18"/>
              </w:rPr>
              <w:t>61.08%</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6"/>
                <w:sz w:val="18"/>
              </w:rPr>
              <w:t>2,884.48</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6"/>
                <w:sz w:val="18"/>
              </w:rPr>
              <w:t>1,837.98</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6"/>
                <w:sz w:val="18"/>
              </w:rPr>
              <w:t>4,722.46</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6"/>
                <w:sz w:val="18"/>
              </w:rPr>
              <w:t>1,355.99</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6"/>
                <w:sz w:val="18"/>
              </w:rPr>
              <w:t>6,078.45</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6"/>
                <w:sz w:val="18"/>
              </w:rPr>
              <w:t>7,600.00</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1"/>
              <w:ind w:right="18"/>
              <w:jc w:val="right"/>
              <w:rPr>
                <w:rFonts w:ascii="Times New Roman" w:hAnsi="Times New Roman" w:cs="Times New Roman" w:eastAsia="Times New Roman" w:hint="default"/>
                <w:sz w:val="18"/>
                <w:szCs w:val="18"/>
              </w:rPr>
            </w:pPr>
            <w:r>
              <w:rPr>
                <w:rFonts w:ascii="Times New Roman"/>
                <w:spacing w:val="-6"/>
                <w:sz w:val="18"/>
              </w:rPr>
              <w:t>1,521.55</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31" w:hRule="exact"/>
        </w:trPr>
        <w:tc>
          <w:tcPr>
            <w:tcW w:w="969" w:type="dxa"/>
            <w:tcBorders>
              <w:top w:val="single" w:sz="5" w:space="0" w:color="000000"/>
              <w:left w:val="single" w:sz="5" w:space="0" w:color="000000"/>
              <w:bottom w:val="nil" w:sz="6" w:space="0" w:color="auto"/>
              <w:right w:val="single" w:sz="5"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四川万达健</w:t>
            </w: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vMerge w:val="restart"/>
            <w:tcBorders>
              <w:top w:val="single" w:sz="5" w:space="0" w:color="000000"/>
              <w:left w:val="single" w:sz="5" w:space="0" w:color="000000"/>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r>
      <w:tr>
        <w:trPr>
          <w:trHeight w:val="219" w:hRule="exact"/>
        </w:trPr>
        <w:tc>
          <w:tcPr>
            <w:tcW w:w="969" w:type="dxa"/>
            <w:tcBorders>
              <w:top w:val="nil" w:sz="6" w:space="0" w:color="auto"/>
              <w:left w:val="single" w:sz="5" w:space="0" w:color="000000"/>
              <w:bottom w:val="nil" w:sz="6" w:space="0" w:color="auto"/>
              <w:right w:val="single" w:sz="5"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康数据有限</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5"/>
                <w:sz w:val="18"/>
              </w:rPr>
              <w:t>100.00%</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5"/>
                <w:sz w:val="18"/>
              </w:rPr>
              <w:t>185.67</w:t>
            </w:r>
          </w:p>
        </w:tc>
        <w:tc>
          <w:tcPr>
            <w:tcW w:w="969" w:type="dxa"/>
            <w:vMerge/>
            <w:tcBorders>
              <w:left w:val="single" w:sz="5" w:space="0" w:color="000000"/>
              <w:right w:val="single" w:sz="5" w:space="0" w:color="000000"/>
            </w:tcBorders>
          </w:tcPr>
          <w:p>
            <w:pP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5"/>
                <w:sz w:val="18"/>
              </w:rPr>
              <w:t>185.67</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4"/>
                <w:sz w:val="18"/>
              </w:rPr>
              <w:t>13.13</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4"/>
                <w:sz w:val="18"/>
              </w:rPr>
              <w:t>198.8</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4"/>
                <w:sz w:val="18"/>
              </w:rPr>
              <w:t>13.13</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4"/>
                <w:sz w:val="18"/>
              </w:rPr>
              <w:t>-185.67</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05" w:hRule="exact"/>
        </w:trPr>
        <w:tc>
          <w:tcPr>
            <w:tcW w:w="969" w:type="dxa"/>
            <w:tcBorders>
              <w:top w:val="nil" w:sz="6" w:space="0" w:color="auto"/>
              <w:left w:val="single" w:sz="5" w:space="0" w:color="000000"/>
              <w:bottom w:val="single" w:sz="5" w:space="0" w:color="000000"/>
              <w:right w:val="single" w:sz="5"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vMerge/>
            <w:tcBorders>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r>
      <w:tr>
        <w:trPr>
          <w:trHeight w:val="231" w:hRule="exact"/>
        </w:trPr>
        <w:tc>
          <w:tcPr>
            <w:tcW w:w="969" w:type="dxa"/>
            <w:tcBorders>
              <w:top w:val="single" w:sz="5" w:space="0" w:color="000000"/>
              <w:left w:val="single" w:sz="5" w:space="0" w:color="000000"/>
              <w:bottom w:val="nil" w:sz="6" w:space="0" w:color="auto"/>
              <w:right w:val="single" w:sz="5"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宁波市万达</w:t>
            </w: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vMerge w:val="restart"/>
            <w:tcBorders>
              <w:top w:val="single" w:sz="5" w:space="0" w:color="000000"/>
              <w:left w:val="single" w:sz="5" w:space="0" w:color="000000"/>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r>
      <w:tr>
        <w:trPr>
          <w:trHeight w:val="219" w:hRule="exact"/>
        </w:trPr>
        <w:tc>
          <w:tcPr>
            <w:tcW w:w="969" w:type="dxa"/>
            <w:tcBorders>
              <w:top w:val="nil" w:sz="6" w:space="0" w:color="auto"/>
              <w:left w:val="single" w:sz="5" w:space="0" w:color="000000"/>
              <w:bottom w:val="nil" w:sz="6" w:space="0" w:color="auto"/>
              <w:right w:val="single" w:sz="5"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数据应用服</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5"/>
                <w:sz w:val="18"/>
              </w:rPr>
              <w:t>100.00%</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4"/>
                <w:sz w:val="18"/>
              </w:rPr>
              <w:t>161.3</w:t>
            </w:r>
          </w:p>
        </w:tc>
        <w:tc>
          <w:tcPr>
            <w:tcW w:w="969" w:type="dxa"/>
            <w:vMerge/>
            <w:tcBorders>
              <w:left w:val="single" w:sz="5" w:space="0" w:color="000000"/>
              <w:right w:val="single" w:sz="5" w:space="0" w:color="000000"/>
            </w:tcBorders>
          </w:tcPr>
          <w:p>
            <w:pP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4"/>
                <w:sz w:val="18"/>
              </w:rPr>
              <w:t>161.3</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6"/>
                <w:sz w:val="18"/>
              </w:rPr>
              <w:t>1,033.35</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6"/>
                <w:sz w:val="18"/>
              </w:rPr>
              <w:t>1,194.65</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6"/>
                <w:sz w:val="18"/>
              </w:rPr>
              <w:t>1,400.00</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2" w:lineRule="exact"/>
              <w:ind w:right="16"/>
              <w:jc w:val="right"/>
              <w:rPr>
                <w:rFonts w:ascii="Times New Roman" w:hAnsi="Times New Roman" w:cs="Times New Roman" w:eastAsia="Times New Roman" w:hint="default"/>
                <w:sz w:val="18"/>
                <w:szCs w:val="18"/>
              </w:rPr>
            </w:pPr>
            <w:r>
              <w:rPr>
                <w:rFonts w:ascii="Times New Roman"/>
                <w:spacing w:val="-5"/>
                <w:sz w:val="18"/>
              </w:rPr>
              <w:t>205.35</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05" w:hRule="exact"/>
        </w:trPr>
        <w:tc>
          <w:tcPr>
            <w:tcW w:w="969" w:type="dxa"/>
            <w:tcBorders>
              <w:top w:val="nil" w:sz="6" w:space="0" w:color="auto"/>
              <w:left w:val="single" w:sz="5" w:space="0" w:color="000000"/>
              <w:bottom w:val="single" w:sz="5" w:space="0" w:color="000000"/>
              <w:right w:val="single" w:sz="5"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vMerge/>
            <w:tcBorders>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r>
      <w:tr>
        <w:trPr>
          <w:trHeight w:val="231" w:hRule="exact"/>
        </w:trPr>
        <w:tc>
          <w:tcPr>
            <w:tcW w:w="969" w:type="dxa"/>
            <w:tcBorders>
              <w:top w:val="single" w:sz="5" w:space="0" w:color="000000"/>
              <w:left w:val="single" w:sz="5" w:space="0" w:color="000000"/>
              <w:bottom w:val="nil" w:sz="6" w:space="0" w:color="auto"/>
              <w:right w:val="single" w:sz="5"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万达志翔医</w:t>
            </w: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70"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c>
          <w:tcPr>
            <w:tcW w:w="969" w:type="dxa"/>
            <w:tcBorders>
              <w:top w:val="single" w:sz="5" w:space="0" w:color="000000"/>
              <w:left w:val="single" w:sz="5" w:space="0" w:color="000000"/>
              <w:bottom w:val="nil" w:sz="6" w:space="0" w:color="auto"/>
              <w:right w:val="single" w:sz="5" w:space="0" w:color="000000"/>
            </w:tcBorders>
          </w:tcPr>
          <w:p>
            <w:pPr/>
          </w:p>
        </w:tc>
      </w:tr>
      <w:tr>
        <w:trPr>
          <w:trHeight w:val="437" w:hRule="exact"/>
        </w:trPr>
        <w:tc>
          <w:tcPr>
            <w:tcW w:w="969" w:type="dxa"/>
            <w:tcBorders>
              <w:top w:val="nil" w:sz="6" w:space="0" w:color="auto"/>
              <w:left w:val="single" w:sz="5" w:space="0" w:color="000000"/>
              <w:bottom w:val="nil" w:sz="6" w:space="0" w:color="auto"/>
              <w:right w:val="single" w:sz="5" w:space="0" w:color="000000"/>
            </w:tcBorders>
          </w:tcPr>
          <w:p>
            <w:pPr>
              <w:pStyle w:val="TableParagraph"/>
              <w:spacing w:line="218" w:lineRule="exact"/>
              <w:ind w:left="24" w:right="23"/>
              <w:jc w:val="left"/>
              <w:rPr>
                <w:rFonts w:ascii="宋体" w:hAnsi="宋体" w:cs="宋体" w:eastAsia="宋体" w:hint="default"/>
                <w:sz w:val="18"/>
                <w:szCs w:val="18"/>
              </w:rPr>
            </w:pPr>
            <w:r>
              <w:rPr>
                <w:rFonts w:ascii="宋体" w:hAnsi="宋体" w:cs="宋体" w:eastAsia="宋体" w:hint="default"/>
                <w:sz w:val="18"/>
                <w:szCs w:val="18"/>
              </w:rPr>
              <w:t>疗科技（北</w:t>
            </w:r>
            <w:r>
              <w:rPr>
                <w:rFonts w:ascii="宋体" w:hAnsi="宋体" w:cs="宋体" w:eastAsia="宋体" w:hint="default"/>
                <w:spacing w:val="-85"/>
                <w:sz w:val="18"/>
                <w:szCs w:val="18"/>
              </w:rPr>
              <w:t> </w:t>
            </w:r>
            <w:r>
              <w:rPr>
                <w:rFonts w:ascii="宋体" w:hAnsi="宋体" w:cs="宋体" w:eastAsia="宋体" w:hint="default"/>
                <w:sz w:val="18"/>
                <w:szCs w:val="18"/>
              </w:rPr>
              <w:t>京）有限责</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40" w:lineRule="auto" w:before="103"/>
              <w:ind w:right="29"/>
              <w:jc w:val="right"/>
              <w:rPr>
                <w:rFonts w:ascii="Times New Roman" w:hAnsi="Times New Roman" w:cs="Times New Roman" w:eastAsia="Times New Roman" w:hint="default"/>
                <w:sz w:val="18"/>
                <w:szCs w:val="18"/>
              </w:rPr>
            </w:pPr>
            <w:r>
              <w:rPr>
                <w:rFonts w:ascii="Times New Roman"/>
                <w:spacing w:val="-5"/>
                <w:sz w:val="18"/>
              </w:rPr>
              <w:t>70.00%</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6"/>
                <w:sz w:val="18"/>
              </w:rPr>
              <w:t>1,029.77</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5"/>
                <w:sz w:val="18"/>
              </w:rPr>
              <w:t>441.32</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6"/>
                <w:sz w:val="18"/>
              </w:rPr>
              <w:t>1,471.09</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4"/>
                <w:sz w:val="18"/>
              </w:rPr>
              <w:t>65.78</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6"/>
                <w:sz w:val="18"/>
              </w:rPr>
              <w:t>1,536.88</w:t>
            </w:r>
          </w:p>
        </w:tc>
        <w:tc>
          <w:tcPr>
            <w:tcW w:w="970" w:type="dxa"/>
            <w:tcBorders>
              <w:top w:val="nil" w:sz="6" w:space="0" w:color="auto"/>
              <w:left w:val="single" w:sz="5" w:space="0" w:color="000000"/>
              <w:bottom w:val="nil" w:sz="6" w:space="0" w:color="auto"/>
              <w:right w:val="single" w:sz="5" w:space="0" w:color="000000"/>
            </w:tcBorders>
          </w:tcPr>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4"/>
                <w:sz w:val="18"/>
              </w:rPr>
              <w:t>68.73</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5"/>
                <w:sz w:val="18"/>
              </w:rPr>
              <w:t>-1,468.15</w:t>
            </w:r>
          </w:p>
        </w:tc>
        <w:tc>
          <w:tcPr>
            <w:tcW w:w="969" w:type="dxa"/>
            <w:tcBorders>
              <w:top w:val="nil" w:sz="6" w:space="0" w:color="auto"/>
              <w:left w:val="single" w:sz="5" w:space="0" w:color="000000"/>
              <w:bottom w:val="nil" w:sz="6" w:space="0" w:color="auto"/>
              <w:right w:val="single" w:sz="5"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05" w:hRule="exact"/>
        </w:trPr>
        <w:tc>
          <w:tcPr>
            <w:tcW w:w="969" w:type="dxa"/>
            <w:tcBorders>
              <w:top w:val="nil" w:sz="6" w:space="0" w:color="auto"/>
              <w:left w:val="single" w:sz="5" w:space="0" w:color="000000"/>
              <w:bottom w:val="single" w:sz="5" w:space="0" w:color="000000"/>
              <w:right w:val="single" w:sz="5"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70"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c>
          <w:tcPr>
            <w:tcW w:w="969" w:type="dxa"/>
            <w:tcBorders>
              <w:top w:val="nil" w:sz="6" w:space="0" w:color="auto"/>
              <w:left w:val="single" w:sz="5" w:space="0" w:color="000000"/>
              <w:bottom w:val="single" w:sz="5" w:space="0" w:color="000000"/>
              <w:right w:val="single" w:sz="5" w:space="0" w:color="000000"/>
            </w:tcBorders>
          </w:tcPr>
          <w:p>
            <w:pPr/>
          </w:p>
        </w:tc>
      </w:tr>
      <w:tr>
        <w:trPr>
          <w:trHeight w:val="291" w:hRule="exact"/>
        </w:trPr>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left="29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5" w:space="0" w:color="000000"/>
              <w:left w:val="single" w:sz="5" w:space="0" w:color="000000"/>
              <w:bottom w:val="single" w:sz="5" w:space="0" w:color="000000"/>
              <w:right w:val="single" w:sz="5" w:space="0" w:color="000000"/>
            </w:tcBorders>
          </w:tcPr>
          <w:p>
            <w:pP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6"/>
                <w:sz w:val="18"/>
              </w:rPr>
              <w:t>103,880.49</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6"/>
                <w:sz w:val="18"/>
              </w:rPr>
              <w:t>1,874.86</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6"/>
                <w:sz w:val="18"/>
              </w:rPr>
              <w:t>105,755.35</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6"/>
                <w:sz w:val="18"/>
              </w:rPr>
              <w:t>22,838.55</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6"/>
                <w:sz w:val="18"/>
              </w:rPr>
              <w:t>128,593.92</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6"/>
                <w:sz w:val="18"/>
              </w:rPr>
              <w:t>162,636.36</w:t>
            </w:r>
          </w:p>
        </w:tc>
        <w:tc>
          <w:tcPr>
            <w:tcW w:w="9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6"/>
                <w:sz w:val="18"/>
              </w:rPr>
              <w:t>34,042.44</w:t>
            </w:r>
          </w:p>
        </w:tc>
        <w:tc>
          <w:tcPr>
            <w:tcW w:w="969" w:type="dxa"/>
            <w:tcBorders>
              <w:top w:val="single" w:sz="5" w:space="0" w:color="000000"/>
              <w:left w:val="single" w:sz="5" w:space="0" w:color="000000"/>
              <w:bottom w:val="single" w:sz="5" w:space="0" w:color="000000"/>
              <w:right w:val="single" w:sz="5" w:space="0" w:color="000000"/>
            </w:tcBorders>
          </w:tcPr>
          <w:p>
            <w:pPr/>
          </w:p>
        </w:tc>
      </w:tr>
    </w:tbl>
    <w:p>
      <w:pPr>
        <w:spacing w:line="240" w:lineRule="auto" w:before="6"/>
        <w:rPr>
          <w:rFonts w:ascii="宋体" w:hAnsi="宋体" w:cs="宋体" w:eastAsia="宋体" w:hint="default"/>
          <w:sz w:val="6"/>
          <w:szCs w:val="6"/>
        </w:rPr>
      </w:pPr>
    </w:p>
    <w:p>
      <w:pPr>
        <w:pStyle w:val="BodyText"/>
        <w:spacing w:line="300" w:lineRule="auto" w:before="44"/>
        <w:ind w:right="0"/>
        <w:jc w:val="left"/>
      </w:pPr>
      <w:r>
        <w:rPr>
          <w:spacing w:val="-2"/>
        </w:rPr>
        <w:t>注：</w:t>
      </w:r>
      <w:r>
        <w:rPr>
          <w:rFonts w:ascii="Times New Roman" w:hAnsi="Times New Roman" w:cs="Times New Roman" w:eastAsia="Times New Roman" w:hint="default"/>
          <w:spacing w:val="-2"/>
        </w:rPr>
        <w:t>2018</w:t>
      </w:r>
      <w:r>
        <w:rPr>
          <w:spacing w:val="-2"/>
        </w:rPr>
        <w:t>年度公司对四川浩特通信有限公司业务结构进行大幅调整，考虑到公司对四川浩特通信有限公司相关业务的后续安</w:t>
      </w:r>
      <w:r>
        <w:rPr>
          <w:spacing w:val="-60"/>
        </w:rPr>
        <w:t> </w:t>
      </w:r>
      <w:r>
        <w:rPr>
          <w:spacing w:val="-60"/>
        </w:rPr>
      </w:r>
      <w:r>
        <w:rPr/>
        <w:t>排存在重大不确定性，因此公司遵从谨慎性原则对归属于四川浩特通信有限公司的商誉价值做减值处理。</w:t>
      </w:r>
    </w:p>
    <w:p>
      <w:pPr>
        <w:pStyle w:val="BodyText"/>
        <w:spacing w:line="357" w:lineRule="auto" w:before="72"/>
        <w:ind w:right="9132"/>
        <w:jc w:val="left"/>
      </w:pPr>
      <w:r>
        <w:rPr/>
        <w:t>商誉减值测试的影响 无</w:t>
      </w:r>
    </w:p>
    <w:p>
      <w:pPr>
        <w:pStyle w:val="BodyText"/>
        <w:spacing w:line="357" w:lineRule="auto" w:before="29"/>
        <w:ind w:right="1003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3、长期待摊费用" w:id="300"/>
      <w:bookmarkEnd w:id="30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分子公司装修款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12,319,432.25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1,489,631.09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5,924,711.71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732,071.48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7,152,280.15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工程维护费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165,403.98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1,475,414.17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432,362.34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1,208,455.81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12,484,836.23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2,965,045.26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6,357,074.05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732,071.48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8,360,735.96</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4、递延所得税资产/递延所得税负债" w:id="301"/>
      <w:bookmarkEnd w:id="301"/>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02"/>
      <w:bookmarkEnd w:id="30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224,725.05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26,947.05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224,725.05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26,947.05</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303"/>
      <w:bookmarkEnd w:id="30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304"/>
      <w:bookmarkEnd w:id="30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0" w:right="0"/>
              <w:jc w:val="left"/>
              <w:rPr>
                <w:rFonts w:ascii="Times New Roman" w:hAnsi="Times New Roman" w:cs="Times New Roman" w:eastAsia="Times New Roman" w:hint="default"/>
                <w:sz w:val="18"/>
                <w:szCs w:val="18"/>
              </w:rPr>
            </w:pPr>
            <w:r>
              <w:rPr>
                <w:rFonts w:ascii="Times New Roman"/>
                <w:sz w:val="18"/>
              </w:rPr>
              <w:t>26,947.05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305"/>
      <w:bookmarkEnd w:id="30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未确认递延所得税资产的可抵扣亏损将于以下年度到期" w:id="306"/>
      <w:bookmarkEnd w:id="30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5、其他非流动资产" w:id="307"/>
      <w:bookmarkEnd w:id="307"/>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澳门万讯行综合设备有限公司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24,657,000.00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24,657,000.00</w:t>
            </w:r>
          </w:p>
        </w:tc>
      </w:tr>
    </w:tbl>
    <w:p>
      <w:pPr>
        <w:pStyle w:val="BodyText"/>
        <w:spacing w:line="240" w:lineRule="auto" w:before="51"/>
        <w:ind w:right="0"/>
        <w:jc w:val="left"/>
      </w:pPr>
      <w:r>
        <w:rPr/>
        <w:t>其他说明：</w:t>
      </w:r>
    </w:p>
    <w:p>
      <w:pPr>
        <w:pStyle w:val="BodyText"/>
        <w:spacing w:line="300" w:lineRule="auto" w:before="116"/>
        <w:ind w:right="1119"/>
        <w:jc w:val="left"/>
      </w:pPr>
      <w:r>
        <w:rPr/>
        <w:t>注：</w:t>
      </w:r>
      <w:r>
        <w:rPr>
          <w:spacing w:val="-3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日公司与嘉实投资、宁波联创以及嘉达信息签订重大资产重组终止协议，根据协议本公司以现金方式收购</w:t>
      </w:r>
      <w:r>
        <w:rPr/>
        <w:t> 嘉达信息持有的万达志翔医疗科技（北京）有限责任公司</w:t>
      </w:r>
      <w:r>
        <w:rPr>
          <w:rFonts w:ascii="Times New Roman" w:hAnsi="Times New Roman" w:cs="Times New Roman" w:eastAsia="Times New Roman" w:hint="default"/>
        </w:rPr>
        <w:t>70%</w:t>
      </w:r>
      <w:r>
        <w:rPr/>
        <w:t>股权和澳门万讯行综合设备有限公司</w:t>
      </w:r>
      <w:r>
        <w:rPr>
          <w:rFonts w:ascii="Times New Roman" w:hAnsi="Times New Roman" w:cs="Times New Roman" w:eastAsia="Times New Roman" w:hint="default"/>
        </w:rPr>
        <w:t>30%</w:t>
      </w:r>
      <w:r>
        <w:rPr/>
        <w:t>股权。</w:t>
      </w:r>
    </w:p>
    <w:p>
      <w:pPr>
        <w:pStyle w:val="BodyText"/>
        <w:spacing w:line="240" w:lineRule="auto" w:before="13"/>
        <w:ind w:left="514" w:right="0"/>
        <w:jc w:val="left"/>
      </w:pPr>
      <w:r>
        <w:rPr/>
        <w:t>截止报告日万达志翔医疗科技（北京）有限责任公司和澳门万讯行综合设备有限公司股权变更手续尚在办理中。</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6、短期借款" w:id="308"/>
      <w:bookmarkEnd w:id="308"/>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309"/>
      <w:bookmarkEnd w:id="30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2,458,384,838.20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2,841,050,000.00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2,635,084,838.20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3,112,050,000.00</w:t>
            </w:r>
          </w:p>
        </w:tc>
      </w:tr>
    </w:tbl>
    <w:p>
      <w:pPr>
        <w:pStyle w:val="BodyText"/>
        <w:spacing w:line="357" w:lineRule="auto" w:before="51"/>
        <w:ind w:right="8952"/>
        <w:jc w:val="left"/>
      </w:pPr>
      <w:r>
        <w:rPr/>
        <w:t>短期借款分类的说明：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已逾期未偿还的短期借款情况" w:id="310"/>
      <w:bookmarkEnd w:id="31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1"/>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7、以公允价值计量且其变动计入当期损益的金融负债" w:id="311"/>
      <w:bookmarkEnd w:id="311"/>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8、衍生金融负债" w:id="312"/>
      <w:bookmarkEnd w:id="312"/>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9、应付票据及应付账款" w:id="313"/>
      <w:bookmarkEnd w:id="313"/>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383,024,655.62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442,956,304.81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383,024,655.62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442,956,304.81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314"/>
      <w:bookmarkEnd w:id="314"/>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付账款列示" w:id="315"/>
      <w:bookmarkEnd w:id="315"/>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383,024,655.62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442,956,304.81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383,024,655.62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442,956,304.81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316"/>
      <w:bookmarkEnd w:id="316"/>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2"/>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0、预收款项" w:id="317"/>
      <w:bookmarkEnd w:id="317"/>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18"/>
      <w:bookmarkEnd w:id="31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预收销货款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10,308,570.19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19,154,234.09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10,308,570.19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19,154,234.09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19"/>
      <w:bookmarkEnd w:id="31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期末建造合同形成的已结算未完工项目情况" w:id="320"/>
      <w:bookmarkEnd w:id="32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1、应付职工薪酬" w:id="321"/>
      <w:bookmarkEnd w:id="321"/>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22"/>
      <w:bookmarkEnd w:id="32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15,669,178.98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903,492,088.09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918,351,980.81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809,286.26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128,207,573.43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128,141,767.66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70,811.77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757,030.00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757,030.00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15,674,184.98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1,032,456,691.52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1,046,493,748.47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1,637,128.03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23"/>
      <w:bookmarkEnd w:id="32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15,470,127.95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774,461,543.33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789,169,719.10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761,952.18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2,949,122.66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2,998,426.66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65,749,409.67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65,718,402.89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34,574.94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53,886,228.94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53,859,156.48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30,287.11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1,157,832.41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1,155,905.37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10,705,348.32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10,703,341.04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2,272.84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141,278.87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59,281,529.69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59,414,949.42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7,859.14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1,050,482.74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1,050,482.74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15,669,178.98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903,492,088.09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918,351,980.81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809,286.26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24"/>
      <w:bookmarkEnd w:id="32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124,426,777.91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124,363,622.73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67,565.11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3,780,795.52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3,778,144.93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3,246.66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128,207,573.43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128,141,767.66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70,811.77</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2、应交税费" w:id="325"/>
      <w:bookmarkEnd w:id="325"/>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38,024,900.74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53,369,155.55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25,496,547.64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32,731,901.86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56,521,796.50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62,205,041.36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2,427,829.96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2,162,295.41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28,249.60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1,289,352.19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1,339,757.85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1,060.54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205,449.42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235,102.67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123,978,336.94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152,072,564.84</w:t>
            </w:r>
          </w:p>
        </w:tc>
      </w:tr>
    </w:tbl>
    <w:p>
      <w:pPr>
        <w:pStyle w:val="BodyText"/>
        <w:spacing w:line="357" w:lineRule="auto" w:before="51"/>
        <w:ind w:right="4857"/>
        <w:jc w:val="left"/>
      </w:pPr>
      <w:r>
        <w:rPr/>
        <w:t>其他说明： 注：期末余额中</w:t>
      </w:r>
      <w:r>
        <w:rPr>
          <w:rFonts w:ascii="Times New Roman" w:hAnsi="Times New Roman" w:cs="Times New Roman" w:eastAsia="Times New Roman" w:hint="default"/>
        </w:rPr>
        <w:t>54,709,259.10</w:t>
      </w:r>
      <w:r>
        <w:rPr/>
        <w:t>元为尚未缴纳的代缴员工股权激励行权税金。</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33、其他应付款" w:id="326"/>
      <w:bookmarkEnd w:id="326"/>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8,873,837.75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8,832,139.77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51,028,433.86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50,580,243.55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59,902,271.61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59,412,383.32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327"/>
      <w:bookmarkEnd w:id="32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2,595,771.54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2,146,639.69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3,926,240.88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4,333,674.74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2,351,825.33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2,351,825.34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8,873,837.75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8,832,139.77</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应付股利" w:id="328"/>
      <w:bookmarkEnd w:id="328"/>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2"/>
        <w:ind w:right="4994"/>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3）其他应付款" w:id="329"/>
      <w:bookmarkEnd w:id="329"/>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科技三项经费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12,159,530.02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12,589,342.34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押金性质款项及其他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38,868,903.84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32,190,901.21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湖南凯歌股权收购款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51,028,433.86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50,580,243.55</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4、持有待售负债" w:id="330"/>
      <w:bookmarkEnd w:id="330"/>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5、一年内到期的非流动负债" w:id="331"/>
      <w:bookmarkEnd w:id="331"/>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172,394,525.99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99,548,637.81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172,394,525.99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99,548,637.81</w:t>
            </w:r>
          </w:p>
        </w:tc>
      </w:tr>
    </w:tbl>
    <w:p>
      <w:pPr>
        <w:pStyle w:val="BodyText"/>
        <w:spacing w:line="357" w:lineRule="auto" w:before="51"/>
        <w:ind w:right="9852"/>
        <w:jc w:val="left"/>
      </w:pPr>
      <w:r>
        <w:rPr/>
        <w:pict>
          <v:shape style="position:absolute;margin-left:55.860001pt;margin-top:35.201706pt;width:476.55pt;height:87.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2"/>
                    <w:gridCol w:w="3188"/>
                    <w:gridCol w:w="3119"/>
                  </w:tblGrid>
                  <w:tr>
                    <w:trPr>
                      <w:trHeight w:val="347"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11"/>
                          <w:jc w:val="right"/>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29,353,240.68</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9,529,416.92</w:t>
                        </w:r>
                      </w:p>
                    </w:tc>
                  </w:tr>
                  <w:tr>
                    <w:trPr>
                      <w:trHeight w:val="348"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78,091,252.75</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72,830,070.42</w:t>
                        </w:r>
                      </w:p>
                    </w:tc>
                  </w:tr>
                  <w:tr>
                    <w:trPr>
                      <w:trHeight w:val="347"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64,950,032.56</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17,189,150.47</w:t>
                        </w:r>
                      </w:p>
                    </w:tc>
                  </w:tr>
                  <w:tr>
                    <w:trPr>
                      <w:trHeight w:val="347"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11"/>
                          <w:jc w:val="righ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172,394,525.99</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99,548,637.81</w:t>
                        </w:r>
                      </w:p>
                    </w:tc>
                  </w:tr>
                </w:tbl>
                <w:p>
                  <w:pPr/>
                </w:p>
              </w:txbxContent>
            </v:textbox>
            <w10:wrap type="none"/>
          </v:shape>
        </w:pict>
      </w:r>
      <w:r>
        <w:rPr/>
        <w:t>其他说明： 类别明细：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2"/>
        <w:ind w:right="0"/>
        <w:jc w:val="left"/>
        <w:rPr>
          <w:b w:val="0"/>
          <w:bCs w:val="0"/>
        </w:rPr>
      </w:pPr>
      <w:bookmarkStart w:name="36、其他流动负债" w:id="332"/>
      <w:bookmarkEnd w:id="332"/>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7、长期借款" w:id="333"/>
      <w:bookmarkEnd w:id="333"/>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34"/>
      <w:bookmarkEnd w:id="33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40,003,649.98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117,261,476.84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127,737,468.62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157,262,677.20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454,609,515.72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219,559,548.30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622,350,634.32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494,083,702.34</w:t>
            </w:r>
          </w:p>
        </w:tc>
      </w:tr>
    </w:tbl>
    <w:p>
      <w:pPr>
        <w:pStyle w:val="BodyText"/>
        <w:spacing w:line="357" w:lineRule="auto" w:before="51"/>
        <w:ind w:right="8952"/>
        <w:jc w:val="left"/>
      </w:pPr>
      <w:r>
        <w:rPr/>
        <w:t>长期借款分类的说明： 无</w:t>
      </w:r>
    </w:p>
    <w:p>
      <w:pPr>
        <w:pStyle w:val="BodyText"/>
        <w:spacing w:line="357" w:lineRule="auto" w:before="29"/>
        <w:ind w:right="8592"/>
        <w:jc w:val="left"/>
      </w:pPr>
      <w:r>
        <w:rPr/>
        <w:t>其他说明，包括利率区间：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8、应付债券" w:id="335"/>
      <w:bookmarkEnd w:id="335"/>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36"/>
      <w:bookmarkEnd w:id="33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667,046,181.61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667,046,181.61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37"/>
      <w:bookmarkEnd w:id="33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center"/>
              <w:rPr>
                <w:rFonts w:ascii="宋体" w:hAnsi="宋体" w:cs="宋体" w:eastAsia="宋体" w:hint="default"/>
                <w:sz w:val="18"/>
                <w:szCs w:val="18"/>
              </w:rPr>
            </w:pPr>
            <w:r>
              <w:rPr>
                <w:rFonts w:ascii="宋体" w:hAnsi="宋体" w:cs="宋体" w:eastAsia="宋体" w:hint="default"/>
                <w:sz w:val="18"/>
                <w:szCs w:val="18"/>
              </w:rPr>
              <w:t>万信转债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自发行之 日起六年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667,046,1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81.61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-667,046,</w:t>
            </w:r>
          </w:p>
          <w:p>
            <w:pPr>
              <w:pStyle w:val="TableParagraph"/>
              <w:spacing w:line="240" w:lineRule="auto" w:before="106"/>
              <w:ind w:left="246" w:right="0"/>
              <w:jc w:val="center"/>
              <w:rPr>
                <w:rFonts w:ascii="Times New Roman" w:hAnsi="Times New Roman" w:cs="Times New Roman" w:eastAsia="Times New Roman" w:hint="default"/>
                <w:sz w:val="18"/>
                <w:szCs w:val="18"/>
              </w:rPr>
            </w:pPr>
            <w:r>
              <w:rPr>
                <w:rFonts w:ascii="Times New Roman"/>
                <w:sz w:val="18"/>
              </w:rPr>
              <w:t>181.61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667,046,1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81.61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-667,046,</w:t>
            </w:r>
          </w:p>
          <w:p>
            <w:pPr>
              <w:pStyle w:val="TableParagraph"/>
              <w:spacing w:line="240" w:lineRule="auto" w:before="106"/>
              <w:ind w:left="246" w:right="0"/>
              <w:jc w:val="center"/>
              <w:rPr>
                <w:rFonts w:ascii="Times New Roman" w:hAnsi="Times New Roman" w:cs="Times New Roman" w:eastAsia="Times New Roman" w:hint="default"/>
                <w:sz w:val="18"/>
                <w:szCs w:val="18"/>
              </w:rPr>
            </w:pPr>
            <w:r>
              <w:rPr>
                <w:rFonts w:ascii="Times New Roman"/>
                <w:sz w:val="18"/>
              </w:rPr>
              <w:t>181.61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可转换公司债券的转股条件、转股时间说明" w:id="338"/>
      <w:bookmarkEnd w:id="33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划分为金融负债的其他金融工具说明" w:id="339"/>
      <w:bookmarkEnd w:id="33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期末发行在外的优先股、永续债等其他金融工具基本情况 无</w:t>
      </w:r>
    </w:p>
    <w:p>
      <w:pPr>
        <w:pStyle w:val="BodyText"/>
        <w:spacing w:line="240" w:lineRule="auto" w:before="29"/>
        <w:ind w:right="-20"/>
        <w:jc w:val="left"/>
      </w:pPr>
      <w:r>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right="7512"/>
        <w:jc w:val="left"/>
      </w:pPr>
      <w:r>
        <w:rPr/>
        <w:t>其他金融工具划分为金融负债的依据说明 无</w:t>
      </w:r>
    </w:p>
    <w:p>
      <w:pPr>
        <w:pStyle w:val="BodyText"/>
        <w:spacing w:line="240" w:lineRule="auto" w:before="29"/>
        <w:ind w:right="0"/>
        <w:jc w:val="left"/>
      </w:pPr>
      <w:r>
        <w:rPr/>
        <w:t>其他说明</w:t>
      </w:r>
    </w:p>
    <w:p>
      <w:pPr>
        <w:pStyle w:val="BodyText"/>
        <w:spacing w:line="300" w:lineRule="auto" w:before="116"/>
        <w:ind w:right="1134"/>
        <w:jc w:val="left"/>
      </w:pPr>
      <w:r>
        <w:rPr/>
        <w:t>应付债券说明：经中国证券监督管理委员会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[2017]2200</w:t>
      </w:r>
      <w:r>
        <w:rPr/>
        <w:t>号</w:t>
      </w:r>
      <w:r>
        <w:rPr>
          <w:rFonts w:ascii="Times New Roman" w:hAnsi="Times New Roman" w:cs="Times New Roman" w:eastAsia="Times New Roman" w:hint="default"/>
        </w:rPr>
        <w:t>”</w:t>
      </w:r>
      <w:r>
        <w:rPr/>
        <w:t>文核准，万达信息于</w:t>
      </w:r>
      <w:r>
        <w:rPr>
          <w:spacing w:val="-2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日公开发行了</w:t>
      </w:r>
      <w:r>
        <w:rPr>
          <w:rFonts w:ascii="Times New Roman" w:hAnsi="Times New Roman" w:cs="Times New Roman" w:eastAsia="Times New Roman" w:hint="default"/>
        </w:rPr>
        <w:t>900</w:t>
      </w:r>
      <w:r>
        <w:rPr/>
        <w:t>万 张可转换公司债券，每张面值</w:t>
      </w:r>
      <w:r>
        <w:rPr>
          <w:rFonts w:ascii="Times New Roman" w:hAnsi="Times New Roman" w:cs="Times New Roman" w:eastAsia="Times New Roman" w:hint="default"/>
        </w:rPr>
        <w:t>100</w:t>
      </w:r>
      <w:r>
        <w:rPr/>
        <w:t>元，发行总额</w:t>
      </w:r>
      <w:r>
        <w:rPr>
          <w:rFonts w:ascii="Times New Roman" w:hAnsi="Times New Roman" w:cs="Times New Roman" w:eastAsia="Times New Roman" w:hint="default"/>
        </w:rPr>
        <w:t>90,000</w:t>
      </w:r>
      <w:r>
        <w:rPr/>
        <w:t>万元，发行费用（不含税）</w:t>
      </w:r>
      <w:r>
        <w:rPr>
          <w:rFonts w:ascii="Times New Roman" w:hAnsi="Times New Roman" w:cs="Times New Roman" w:eastAsia="Times New Roman" w:hint="default"/>
        </w:rPr>
        <w:t>15,132,075.49</w:t>
      </w:r>
      <w:r>
        <w:rPr/>
        <w:t>元，分摊后负债成分公允 </w:t>
      </w:r>
      <w:r>
        <w:rPr>
          <w:rFonts w:ascii="Times New Roman" w:hAnsi="Times New Roman" w:cs="Times New Roman" w:eastAsia="Times New Roman" w:hint="default"/>
        </w:rPr>
        <w:t>667,046,181.61</w:t>
      </w:r>
      <w:r>
        <w:rPr/>
        <w:t>元，权益成分公允</w:t>
      </w:r>
      <w:r>
        <w:rPr>
          <w:rFonts w:ascii="Times New Roman" w:hAnsi="Times New Roman" w:cs="Times New Roman" w:eastAsia="Times New Roman" w:hint="default"/>
        </w:rPr>
        <w:t>217,821,742.90</w:t>
      </w:r>
      <w:r>
        <w:rPr/>
        <w:t>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共计转股</w:t>
      </w:r>
      <w:r>
        <w:rPr>
          <w:rFonts w:ascii="Times New Roman" w:hAnsi="Times New Roman" w:cs="Times New Roman" w:eastAsia="Times New Roman" w:hint="default"/>
        </w:rPr>
        <w:t>68,367,046</w:t>
      </w:r>
      <w:r>
        <w:rPr/>
        <w:t>股，公司总股本增至</w:t>
      </w:r>
    </w:p>
    <w:p>
      <w:pPr>
        <w:pStyle w:val="BodyText"/>
        <w:spacing w:line="240" w:lineRule="auto" w:before="13"/>
        <w:ind w:right="0"/>
        <w:jc w:val="left"/>
      </w:pPr>
      <w:r>
        <w:rPr>
          <w:rFonts w:ascii="Times New Roman" w:hAnsi="Times New Roman" w:cs="Times New Roman" w:eastAsia="Times New Roman" w:hint="default"/>
        </w:rPr>
        <w:t>1,099,449,688</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日，公司发行的</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在深圳证券交易所摘牌。</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9、长期应付款" w:id="340"/>
      <w:bookmarkEnd w:id="340"/>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按款项性质列示长期应付款" w:id="341"/>
      <w:bookmarkEnd w:id="34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专项应付款" w:id="342"/>
      <w:bookmarkEnd w:id="34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0、长期应付职工薪酬" w:id="343"/>
      <w:bookmarkEnd w:id="343"/>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44"/>
      <w:bookmarkEnd w:id="34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345"/>
      <w:bookmarkEnd w:id="34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计划资产：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right="3552"/>
        <w:jc w:val="left"/>
      </w:pPr>
      <w:r>
        <w:rPr/>
        <w:t>设定受益计划的内容及与之相关风险、对公司未来现金流量、时间和不确定性的影响说明： 无</w:t>
      </w:r>
    </w:p>
    <w:p>
      <w:pPr>
        <w:pStyle w:val="BodyText"/>
        <w:spacing w:line="357" w:lineRule="auto" w:before="29"/>
        <w:ind w:right="6612"/>
        <w:jc w:val="left"/>
      </w:pPr>
      <w:r>
        <w:rPr/>
        <w:t>设定受益计划重大精算假设及敏感性分析结果说明：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1、预计负债" w:id="346"/>
      <w:bookmarkEnd w:id="346"/>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51"/>
        <w:ind w:right="6072"/>
        <w:jc w:val="left"/>
      </w:pPr>
      <w:r>
        <w:rPr/>
        <w:t>其他说明，包括重要预计负债的相关重要假设、估计说明：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42、递延收益" w:id="347"/>
      <w:bookmarkEnd w:id="347"/>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30,247,130.64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10,383,667.22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23,342,763.42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尚未结转</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30,247,130.64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10,383,667.22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23,342,763.42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6"/>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发改委云计 算软件和整 体解决方案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5,326,734.74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5,326,734.74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面向医疗健 康服务行业 的公共云计 算服务平台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18,990,395.9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1,009,604.11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17,980,791.7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经信委基于</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1,190,000.00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1,076,727.70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6" w:right="0"/>
              <w:jc w:val="left"/>
              <w:rPr>
                <w:rFonts w:ascii="Times New Roman" w:hAnsi="Times New Roman" w:cs="Times New Roman" w:eastAsia="Times New Roman" w:hint="default"/>
                <w:sz w:val="18"/>
                <w:szCs w:val="18"/>
              </w:rPr>
            </w:pPr>
            <w:r>
              <w:rPr>
                <w:rFonts w:ascii="Times New Roman"/>
                <w:sz w:val="18"/>
              </w:rPr>
              <w:t>113,272.30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医疗健康大 数据的上海 市重点疾病 预防与综合 评价的应用 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经信委面向 专病的智能 临床辅助决 策产品研发 与产业化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1,180,600.67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1,769,399.33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安全可控桌 面计算机在 电子政务领 域的应用迁 移技术研究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3,479,300.00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3,479,300.00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经信委物联 网社区远程 医疗监测系 统（注）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1,520,000.00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0"/>
        <w:jc w:val="left"/>
      </w:pPr>
      <w:r>
        <w:rPr/>
        <w:t>其他说明：</w:t>
      </w:r>
    </w:p>
    <w:p>
      <w:pPr>
        <w:pStyle w:val="Heading5"/>
        <w:spacing w:line="240" w:lineRule="auto" w:before="90"/>
        <w:ind w:right="0"/>
        <w:jc w:val="left"/>
      </w:pPr>
      <w:r>
        <w:rPr/>
        <w:t>注：其他变动情况为企业合并形成的减少</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3、其他非流动负债" w:id="348"/>
      <w:bookmarkEnd w:id="348"/>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133,276,632.40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98,504,451.96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133,276,632.40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98,504,451.96</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4、股本" w:id="349"/>
      <w:bookmarkEnd w:id="349"/>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1,031,082,642.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68,367,046.00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68,367,046.00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1,099,449,688.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300" w:lineRule="auto" w:before="115"/>
        <w:ind w:right="1131" w:firstLine="360"/>
        <w:jc w:val="both"/>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[2017]2200</w:t>
      </w:r>
      <w:r>
        <w:rPr/>
        <w:t>号</w:t>
      </w:r>
      <w:r>
        <w:rPr>
          <w:rFonts w:ascii="Times New Roman" w:hAnsi="Times New Roman" w:cs="Times New Roman" w:eastAsia="Times New Roman" w:hint="default"/>
        </w:rPr>
        <w:t>”</w:t>
      </w:r>
      <w:r>
        <w:rPr/>
        <w:t>文核准，万达信息于</w:t>
      </w:r>
      <w:r>
        <w:rPr>
          <w:spacing w:val="-1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日公开发行了</w:t>
      </w:r>
      <w:r>
        <w:rPr>
          <w:rFonts w:ascii="Times New Roman" w:hAnsi="Times New Roman" w:cs="Times New Roman" w:eastAsia="Times New Roman" w:hint="default"/>
        </w:rPr>
        <w:t>900</w:t>
      </w:r>
      <w:r>
        <w:rPr/>
        <w:t>万张可转换公 司债券，每张面值</w:t>
      </w:r>
      <w:r>
        <w:rPr>
          <w:rFonts w:ascii="Times New Roman" w:hAnsi="Times New Roman" w:cs="Times New Roman" w:eastAsia="Times New Roman" w:hint="default"/>
        </w:rPr>
        <w:t>100</w:t>
      </w:r>
      <w:r>
        <w:rPr/>
        <w:t>元，发行总额</w:t>
      </w:r>
      <w:r>
        <w:rPr>
          <w:rFonts w:ascii="Times New Roman" w:hAnsi="Times New Roman" w:cs="Times New Roman" w:eastAsia="Times New Roman" w:hint="default"/>
        </w:rPr>
        <w:t>90,000</w:t>
      </w:r>
      <w:r>
        <w:rPr/>
        <w:t>万元。根据相关规定和《万达信息股份有限公司公开发行可转换公司债券募集说 </w:t>
      </w:r>
      <w:r>
        <w:rPr>
          <w:spacing w:val="-2"/>
        </w:rPr>
        <w:t>明书》的约定，</w:t>
      </w:r>
      <w:r>
        <w:rPr>
          <w:rFonts w:ascii="Times New Roman" w:hAnsi="Times New Roman" w:cs="Times New Roman" w:eastAsia="Times New Roman" w:hint="default"/>
          <w:spacing w:val="-2"/>
        </w:rPr>
        <w:t>“</w:t>
      </w:r>
      <w:r>
        <w:rPr>
          <w:spacing w:val="-2"/>
        </w:rPr>
        <w:t>万信转债</w:t>
      </w:r>
      <w:r>
        <w:rPr>
          <w:rFonts w:ascii="Times New Roman" w:hAnsi="Times New Roman" w:cs="Times New Roman" w:eastAsia="Times New Roman" w:hint="default"/>
          <w:spacing w:val="-2"/>
        </w:rPr>
        <w:t>”</w:t>
      </w:r>
      <w:r>
        <w:rPr>
          <w:spacing w:val="-2"/>
        </w:rPr>
        <w:t>的转股期限为自发行结束之日起满六个月后的第一个交易日起至可转换公司债券到期日止，截止</w:t>
      </w:r>
      <w:r>
        <w:rPr>
          <w:spacing w:val="-44"/>
        </w:rPr>
        <w:t> </w:t>
      </w:r>
      <w:r>
        <w:rPr>
          <w:spacing w:val="-44"/>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共计转股</w:t>
      </w:r>
      <w:r>
        <w:rPr>
          <w:rFonts w:ascii="Times New Roman" w:hAnsi="Times New Roman" w:cs="Times New Roman" w:eastAsia="Times New Roman" w:hint="default"/>
        </w:rPr>
        <w:t>68,367,046</w:t>
      </w:r>
      <w:r>
        <w:rPr/>
        <w:t>股，公司总股本增至</w:t>
      </w:r>
      <w:r>
        <w:rPr>
          <w:rFonts w:ascii="Times New Roman" w:hAnsi="Times New Roman" w:cs="Times New Roman" w:eastAsia="Times New Roman" w:hint="default"/>
        </w:rPr>
        <w:t>1,099,449,688</w:t>
      </w:r>
      <w:r>
        <w:rPr/>
        <w:t>股。</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45、其他权益工具" w:id="350"/>
      <w:bookmarkEnd w:id="350"/>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51"/>
      <w:bookmarkEnd w:id="35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52"/>
      <w:bookmarkEnd w:id="35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万信转债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权 益成份公允</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217,821,742.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217,821,742.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217,821,742.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217,821,742.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4632"/>
        <w:jc w:val="left"/>
      </w:pPr>
      <w:r>
        <w:rPr/>
        <w:t>其他权益工具本期增减变动情况、变动原因说明，以及相关会计处理的依据：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6、资本公积" w:id="353"/>
      <w:bookmarkEnd w:id="353"/>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本期减少（注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262,302,307.66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810,058,100.37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1,977,495.76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1,070,382,912.27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27,686,500.00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27,686,500.00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262,302,307.66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837,744,600.37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1,977,495.76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1,098,069,412.27</w:t>
            </w:r>
          </w:p>
        </w:tc>
      </w:tr>
    </w:tbl>
    <w:p>
      <w:pPr>
        <w:pStyle w:val="BodyText"/>
        <w:spacing w:line="240" w:lineRule="auto" w:before="51"/>
        <w:ind w:right="0"/>
        <w:jc w:val="left"/>
      </w:pPr>
      <w:r>
        <w:rPr/>
        <w:t>其他说明，包括本期增减变动情况、变动原因说明：</w:t>
      </w:r>
    </w:p>
    <w:p>
      <w:pPr>
        <w:pStyle w:val="BodyText"/>
        <w:spacing w:line="304" w:lineRule="auto" w:before="116"/>
        <w:ind w:right="1122"/>
        <w:jc w:val="left"/>
      </w:pPr>
      <w:r>
        <w:rPr/>
        <w:t>注</w:t>
      </w:r>
      <w:r>
        <w:rPr>
          <w:rFonts w:ascii="Times New Roman" w:hAnsi="Times New Roman" w:cs="Times New Roman" w:eastAsia="Times New Roman" w:hint="default"/>
        </w:rPr>
        <w:t>1</w:t>
      </w:r>
      <w:r>
        <w:rPr/>
        <w:t>：万信转债共计转股</w:t>
      </w:r>
      <w:r>
        <w:rPr>
          <w:rFonts w:ascii="Times New Roman" w:hAnsi="Times New Roman" w:cs="Times New Roman" w:eastAsia="Times New Roman" w:hint="default"/>
        </w:rPr>
        <w:t>68,367,046</w:t>
      </w:r>
      <w:r>
        <w:rPr/>
        <w:t>股，增加资本公积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810,058,100.37</w:t>
      </w:r>
      <w:r>
        <w:rPr/>
        <w:t>元。 注</w:t>
      </w:r>
      <w:r>
        <w:rPr>
          <w:rFonts w:ascii="Times New Roman" w:hAnsi="Times New Roman" w:cs="Times New Roman" w:eastAsia="Times New Roman" w:hint="default"/>
        </w:rPr>
        <w:t>2</w:t>
      </w:r>
      <w:r>
        <w:rPr/>
        <w:t>：本期其他资本公积增加额为本期以权益结算的股份支付确认的费用金额。 注</w:t>
      </w:r>
      <w:r>
        <w:rPr>
          <w:rFonts w:ascii="Times New Roman" w:hAnsi="Times New Roman" w:cs="Times New Roman" w:eastAsia="Times New Roman" w:hint="default"/>
        </w:rPr>
        <w:t>3</w:t>
      </w:r>
      <w:r>
        <w:rPr/>
        <w:t>：公司子公司上海卫生信息工程技术研究中心有限公司本期少数股东对其实施减资退出，减资股东按照其所占上海卫生 </w:t>
      </w:r>
      <w:r>
        <w:rPr>
          <w:spacing w:val="-2"/>
        </w:rPr>
        <w:t>信息工程技术研究中心有限公司评估基准日的评估价值与过渡期损益之和的权益份额作为减资对价金额，由于上述事项导致</w:t>
      </w:r>
      <w:r>
        <w:rPr>
          <w:spacing w:val="-64"/>
        </w:rPr>
        <w:t> </w:t>
      </w:r>
      <w:r>
        <w:rPr>
          <w:spacing w:val="-64"/>
        </w:rPr>
      </w:r>
      <w:r>
        <w:rPr/>
        <w:t>权益变动差异，编制合并报表时调整资本公积</w:t>
      </w:r>
      <w:r>
        <w:rPr>
          <w:rFonts w:ascii="Times New Roman" w:hAnsi="Times New Roman" w:cs="Times New Roman" w:eastAsia="Times New Roman" w:hint="default"/>
        </w:rPr>
        <w:t>—</w:t>
      </w:r>
      <w:r>
        <w:rPr/>
        <w:t>股本溢价。</w:t>
      </w:r>
    </w:p>
    <w:p>
      <w:pPr>
        <w:spacing w:after="0" w:line="304"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7、库存股" w:id="354"/>
      <w:bookmarkEnd w:id="354"/>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8、其他综合收益" w:id="355"/>
      <w:bookmarkEnd w:id="355"/>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910,542.28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69,121.40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69,121.40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979,663.6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2,382,218.61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2,382,218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-1,471,676.33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69,121.40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69,121.40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-1,402,55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4.93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910,542.28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69,121.40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69,121.40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979,663.6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4092"/>
        <w:jc w:val="left"/>
      </w:pPr>
      <w:r>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9、专项储备" w:id="356"/>
      <w:bookmarkEnd w:id="356"/>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0、盈余公积" w:id="357"/>
      <w:bookmarkEnd w:id="357"/>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123,154,105.48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22,680,497.34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145,834,602.82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123,154,105.48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22,680,497.34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145,834,602.82</w:t>
            </w:r>
          </w:p>
        </w:tc>
      </w:tr>
    </w:tbl>
    <w:p>
      <w:pPr>
        <w:pStyle w:val="BodyText"/>
        <w:spacing w:line="357" w:lineRule="auto" w:before="51"/>
        <w:ind w:right="6252"/>
        <w:jc w:val="left"/>
      </w:pPr>
      <w:r>
        <w:rPr/>
        <w:t>盈余公积说明，包括本期增减变动情况、变动原因说明：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1、未分配利润" w:id="358"/>
      <w:bookmarkEnd w:id="358"/>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1,117,231,532.11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850,372,579.35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1,117,231,532.11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850,372,579.35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231,999,258.41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326,506,950.26</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22,680,497.34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28,715,518.24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减：对所有者（或股东）的分配</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39,181,140.39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30,932,479.26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1,024,422.04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1,288,393,574.83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1,117,231,532.11</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1,024,422.04</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59"/>
      <w:bookmarkEnd w:id="359"/>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2,203,436,272.94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1,222,681,695.01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2,415,482,575.09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1,484,357,032.69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1,245,489.65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1,013,497.98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2,204,681,762.59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1,223,695,192.99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2,415,482,575.09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1,484,357,032.69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3、税金及附加" w:id="360"/>
      <w:bookmarkEnd w:id="360"/>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5,529,843.91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5,010,831.63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3,744,927.76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3,682,157.92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2,496,289.39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1,394,246.12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289,725.67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275,556.18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15,341.25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15,836.20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484,730.22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417,430.20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12,560,858.20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10,796,058.25</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54、销售费用" w:id="361"/>
      <w:bookmarkEnd w:id="361"/>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45,988,932.35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36,869,516.01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差旅、交通费其他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38,405,171.12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39,059,947.82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19,343,708.65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32,257,028.76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103,737,812.12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108,186,492.59</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5、管理费用" w:id="362"/>
      <w:bookmarkEnd w:id="362"/>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175,636,507.59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189,708,726.09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27,686,500.00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-35,972,851.78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160,660,544.81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112,132,151.88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10,670,282.73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15,642,557.33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374,653,835.13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281,510,583.52</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6、研发费用" w:id="363"/>
      <w:bookmarkEnd w:id="363"/>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91,768,408.70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75,439,332.56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91,768,408.70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75,439,332.56</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7、财务费用" w:id="364"/>
      <w:bookmarkEnd w:id="364"/>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184,953,689.85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158,823,661.43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34,075,531.20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45,139,043.87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-111,967.28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124,015.37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4,505,261.32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3,887,864.09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155,271,452.69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117,696,497.02</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8、资产减值损失" w:id="365"/>
      <w:bookmarkEnd w:id="365"/>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48,229,795.94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39,907,799.24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4,334,994.75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970,768.04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4,402,782.81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22,307,373.39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30,770,574.04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75,842,932.12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75,081,156.09</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9、其他收益" w:id="366"/>
      <w:bookmarkEnd w:id="366"/>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7,671,470.80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4,286,815.20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5,961,106.45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发改委云计算项目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5,326,734.74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5,859,979.56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国家高新区科技局重大科技专项经费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经信委面向专病的智能临床辅助决策产 品研发与产业化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1,180,600.67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经信委基于医疗健康大数据的上海市重 点疾病预防与综合评价的应用示范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1,076,727.70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面向医疗健康服务行业的公共云计算服 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1,009,604.11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1,009,604.10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信息化建设及运用项目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吸纳就业社保补贴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748,217.00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509,116.00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政府房租补助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688,169.72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422,779.00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宁波国家高新区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年度第五批科技项 目经费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第九批科技项目经费（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电视剧互动项目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结转基于大数据全景洞察的上海医保支 付模式构建与应用专项经费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项目研发补贴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市委办公厅办文系统国产化试点项目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稳岗促就业补贴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152,796.16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279,606.98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鄞州区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年度第五批科技项目补助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宁波市地方税务局国家高新技术产业开 发区分局退税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33,273.14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收到江干区科技局著作权补贴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闵行浦江镇事务受理中心，政府补贴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明楼街道退税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公共服务平台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基于政务大数据的市民服务云应用示范 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1,123,200.00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城市大规模视频物联网项目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支持创新债权融资方式补贴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591,900.00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基于物联网技术的智能立体停车城市综 合管理系统应用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服务外包电子商务产业发展专项基金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家庭监护设备及服务系统研发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科技小巨人研发项目补贴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平台服务设计与研究</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基于医疗大数据的移动健康管理服务平 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成都高新技术产业开发区经济运行与安 全生产监管局专项资金款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26,965,045.24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21,837,292.09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0、投资收益" w:id="367"/>
      <w:bookmarkEnd w:id="367"/>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-2,920,676.82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-2,040,433.65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46,590,169.75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55,433,883.09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1,425,895.10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2,161,796.90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1,291,734.05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成本法投资分红产生的投资收益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8,064,204.00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55,321,388.93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54,685,183.49</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1、公允价值变动收益" w:id="368"/>
      <w:bookmarkEnd w:id="368"/>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167,949.81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-26,410.29</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167,949.81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-26,410.29</w:t>
            </w:r>
            <w:r>
              <w:rPr>
                <w:rFonts w:ascii="Times New Roman"/>
                <w:sz w:val="18"/>
              </w:rPr>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62、资产处置收益" w:id="369"/>
      <w:bookmarkEnd w:id="369"/>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106,970.55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70"/>
      <w:bookmarkEnd w:id="370"/>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8,612,759.50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8,181,202.00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8,612,759.50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非流动资产报废毁损利得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14,872.96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69,521.15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69,521.15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8,682,280.65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28,762,206.15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8,682,280.65</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32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补贴是否影</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是否特殊补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本期发生金</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上期发生金</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2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高新财政信 用评级补助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表彰奖励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31"/>
              <w:jc w:val="left"/>
              <w:rPr>
                <w:rFonts w:ascii="宋体" w:hAnsi="宋体" w:cs="宋体" w:eastAsia="宋体" w:hint="default"/>
                <w:sz w:val="18"/>
                <w:szCs w:val="18"/>
              </w:rPr>
            </w:pPr>
            <w:r>
              <w:rPr>
                <w:rFonts w:ascii="宋体" w:hAnsi="宋体" w:cs="宋体" w:eastAsia="宋体" w:hint="default"/>
                <w:sz w:val="18"/>
                <w:szCs w:val="18"/>
              </w:rPr>
              <w:t>财政企业品 牌奖励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科技进步奖 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z w:val="18"/>
              </w:rPr>
              <w:t>170,000.00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31"/>
              <w:jc w:val="left"/>
              <w:rPr>
                <w:rFonts w:ascii="宋体" w:hAnsi="宋体" w:cs="宋体" w:eastAsia="宋体" w:hint="default"/>
                <w:sz w:val="18"/>
                <w:szCs w:val="18"/>
              </w:rPr>
            </w:pPr>
            <w:r>
              <w:rPr>
                <w:rFonts w:ascii="宋体" w:hAnsi="宋体" w:cs="宋体" w:eastAsia="宋体" w:hint="default"/>
                <w:sz w:val="18"/>
                <w:szCs w:val="18"/>
              </w:rPr>
              <w:t>地方政府扶 持补助资金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6,861,000.00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2"/>
                <w:sz w:val="18"/>
              </w:rPr>
              <w:t>5,111,410.00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高新区科技 局创新型企 业资助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2,820,000.00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5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杭州科技型 初创企业培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10"/>
              <w:ind w:left="22" w:right="-56"/>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156" w:lineRule="exact"/>
              <w:ind w:left="-7"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52.7pt;height:7.8pt;mso-position-horizontal-relative:char;mso-position-vertical-relative:line" coordorigin="0,0" coordsize="1054,156">
                  <v:group style="position:absolute;left:0;top:0;width:1054;height:156" coordorigin="0,0" coordsize="1054,156">
                    <v:shape style="position:absolute;left:0;top:0;width:1054;height:156" coordorigin="0,0" coordsize="1054,156" path="m0,156l1054,156,1054,0,0,0,0,156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育工程资助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0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2" w:right="131"/>
              <w:jc w:val="left"/>
              <w:rPr>
                <w:rFonts w:ascii="宋体" w:hAnsi="宋体" w:cs="宋体" w:eastAsia="宋体" w:hint="default"/>
                <w:sz w:val="18"/>
                <w:szCs w:val="18"/>
              </w:rPr>
            </w:pPr>
            <w:r>
              <w:rPr>
                <w:rFonts w:ascii="宋体" w:hAnsi="宋体" w:cs="宋体" w:eastAsia="宋体" w:hint="default"/>
                <w:sz w:val="18"/>
                <w:szCs w:val="18"/>
              </w:rPr>
              <w:t>知识产权补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34,800.00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99" w:right="0"/>
              <w:jc w:val="left"/>
              <w:rPr>
                <w:rFonts w:ascii="Times New Roman" w:hAnsi="Times New Roman" w:cs="Times New Roman" w:eastAsia="Times New Roman" w:hint="default"/>
                <w:sz w:val="18"/>
                <w:szCs w:val="18"/>
              </w:rPr>
            </w:pPr>
            <w:r>
              <w:rPr>
                <w:rFonts w:ascii="Times New Roman"/>
                <w:sz w:val="18"/>
              </w:rPr>
              <w:t>8,200.00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软件人员奖 励款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962,959.50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地方教育补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370,000.00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4、营业外支出" w:id="371"/>
      <w:bookmarkEnd w:id="371"/>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133,587.13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133,587.13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罚款滞纳金支出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11,522.05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716,042.77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120,016.24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716,042.77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1,824,629.90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577,793.18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1,824,629.90</w:t>
            </w:r>
          </w:p>
        </w:tc>
      </w:tr>
    </w:tbl>
    <w:p>
      <w:pPr>
        <w:pStyle w:val="BodyText"/>
        <w:spacing w:line="357" w:lineRule="auto" w:before="51"/>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5、所得税费用" w:id="372"/>
      <w:bookmarkEnd w:id="372"/>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73"/>
      <w:bookmarkEnd w:id="37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31,298,678.40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42,447,361.77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26,947.04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-22,125.82</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31,325,625.44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42,425,235.95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74"/>
      <w:bookmarkEnd w:id="37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256,570,275.92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38,485,541.38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6,590,686.91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106,132.17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-9,085,413.34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13,630,207.90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-384,540.17</w:t>
            </w:r>
            <w:r>
              <w:rPr>
                <w:rFonts w:ascii="Times New Roman"/>
                <w:sz w:val="18"/>
              </w:rPr>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16,063,394.89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研发费用加急扣除金额</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-34,080,384.30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31,325,625.44</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spacing w:line="547" w:lineRule="auto" w:before="0"/>
        <w:ind w:left="154" w:right="8855" w:firstLine="0"/>
        <w:jc w:val="left"/>
        <w:rPr>
          <w:rFonts w:ascii="宋体" w:hAnsi="宋体" w:cs="宋体" w:eastAsia="宋体" w:hint="default"/>
          <w:sz w:val="21"/>
          <w:szCs w:val="21"/>
        </w:rPr>
      </w:pPr>
      <w:bookmarkStart w:name="66、其他综合收益" w:id="375"/>
      <w:bookmarkEnd w:id="375"/>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76"/>
      <w:bookmarkEnd w:id="376"/>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5"/>
        <w:ind w:right="0"/>
        <w:jc w:val="left"/>
        <w:rPr>
          <w:b w:val="0"/>
          <w:bCs w:val="0"/>
        </w:rPr>
      </w:pPr>
      <w:bookmarkStart w:name="（1）收到的其他与经营活动有关的现金" w:id="377"/>
      <w:bookmarkEnd w:id="37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30,009,434.12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21,567,299.17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14,480,624.94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15,245,192.67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12,470,520.16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22,243,265.17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3,821,420.02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28,121,787.02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1,245,489.65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62,027,488.89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87,177,544.03</w:t>
            </w:r>
          </w:p>
        </w:tc>
      </w:tr>
    </w:tbl>
    <w:p>
      <w:pPr>
        <w:pStyle w:val="BodyText"/>
        <w:spacing w:line="357" w:lineRule="auto" w:before="51"/>
        <w:ind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支付的其他与经营活动有关的现金" w:id="378"/>
      <w:bookmarkEnd w:id="37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162,402,054.15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105,473,072.85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66,277,024.74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57,826,806.50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6,588,346.74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1,674,419.56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235,267,425.63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164,974,298.91</w:t>
            </w:r>
          </w:p>
        </w:tc>
      </w:tr>
    </w:tbl>
    <w:p>
      <w:pPr>
        <w:pStyle w:val="BodyText"/>
        <w:spacing w:line="357" w:lineRule="auto" w:before="51"/>
        <w:ind w:right="7512"/>
        <w:jc w:val="left"/>
      </w:pPr>
      <w:r>
        <w:rPr/>
        <w:t>支付的其他与经营活动有关的现金说明：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收到的其他与投资活动有关的现金" w:id="379"/>
      <w:bookmarkEnd w:id="37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处置世合实业股权收回土地购置款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bl>
    <w:p>
      <w:pPr>
        <w:pStyle w:val="BodyText"/>
        <w:spacing w:line="357" w:lineRule="auto" w:before="51"/>
        <w:ind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支付的其他与投资活动有关的现金" w:id="380"/>
      <w:bookmarkEnd w:id="38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7512"/>
        <w:jc w:val="left"/>
      </w:pPr>
      <w:r>
        <w:rPr/>
        <w:t>支付的其他与投资活动有关的现金说明：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5）收到的其他与筹资活动有关的现金" w:id="381"/>
      <w:bookmarkEnd w:id="38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223.339996pt;margin-top:670.98999pt;width:151.25pt;height:20.7pt;mso-position-horizontal-relative:page;mso-position-vertical-relative:page;z-index:-1242040" coordorigin="4467,13420" coordsize="3025,414">
            <v:group style="position:absolute;left:4478;top:13431;width:2;height:392" coordorigin="4478,13431" coordsize="2,392">
              <v:shape style="position:absolute;left:4478;top:13431;width:2;height:392" coordorigin="4478,13431" coordsize="0,392" path="m4478,13431l4478,13822e" filled="false" stroked="true" strokeweight="1.140pt" strokecolor="#ffffff">
                <v:path arrowok="t"/>
              </v:shape>
            </v:group>
            <v:group style="position:absolute;left:4490;top:13431;width:3002;height:392" coordorigin="4490,13431" coordsize="3002,392">
              <v:shape style="position:absolute;left:4490;top:13431;width:3002;height:392" coordorigin="4490,13431" coordsize="3002,392" path="m4490,13822l7491,13822,7491,13431,4490,13431,4490,13822xe" filled="true" fillcolor="#ffffff" stroked="false">
                <v:path arrowok="t"/>
                <v:fill type="solid"/>
              </v:shape>
            </v:group>
            <w10:wrap type="none"/>
          </v:group>
        </w:pict>
      </w:r>
    </w:p>
    <w:p>
      <w:pPr>
        <w:pStyle w:val="BodyText"/>
        <w:spacing w:line="357" w:lineRule="auto" w:before="44"/>
        <w:ind w:right="7512"/>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支付的其他与筹资活动有关的现金" w:id="382"/>
      <w:bookmarkEnd w:id="38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子公司少数股东减资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9,408,900.00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可转债发行费用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990,566.04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15,132,075.49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10,399,466.04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19,112,075.49</w:t>
            </w:r>
          </w:p>
        </w:tc>
      </w:tr>
    </w:tbl>
    <w:p>
      <w:pPr>
        <w:pStyle w:val="BodyText"/>
        <w:spacing w:line="357" w:lineRule="auto" w:before="51"/>
        <w:ind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8、现金流量表补充资料" w:id="383"/>
      <w:bookmarkEnd w:id="383"/>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84"/>
      <w:bookmarkEnd w:id="38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97"/>
        <w:gridCol w:w="1872"/>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225,244,650.48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324,670,664.68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75,842,932.12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75,081,156.09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51,465,012.80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53,238,863.10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159,679,753.46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119,222,559.54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6,357,074.05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8,083,327.10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-106,970.55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133,587.13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101,381.93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-167,949.81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26,410.29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184,841,722.57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158,947,676.80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-55,321,388.93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-54,685,183.49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9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123" w:right="0"/>
              <w:jc w:val="left"/>
              <w:rPr>
                <w:rFonts w:ascii="Times New Roman" w:hAnsi="Times New Roman" w:cs="Times New Roman" w:eastAsia="Times New Roman" w:hint="default"/>
                <w:sz w:val="18"/>
                <w:szCs w:val="18"/>
              </w:rPr>
            </w:pPr>
            <w:r>
              <w:rPr>
                <w:rFonts w:ascii="Times New Roman"/>
                <w:sz w:val="18"/>
              </w:rPr>
              <w:t>26,947.04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-22,125.82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123,472,515.16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-233,158,065.14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-383,049,250.34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-910,046,595.83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-343,849,004.59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260,472,871.80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27,686,500.00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-35,972,851.78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72,256,130.59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-234,039,910.73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1,041,109,161.16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1,875,429,283.00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1,875,429,283.00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823,992,779.98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-834,320,121.84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1,051,436,503.02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85"/>
      <w:bookmarkEnd w:id="38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本期收到的处置子公司的现金净额" w:id="386"/>
      <w:bookmarkEnd w:id="38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21,454,265.00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21,454,265.00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44,568,953.50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2,086,776.93</w:t>
            </w:r>
          </w:p>
        </w:tc>
      </w:tr>
      <w:tr>
        <w:trPr>
          <w:trHeight w:val="71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firstLine="90"/>
              <w:jc w:val="left"/>
              <w:rPr>
                <w:rFonts w:ascii="宋体" w:hAnsi="宋体" w:cs="宋体" w:eastAsia="宋体" w:hint="default"/>
                <w:sz w:val="18"/>
                <w:szCs w:val="18"/>
              </w:rPr>
            </w:pPr>
            <w:r>
              <w:rPr>
                <w:rFonts w:ascii="宋体" w:hAnsi="宋体" w:cs="宋体" w:eastAsia="宋体" w:hint="default"/>
                <w:spacing w:val="-1"/>
                <w:sz w:val="18"/>
                <w:szCs w:val="18"/>
              </w:rPr>
              <w:t>上海全程玖玖健康服务有限公司（原上海万达全程健康服务有</w:t>
            </w:r>
            <w:r>
              <w:rPr>
                <w:rFonts w:ascii="宋体" w:hAnsi="宋体" w:cs="宋体" w:eastAsia="宋体" w:hint="default"/>
                <w:sz w:val="18"/>
                <w:szCs w:val="18"/>
              </w:rPr>
              <w:t> 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42,482,176.57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-23,114,688.50</w:t>
            </w:r>
          </w:p>
        </w:tc>
      </w:tr>
    </w:tbl>
    <w:p>
      <w:pPr>
        <w:pStyle w:val="BodyText"/>
        <w:spacing w:line="357" w:lineRule="auto" w:before="51"/>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现金和现金等价物的构成" w:id="387"/>
      <w:bookmarkEnd w:id="38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1,041,109,161.16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1,875,429,283.00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298,523.67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144,339.44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1,040,079,675.10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1,875,284,943.56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730,962.39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1,041,109,161.16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1,875,429,283.00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9、所有者权益变动表项目注释" w:id="388"/>
      <w:bookmarkEnd w:id="388"/>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70、所有权或使用权受到限制的资产" w:id="389"/>
      <w:bookmarkEnd w:id="389"/>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3,783,647.27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7,214,007.26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详见附注“十四 </w:t>
            </w:r>
            <w:r>
              <w:rPr>
                <w:rFonts w:ascii="Times New Roman" w:hAnsi="Times New Roman" w:cs="Times New Roman" w:eastAsia="Times New Roman" w:hint="default"/>
                <w:sz w:val="18"/>
                <w:szCs w:val="18"/>
              </w:rPr>
              <w:t>1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10,997,654.53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4" w:lineRule="auto" w:before="115"/>
        <w:ind w:right="1122"/>
        <w:jc w:val="left"/>
      </w:pPr>
      <w:r>
        <w:rPr/>
        <w:t>注：</w:t>
      </w:r>
      <w:r>
        <w:rPr>
          <w:rFonts w:ascii="Times New Roman" w:hAnsi="Times New Roman" w:cs="Times New Roman" w:eastAsia="Times New Roman" w:hint="default"/>
        </w:rPr>
        <w:t>1</w:t>
      </w:r>
      <w:r>
        <w:rPr/>
        <w:t>）佳杰科技（上海）有限公司就其诉公司子公司四川浩特通信有限公司买卖合同纠纷案，向上海市长宁区人民法院申 </w:t>
      </w:r>
      <w:r>
        <w:rPr>
          <w:spacing w:val="-1"/>
        </w:rPr>
        <w:t>请对四川浩特通信有限公司上海浦东发展银行成都科华支行（账号：</w:t>
      </w:r>
      <w:r>
        <w:rPr>
          <w:rFonts w:ascii="Times New Roman" w:hAnsi="Times New Roman" w:cs="Times New Roman" w:eastAsia="Times New Roman" w:hint="default"/>
          <w:spacing w:val="-1"/>
        </w:rPr>
        <w:t>73030154800000511</w:t>
      </w:r>
      <w:r>
        <w:rPr>
          <w:spacing w:val="-1"/>
        </w:rPr>
        <w:t>）存款人民币</w:t>
      </w:r>
      <w:r>
        <w:rPr>
          <w:rFonts w:ascii="Times New Roman" w:hAnsi="Times New Roman" w:cs="Times New Roman" w:eastAsia="Times New Roman" w:hint="default"/>
          <w:spacing w:val="-1"/>
        </w:rPr>
        <w:t>2,120,000.00</w:t>
      </w:r>
      <w:r>
        <w:rPr>
          <w:spacing w:val="-1"/>
        </w:rPr>
        <w:t>元实施财</w:t>
      </w:r>
      <w:r>
        <w:rPr>
          <w:spacing w:val="-64"/>
        </w:rPr>
        <w:t> </w:t>
      </w:r>
      <w:r>
        <w:rPr/>
        <w:t>产保全，现该案尚在审理中。 </w:t>
      </w:r>
      <w:r>
        <w:rPr>
          <w:rFonts w:ascii="Times New Roman" w:hAnsi="Times New Roman" w:cs="Times New Roman" w:eastAsia="Times New Roman" w:hint="default"/>
        </w:rPr>
        <w:t>2</w:t>
      </w:r>
      <w:r>
        <w:rPr/>
        <w:t>）四川利正信息技术有限公司就其诉公司子公司四川浩特通信有限公司买卖合同纠纷案，向成都高新区法院申请对四川浩 </w:t>
      </w:r>
      <w:r>
        <w:rPr>
          <w:spacing w:val="-1"/>
        </w:rPr>
        <w:t>特通信有限公司上海浦东发展银行成都科华支行（账号：</w:t>
      </w:r>
      <w:r>
        <w:rPr>
          <w:rFonts w:ascii="Times New Roman" w:hAnsi="Times New Roman" w:cs="Times New Roman" w:eastAsia="Times New Roman" w:hint="default"/>
          <w:spacing w:val="-1"/>
        </w:rPr>
        <w:t>73030154800000511</w:t>
      </w:r>
      <w:r>
        <w:rPr>
          <w:spacing w:val="-1"/>
        </w:rPr>
        <w:t>）存款人民币</w:t>
      </w:r>
      <w:r>
        <w:rPr>
          <w:rFonts w:ascii="Times New Roman" w:hAnsi="Times New Roman" w:cs="Times New Roman" w:eastAsia="Times New Roman" w:hint="default"/>
          <w:spacing w:val="-1"/>
        </w:rPr>
        <w:t>1,663,647.27</w:t>
      </w:r>
      <w:r>
        <w:rPr>
          <w:spacing w:val="-1"/>
        </w:rPr>
        <w:t>元实施财产保全，现</w:t>
      </w:r>
      <w:r>
        <w:rPr>
          <w:spacing w:val="-63"/>
        </w:rPr>
        <w:t> </w:t>
      </w:r>
      <w:r>
        <w:rPr>
          <w:spacing w:val="-63"/>
        </w:rPr>
      </w:r>
      <w:r>
        <w:rPr/>
        <w:t>该案尚在审理中。</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71、外币货币性项目" w:id="390"/>
      <w:bookmarkEnd w:id="390"/>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91"/>
      <w:bookmarkEnd w:id="39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3,073,828.93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43" w:right="0"/>
              <w:jc w:val="left"/>
              <w:rPr>
                <w:rFonts w:ascii="Times New Roman" w:hAnsi="Times New Roman" w:cs="Times New Roman" w:eastAsia="Times New Roman" w:hint="default"/>
                <w:sz w:val="18"/>
                <w:szCs w:val="18"/>
              </w:rPr>
            </w:pPr>
            <w:r>
              <w:rPr>
                <w:rFonts w:ascii="Times New Roman"/>
                <w:sz w:val="18"/>
              </w:rPr>
              <w:t>447,871.10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3,073,828.93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6,176.88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6,176.88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30,150.04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30,150.04</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59" w:lineRule="auto"/>
        <w:ind w:right="0"/>
        <w:jc w:val="left"/>
        <w:rPr>
          <w:b w:val="0"/>
          <w:bCs w:val="0"/>
        </w:rPr>
      </w:pPr>
      <w:bookmarkStart w:name="（2）境外经营实体说明，包括对于重要的境外经营实体，应披露其境外主要经营地、记账" w:id="392"/>
      <w:bookmarkEnd w:id="39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2、套期" w:id="393"/>
      <w:bookmarkEnd w:id="393"/>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632"/>
        <w:jc w:val="left"/>
      </w:pPr>
      <w:r>
        <w:rPr/>
        <w:t>按照套期类别披露套期项目及相关套期工具、被套期风险的定性和定量信息：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73、政府补助" w:id="394"/>
      <w:bookmarkEnd w:id="394"/>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95"/>
      <w:bookmarkEnd w:id="39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4"/>
        <w:gridCol w:w="1241"/>
        <w:gridCol w:w="2392"/>
        <w:gridCol w:w="2392"/>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发改委云计算项目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5,326,734.74</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面向医疗健康服务行业的公共云计算服务平 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1,009,604.11</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经信委基于医疗健康大数据的上海市重点疾 病预防与综合评价的应用示范</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1,076,727.70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44"/>
        <w:gridCol w:w="1241"/>
        <w:gridCol w:w="2392"/>
        <w:gridCol w:w="2392"/>
      </w:tblGrid>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经信委面向专病的智能临床辅助决策产品研 发与产业化</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1,180,600.67</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安全可控桌面计算机在电子政务领域的应用 迁移技术研究</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10,247,921.65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4,286,815.20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市委办公厅办文系统国产化试点项目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公共服务平台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基于政务大数据的市民服务云应用示范项目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城市大规模视频物联网项目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支持创新债权融资方式补贴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吸纳就业社保补贴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1,257,333.00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748,217.00</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基于物联网技术的智能立体停车城市综合管 理系统应用</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政府房租补助</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1,110,948.72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688,169.72</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稳岗促就业补贴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432,403.14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152,796.16</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服务外包电子商务产业发展专项基金</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项目研发补贴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家庭监护设备及服务系统研发</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科技小巨人研发项目补贴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平台服务设计与研究</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基于医疗大数据的移动健康管理服务平台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成都高新技术产业开发区经济运行与安全生 产监管局专项资金款</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宁波国家高新区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年度第五批科技项目经 费</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466,900.00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明楼街道退税</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国家高新区科技局重大科技专项经费</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第九批科技项目经费（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466,900.00</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宁波市地方税务局国家高新技术产业开发区 分局退税</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33,273.14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33,273.14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收到江干区科技局著作权补贴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信息化建设及运用项目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840,000.00</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结转基于大数据全景洞察的上海医保支付模 式构建与应用专项经费</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392,900.00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鄞州区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年度第五批科技项目补助</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闵行浦江镇事务受理中心，政府补贴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44"/>
        <w:gridCol w:w="1241"/>
        <w:gridCol w:w="2392"/>
        <w:gridCol w:w="2392"/>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电视剧互动项目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7,671,470.80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7,671,470.80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高新财政信用评级补助等</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表彰奖励</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财政企业品牌奖励</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科技进步奖励资金</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地方政府扶持补助资金</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11,972,410.00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高新区科技局创新型企业资助</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杭州科技型初创企业培育工程资助</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知识产权补助</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软件人员奖励款</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962,959.50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962,959.50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地方教育补贴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政府补助退回情况" w:id="396"/>
      <w:bookmarkEnd w:id="39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pStyle w:val="BodyText"/>
        <w:spacing w:line="240" w:lineRule="auto" w:before="39"/>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4、其他" w:id="397"/>
      <w:bookmarkEnd w:id="397"/>
      <w:r>
        <w:rPr>
          <w:b w:val="0"/>
          <w:bCs w:val="0"/>
        </w:rPr>
      </w:r>
      <w:r>
        <w:rPr>
          <w:rFonts w:ascii="Times New Roman" w:hAnsi="Times New Roman" w:cs="Times New Roman" w:eastAsia="Times New Roman" w:hint="default"/>
        </w:rPr>
        <w:t>74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98"/>
      <w:bookmarkEnd w:id="398"/>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99"/>
      <w:bookmarkEnd w:id="399"/>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400"/>
      <w:bookmarkEnd w:id="40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合并成本及商誉" w:id="401"/>
      <w:bookmarkEnd w:id="40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footerReference w:type="default" r:id="rId17"/>
          <w:pgSz w:w="11910" w:h="16840"/>
          <w:pgMar w:footer="1696" w:header="747" w:top="1060" w:bottom="1880" w:left="980" w:right="0"/>
          <w:pgNumType w:start="177"/>
        </w:sectPr>
      </w:pPr>
    </w:p>
    <w:p>
      <w:pPr>
        <w:spacing w:line="240" w:lineRule="auto" w:before="13"/>
        <w:rPr>
          <w:rFonts w:ascii="宋体" w:hAnsi="宋体" w:cs="宋体" w:eastAsia="宋体" w:hint="default"/>
          <w:sz w:val="25"/>
          <w:szCs w:val="25"/>
        </w:rPr>
      </w:pPr>
    </w:p>
    <w:p>
      <w:pPr>
        <w:pStyle w:val="BodyText"/>
        <w:spacing w:line="357" w:lineRule="auto" w:before="44"/>
        <w:ind w:right="6072"/>
        <w:jc w:val="left"/>
      </w:pPr>
      <w:r>
        <w:rPr/>
        <w:t>合并成本公允价值的确定方法、或有对价及其变动的说明： 无</w:t>
      </w:r>
    </w:p>
    <w:p>
      <w:pPr>
        <w:pStyle w:val="BodyText"/>
        <w:spacing w:line="360" w:lineRule="auto" w:before="29"/>
        <w:ind w:right="8592"/>
        <w:jc w:val="left"/>
      </w:pPr>
      <w:r>
        <w:rPr/>
        <w:t>大额商誉形成的主要原因： 其他说明：</w:t>
      </w:r>
    </w:p>
    <w:p>
      <w:pPr>
        <w:pStyle w:val="BodyText"/>
        <w:spacing w:line="240" w:lineRule="auto" w:before="25"/>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402"/>
      <w:bookmarkEnd w:id="40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03"/>
      <w:bookmarkEnd w:id="40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404"/>
      <w:bookmarkEnd w:id="40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405"/>
      <w:bookmarkEnd w:id="40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同一控制下企业合并" w:id="406"/>
      <w:bookmarkEnd w:id="40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407"/>
      <w:bookmarkEnd w:id="40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合并成本" w:id="408"/>
      <w:bookmarkEnd w:id="40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1696" w:top="1060" w:bottom="188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8592"/>
        <w:jc w:val="left"/>
      </w:pPr>
      <w:r>
        <w:rPr/>
        <w:t>或有对价及其变动的说明： 无</w:t>
      </w:r>
    </w:p>
    <w:p>
      <w:pPr>
        <w:pStyle w:val="BodyText"/>
        <w:spacing w:line="357" w:lineRule="auto" w:before="29"/>
        <w:ind w:right="985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合并日被合并方资产、负债的账面价值" w:id="409"/>
      <w:bookmarkEnd w:id="40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001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001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004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7512"/>
        <w:jc w:val="left"/>
      </w:pPr>
      <w:r>
        <w:rPr/>
        <w:t>企业合并中承担的被合并方的或有负债：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反向购买" w:id="410"/>
      <w:bookmarkEnd w:id="41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5"/>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处置子公司" w:id="411"/>
      <w:bookmarkEnd w:id="41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8"/>
          <w:pgSz w:w="11910" w:h="16840"/>
          <w:pgMar w:footer="979" w:header="747" w:top="1060" w:bottom="1160" w:left="980" w:right="0"/>
          <w:pgNumType w:start="179"/>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75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25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61"/>
              <w:jc w:val="both"/>
              <w:rPr>
                <w:rFonts w:ascii="宋体" w:hAnsi="宋体" w:cs="宋体" w:eastAsia="宋体" w:hint="default"/>
                <w:sz w:val="18"/>
                <w:szCs w:val="18"/>
              </w:rPr>
            </w:pPr>
            <w:r>
              <w:rPr>
                <w:rFonts w:ascii="宋体" w:hAnsi="宋体" w:cs="宋体" w:eastAsia="宋体" w:hint="default"/>
                <w:sz w:val="18"/>
                <w:szCs w:val="18"/>
              </w:rPr>
              <w:t>上海全 程玖玖 健康服 务有限</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股权稀 释</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61"/>
              <w:jc w:val="both"/>
              <w:rPr>
                <w:rFonts w:ascii="宋体" w:hAnsi="宋体" w:cs="宋体" w:eastAsia="宋体" w:hint="default"/>
                <w:sz w:val="18"/>
                <w:szCs w:val="18"/>
              </w:rPr>
            </w:pPr>
            <w:r>
              <w:rPr>
                <w:rFonts w:ascii="宋体" w:hAnsi="宋体" w:cs="宋体" w:eastAsia="宋体" w:hint="default"/>
                <w:sz w:val="18"/>
                <w:szCs w:val="18"/>
              </w:rPr>
              <w:t>不再控 制标的 公司的 财务和</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1" w:right="0"/>
              <w:jc w:val="left"/>
              <w:rPr>
                <w:rFonts w:ascii="Times New Roman" w:hAnsi="Times New Roman" w:cs="Times New Roman" w:eastAsia="Times New Roman" w:hint="default"/>
                <w:sz w:val="18"/>
                <w:szCs w:val="18"/>
              </w:rPr>
            </w:pPr>
            <w:r>
              <w:rPr>
                <w:rFonts w:ascii="Times New Roman"/>
                <w:sz w:val="18"/>
              </w:rPr>
              <w:t>9,852,37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4" w:right="0"/>
              <w:jc w:val="left"/>
              <w:rPr>
                <w:rFonts w:ascii="Times New Roman" w:hAnsi="Times New Roman" w:cs="Times New Roman" w:eastAsia="Times New Roman" w:hint="default"/>
                <w:sz w:val="18"/>
                <w:szCs w:val="18"/>
              </w:rPr>
            </w:pPr>
            <w:r>
              <w:rPr>
                <w:rFonts w:ascii="Times New Roman"/>
                <w:sz w:val="18"/>
              </w:rPr>
              <w:t>13,275,4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12.04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3" w:right="0"/>
              <w:jc w:val="left"/>
              <w:rPr>
                <w:rFonts w:ascii="Times New Roman" w:hAnsi="Times New Roman" w:cs="Times New Roman" w:eastAsia="Times New Roman" w:hint="default"/>
                <w:sz w:val="18"/>
                <w:szCs w:val="18"/>
              </w:rPr>
            </w:pPr>
            <w:r>
              <w:rPr>
                <w:rFonts w:ascii="Times New Roman"/>
                <w:sz w:val="18"/>
              </w:rPr>
              <w:t>26,107,4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66.68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3" w:right="0"/>
              <w:jc w:val="left"/>
              <w:rPr>
                <w:rFonts w:ascii="Times New Roman" w:hAnsi="Times New Roman" w:cs="Times New Roman" w:eastAsia="Times New Roman" w:hint="default"/>
                <w:sz w:val="18"/>
                <w:szCs w:val="18"/>
              </w:rPr>
            </w:pPr>
            <w:r>
              <w:rPr>
                <w:rFonts w:ascii="Times New Roman"/>
                <w:sz w:val="18"/>
              </w:rPr>
              <w:t>12,832,0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评估估 值</w:t>
            </w: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219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10"/>
                <w:sz w:val="18"/>
                <w:szCs w:val="18"/>
              </w:rPr>
              <w:t>公司（原</w:t>
            </w:r>
            <w:r>
              <w:rPr>
                <w:rFonts w:ascii="宋体" w:hAnsi="宋体" w:cs="宋体" w:eastAsia="宋体" w:hint="default"/>
                <w:sz w:val="18"/>
                <w:szCs w:val="18"/>
              </w:rPr>
              <w:t> 上海万 达全程 健康服 务有限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经营政 </w:t>
            </w:r>
            <w:r>
              <w:rPr>
                <w:rFonts w:ascii="宋体" w:hAnsi="宋体" w:cs="宋体" w:eastAsia="宋体" w:hint="default"/>
                <w:spacing w:val="-11"/>
                <w:sz w:val="18"/>
                <w:szCs w:val="18"/>
              </w:rPr>
              <w:t>策，不再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享有相 应的利 </w:t>
            </w:r>
            <w:r>
              <w:rPr>
                <w:rFonts w:ascii="宋体" w:hAnsi="宋体" w:cs="宋体" w:eastAsia="宋体" w:hint="default"/>
                <w:spacing w:val="-11"/>
                <w:sz w:val="18"/>
                <w:szCs w:val="18"/>
              </w:rPr>
              <w:t>益、承担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相应的 风险。</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344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西藏万 达华波 美信息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51.22%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不再控 制标的 公司的 财务和 经营政 </w:t>
            </w:r>
            <w:r>
              <w:rPr>
                <w:rFonts w:ascii="宋体" w:hAnsi="宋体" w:cs="宋体" w:eastAsia="宋体" w:hint="default"/>
                <w:spacing w:val="-11"/>
                <w:sz w:val="18"/>
                <w:szCs w:val="18"/>
              </w:rPr>
              <w:t>策，不再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享有相 应的利 </w:t>
            </w:r>
            <w:r>
              <w:rPr>
                <w:rFonts w:ascii="宋体" w:hAnsi="宋体" w:cs="宋体" w:eastAsia="宋体" w:hint="default"/>
                <w:spacing w:val="-11"/>
                <w:sz w:val="18"/>
                <w:szCs w:val="18"/>
              </w:rPr>
              <w:t>益、承担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相应的 风险。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4,465,73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无剩余 股权</w:t>
            </w: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pStyle w:val="BodyText"/>
        <w:spacing w:line="240" w:lineRule="auto" w:before="29"/>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412"/>
      <w:bookmarkEnd w:id="41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6"/>
        <w:ind w:right="1118"/>
        <w:jc w:val="left"/>
      </w:pPr>
      <w:r>
        <w:rPr>
          <w:spacing w:val="-1"/>
        </w:rPr>
        <w:t>（</w:t>
      </w:r>
      <w:r>
        <w:rPr>
          <w:rFonts w:ascii="宋体" w:hAnsi="宋体" w:cs="宋体" w:eastAsia="宋体" w:hint="default"/>
          <w:spacing w:val="-1"/>
        </w:rPr>
        <w:t>1</w:t>
      </w:r>
      <w:r>
        <w:rPr>
          <w:spacing w:val="-1"/>
        </w:rPr>
        <w:t>）投资设立子公司上海耀学信息科技有限公司，注册资本人民币</w:t>
      </w:r>
      <w:r>
        <w:rPr>
          <w:rFonts w:ascii="Times New Roman" w:hAnsi="Times New Roman" w:cs="Times New Roman" w:eastAsia="Times New Roman" w:hint="default"/>
          <w:spacing w:val="-1"/>
        </w:rPr>
        <w:t>100.00</w:t>
      </w:r>
      <w:r>
        <w:rPr>
          <w:spacing w:val="-1"/>
        </w:rPr>
        <w:t>万元，本期实际已出资</w:t>
      </w:r>
      <w:r>
        <w:rPr>
          <w:rFonts w:ascii="Times New Roman" w:hAnsi="Times New Roman" w:cs="Times New Roman" w:eastAsia="Times New Roman" w:hint="default"/>
          <w:spacing w:val="-1"/>
        </w:rPr>
        <w:t>51.00</w:t>
      </w:r>
      <w:r>
        <w:rPr>
          <w:spacing w:val="-1"/>
        </w:rPr>
        <w:t>万元持股</w:t>
      </w:r>
      <w:r>
        <w:rPr>
          <w:rFonts w:ascii="Times New Roman" w:hAnsi="Times New Roman" w:cs="Times New Roman" w:eastAsia="Times New Roman" w:hint="default"/>
          <w:spacing w:val="-1"/>
        </w:rPr>
        <w:t>51.00%</w:t>
      </w:r>
      <w:r>
        <w:rPr>
          <w:spacing w:val="-1"/>
        </w:rPr>
        <w:t>。上</w:t>
      </w:r>
      <w:r>
        <w:rPr>
          <w:spacing w:val="-41"/>
        </w:rPr>
        <w:t> </w:t>
      </w:r>
      <w:r>
        <w:rPr>
          <w:spacing w:val="-41"/>
        </w:rPr>
      </w:r>
      <w:r>
        <w:rPr/>
        <w:t>海耀学信息科技有限公司已于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日办妥工商登记手续并领取了统一社会信用代码为</w:t>
      </w:r>
      <w:r>
        <w:rPr>
          <w:rFonts w:ascii="Times New Roman" w:hAnsi="Times New Roman" w:cs="Times New Roman" w:eastAsia="Times New Roman" w:hint="default"/>
        </w:rPr>
        <w:t>91310104MA1FRBXL18</w:t>
      </w:r>
      <w:r>
        <w:rPr/>
        <w:t>号营 业执照。</w:t>
      </w:r>
    </w:p>
    <w:p>
      <w:pPr>
        <w:pStyle w:val="BodyText"/>
        <w:spacing w:line="240" w:lineRule="auto" w:before="31"/>
        <w:ind w:right="0"/>
        <w:jc w:val="left"/>
      </w:pPr>
      <w:r>
        <w:rPr/>
        <w:t>（</w:t>
      </w:r>
      <w:r>
        <w:rPr>
          <w:rFonts w:ascii="宋体" w:hAnsi="宋体" w:cs="宋体" w:eastAsia="宋体" w:hint="default"/>
        </w:rPr>
        <w:t>2</w:t>
      </w:r>
      <w:r>
        <w:rPr/>
        <w:t>）原孙公司上海易可思复高数码科技有限公司于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月完成工商注销手续。</w:t>
      </w:r>
    </w:p>
    <w:p>
      <w:pPr>
        <w:pStyle w:val="BodyText"/>
        <w:spacing w:line="240" w:lineRule="auto" w:before="63"/>
        <w:ind w:right="0"/>
        <w:jc w:val="left"/>
      </w:pPr>
      <w:r>
        <w:rPr/>
        <w:t>（</w:t>
      </w:r>
      <w:r>
        <w:rPr>
          <w:rFonts w:ascii="宋体" w:hAnsi="宋体" w:cs="宋体" w:eastAsia="宋体" w:hint="default"/>
        </w:rPr>
        <w:t>3</w:t>
      </w:r>
      <w:r>
        <w:rPr/>
        <w:t>）原孙公司湖南凯歌医疗移动信息服务有限公司于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月完成工商注销手续。</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6、其他" w:id="413"/>
      <w:bookmarkEnd w:id="413"/>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414"/>
      <w:bookmarkEnd w:id="41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415"/>
      <w:bookmarkEnd w:id="41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416"/>
      <w:bookmarkEnd w:id="41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杭州万达信息系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宁波万达信息系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深圳市万达信息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3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Wonders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Corp.</w:t>
            </w:r>
            <w:r>
              <w:rPr>
                <w:rFonts w:ascii="宋体" w:hAnsi="宋体" w:cs="宋体" w:eastAsia="宋体" w:hint="default"/>
                <w:sz w:val="18"/>
                <w:szCs w:val="18"/>
              </w:rPr>
              <w:t>美国万达信 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上海万达信息系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上海爱递吉供应 链管理服务有限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上海万达信息服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南京爱递吉供应 链管理服务有限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上海卫生信息工 程技术研究中心 有限公司（注）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74.07%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天津万达信息技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北京万达全城信 息系统有限公司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上海格言管理有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四川万达智能安 防数据有限公司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雅安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雅安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杭州莱域科技有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上海易可思信息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上海格金信息技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克拉玛依市复高 计算机科技有限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湖南万达智慧城 市信息技术有限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永州潇湘云技术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万达云医疗科技 </w:t>
            </w:r>
            <w:r>
              <w:rPr>
                <w:rFonts w:ascii="宋体" w:hAnsi="宋体" w:cs="宋体" w:eastAsia="宋体" w:hint="default"/>
                <w:spacing w:val="-9"/>
                <w:sz w:val="18"/>
                <w:szCs w:val="18"/>
              </w:rPr>
              <w:t>健康产业（上海）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34" w:lineRule="exact"/>
              <w:ind w:right="-1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66.7pt;height:16.75pt;mso-position-horizontal-relative:char;mso-position-vertical-relative:line" coordorigin="0,0" coordsize="1334,335">
                  <v:group style="position:absolute;left:11;top:11;width:2;height:312" coordorigin="11,11" coordsize="2,312">
                    <v:shape style="position:absolute;left:11;top:11;width:2;height:312" coordorigin="11,11" coordsize="0,312" path="m11,11l11,323e" filled="false" stroked="true" strokeweight="1.140pt" strokecolor="#ffffff">
                      <v:path arrowok="t"/>
                    </v:shape>
                  </v:group>
                  <v:group style="position:absolute;left:23;top:11;width:1311;height:312" coordorigin="23,11" coordsize="1311,312">
                    <v:shape style="position:absolute;left:23;top:11;width:1311;height:312" coordorigin="23,11" coordsize="1311,312" path="m23,323l1333,323,1333,11,23,11,23,32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before="2"/>
              <w:ind w:right="0"/>
              <w:jc w:val="left"/>
              <w:rPr>
                <w:rFonts w:ascii="Times New Roman" w:hAnsi="Times New Roman" w:cs="Times New Roman" w:eastAsia="Times New Roman" w:hint="default"/>
                <w:sz w:val="26"/>
                <w:szCs w:val="26"/>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四川万达智城云 数据有限公司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四川万达健康数 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宁波市万达数据 应用服务有限公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9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万达志翔医疗科 技（北京）有限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上海耀学信息科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right="6972"/>
        <w:jc w:val="left"/>
      </w:pPr>
      <w:r>
        <w:rPr/>
        <w:t>在子公司的持股比例不同于表决权比例的说明： 无</w:t>
      </w:r>
    </w:p>
    <w:p>
      <w:pPr>
        <w:pStyle w:val="BodyText"/>
        <w:spacing w:line="357" w:lineRule="auto" w:before="29"/>
        <w:ind w:right="2832"/>
        <w:jc w:val="left"/>
      </w:pPr>
      <w:r>
        <w:rPr/>
        <w:t>持有半数或以下表决权但仍控制被投资单位、以及持有半数以上表决权但不控制被投资单位的依据： 无</w:t>
      </w:r>
    </w:p>
    <w:p>
      <w:pPr>
        <w:pStyle w:val="BodyText"/>
        <w:spacing w:line="357" w:lineRule="auto" w:before="29"/>
        <w:ind w:right="6432"/>
        <w:jc w:val="left"/>
      </w:pPr>
      <w:r>
        <w:rPr/>
        <w:t>对于纳入合并范围的重要的结构化主体，控制的依据： 无</w:t>
      </w:r>
    </w:p>
    <w:p>
      <w:pPr>
        <w:pStyle w:val="BodyText"/>
        <w:spacing w:line="357" w:lineRule="auto" w:before="29"/>
        <w:ind w:right="7692"/>
        <w:jc w:val="left"/>
      </w:pPr>
      <w:r>
        <w:rPr/>
        <w:t>确定公司是代理人还是委托人的依据： 无</w:t>
      </w:r>
    </w:p>
    <w:p>
      <w:pPr>
        <w:pStyle w:val="BodyText"/>
        <w:spacing w:line="338" w:lineRule="auto" w:before="29"/>
        <w:ind w:right="1118"/>
        <w:jc w:val="left"/>
      </w:pPr>
      <w:r>
        <w:rPr/>
        <w:t>其他说明： </w:t>
      </w:r>
      <w:r>
        <w:rPr>
          <w:spacing w:val="-2"/>
        </w:rPr>
        <w:t>注：由于本年度本公司之子公司上海卫生信息工程技术研究中心有限公司之少数股东对其实施减资退出，导致本公司的持股</w:t>
      </w:r>
      <w:r>
        <w:rPr>
          <w:spacing w:val="-64"/>
        </w:rPr>
        <w:t> </w:t>
      </w:r>
      <w:r>
        <w:rPr>
          <w:spacing w:val="-64"/>
        </w:rPr>
      </w:r>
      <w:r>
        <w:rPr/>
        <w:t>比例由</w:t>
      </w:r>
      <w:r>
        <w:rPr>
          <w:rFonts w:ascii="Times New Roman" w:hAnsi="Times New Roman" w:cs="Times New Roman" w:eastAsia="Times New Roman" w:hint="default"/>
        </w:rPr>
        <w:t>57.14%</w:t>
      </w:r>
      <w:r>
        <w:rPr/>
        <w:t>上升为</w:t>
      </w:r>
      <w:r>
        <w:rPr>
          <w:rFonts w:ascii="Times New Roman" w:hAnsi="Times New Roman" w:cs="Times New Roman" w:eastAsia="Times New Roman" w:hint="default"/>
        </w:rPr>
        <w:t>74.07%</w:t>
      </w:r>
      <w:r>
        <w:rPr/>
        <w:t>。</w:t>
      </w: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417"/>
      <w:bookmarkEnd w:id="41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上海市民信箱信息服务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43,062.41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14,459,449.63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万达志翔医疗科技（北 京）有限责任公司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-3,019,111.90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7,567,606.17</w:t>
            </w:r>
          </w:p>
        </w:tc>
      </w:tr>
    </w:tbl>
    <w:p>
      <w:pPr>
        <w:pStyle w:val="BodyText"/>
        <w:spacing w:line="357" w:lineRule="auto" w:before="51"/>
        <w:ind w:right="6432"/>
        <w:jc w:val="left"/>
      </w:pPr>
      <w:r>
        <w:rPr/>
        <w:t>子公司少数股东的持股比例不同于表决权比例的说明：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重要非全资子公司的主要财务信息" w:id="418"/>
      <w:bookmarkEnd w:id="41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上海市 民信箱 信息服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24,747,4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13,559,9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38,307,3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1,231,80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1.86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1,231,80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23,544,4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13,936,1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37,480,5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万达志 翔医疗 </w:t>
            </w:r>
            <w:r>
              <w:rPr>
                <w:rFonts w:ascii="宋体" w:hAnsi="宋体" w:cs="宋体" w:eastAsia="宋体" w:hint="default"/>
                <w:spacing w:val="-10"/>
                <w:sz w:val="18"/>
                <w:szCs w:val="18"/>
              </w:rPr>
              <w:t>科技（北</w:t>
            </w:r>
            <w:r>
              <w:rPr>
                <w:rFonts w:ascii="宋体" w:hAnsi="宋体" w:cs="宋体" w:eastAsia="宋体" w:hint="default"/>
                <w:sz w:val="18"/>
                <w:szCs w:val="18"/>
              </w:rPr>
              <w:t> </w:t>
            </w:r>
            <w:r>
              <w:rPr>
                <w:rFonts w:ascii="宋体" w:hAnsi="宋体" w:cs="宋体" w:eastAsia="宋体" w:hint="default"/>
                <w:spacing w:val="-10"/>
                <w:sz w:val="18"/>
                <w:szCs w:val="18"/>
              </w:rPr>
              <w:t>京）有限</w:t>
            </w:r>
            <w:r>
              <w:rPr>
                <w:rFonts w:ascii="宋体" w:hAnsi="宋体" w:cs="宋体" w:eastAsia="宋体" w:hint="default"/>
                <w:sz w:val="18"/>
                <w:szCs w:val="18"/>
              </w:rPr>
              <w:t> 责任公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24,882,8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657,819.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25,540,6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315,266.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34,265,0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1,373,03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35,638,0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上海市民信 箱信息服务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10,692,129.5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110,416.44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110,416.44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4,237,192.24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6,455,957.31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443,621.10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443,621.10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2,679,051.17</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万达志翔医 疗科技（北 </w:t>
            </w:r>
            <w:r>
              <w:rPr>
                <w:rFonts w:ascii="宋体" w:hAnsi="宋体" w:cs="宋体" w:eastAsia="宋体" w:hint="default"/>
                <w:spacing w:val="-13"/>
                <w:sz w:val="18"/>
                <w:szCs w:val="18"/>
              </w:rPr>
              <w:t>京）有限责任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580,189.62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-10,063,706.3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-10,063,706.3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-9,702,257.28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103,773.58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-9,029,674.21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-9,029,674.21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-11,903,680.4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19"/>
      <w:bookmarkEnd w:id="41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向纳入合并财务报表范围的结构化主体提供的财务支持或其他支持" w:id="420"/>
      <w:bookmarkEnd w:id="42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2"/>
        <w:jc w:val="left"/>
      </w:pPr>
      <w:r>
        <w:rPr/>
        <w:t>无 其他说明： 无</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bookmarkStart w:name="2、在子公司的所有者权益份额发生变化且仍控制子公司的交易" w:id="421"/>
      <w:bookmarkEnd w:id="42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22"/>
      <w:bookmarkEnd w:id="42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交易对于少数股东权益及归属于母公司所有者权益的影响" w:id="423"/>
      <w:bookmarkEnd w:id="42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001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001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357" w:lineRule="auto" w:before="47"/>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在合营安排或联营企业中的权益" w:id="424"/>
      <w:bookmarkEnd w:id="42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25"/>
      <w:bookmarkEnd w:id="42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上海浦江科技投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上海达保贵生信 息科技股份有限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right="5892"/>
        <w:jc w:val="left"/>
      </w:pPr>
      <w:r>
        <w:rPr/>
        <w:t>在合营企业或联营企业的持股比例不同于表决权比例的说明： 无</w:t>
      </w:r>
    </w:p>
    <w:p>
      <w:pPr>
        <w:pStyle w:val="BodyText"/>
        <w:spacing w:line="240" w:lineRule="auto" w:before="29"/>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重要合营企业的主要财务信息" w:id="426"/>
      <w:bookmarkEnd w:id="42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357" w:lineRule="auto" w:before="52"/>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重要联营企业的主要财务信息" w:id="427"/>
      <w:bookmarkEnd w:id="42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1"/>
              <w:ind w:left="776" w:right="51" w:hanging="720"/>
              <w:jc w:val="left"/>
              <w:rPr>
                <w:rFonts w:ascii="宋体" w:hAnsi="宋体" w:cs="宋体" w:eastAsia="宋体" w:hint="default"/>
                <w:sz w:val="18"/>
                <w:szCs w:val="18"/>
              </w:rPr>
            </w:pPr>
            <w:r>
              <w:rPr>
                <w:rFonts w:ascii="宋体" w:hAnsi="宋体" w:cs="宋体" w:eastAsia="宋体" w:hint="default"/>
                <w:sz w:val="18"/>
                <w:szCs w:val="18"/>
              </w:rPr>
              <w:t>上海浦江科技投资有限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上海达保贵生信息科技 股份有限公司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771" w:right="51" w:hanging="720"/>
              <w:jc w:val="left"/>
              <w:rPr>
                <w:rFonts w:ascii="宋体" w:hAnsi="宋体" w:cs="宋体" w:eastAsia="宋体" w:hint="default"/>
                <w:sz w:val="18"/>
                <w:szCs w:val="18"/>
              </w:rPr>
            </w:pPr>
            <w:r>
              <w:rPr>
                <w:rFonts w:ascii="宋体" w:hAnsi="宋体" w:cs="宋体" w:eastAsia="宋体" w:hint="default"/>
                <w:sz w:val="18"/>
                <w:szCs w:val="18"/>
              </w:rPr>
              <w:t>上海浦江科技投资有限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上海达保贵生信息科技 股份有限公司</w:t>
            </w:r>
          </w:p>
        </w:tc>
      </w:tr>
      <w:tr>
        <w:trPr>
          <w:trHeight w:val="392"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3,239,952.21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33,438,439.61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3,209,631.66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33,142,655.95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40,244,401.40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247,116.37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39,983,846.49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268,714.27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43,484,353.61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33,685,555.98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43,193,478.15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33,411,370.22</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20,653,271.36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15,406,455.48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20,653,271.36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15,406,455.48</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11,273,256.77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5,212,913.85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11,200,068.88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7,201,965.90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33,050,886.49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6,289,518.67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2,328,768.11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-4,972,630.12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2,402,252.59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-4,195,085.26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2,328,768.11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-4,972,630.12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2,402,252.59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-4,195,085.26</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不重要的合营企业和联营企业的汇总财务信息" w:id="428"/>
      <w:bookmarkEnd w:id="42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2"/>
        <w:ind w:right="1003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合营企业或联营企业向本公司转移资金的能力存在重大限制的说明" w:id="429"/>
      <w:bookmarkEnd w:id="42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合营企业或联营企业发生的超额亏损" w:id="430"/>
      <w:bookmarkEnd w:id="43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52"/>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7）与合营企业投资相关的未确认承诺" w:id="431"/>
      <w:bookmarkEnd w:id="43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与合营企业或联营企业投资相关的或有负债" w:id="432"/>
      <w:bookmarkEnd w:id="43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重要的共同经营" w:id="433"/>
      <w:bookmarkEnd w:id="43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34"/>
      <w:bookmarkEnd w:id="43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12"/>
        <w:jc w:val="left"/>
      </w:pPr>
      <w:r>
        <w:rPr/>
        <w:t>未纳入合并财务报表范围的结构化主体的相关说明：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其他" w:id="435"/>
      <w:bookmarkEnd w:id="435"/>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36"/>
      <w:bookmarkEnd w:id="43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60"/>
        <w:jc w:val="left"/>
      </w:pPr>
      <w:r>
        <w:rPr>
          <w:spacing w:val="-2"/>
        </w:rPr>
        <w:t>本公司在经营过程中面临各种金融风险：信用风险、市场风险和流动性风险。公司董事会全面负责风险管理目标和政策</w:t>
      </w:r>
      <w:r>
        <w:rPr/>
        <w:t> </w:t>
      </w:r>
      <w:r>
        <w:rPr>
          <w:spacing w:val="-4"/>
        </w:rPr>
        <w:t>的确定，并对风险管理目标和政策承担最终责任。本公司风险管理的总体目标是在不过度影响公司竞争力和应变力的情况下，</w:t>
      </w:r>
      <w:r>
        <w:rPr>
          <w:spacing w:val="-44"/>
        </w:rPr>
        <w:t> </w:t>
      </w:r>
      <w:r>
        <w:rPr>
          <w:spacing w:val="-44"/>
        </w:rPr>
      </w:r>
      <w:r>
        <w:rPr/>
        <w:t>制定尽可能降低风险的风险管理政策。</w:t>
      </w:r>
    </w:p>
    <w:p>
      <w:pPr>
        <w:pStyle w:val="Heading6"/>
        <w:spacing w:line="240" w:lineRule="auto" w:before="17"/>
        <w:ind w:right="0"/>
        <w:jc w:val="left"/>
        <w:rPr>
          <w:b w:val="0"/>
          <w:bCs w:val="0"/>
        </w:rPr>
      </w:pPr>
      <w:r>
        <w:rPr/>
        <w:t>（</w:t>
      </w:r>
      <w:r>
        <w:rPr>
          <w:rFonts w:ascii="宋体" w:hAnsi="宋体" w:cs="宋体" w:eastAsia="宋体" w:hint="default"/>
        </w:rPr>
        <w:t>1</w:t>
      </w:r>
      <w:r>
        <w:rPr/>
        <w:t>）信用风险</w:t>
      </w:r>
      <w:r>
        <w:rPr>
          <w:b w:val="0"/>
          <w:bCs w:val="0"/>
        </w:rPr>
      </w:r>
    </w:p>
    <w:p>
      <w:pPr>
        <w:pStyle w:val="BodyText"/>
        <w:spacing w:line="316" w:lineRule="auto" w:before="76"/>
        <w:ind w:right="0"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212" w:hanging="360"/>
        <w:jc w:val="left"/>
      </w:pPr>
      <w:r>
        <w:rPr/>
        <w:t>可获取时）。公司对每一客户均设置了赊销限额，该限额为无需获得额外批准的最大额度。 公司通过对已有客户信用评级的季度监控以及应收账款账龄分析的月度审核来确保公司的整体信用风险在可控的范围</w:t>
      </w:r>
    </w:p>
    <w:p>
      <w:pPr>
        <w:pStyle w:val="BodyText"/>
        <w:spacing w:line="316" w:lineRule="auto" w:before="19"/>
        <w:ind w:right="0"/>
        <w:jc w:val="left"/>
      </w:pPr>
      <w:r>
        <w:rPr>
          <w:spacing w:val="-2"/>
        </w:rPr>
        <w:t>内。在监控客户的信用风险时，按照客户的信用特征对其分组。被评为“高风险”级别的客户会放在受限制客户名单里，并</w:t>
      </w:r>
      <w:r>
        <w:rPr>
          <w:spacing w:val="-66"/>
        </w:rPr>
        <w:t> </w:t>
      </w:r>
      <w:r>
        <w:rPr>
          <w:spacing w:val="-66"/>
        </w:rPr>
      </w:r>
      <w:r>
        <w:rPr/>
        <w:t>且只有在额外批准的前提下，公司才可在未来期间内对其赊销，否则必须要求其提前支付相应款项。</w:t>
      </w:r>
    </w:p>
    <w:p>
      <w:pPr>
        <w:pStyle w:val="Heading6"/>
        <w:spacing w:line="240" w:lineRule="auto" w:before="19"/>
        <w:ind w:right="0"/>
        <w:jc w:val="left"/>
        <w:rPr>
          <w:b w:val="0"/>
          <w:bCs w:val="0"/>
        </w:rPr>
      </w:pPr>
      <w:r>
        <w:rPr/>
        <w:t>（</w:t>
      </w:r>
      <w:r>
        <w:rPr>
          <w:rFonts w:ascii="宋体" w:hAnsi="宋体" w:cs="宋体" w:eastAsia="宋体" w:hint="default"/>
        </w:rPr>
        <w:t>2</w:t>
      </w:r>
      <w:r>
        <w:rPr/>
        <w:t>）市场风险</w:t>
      </w:r>
      <w:r>
        <w:rPr>
          <w:b w:val="0"/>
          <w:bCs w:val="0"/>
        </w:rPr>
      </w:r>
    </w:p>
    <w:p>
      <w:pPr>
        <w:pStyle w:val="BodyText"/>
        <w:spacing w:line="316" w:lineRule="auto" w:before="76"/>
        <w:ind w:right="1118" w:firstLine="360"/>
        <w:jc w:val="left"/>
      </w:pPr>
      <w:r>
        <w:rPr>
          <w:spacing w:val="-2"/>
        </w:rPr>
        <w:t>市场风险，是指金融工具的公允价值或未来现金流量因市场价格变动而发生波动的风险。市场风险主要包括利率风险和</w:t>
      </w:r>
      <w:r>
        <w:rPr/>
        <w:t> 外汇风险。</w:t>
      </w:r>
    </w:p>
    <w:p>
      <w:pPr>
        <w:pStyle w:val="BodyText"/>
        <w:spacing w:line="316" w:lineRule="auto" w:before="19"/>
        <w:ind w:left="514" w:right="1032"/>
        <w:jc w:val="left"/>
      </w:pPr>
      <w:r>
        <w:rPr>
          <w:rFonts w:ascii="宋体" w:hAnsi="宋体" w:cs="宋体" w:eastAsia="宋体" w:hint="default"/>
        </w:rPr>
        <w:t>1</w:t>
      </w:r>
      <w:r>
        <w:rPr/>
        <w:t>）利率风险 利率风险，是指金融工具的公允价值或未来现金流量因市场利率变动而发生波动的风险。本公司无重大利率风险。 </w:t>
      </w:r>
      <w:r>
        <w:rPr>
          <w:rFonts w:ascii="宋体" w:hAnsi="宋体" w:cs="宋体" w:eastAsia="宋体" w:hint="default"/>
        </w:rPr>
        <w:t>2</w:t>
      </w:r>
      <w:r>
        <w:rPr/>
        <w:t>）外汇风险 外汇风险，是指金融工具的公允价值或未来现金流量因外汇汇率变动而发生波动的风险。本公司主要于中国内地经营，</w:t>
      </w:r>
    </w:p>
    <w:p>
      <w:pPr>
        <w:pStyle w:val="BodyText"/>
        <w:spacing w:line="240" w:lineRule="auto" w:before="19"/>
        <w:ind w:right="0"/>
        <w:jc w:val="left"/>
      </w:pPr>
      <w:r>
        <w:rPr/>
        <w:t>且主要活动以人民币计价。因此，本公司所承担的外汇变动市场风险不重大。</w:t>
      </w:r>
    </w:p>
    <w:p>
      <w:pPr>
        <w:pStyle w:val="BodyText"/>
        <w:spacing w:line="316" w:lineRule="auto" w:before="76"/>
        <w:ind w:left="514" w:right="1118" w:hanging="360"/>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）流动性风险</w:t>
      </w:r>
      <w:r>
        <w:rPr>
          <w:rFonts w:ascii="宋体" w:hAnsi="宋体" w:cs="宋体" w:eastAsia="宋体" w:hint="default"/>
          <w:b/>
          <w:bCs/>
          <w:w w:val="99"/>
        </w:rPr>
        <w:t> </w:t>
      </w:r>
      <w:r>
        <w:rPr>
          <w:spacing w:val="-2"/>
        </w:rPr>
        <w:t>流动性风险，是指企业在履行以交付现金或其他金融资产的方式结算的义务时发生资金短缺的风险。本公司的政策是确</w:t>
      </w:r>
    </w:p>
    <w:p>
      <w:pPr>
        <w:pStyle w:val="BodyText"/>
        <w:spacing w:line="316" w:lineRule="auto" w:before="19"/>
        <w:ind w:right="0"/>
        <w:jc w:val="left"/>
      </w:pPr>
      <w:r>
        <w:rPr>
          <w:spacing w:val="-2"/>
        </w:rPr>
        <w:t>保拥有充足的现金以偿还到期债务。流动性风险由本公司的财务部门集中控制。财务部门通过监控现金余额、可随时变现的</w:t>
      </w:r>
      <w:r>
        <w:rPr>
          <w:spacing w:val="-66"/>
        </w:rPr>
        <w:t> </w:t>
      </w:r>
      <w:r>
        <w:rPr>
          <w:spacing w:val="-66"/>
        </w:rPr>
      </w:r>
      <w:r>
        <w:rPr/>
        <w:t>有价证券以及对未来</w:t>
      </w:r>
      <w:r>
        <w:rPr>
          <w:rFonts w:ascii="宋体" w:hAnsi="宋体" w:cs="宋体" w:eastAsia="宋体" w:hint="default"/>
        </w:rPr>
        <w:t>12</w:t>
      </w:r>
      <w:r>
        <w:rPr/>
        <w:t>个月现金流量的滚动预测，确保公司在所有合理预测的情况下拥有充足的资金偿还债务。</w:t>
      </w:r>
    </w:p>
    <w:p>
      <w:pPr>
        <w:pStyle w:val="BodyText"/>
        <w:spacing w:line="240" w:lineRule="auto" w:before="19"/>
        <w:ind w:left="514" w:right="0"/>
        <w:jc w:val="left"/>
      </w:pPr>
      <w:r>
        <w:rPr/>
        <w:t>本公司各项金融负债以未折现的合同现金流量按到期日列示如下：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702"/>
        <w:gridCol w:w="1560"/>
        <w:gridCol w:w="1416"/>
        <w:gridCol w:w="1560"/>
        <w:gridCol w:w="1276"/>
        <w:gridCol w:w="1559"/>
      </w:tblGrid>
      <w:tr>
        <w:trPr>
          <w:trHeight w:val="355"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371"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1702" w:type="dxa"/>
            <w:vMerge/>
            <w:tcBorders>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0"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5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短期及长期借款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3,429,829,998.50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3,477,114,606.56</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2,902,564,427.55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32" w:right="0"/>
              <w:jc w:val="center"/>
              <w:rPr>
                <w:rFonts w:ascii="Times New Roman" w:hAnsi="Times New Roman" w:cs="Times New Roman" w:eastAsia="Times New Roman" w:hint="default"/>
                <w:sz w:val="18"/>
                <w:szCs w:val="18"/>
              </w:rPr>
            </w:pPr>
            <w:r>
              <w:rPr>
                <w:rFonts w:ascii="Times New Roman"/>
                <w:sz w:val="18"/>
              </w:rPr>
              <w:t>277,777,806.93</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16" w:right="0"/>
              <w:jc w:val="left"/>
              <w:rPr>
                <w:rFonts w:ascii="Times New Roman" w:hAnsi="Times New Roman" w:cs="Times New Roman" w:eastAsia="Times New Roman" w:hint="default"/>
                <w:sz w:val="18"/>
                <w:szCs w:val="18"/>
              </w:rPr>
            </w:pPr>
            <w:r>
              <w:rPr>
                <w:rFonts w:ascii="Times New Roman"/>
                <w:sz w:val="18"/>
              </w:rPr>
              <w:t>296,772,372.08</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383,024,655.62</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383,024,655.62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383,024,655.62</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10,308,570.19</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10,308,570.19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10,308,570.19</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59,902,271.61</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59,902,271.61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59,902,271.61</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3,883,065,495.92</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3,930,350,103.98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3,355,799,924.97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32" w:right="0"/>
              <w:jc w:val="center"/>
              <w:rPr>
                <w:rFonts w:ascii="Times New Roman" w:hAnsi="Times New Roman" w:cs="Times New Roman" w:eastAsia="Times New Roman" w:hint="default"/>
                <w:sz w:val="18"/>
                <w:szCs w:val="18"/>
              </w:rPr>
            </w:pPr>
            <w:r>
              <w:rPr>
                <w:rFonts w:ascii="Times New Roman"/>
                <w:sz w:val="18"/>
              </w:rPr>
              <w:t>277,777,806.93</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16" w:right="0"/>
              <w:jc w:val="left"/>
              <w:rPr>
                <w:rFonts w:ascii="Times New Roman" w:hAnsi="Times New Roman" w:cs="Times New Roman" w:eastAsia="Times New Roman" w:hint="default"/>
                <w:sz w:val="18"/>
                <w:szCs w:val="18"/>
              </w:rPr>
            </w:pPr>
            <w:r>
              <w:rPr>
                <w:rFonts w:ascii="Times New Roman"/>
                <w:sz w:val="18"/>
              </w:rPr>
              <w:t>296,772,372.08</w:t>
            </w:r>
          </w:p>
        </w:tc>
      </w:tr>
    </w:tbl>
    <w:p>
      <w:pPr>
        <w:spacing w:line="240" w:lineRule="auto" w:before="11"/>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1702"/>
        <w:gridCol w:w="1561"/>
        <w:gridCol w:w="1419"/>
        <w:gridCol w:w="1556"/>
        <w:gridCol w:w="1276"/>
        <w:gridCol w:w="1559"/>
      </w:tblGrid>
      <w:tr>
        <w:trPr>
          <w:trHeight w:val="355"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371"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1702" w:type="dxa"/>
            <w:vMerge/>
            <w:tcBorders>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0"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短期及长期借款</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3,705,682,340.15</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3,876,799,047.97</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3,240,470,742.48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298,150,712.28</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338,177,593.21</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442,956,304.81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442,956,304.81</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442,956,304.81</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19,154,234.09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19,154,234.09</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19,154,234.09</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59,412,383.32</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59,412,383.32</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59,412,383.32</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667,046,181.61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957,600,000.00</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2,700,000.00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13,500,000.00</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941,400,000.00</w:t>
            </w:r>
          </w:p>
        </w:tc>
      </w:tr>
      <w:tr>
        <w:trPr>
          <w:trHeight w:val="35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4,894,251,443.98</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5,355,921,970.19</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3,764,693,664.70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311,650,712.28</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1,279,577,593.21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一、公允价值的披露" w:id="437"/>
      <w:bookmarkEnd w:id="437"/>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38"/>
      <w:bookmarkEnd w:id="43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439"/>
      <w:bookmarkEnd w:id="43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持续和非持续第二层次公允价值计量项目，采用的估值技术和重要参数的定性及定量信" w:id="440"/>
      <w:bookmarkEnd w:id="44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持续和非持续第三层次公允价值计量项目，采用的估值技术和重要参数的定性及定量信" w:id="441"/>
      <w:bookmarkEnd w:id="44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持续的第三层次公允价值计量项目，期初与期末账面价值间的调节信息及不可观察参数" w:id="442"/>
      <w:bookmarkEnd w:id="44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持续的公允价值计量项目，本期内发生各层级之间转换的，转换的原因及确定转换时点" w:id="443"/>
      <w:bookmarkEnd w:id="44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本期内发生的估值技术变更及变更原因" w:id="444"/>
      <w:bookmarkEnd w:id="44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不以公允价值计量的金融资产和金融负债的公允价值情况" w:id="445"/>
      <w:bookmarkEnd w:id="44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9、其他" w:id="446"/>
      <w:bookmarkEnd w:id="446"/>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二、关联方及关联交易" w:id="447"/>
      <w:bookmarkEnd w:id="447"/>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448"/>
      <w:bookmarkEnd w:id="44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5"/>
        <w:gridCol w:w="1205"/>
        <w:gridCol w:w="1594"/>
        <w:gridCol w:w="1594"/>
        <w:gridCol w:w="1595"/>
        <w:gridCol w:w="1595"/>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23.25%</w:t>
            </w:r>
          </w:p>
        </w:tc>
      </w:tr>
    </w:tbl>
    <w:p>
      <w:pPr>
        <w:pStyle w:val="BodyText"/>
        <w:spacing w:line="240" w:lineRule="auto" w:before="51"/>
        <w:ind w:right="0"/>
        <w:jc w:val="left"/>
      </w:pPr>
      <w:r>
        <w:rPr/>
        <w:t>本企业的母公司情况的说明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firstLine="36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日，万豪投资持有公司</w:t>
      </w:r>
      <w:r>
        <w:rPr>
          <w:rFonts w:ascii="Times New Roman" w:hAnsi="Times New Roman" w:cs="Times New Roman" w:eastAsia="Times New Roman" w:hint="default"/>
        </w:rPr>
        <w:t>255,588,800</w:t>
      </w:r>
      <w:r>
        <w:rPr/>
        <w:t>股股票，占公司总股本的</w:t>
      </w:r>
      <w:r>
        <w:rPr>
          <w:rFonts w:ascii="Times New Roman" w:hAnsi="Times New Roman" w:cs="Times New Roman" w:eastAsia="Times New Roman" w:hint="default"/>
        </w:rPr>
        <w:t>23.25%</w:t>
      </w:r>
      <w:r>
        <w:rPr/>
        <w:t>，为公司的控股股东。史一兵先 生直接持有万豪投资</w:t>
      </w:r>
      <w:r>
        <w:rPr>
          <w:rFonts w:ascii="Times New Roman" w:hAnsi="Times New Roman" w:cs="Times New Roman" w:eastAsia="Times New Roman" w:hint="default"/>
        </w:rPr>
        <w:t>53.45%</w:t>
      </w:r>
      <w:r>
        <w:rPr/>
        <w:t>股权并通过上海深赜间接持有万豪投资</w:t>
      </w:r>
      <w:r>
        <w:rPr>
          <w:rFonts w:ascii="Times New Roman" w:hAnsi="Times New Roman" w:cs="Times New Roman" w:eastAsia="Times New Roman" w:hint="default"/>
        </w:rPr>
        <w:t>34.375%</w:t>
      </w:r>
      <w:r>
        <w:rPr/>
        <w:t>股权，合计持有公司控股股东万豪投资</w:t>
      </w:r>
      <w:r>
        <w:rPr>
          <w:rFonts w:ascii="Times New Roman" w:hAnsi="Times New Roman" w:cs="Times New Roman" w:eastAsia="Times New Roman" w:hint="default"/>
        </w:rPr>
        <w:t>87.825% </w:t>
      </w:r>
      <w:r>
        <w:rPr>
          <w:spacing w:val="-1"/>
        </w:rPr>
        <w:t>股权，同时其直接持有公司</w:t>
      </w:r>
      <w:r>
        <w:rPr>
          <w:rFonts w:ascii="Times New Roman" w:hAnsi="Times New Roman" w:cs="Times New Roman" w:eastAsia="Times New Roman" w:hint="default"/>
          <w:spacing w:val="-1"/>
        </w:rPr>
        <w:t>5,508,600</w:t>
      </w:r>
      <w:r>
        <w:rPr>
          <w:spacing w:val="-1"/>
        </w:rPr>
        <w:t>股股票，占公司总股本的</w:t>
      </w:r>
      <w:r>
        <w:rPr>
          <w:rFonts w:ascii="Times New Roman" w:hAnsi="Times New Roman" w:cs="Times New Roman" w:eastAsia="Times New Roman" w:hint="default"/>
          <w:spacing w:val="-1"/>
        </w:rPr>
        <w:t>0.50%</w:t>
      </w:r>
      <w:r>
        <w:rPr>
          <w:spacing w:val="-1"/>
        </w:rPr>
        <w:t>。史一兵先生合计控制公司</w:t>
      </w:r>
      <w:r>
        <w:rPr>
          <w:rFonts w:ascii="Times New Roman" w:hAnsi="Times New Roman" w:cs="Times New Roman" w:eastAsia="Times New Roman" w:hint="default"/>
          <w:spacing w:val="-1"/>
        </w:rPr>
        <w:t>23.75%</w:t>
      </w:r>
      <w:r>
        <w:rPr>
          <w:spacing w:val="-1"/>
        </w:rPr>
        <w:t>股份，为公司的实际</w:t>
      </w:r>
      <w:r>
        <w:rPr>
          <w:spacing w:val="-53"/>
        </w:rPr>
        <w:t> </w:t>
      </w:r>
      <w:r>
        <w:rPr>
          <w:spacing w:val="-53"/>
        </w:rPr>
      </w:r>
      <w:r>
        <w:rPr/>
        <w:t>控制人。首次公开发行股票并在创业板上市以来，公司控股股东和实际控制人未发生变化。</w:t>
      </w:r>
    </w:p>
    <w:p>
      <w:pPr>
        <w:pStyle w:val="BodyText"/>
        <w:spacing w:line="360" w:lineRule="auto" w:before="72"/>
        <w:ind w:right="8412"/>
        <w:jc w:val="left"/>
      </w:pPr>
      <w:r>
        <w:rPr/>
        <w:t>本企业最终控制方是史一兵。 其他说明：</w:t>
      </w:r>
    </w:p>
    <w:p>
      <w:pPr>
        <w:pStyle w:val="BodyText"/>
        <w:spacing w:line="240" w:lineRule="auto" w:before="25"/>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本企业的子公司情况" w:id="449"/>
      <w:bookmarkEnd w:id="44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450"/>
      <w:bookmarkEnd w:id="45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2"/>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51"/>
      <w:bookmarkEnd w:id="45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长江联合金融租赁有限公司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上海达保贵生信息科技股份有限公司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上海慧明软件开发中心（普通合伙）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子公司高级管理人员之关联公司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宁波市科技园区明天医网科技有限公司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子公司法人之关联公司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公司股东及高管</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上海全程玖玖健康服务有限公司（原上海万达全程健康服务 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上海嘉达信息科技有限公司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深圳市华波美通信技术有限公司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子公司少数股东之关联公司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深圳市华天星通信技术有限公司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子公司少数股东之关联公司</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关联交易情况" w:id="452"/>
      <w:bookmarkEnd w:id="45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53"/>
      <w:bookmarkEnd w:id="45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2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深圳市华波美通信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452,706.01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8,263,759.47</w:t>
            </w:r>
          </w:p>
        </w:tc>
      </w:tr>
      <w:tr>
        <w:trPr>
          <w:trHeight w:val="63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5"/>
              <w:jc w:val="left"/>
              <w:rPr>
                <w:rFonts w:ascii="宋体" w:hAnsi="宋体" w:cs="宋体" w:eastAsia="宋体" w:hint="default"/>
                <w:sz w:val="18"/>
                <w:szCs w:val="18"/>
              </w:rPr>
            </w:pPr>
            <w:r>
              <w:rPr>
                <w:rFonts w:ascii="宋体" w:hAnsi="宋体" w:cs="宋体" w:eastAsia="宋体" w:hint="default"/>
                <w:sz w:val="18"/>
                <w:szCs w:val="18"/>
              </w:rPr>
              <w:t>深圳市华天星通信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287,260.00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418,522.68</w:t>
            </w:r>
          </w:p>
        </w:tc>
      </w:tr>
      <w:tr>
        <w:trPr>
          <w:trHeight w:val="63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5"/>
              <w:jc w:val="left"/>
              <w:rPr>
                <w:rFonts w:ascii="宋体" w:hAnsi="宋体" w:cs="宋体" w:eastAsia="宋体" w:hint="default"/>
                <w:sz w:val="18"/>
                <w:szCs w:val="18"/>
              </w:rPr>
            </w:pPr>
            <w:r>
              <w:rPr>
                <w:rFonts w:ascii="宋体" w:hAnsi="宋体" w:cs="宋体" w:eastAsia="宋体" w:hint="default"/>
                <w:sz w:val="18"/>
                <w:szCs w:val="18"/>
              </w:rPr>
              <w:t>上海慧明软件开发 中心（普通合伙）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8,173,584.68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11,971,483.96</w:t>
            </w:r>
          </w:p>
        </w:tc>
      </w:tr>
      <w:tr>
        <w:trPr>
          <w:trHeight w:val="63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长江联合金融租赁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11,149,488.00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9,497,457.15</w:t>
            </w:r>
          </w:p>
        </w:tc>
      </w:tr>
      <w:tr>
        <w:trPr>
          <w:trHeight w:val="63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上海达保贵生信息 科技股份有限公司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2,596,878.04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2,719,202.64</w:t>
            </w:r>
          </w:p>
        </w:tc>
      </w:tr>
      <w:tr>
        <w:trPr>
          <w:trHeight w:val="63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5"/>
              <w:jc w:val="left"/>
              <w:rPr>
                <w:rFonts w:ascii="宋体" w:hAnsi="宋体" w:cs="宋体" w:eastAsia="宋体" w:hint="default"/>
                <w:sz w:val="18"/>
                <w:szCs w:val="18"/>
              </w:rPr>
            </w:pPr>
            <w:r>
              <w:rPr>
                <w:rFonts w:ascii="宋体" w:hAnsi="宋体" w:cs="宋体" w:eastAsia="宋体" w:hint="default"/>
                <w:sz w:val="18"/>
                <w:szCs w:val="18"/>
              </w:rPr>
              <w:t>上海全程玖玖健康 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9,167,313.58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宁波市科技园区明 天医网科技有限公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2,607,160.25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9,066,142.95</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2127"/>
        <w:gridCol w:w="1670"/>
        <w:gridCol w:w="2652"/>
      </w:tblGrid>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上海达保贵生信息科技股份有限公司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2,867,126.19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14,262,093.44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宁波市科技园区明天医网科技有限公司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w:t>
            </w:r>
          </w:p>
        </w:tc>
        <w:tc>
          <w:tcPr>
            <w:tcW w:w="167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113,207.52</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上海全程玖玖健康服务有限公司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1,234,276.73</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7332"/>
        <w:jc w:val="left"/>
      </w:pPr>
      <w:r>
        <w:rPr/>
        <w:t>购销商品、提供和接受劳务的关联交易说明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关联受托管理/承包及委托管理/出包情况" w:id="454"/>
      <w:bookmarkEnd w:id="45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1"/>
        <w:ind w:right="520"/>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20"/>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51"/>
        <w:ind w:right="8902"/>
        <w:jc w:val="left"/>
      </w:pPr>
      <w:r>
        <w:rPr/>
        <w:t>关联管理</w:t>
      </w:r>
      <w:r>
        <w:rPr>
          <w:rFonts w:ascii="Times New Roman" w:hAnsi="Times New Roman" w:cs="Times New Roman" w:eastAsia="Times New Roman" w:hint="default"/>
        </w:rPr>
        <w:t>/</w:t>
      </w:r>
      <w:r>
        <w:rPr/>
        <w:t>出包情况说明 无</w:t>
      </w:r>
    </w:p>
    <w:p>
      <w:pPr>
        <w:spacing w:after="0" w:line="338"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关联租赁情况" w:id="455"/>
      <w:bookmarkEnd w:id="45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57" w:lineRule="auto" w:before="51"/>
        <w:ind w:right="9312"/>
        <w:jc w:val="left"/>
      </w:pPr>
      <w:r>
        <w:rPr/>
        <w:t>关联租赁情况说明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关联担保情况" w:id="456"/>
      <w:bookmarkEnd w:id="45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4"/>
        <w:rPr>
          <w:rFonts w:ascii="宋体" w:hAnsi="宋体" w:cs="宋体" w:eastAsia="宋体" w:hint="default"/>
          <w:sz w:val="9"/>
          <w:szCs w:val="9"/>
        </w:rPr>
      </w:pPr>
    </w:p>
    <w:p>
      <w:pPr>
        <w:pStyle w:val="BodyText"/>
        <w:tabs>
          <w:tab w:pos="2913" w:val="left" w:leader="none"/>
          <w:tab w:pos="4489" w:val="left" w:leader="none"/>
          <w:tab w:pos="6403" w:val="left" w:leader="none"/>
          <w:tab w:pos="7867" w:val="left" w:leader="none"/>
        </w:tabs>
        <w:spacing w:line="240" w:lineRule="auto" w:before="44"/>
        <w:ind w:left="999" w:right="0"/>
        <w:jc w:val="left"/>
      </w:pPr>
      <w:r>
        <w:rPr/>
        <w:pict>
          <v:group style="position:absolute;margin-left:56.459999pt;margin-top:-1.088311pt;width:479.05pt;height:431.8pt;mso-position-horizontal-relative:page;mso-position-vertical-relative:paragraph;z-index:-1241896" coordorigin="1129,-22" coordsize="9581,8636">
            <v:group style="position:absolute;left:1150;top:-7;width:2;height:393" coordorigin="1150,-7" coordsize="2,393">
              <v:shape style="position:absolute;left:1150;top:-7;width:2;height:393" coordorigin="1150,-7" coordsize="0,393" path="m1150,-7l1150,385e" filled="false" stroked="true" strokeweight="1.140pt" strokecolor="#d2d2d2">
                <v:path arrowok="t"/>
              </v:shape>
            </v:group>
            <v:group style="position:absolute;left:3528;top:-7;width:2;height:393" coordorigin="3528,-7" coordsize="2,393">
              <v:shape style="position:absolute;left:3528;top:-7;width:2;height:393" coordorigin="3528,-7" coordsize="0,393" path="m3528,-7l3528,385e" filled="false" stroked="true" strokeweight="1.140pt" strokecolor="#d2d2d2">
                <v:path arrowok="t"/>
              </v:shape>
            </v:group>
            <v:group style="position:absolute;left:1162;top:-7;width:2355;height:393" coordorigin="1162,-7" coordsize="2355,393">
              <v:shape style="position:absolute;left:1162;top:-7;width:2355;height:393" coordorigin="1162,-7" coordsize="2355,393" path="m1162,385l3516,385,3516,-7,1162,-7,1162,385xe" filled="true" fillcolor="#d2d2d2" stroked="false">
                <v:path arrowok="t"/>
                <v:fill type="solid"/>
              </v:shape>
            </v:group>
            <v:group style="position:absolute;left:3561;top:-7;width:2;height:393" coordorigin="3561,-7" coordsize="2,393">
              <v:shape style="position:absolute;left:3561;top:-7;width:2;height:393" coordorigin="3561,-7" coordsize="0,393" path="m3561,-7l3561,385e" filled="false" stroked="true" strokeweight="1.2pt" strokecolor="#d2d2d2">
                <v:path arrowok="t"/>
              </v:shape>
            </v:group>
            <v:group style="position:absolute;left:4947;top:-7;width:2;height:393" coordorigin="4947,-7" coordsize="2,393">
              <v:shape style="position:absolute;left:4947;top:-7;width:2;height:393" coordorigin="4947,-7" coordsize="0,393" path="m4947,-7l4947,385e" filled="false" stroked="true" strokeweight="1.140pt" strokecolor="#d2d2d2">
                <v:path arrowok="t"/>
              </v:shape>
            </v:group>
            <v:group style="position:absolute;left:3573;top:-7;width:1363;height:393" coordorigin="3573,-7" coordsize="1363,393">
              <v:shape style="position:absolute;left:3573;top:-7;width:1363;height:393" coordorigin="3573,-7" coordsize="1363,393" path="m3573,385l4935,385,4935,-7,3573,-7,3573,385xe" filled="true" fillcolor="#d2d2d2" stroked="false">
                <v:path arrowok="t"/>
                <v:fill type="solid"/>
              </v:shape>
            </v:group>
            <v:group style="position:absolute;left:4979;top:-7;width:2;height:393" coordorigin="4979,-7" coordsize="2,393">
              <v:shape style="position:absolute;left:4979;top:-7;width:2;height:393" coordorigin="4979,-7" coordsize="0,393" path="m4979,-7l4979,385e" filled="false" stroked="true" strokeweight="1.140pt" strokecolor="#d2d2d2">
                <v:path arrowok="t"/>
              </v:shape>
            </v:group>
            <v:group style="position:absolute;left:6861;top:-7;width:2;height:393" coordorigin="6861,-7" coordsize="2,393">
              <v:shape style="position:absolute;left:6861;top:-7;width:2;height:393" coordorigin="6861,-7" coordsize="0,393" path="m6861,-7l6861,385e" filled="false" stroked="true" strokeweight="1.140pt" strokecolor="#d2d2d2">
                <v:path arrowok="t"/>
              </v:shape>
            </v:group>
            <v:group style="position:absolute;left:4990;top:-7;width:1859;height:393" coordorigin="4990,-7" coordsize="1859,393">
              <v:shape style="position:absolute;left:4990;top:-7;width:1859;height:393" coordorigin="4990,-7" coordsize="1859,393" path="m4990,385l6849,385,6849,-7,4990,-7,4990,385xe" filled="true" fillcolor="#d2d2d2" stroked="false">
                <v:path arrowok="t"/>
                <v:fill type="solid"/>
              </v:shape>
            </v:group>
            <v:group style="position:absolute;left:6893;top:-7;width:2;height:393" coordorigin="6893,-7" coordsize="2,393">
              <v:shape style="position:absolute;left:6893;top:-7;width:2;height:393" coordorigin="6893,-7" coordsize="0,393" path="m6893,-7l6893,385e" filled="false" stroked="true" strokeweight="1.140pt" strokecolor="#d2d2d2">
                <v:path arrowok="t"/>
              </v:shape>
            </v:group>
            <v:group style="position:absolute;left:8775;top:-7;width:2;height:393" coordorigin="8775,-7" coordsize="2,393">
              <v:shape style="position:absolute;left:8775;top:-7;width:2;height:393" coordorigin="8775,-7" coordsize="0,393" path="m8775,-7l8775,385e" filled="false" stroked="true" strokeweight="1.140pt" strokecolor="#d2d2d2">
                <v:path arrowok="t"/>
              </v:shape>
            </v:group>
            <v:group style="position:absolute;left:6904;top:-7;width:1860;height:393" coordorigin="6904,-7" coordsize="1860,393">
              <v:shape style="position:absolute;left:6904;top:-7;width:1860;height:393" coordorigin="6904,-7" coordsize="1860,393" path="m6904,385l8764,385,8764,-7,6904,-7,6904,385xe" filled="true" fillcolor="#d2d2d2" stroked="false">
                <v:path arrowok="t"/>
                <v:fill type="solid"/>
              </v:shape>
            </v:group>
            <v:group style="position:absolute;left:8807;top:-7;width:2;height:393" coordorigin="8807,-7" coordsize="2,393">
              <v:shape style="position:absolute;left:8807;top:-7;width:2;height:393" coordorigin="8807,-7" coordsize="0,393" path="m8807,-7l8807,385e" filled="false" stroked="true" strokeweight="1.140pt" strokecolor="#d2d2d2">
                <v:path arrowok="t"/>
              </v:shape>
            </v:group>
            <v:group style="position:absolute;left:10689;top:-7;width:2;height:393" coordorigin="10689,-7" coordsize="2,393">
              <v:shape style="position:absolute;left:10689;top:-7;width:2;height:393" coordorigin="10689,-7" coordsize="0,393" path="m10689,-7l10689,385e" filled="false" stroked="true" strokeweight="1.140pt" strokecolor="#d2d2d2">
                <v:path arrowok="t"/>
              </v:shape>
            </v:group>
            <v:group style="position:absolute;left:8819;top:-7;width:1859;height:393" coordorigin="8819,-7" coordsize="1859,393">
              <v:shape style="position:absolute;left:8819;top:-7;width:1859;height:393" coordorigin="8819,-7" coordsize="1859,393" path="m8819,385l10678,385,10678,-7,8819,-7,8819,385xe" filled="true" fillcolor="#d2d2d2" stroked="false">
                <v:path arrowok="t"/>
                <v:fill type="solid"/>
              </v:shape>
            </v:group>
            <v:group style="position:absolute;left:1139;top:-12;width:2401;height:2" coordorigin="1139,-12" coordsize="2401,2">
              <v:shape style="position:absolute;left:1139;top:-12;width:2401;height:2" coordorigin="1139,-12" coordsize="2401,0" path="m1139,-12l3539,-12e" filled="false" stroked="true" strokeweight=".48001pt" strokecolor="#000000">
                <v:path arrowok="t"/>
              </v:shape>
            </v:group>
            <v:group style="position:absolute;left:3549;top:-12;width:1410;height:2" coordorigin="3549,-12" coordsize="1410,2">
              <v:shape style="position:absolute;left:3549;top:-12;width:1410;height:2" coordorigin="3549,-12" coordsize="1410,0" path="m3549,-12l4958,-12e" filled="false" stroked="true" strokeweight=".48001pt" strokecolor="#000000">
                <v:path arrowok="t"/>
              </v:shape>
            </v:group>
            <v:group style="position:absolute;left:4968;top:-12;width:1905;height:2" coordorigin="4968,-12" coordsize="1905,2">
              <v:shape style="position:absolute;left:4968;top:-12;width:1905;height:2" coordorigin="4968,-12" coordsize="1905,0" path="m4968,-12l6872,-12e" filled="false" stroked="true" strokeweight=".48001pt" strokecolor="#000000">
                <v:path arrowok="t"/>
              </v:shape>
            </v:group>
            <v:group style="position:absolute;left:6882;top:-12;width:1905;height:2" coordorigin="6882,-12" coordsize="1905,2">
              <v:shape style="position:absolute;left:6882;top:-12;width:1905;height:2" coordorigin="6882,-12" coordsize="1905,0" path="m6882,-12l8786,-12e" filled="false" stroked="true" strokeweight=".48001pt" strokecolor="#000000">
                <v:path arrowok="t"/>
              </v:shape>
            </v:group>
            <v:group style="position:absolute;left:8796;top:-12;width:1905;height:2" coordorigin="8796,-12" coordsize="1905,2">
              <v:shape style="position:absolute;left:8796;top:-12;width:1905;height:2" coordorigin="8796,-12" coordsize="1905,0" path="m8796,-12l10700,-12e" filled="false" stroked="true" strokeweight=".48001pt" strokecolor="#000000">
                <v:path arrowok="t"/>
              </v:shape>
            </v:group>
            <v:group style="position:absolute;left:1139;top:390;width:2401;height:2" coordorigin="1139,390" coordsize="2401,2">
              <v:shape style="position:absolute;left:1139;top:390;width:2401;height:2" coordorigin="1139,390" coordsize="2401,0" path="m1139,390l3539,390e" filled="false" stroked="true" strokeweight=".48001pt" strokecolor="#000000">
                <v:path arrowok="t"/>
              </v:shape>
            </v:group>
            <v:group style="position:absolute;left:3549;top:390;width:1410;height:2" coordorigin="3549,390" coordsize="1410,2">
              <v:shape style="position:absolute;left:3549;top:390;width:1410;height:2" coordorigin="3549,390" coordsize="1410,0" path="m3549,390l4958,390e" filled="false" stroked="true" strokeweight=".48001pt" strokecolor="#000000">
                <v:path arrowok="t"/>
              </v:shape>
            </v:group>
            <v:group style="position:absolute;left:4968;top:390;width:1905;height:2" coordorigin="4968,390" coordsize="1905,2">
              <v:shape style="position:absolute;left:4968;top:390;width:1905;height:2" coordorigin="4968,390" coordsize="1905,0" path="m4968,390l6872,390e" filled="false" stroked="true" strokeweight=".48001pt" strokecolor="#000000">
                <v:path arrowok="t"/>
              </v:shape>
            </v:group>
            <v:group style="position:absolute;left:6882;top:390;width:1905;height:2" coordorigin="6882,390" coordsize="1905,2">
              <v:shape style="position:absolute;left:6882;top:390;width:1905;height:2" coordorigin="6882,390" coordsize="1905,0" path="m6882,390l8786,390e" filled="false" stroked="true" strokeweight=".48001pt" strokecolor="#000000">
                <v:path arrowok="t"/>
              </v:shape>
            </v:group>
            <v:group style="position:absolute;left:8796;top:390;width:1905;height:2" coordorigin="8796,390" coordsize="1905,2">
              <v:shape style="position:absolute;left:8796;top:390;width:1905;height:2" coordorigin="8796,390" coordsize="1905,0" path="m8796,390l10700,390e" filled="false" stroked="true" strokeweight=".48001pt" strokecolor="#000000">
                <v:path arrowok="t"/>
              </v:shape>
            </v:group>
            <v:group style="position:absolute;left:3561;top:1421;width:2;height:393" coordorigin="3561,1421" coordsize="2,393">
              <v:shape style="position:absolute;left:3561;top:1421;width:2;height:393" coordorigin="3561,1421" coordsize="0,393" path="m3561,1421l3561,1813e" filled="false" stroked="true" strokeweight="1.2pt" strokecolor="#ffffff">
                <v:path arrowok="t"/>
              </v:shape>
            </v:group>
            <v:group style="position:absolute;left:3573;top:1421;width:1363;height:393" coordorigin="3573,1421" coordsize="1363,393">
              <v:shape style="position:absolute;left:3573;top:1421;width:1363;height:393" coordorigin="3573,1421" coordsize="1363,393" path="m3573,1813l4935,1813,4935,1421,3573,1421,3573,1813xe" filled="true" fillcolor="#ffffff" stroked="false">
                <v:path arrowok="t"/>
                <v:fill type="solid"/>
              </v:shape>
            </v:group>
            <v:group style="position:absolute;left:1139;top:1416;width:2401;height:2" coordorigin="1139,1416" coordsize="2401,2">
              <v:shape style="position:absolute;left:1139;top:1416;width:2401;height:2" coordorigin="1139,1416" coordsize="2401,0" path="m1139,1416l3539,1416e" filled="false" stroked="true" strokeweight=".48001pt" strokecolor="#000000">
                <v:path arrowok="t"/>
              </v:shape>
            </v:group>
            <v:group style="position:absolute;left:3549;top:1416;width:1410;height:2" coordorigin="3549,1416" coordsize="1410,2">
              <v:shape style="position:absolute;left:3549;top:1416;width:1410;height:2" coordorigin="3549,1416" coordsize="1410,0" path="m3549,1416l4958,1416e" filled="false" stroked="true" strokeweight=".48001pt" strokecolor="#000000">
                <v:path arrowok="t"/>
              </v:shape>
            </v:group>
            <v:group style="position:absolute;left:4968;top:1416;width:1905;height:2" coordorigin="4968,1416" coordsize="1905,2">
              <v:shape style="position:absolute;left:4968;top:1416;width:1905;height:2" coordorigin="4968,1416" coordsize="1905,0" path="m4968,1416l6872,1416e" filled="false" stroked="true" strokeweight=".48001pt" strokecolor="#000000">
                <v:path arrowok="t"/>
              </v:shape>
            </v:group>
            <v:group style="position:absolute;left:6882;top:1416;width:1905;height:2" coordorigin="6882,1416" coordsize="1905,2">
              <v:shape style="position:absolute;left:6882;top:1416;width:1905;height:2" coordorigin="6882,1416" coordsize="1905,0" path="m6882,1416l8786,1416e" filled="false" stroked="true" strokeweight=".48001pt" strokecolor="#000000">
                <v:path arrowok="t"/>
              </v:shape>
            </v:group>
            <v:group style="position:absolute;left:8796;top:1416;width:1905;height:2" coordorigin="8796,1416" coordsize="1905,2">
              <v:shape style="position:absolute;left:8796;top:1416;width:1905;height:2" coordorigin="8796,1416" coordsize="1905,0" path="m8796,1416l10700,1416e" filled="false" stroked="true" strokeweight=".48001pt" strokecolor="#000000">
                <v:path arrowok="t"/>
              </v:shape>
            </v:group>
            <v:group style="position:absolute;left:1139;top:1818;width:2401;height:2" coordorigin="1139,1818" coordsize="2401,2">
              <v:shape style="position:absolute;left:1139;top:1818;width:2401;height:2" coordorigin="1139,1818" coordsize="2401,0" path="m1139,1818l3539,1818e" filled="false" stroked="true" strokeweight=".47998pt" strokecolor="#000000">
                <v:path arrowok="t"/>
              </v:shape>
            </v:group>
            <v:group style="position:absolute;left:3549;top:1818;width:1410;height:2" coordorigin="3549,1818" coordsize="1410,2">
              <v:shape style="position:absolute;left:3549;top:1818;width:1410;height:2" coordorigin="3549,1818" coordsize="1410,0" path="m3549,1818l4958,1818e" filled="false" stroked="true" strokeweight=".47998pt" strokecolor="#000000">
                <v:path arrowok="t"/>
              </v:shape>
            </v:group>
            <v:group style="position:absolute;left:4968;top:1818;width:1905;height:2" coordorigin="4968,1818" coordsize="1905,2">
              <v:shape style="position:absolute;left:4968;top:1818;width:1905;height:2" coordorigin="4968,1818" coordsize="1905,0" path="m4968,1818l6872,1818e" filled="false" stroked="true" strokeweight=".47998pt" strokecolor="#000000">
                <v:path arrowok="t"/>
              </v:shape>
            </v:group>
            <v:group style="position:absolute;left:6882;top:1818;width:1905;height:2" coordorigin="6882,1818" coordsize="1905,2">
              <v:shape style="position:absolute;left:6882;top:1818;width:1905;height:2" coordorigin="6882,1818" coordsize="1905,0" path="m6882,1818l8786,1818e" filled="false" stroked="true" strokeweight=".47998pt" strokecolor="#000000">
                <v:path arrowok="t"/>
              </v:shape>
            </v:group>
            <v:group style="position:absolute;left:8796;top:1818;width:1905;height:2" coordorigin="8796,1818" coordsize="1905,2">
              <v:shape style="position:absolute;left:8796;top:1818;width:1905;height:2" coordorigin="8796,1818" coordsize="1905,0" path="m8796,1818l10700,1818e" filled="false" stroked="true" strokeweight=".47998pt" strokecolor="#000000">
                <v:path arrowok="t"/>
              </v:shape>
            </v:group>
            <v:group style="position:absolute;left:1139;top:2532;width:2401;height:2" coordorigin="1139,2532" coordsize="2401,2">
              <v:shape style="position:absolute;left:1139;top:2532;width:2401;height:2" coordorigin="1139,2532" coordsize="2401,0" path="m1139,2532l3539,2532e" filled="false" stroked="true" strokeweight=".48001pt" strokecolor="#000000">
                <v:path arrowok="t"/>
              </v:shape>
            </v:group>
            <v:group style="position:absolute;left:3549;top:2532;width:1410;height:2" coordorigin="3549,2532" coordsize="1410,2">
              <v:shape style="position:absolute;left:3549;top:2532;width:1410;height:2" coordorigin="3549,2532" coordsize="1410,0" path="m3549,2532l4958,2532e" filled="false" stroked="true" strokeweight=".48001pt" strokecolor="#000000">
                <v:path arrowok="t"/>
              </v:shape>
            </v:group>
            <v:group style="position:absolute;left:4968;top:2532;width:1905;height:2" coordorigin="4968,2532" coordsize="1905,2">
              <v:shape style="position:absolute;left:4968;top:2532;width:1905;height:2" coordorigin="4968,2532" coordsize="1905,0" path="m4968,2532l6872,2532e" filled="false" stroked="true" strokeweight=".48001pt" strokecolor="#000000">
                <v:path arrowok="t"/>
              </v:shape>
            </v:group>
            <v:group style="position:absolute;left:6882;top:2532;width:1905;height:2" coordorigin="6882,2532" coordsize="1905,2">
              <v:shape style="position:absolute;left:6882;top:2532;width:1905;height:2" coordorigin="6882,2532" coordsize="1905,0" path="m6882,2532l8786,2532e" filled="false" stroked="true" strokeweight=".48001pt" strokecolor="#000000">
                <v:path arrowok="t"/>
              </v:shape>
            </v:group>
            <v:group style="position:absolute;left:8796;top:2532;width:1905;height:2" coordorigin="8796,2532" coordsize="1905,2">
              <v:shape style="position:absolute;left:8796;top:2532;width:1905;height:2" coordorigin="8796,2532" coordsize="1905,0" path="m8796,2532l10700,2532e" filled="false" stroked="true" strokeweight=".48001pt" strokecolor="#000000">
                <v:path arrowok="t"/>
              </v:shape>
            </v:group>
            <v:group style="position:absolute;left:3561;top:3251;width:2;height:393" coordorigin="3561,3251" coordsize="2,393">
              <v:shape style="position:absolute;left:3561;top:3251;width:2;height:393" coordorigin="3561,3251" coordsize="0,393" path="m3561,3251l3561,3643e" filled="false" stroked="true" strokeweight="1.2pt" strokecolor="#ffffff">
                <v:path arrowok="t"/>
              </v:shape>
            </v:group>
            <v:group style="position:absolute;left:3573;top:3251;width:1363;height:393" coordorigin="3573,3251" coordsize="1363,393">
              <v:shape style="position:absolute;left:3573;top:3251;width:1363;height:393" coordorigin="3573,3251" coordsize="1363,393" path="m3573,3643l4935,3643,4935,3251,3573,3251,3573,3643xe" filled="true" fillcolor="#ffffff" stroked="false">
                <v:path arrowok="t"/>
                <v:fill type="solid"/>
              </v:shape>
            </v:group>
            <v:group style="position:absolute;left:1139;top:3246;width:2401;height:2" coordorigin="1139,3246" coordsize="2401,2">
              <v:shape style="position:absolute;left:1139;top:3246;width:2401;height:2" coordorigin="1139,3246" coordsize="2401,0" path="m1139,3246l3539,3246e" filled="false" stroked="true" strokeweight=".47998pt" strokecolor="#000000">
                <v:path arrowok="t"/>
              </v:shape>
            </v:group>
            <v:group style="position:absolute;left:3549;top:3246;width:1410;height:2" coordorigin="3549,3246" coordsize="1410,2">
              <v:shape style="position:absolute;left:3549;top:3246;width:1410;height:2" coordorigin="3549,3246" coordsize="1410,0" path="m3549,3246l4958,3246e" filled="false" stroked="true" strokeweight=".47998pt" strokecolor="#000000">
                <v:path arrowok="t"/>
              </v:shape>
            </v:group>
            <v:group style="position:absolute;left:4968;top:3246;width:1905;height:2" coordorigin="4968,3246" coordsize="1905,2">
              <v:shape style="position:absolute;left:4968;top:3246;width:1905;height:2" coordorigin="4968,3246" coordsize="1905,0" path="m4968,3246l6872,3246e" filled="false" stroked="true" strokeweight=".47998pt" strokecolor="#000000">
                <v:path arrowok="t"/>
              </v:shape>
            </v:group>
            <v:group style="position:absolute;left:6882;top:3246;width:1905;height:2" coordorigin="6882,3246" coordsize="1905,2">
              <v:shape style="position:absolute;left:6882;top:3246;width:1905;height:2" coordorigin="6882,3246" coordsize="1905,0" path="m6882,3246l8786,3246e" filled="false" stroked="true" strokeweight=".47998pt" strokecolor="#000000">
                <v:path arrowok="t"/>
              </v:shape>
            </v:group>
            <v:group style="position:absolute;left:8796;top:3246;width:1905;height:2" coordorigin="8796,3246" coordsize="1905,2">
              <v:shape style="position:absolute;left:8796;top:3246;width:1905;height:2" coordorigin="8796,3246" coordsize="1905,0" path="m8796,3246l10700,3246e" filled="false" stroked="true" strokeweight=".47998pt" strokecolor="#000000">
                <v:path arrowok="t"/>
              </v:shape>
            </v:group>
            <v:group style="position:absolute;left:1139;top:3648;width:2401;height:2" coordorigin="1139,3648" coordsize="2401,2">
              <v:shape style="position:absolute;left:1139;top:3648;width:2401;height:2" coordorigin="1139,3648" coordsize="2401,0" path="m1139,3648l3539,3648e" filled="false" stroked="true" strokeweight=".47998pt" strokecolor="#000000">
                <v:path arrowok="t"/>
              </v:shape>
            </v:group>
            <v:group style="position:absolute;left:3549;top:3648;width:1410;height:2" coordorigin="3549,3648" coordsize="1410,2">
              <v:shape style="position:absolute;left:3549;top:3648;width:1410;height:2" coordorigin="3549,3648" coordsize="1410,0" path="m3549,3648l4958,3648e" filled="false" stroked="true" strokeweight=".47998pt" strokecolor="#000000">
                <v:path arrowok="t"/>
              </v:shape>
            </v:group>
            <v:group style="position:absolute;left:4968;top:3648;width:1905;height:2" coordorigin="4968,3648" coordsize="1905,2">
              <v:shape style="position:absolute;left:4968;top:3648;width:1905;height:2" coordorigin="4968,3648" coordsize="1905,0" path="m4968,3648l6872,3648e" filled="false" stroked="true" strokeweight=".47998pt" strokecolor="#000000">
                <v:path arrowok="t"/>
              </v:shape>
            </v:group>
            <v:group style="position:absolute;left:6882;top:3648;width:1905;height:2" coordorigin="6882,3648" coordsize="1905,2">
              <v:shape style="position:absolute;left:6882;top:3648;width:1905;height:2" coordorigin="6882,3648" coordsize="1905,0" path="m6882,3648l8786,3648e" filled="false" stroked="true" strokeweight=".47998pt" strokecolor="#000000">
                <v:path arrowok="t"/>
              </v:shape>
            </v:group>
            <v:group style="position:absolute;left:8796;top:3648;width:1905;height:2" coordorigin="8796,3648" coordsize="1905,2">
              <v:shape style="position:absolute;left:8796;top:3648;width:1905;height:2" coordorigin="8796,3648" coordsize="1905,0" path="m8796,3648l10700,3648e" filled="false" stroked="true" strokeweight=".47998pt" strokecolor="#000000">
                <v:path arrowok="t"/>
              </v:shape>
            </v:group>
            <v:group style="position:absolute;left:1139;top:4362;width:2401;height:2" coordorigin="1139,4362" coordsize="2401,2">
              <v:shape style="position:absolute;left:1139;top:4362;width:2401;height:2" coordorigin="1139,4362" coordsize="2401,0" path="m1139,4362l3539,4362e" filled="false" stroked="true" strokeweight=".47998pt" strokecolor="#000000">
                <v:path arrowok="t"/>
              </v:shape>
            </v:group>
            <v:group style="position:absolute;left:3549;top:4362;width:1410;height:2" coordorigin="3549,4362" coordsize="1410,2">
              <v:shape style="position:absolute;left:3549;top:4362;width:1410;height:2" coordorigin="3549,4362" coordsize="1410,0" path="m3549,4362l4958,4362e" filled="false" stroked="true" strokeweight=".47998pt" strokecolor="#000000">
                <v:path arrowok="t"/>
              </v:shape>
            </v:group>
            <v:group style="position:absolute;left:4968;top:4362;width:1905;height:2" coordorigin="4968,4362" coordsize="1905,2">
              <v:shape style="position:absolute;left:4968;top:4362;width:1905;height:2" coordorigin="4968,4362" coordsize="1905,0" path="m4968,4362l6872,4362e" filled="false" stroked="true" strokeweight=".47998pt" strokecolor="#000000">
                <v:path arrowok="t"/>
              </v:shape>
            </v:group>
            <v:group style="position:absolute;left:6882;top:4362;width:1905;height:2" coordorigin="6882,4362" coordsize="1905,2">
              <v:shape style="position:absolute;left:6882;top:4362;width:1905;height:2" coordorigin="6882,4362" coordsize="1905,0" path="m6882,4362l8786,4362e" filled="false" stroked="true" strokeweight=".47998pt" strokecolor="#000000">
                <v:path arrowok="t"/>
              </v:shape>
            </v:group>
            <v:group style="position:absolute;left:8796;top:4362;width:1905;height:2" coordorigin="8796,4362" coordsize="1905,2">
              <v:shape style="position:absolute;left:8796;top:4362;width:1905;height:2" coordorigin="8796,4362" coordsize="1905,0" path="m8796,4362l10700,4362e" filled="false" stroked="true" strokeweight=".47998pt" strokecolor="#000000">
                <v:path arrowok="t"/>
              </v:shape>
            </v:group>
            <v:group style="position:absolute;left:1139;top:4764;width:2401;height:2" coordorigin="1139,4764" coordsize="2401,2">
              <v:shape style="position:absolute;left:1139;top:4764;width:2401;height:2" coordorigin="1139,4764" coordsize="2401,0" path="m1139,4764l3539,4764e" filled="false" stroked="true" strokeweight=".47998pt" strokecolor="#000000">
                <v:path arrowok="t"/>
              </v:shape>
            </v:group>
            <v:group style="position:absolute;left:3549;top:4764;width:1410;height:2" coordorigin="3549,4764" coordsize="1410,2">
              <v:shape style="position:absolute;left:3549;top:4764;width:1410;height:2" coordorigin="3549,4764" coordsize="1410,0" path="m3549,4764l4958,4764e" filled="false" stroked="true" strokeweight=".47998pt" strokecolor="#000000">
                <v:path arrowok="t"/>
              </v:shape>
            </v:group>
            <v:group style="position:absolute;left:4968;top:4764;width:1905;height:2" coordorigin="4968,4764" coordsize="1905,2">
              <v:shape style="position:absolute;left:4968;top:4764;width:1905;height:2" coordorigin="4968,4764" coordsize="1905,0" path="m4968,4764l6872,4764e" filled="false" stroked="true" strokeweight=".47998pt" strokecolor="#000000">
                <v:path arrowok="t"/>
              </v:shape>
            </v:group>
            <v:group style="position:absolute;left:6882;top:4764;width:1905;height:2" coordorigin="6882,4764" coordsize="1905,2">
              <v:shape style="position:absolute;left:6882;top:4764;width:1905;height:2" coordorigin="6882,4764" coordsize="1905,0" path="m6882,4764l8786,4764e" filled="false" stroked="true" strokeweight=".47998pt" strokecolor="#000000">
                <v:path arrowok="t"/>
              </v:shape>
            </v:group>
            <v:group style="position:absolute;left:8796;top:4764;width:1905;height:2" coordorigin="8796,4764" coordsize="1905,2">
              <v:shape style="position:absolute;left:8796;top:4764;width:1905;height:2" coordorigin="8796,4764" coordsize="1905,0" path="m8796,4764l10700,4764e" filled="false" stroked="true" strokeweight=".47998pt" strokecolor="#000000">
                <v:path arrowok="t"/>
              </v:shape>
            </v:group>
            <v:group style="position:absolute;left:3561;top:5483;width:2;height:393" coordorigin="3561,5483" coordsize="2,393">
              <v:shape style="position:absolute;left:3561;top:5483;width:2;height:393" coordorigin="3561,5483" coordsize="0,393" path="m3561,5483l3561,5875e" filled="false" stroked="true" strokeweight="1.2pt" strokecolor="#ffffff">
                <v:path arrowok="t"/>
              </v:shape>
            </v:group>
            <v:group style="position:absolute;left:3573;top:5483;width:1363;height:393" coordorigin="3573,5483" coordsize="1363,393">
              <v:shape style="position:absolute;left:3573;top:5483;width:1363;height:393" coordorigin="3573,5483" coordsize="1363,393" path="m3573,5875l4935,5875,4935,5483,3573,5483,3573,5875xe" filled="true" fillcolor="#ffffff" stroked="false">
                <v:path arrowok="t"/>
                <v:fill type="solid"/>
              </v:shape>
            </v:group>
            <v:group style="position:absolute;left:1139;top:5478;width:2401;height:2" coordorigin="1139,5478" coordsize="2401,2">
              <v:shape style="position:absolute;left:1139;top:5478;width:2401;height:2" coordorigin="1139,5478" coordsize="2401,0" path="m1139,5478l3539,5478e" filled="false" stroked="true" strokeweight=".47998pt" strokecolor="#000000">
                <v:path arrowok="t"/>
              </v:shape>
            </v:group>
            <v:group style="position:absolute;left:3549;top:5478;width:1410;height:2" coordorigin="3549,5478" coordsize="1410,2">
              <v:shape style="position:absolute;left:3549;top:5478;width:1410;height:2" coordorigin="3549,5478" coordsize="1410,0" path="m3549,5478l4958,5478e" filled="false" stroked="true" strokeweight=".47998pt" strokecolor="#000000">
                <v:path arrowok="t"/>
              </v:shape>
            </v:group>
            <v:group style="position:absolute;left:4968;top:5478;width:1905;height:2" coordorigin="4968,5478" coordsize="1905,2">
              <v:shape style="position:absolute;left:4968;top:5478;width:1905;height:2" coordorigin="4968,5478" coordsize="1905,0" path="m4968,5478l6872,5478e" filled="false" stroked="true" strokeweight=".47998pt" strokecolor="#000000">
                <v:path arrowok="t"/>
              </v:shape>
            </v:group>
            <v:group style="position:absolute;left:6882;top:5478;width:1905;height:2" coordorigin="6882,5478" coordsize="1905,2">
              <v:shape style="position:absolute;left:6882;top:5478;width:1905;height:2" coordorigin="6882,5478" coordsize="1905,0" path="m6882,5478l8786,5478e" filled="false" stroked="true" strokeweight=".47998pt" strokecolor="#000000">
                <v:path arrowok="t"/>
              </v:shape>
            </v:group>
            <v:group style="position:absolute;left:8796;top:5478;width:1905;height:2" coordorigin="8796,5478" coordsize="1905,2">
              <v:shape style="position:absolute;left:8796;top:5478;width:1905;height:2" coordorigin="8796,5478" coordsize="1905,0" path="m8796,5478l10700,5478e" filled="false" stroked="true" strokeweight=".47998pt" strokecolor="#000000">
                <v:path arrowok="t"/>
              </v:shape>
            </v:group>
            <v:group style="position:absolute;left:1139;top:5880;width:2401;height:2" coordorigin="1139,5880" coordsize="2401,2">
              <v:shape style="position:absolute;left:1139;top:5880;width:2401;height:2" coordorigin="1139,5880" coordsize="2401,0" path="m1139,5880l3539,5880e" filled="false" stroked="true" strokeweight=".47998pt" strokecolor="#000000">
                <v:path arrowok="t"/>
              </v:shape>
            </v:group>
            <v:group style="position:absolute;left:3549;top:5880;width:1410;height:2" coordorigin="3549,5880" coordsize="1410,2">
              <v:shape style="position:absolute;left:3549;top:5880;width:1410;height:2" coordorigin="3549,5880" coordsize="1410,0" path="m3549,5880l4958,5880e" filled="false" stroked="true" strokeweight=".47998pt" strokecolor="#000000">
                <v:path arrowok="t"/>
              </v:shape>
            </v:group>
            <v:group style="position:absolute;left:4968;top:5880;width:1905;height:2" coordorigin="4968,5880" coordsize="1905,2">
              <v:shape style="position:absolute;left:4968;top:5880;width:1905;height:2" coordorigin="4968,5880" coordsize="1905,0" path="m4968,5880l6872,5880e" filled="false" stroked="true" strokeweight=".47998pt" strokecolor="#000000">
                <v:path arrowok="t"/>
              </v:shape>
            </v:group>
            <v:group style="position:absolute;left:6882;top:5880;width:1905;height:2" coordorigin="6882,5880" coordsize="1905,2">
              <v:shape style="position:absolute;left:6882;top:5880;width:1905;height:2" coordorigin="6882,5880" coordsize="1905,0" path="m6882,5880l8786,5880e" filled="false" stroked="true" strokeweight=".47998pt" strokecolor="#000000">
                <v:path arrowok="t"/>
              </v:shape>
            </v:group>
            <v:group style="position:absolute;left:8796;top:5880;width:1905;height:2" coordorigin="8796,5880" coordsize="1905,2">
              <v:shape style="position:absolute;left:8796;top:5880;width:1905;height:2" coordorigin="8796,5880" coordsize="1905,0" path="m8796,5880l10700,5880e" filled="false" stroked="true" strokeweight=".47998pt" strokecolor="#000000">
                <v:path arrowok="t"/>
              </v:shape>
            </v:group>
            <v:group style="position:absolute;left:3561;top:6287;width:2;height:393" coordorigin="3561,6287" coordsize="2,393">
              <v:shape style="position:absolute;left:3561;top:6287;width:2;height:393" coordorigin="3561,6287" coordsize="0,393" path="m3561,6287l3561,6679e" filled="false" stroked="true" strokeweight="1.2pt" strokecolor="#ffffff">
                <v:path arrowok="t"/>
              </v:shape>
            </v:group>
            <v:group style="position:absolute;left:3573;top:6287;width:1363;height:393" coordorigin="3573,6287" coordsize="1363,393">
              <v:shape style="position:absolute;left:3573;top:6287;width:1363;height:393" coordorigin="3573,6287" coordsize="1363,393" path="m3573,6679l4935,6679,4935,6287,3573,6287,3573,6679xe" filled="true" fillcolor="#ffffff" stroked="false">
                <v:path arrowok="t"/>
                <v:fill type="solid"/>
              </v:shape>
            </v:group>
            <v:group style="position:absolute;left:1139;top:6282;width:2401;height:2" coordorigin="1139,6282" coordsize="2401,2">
              <v:shape style="position:absolute;left:1139;top:6282;width:2401;height:2" coordorigin="1139,6282" coordsize="2401,0" path="m1139,6282l3539,6282e" filled="false" stroked="true" strokeweight=".48004pt" strokecolor="#000000">
                <v:path arrowok="t"/>
              </v:shape>
            </v:group>
            <v:group style="position:absolute;left:3549;top:6282;width:1410;height:2" coordorigin="3549,6282" coordsize="1410,2">
              <v:shape style="position:absolute;left:3549;top:6282;width:1410;height:2" coordorigin="3549,6282" coordsize="1410,0" path="m3549,6282l4958,6282e" filled="false" stroked="true" strokeweight=".48004pt" strokecolor="#000000">
                <v:path arrowok="t"/>
              </v:shape>
            </v:group>
            <v:group style="position:absolute;left:4968;top:6282;width:1905;height:2" coordorigin="4968,6282" coordsize="1905,2">
              <v:shape style="position:absolute;left:4968;top:6282;width:1905;height:2" coordorigin="4968,6282" coordsize="1905,0" path="m4968,6282l6872,6282e" filled="false" stroked="true" strokeweight=".48004pt" strokecolor="#000000">
                <v:path arrowok="t"/>
              </v:shape>
            </v:group>
            <v:group style="position:absolute;left:6882;top:6282;width:1905;height:2" coordorigin="6882,6282" coordsize="1905,2">
              <v:shape style="position:absolute;left:6882;top:6282;width:1905;height:2" coordorigin="6882,6282" coordsize="1905,0" path="m6882,6282l8786,6282e" filled="false" stroked="true" strokeweight=".48004pt" strokecolor="#000000">
                <v:path arrowok="t"/>
              </v:shape>
            </v:group>
            <v:group style="position:absolute;left:8796;top:6282;width:1905;height:2" coordorigin="8796,6282" coordsize="1905,2">
              <v:shape style="position:absolute;left:8796;top:6282;width:1905;height:2" coordorigin="8796,6282" coordsize="1905,0" path="m8796,6282l10700,6282e" filled="false" stroked="true" strokeweight=".48004pt" strokecolor="#000000">
                <v:path arrowok="t"/>
              </v:shape>
            </v:group>
            <v:group style="position:absolute;left:3561;top:6689;width:2;height:393" coordorigin="3561,6689" coordsize="2,393">
              <v:shape style="position:absolute;left:3561;top:6689;width:2;height:393" coordorigin="3561,6689" coordsize="0,393" path="m3561,6689l3561,7081e" filled="false" stroked="true" strokeweight="1.2pt" strokecolor="#ffffff">
                <v:path arrowok="t"/>
              </v:shape>
            </v:group>
            <v:group style="position:absolute;left:3573;top:6689;width:1363;height:393" coordorigin="3573,6689" coordsize="1363,393">
              <v:shape style="position:absolute;left:3573;top:6689;width:1363;height:393" coordorigin="3573,6689" coordsize="1363,393" path="m3573,7081l4935,7081,4935,6689,3573,6689,3573,7081xe" filled="true" fillcolor="#ffffff" stroked="false">
                <v:path arrowok="t"/>
                <v:fill type="solid"/>
              </v:shape>
            </v:group>
            <v:group style="position:absolute;left:1139;top:6684;width:2401;height:2" coordorigin="1139,6684" coordsize="2401,2">
              <v:shape style="position:absolute;left:1139;top:6684;width:2401;height:2" coordorigin="1139,6684" coordsize="2401,0" path="m1139,6684l3539,6684e" filled="false" stroked="true" strokeweight=".47998pt" strokecolor="#000000">
                <v:path arrowok="t"/>
              </v:shape>
            </v:group>
            <v:group style="position:absolute;left:3549;top:6684;width:1410;height:2" coordorigin="3549,6684" coordsize="1410,2">
              <v:shape style="position:absolute;left:3549;top:6684;width:1410;height:2" coordorigin="3549,6684" coordsize="1410,0" path="m3549,6684l4958,6684e" filled="false" stroked="true" strokeweight=".47998pt" strokecolor="#000000">
                <v:path arrowok="t"/>
              </v:shape>
            </v:group>
            <v:group style="position:absolute;left:4968;top:6684;width:1905;height:2" coordorigin="4968,6684" coordsize="1905,2">
              <v:shape style="position:absolute;left:4968;top:6684;width:1905;height:2" coordorigin="4968,6684" coordsize="1905,0" path="m4968,6684l6872,6684e" filled="false" stroked="true" strokeweight=".47998pt" strokecolor="#000000">
                <v:path arrowok="t"/>
              </v:shape>
            </v:group>
            <v:group style="position:absolute;left:6882;top:6684;width:1905;height:2" coordorigin="6882,6684" coordsize="1905,2">
              <v:shape style="position:absolute;left:6882;top:6684;width:1905;height:2" coordorigin="6882,6684" coordsize="1905,0" path="m6882,6684l8786,6684e" filled="false" stroked="true" strokeweight=".47998pt" strokecolor="#000000">
                <v:path arrowok="t"/>
              </v:shape>
            </v:group>
            <v:group style="position:absolute;left:8796;top:6684;width:1905;height:2" coordorigin="8796,6684" coordsize="1905,2">
              <v:shape style="position:absolute;left:8796;top:6684;width:1905;height:2" coordorigin="8796,6684" coordsize="1905,0" path="m8796,6684l10700,6684e" filled="false" stroked="true" strokeweight=".47998pt" strokecolor="#000000">
                <v:path arrowok="t"/>
              </v:shape>
            </v:group>
            <v:group style="position:absolute;left:3561;top:7091;width:2;height:393" coordorigin="3561,7091" coordsize="2,393">
              <v:shape style="position:absolute;left:3561;top:7091;width:2;height:393" coordorigin="3561,7091" coordsize="0,393" path="m3561,7091l3561,7484e" filled="false" stroked="true" strokeweight="1.2pt" strokecolor="#ffffff">
                <v:path arrowok="t"/>
              </v:shape>
            </v:group>
            <v:group style="position:absolute;left:3573;top:7091;width:1363;height:393" coordorigin="3573,7091" coordsize="1363,393">
              <v:shape style="position:absolute;left:3573;top:7091;width:1363;height:393" coordorigin="3573,7091" coordsize="1363,393" path="m3573,7484l4935,7484,4935,7091,3573,7091,3573,7484xe" filled="true" fillcolor="#ffffff" stroked="false">
                <v:path arrowok="t"/>
                <v:fill type="solid"/>
              </v:shape>
            </v:group>
            <v:group style="position:absolute;left:1139;top:7086;width:2401;height:2" coordorigin="1139,7086" coordsize="2401,2">
              <v:shape style="position:absolute;left:1139;top:7086;width:2401;height:2" coordorigin="1139,7086" coordsize="2401,0" path="m1139,7086l3539,7086e" filled="false" stroked="true" strokeweight=".48004pt" strokecolor="#000000">
                <v:path arrowok="t"/>
              </v:shape>
            </v:group>
            <v:group style="position:absolute;left:3549;top:7086;width:1410;height:2" coordorigin="3549,7086" coordsize="1410,2">
              <v:shape style="position:absolute;left:3549;top:7086;width:1410;height:2" coordorigin="3549,7086" coordsize="1410,0" path="m3549,7086l4958,7086e" filled="false" stroked="true" strokeweight=".48004pt" strokecolor="#000000">
                <v:path arrowok="t"/>
              </v:shape>
            </v:group>
            <v:group style="position:absolute;left:4968;top:7086;width:1905;height:2" coordorigin="4968,7086" coordsize="1905,2">
              <v:shape style="position:absolute;left:4968;top:7086;width:1905;height:2" coordorigin="4968,7086" coordsize="1905,0" path="m4968,7086l6872,7086e" filled="false" stroked="true" strokeweight=".48004pt" strokecolor="#000000">
                <v:path arrowok="t"/>
              </v:shape>
            </v:group>
            <v:group style="position:absolute;left:6882;top:7086;width:1905;height:2" coordorigin="6882,7086" coordsize="1905,2">
              <v:shape style="position:absolute;left:6882;top:7086;width:1905;height:2" coordorigin="6882,7086" coordsize="1905,0" path="m6882,7086l8786,7086e" filled="false" stroked="true" strokeweight=".48004pt" strokecolor="#000000">
                <v:path arrowok="t"/>
              </v:shape>
            </v:group>
            <v:group style="position:absolute;left:8796;top:7086;width:1905;height:2" coordorigin="8796,7086" coordsize="1905,2">
              <v:shape style="position:absolute;left:8796;top:7086;width:1905;height:2" coordorigin="8796,7086" coordsize="1905,0" path="m8796,7086l10700,7086e" filled="false" stroked="true" strokeweight=".48004pt" strokecolor="#000000">
                <v:path arrowok="t"/>
              </v:shape>
            </v:group>
            <v:group style="position:absolute;left:3561;top:7493;width:2;height:393" coordorigin="3561,7493" coordsize="2,393">
              <v:shape style="position:absolute;left:3561;top:7493;width:2;height:393" coordorigin="3561,7493" coordsize="0,393" path="m3561,7493l3561,7886e" filled="false" stroked="true" strokeweight="1.2pt" strokecolor="#ffffff">
                <v:path arrowok="t"/>
              </v:shape>
            </v:group>
            <v:group style="position:absolute;left:3573;top:7493;width:1363;height:393" coordorigin="3573,7493" coordsize="1363,393">
              <v:shape style="position:absolute;left:3573;top:7493;width:1363;height:393" coordorigin="3573,7493" coordsize="1363,393" path="m3573,7886l4935,7886,4935,7493,3573,7493,3573,7886xe" filled="true" fillcolor="#ffffff" stroked="false">
                <v:path arrowok="t"/>
                <v:fill type="solid"/>
              </v:shape>
            </v:group>
            <v:group style="position:absolute;left:1139;top:7489;width:2401;height:2" coordorigin="1139,7489" coordsize="2401,2">
              <v:shape style="position:absolute;left:1139;top:7489;width:2401;height:2" coordorigin="1139,7489" coordsize="2401,0" path="m1139,7489l3539,7489e" filled="false" stroked="true" strokeweight=".48004pt" strokecolor="#000000">
                <v:path arrowok="t"/>
              </v:shape>
            </v:group>
            <v:group style="position:absolute;left:3549;top:7489;width:1410;height:2" coordorigin="3549,7489" coordsize="1410,2">
              <v:shape style="position:absolute;left:3549;top:7489;width:1410;height:2" coordorigin="3549,7489" coordsize="1410,0" path="m3549,7489l4958,7489e" filled="false" stroked="true" strokeweight=".48004pt" strokecolor="#000000">
                <v:path arrowok="t"/>
              </v:shape>
            </v:group>
            <v:group style="position:absolute;left:4968;top:7489;width:1905;height:2" coordorigin="4968,7489" coordsize="1905,2">
              <v:shape style="position:absolute;left:4968;top:7489;width:1905;height:2" coordorigin="4968,7489" coordsize="1905,0" path="m4968,7489l6872,7489e" filled="false" stroked="true" strokeweight=".48004pt" strokecolor="#000000">
                <v:path arrowok="t"/>
              </v:shape>
            </v:group>
            <v:group style="position:absolute;left:6882;top:7489;width:1905;height:2" coordorigin="6882,7489" coordsize="1905,2">
              <v:shape style="position:absolute;left:6882;top:7489;width:1905;height:2" coordorigin="6882,7489" coordsize="1905,0" path="m6882,7489l8786,7489e" filled="false" stroked="true" strokeweight=".48004pt" strokecolor="#000000">
                <v:path arrowok="t"/>
              </v:shape>
            </v:group>
            <v:group style="position:absolute;left:8796;top:7489;width:1905;height:2" coordorigin="8796,7489" coordsize="1905,2">
              <v:shape style="position:absolute;left:8796;top:7489;width:1905;height:2" coordorigin="8796,7489" coordsize="1905,0" path="m8796,7489l10700,7489e" filled="false" stroked="true" strokeweight=".48004pt" strokecolor="#000000">
                <v:path arrowok="t"/>
              </v:shape>
            </v:group>
            <v:group style="position:absolute;left:1139;top:7891;width:2401;height:2" coordorigin="1139,7891" coordsize="2401,2">
              <v:shape style="position:absolute;left:1139;top:7891;width:2401;height:2" coordorigin="1139,7891" coordsize="2401,0" path="m1139,7891l3539,7891e" filled="false" stroked="true" strokeweight=".47998pt" strokecolor="#000000">
                <v:path arrowok="t"/>
              </v:shape>
            </v:group>
            <v:group style="position:absolute;left:3549;top:7891;width:1410;height:2" coordorigin="3549,7891" coordsize="1410,2">
              <v:shape style="position:absolute;left:3549;top:7891;width:1410;height:2" coordorigin="3549,7891" coordsize="1410,0" path="m3549,7891l4958,7891e" filled="false" stroked="true" strokeweight=".47998pt" strokecolor="#000000">
                <v:path arrowok="t"/>
              </v:shape>
            </v:group>
            <v:group style="position:absolute;left:4968;top:7891;width:1905;height:2" coordorigin="4968,7891" coordsize="1905,2">
              <v:shape style="position:absolute;left:4968;top:7891;width:1905;height:2" coordorigin="4968,7891" coordsize="1905,0" path="m4968,7891l6872,7891e" filled="false" stroked="true" strokeweight=".47998pt" strokecolor="#000000">
                <v:path arrowok="t"/>
              </v:shape>
            </v:group>
            <v:group style="position:absolute;left:6882;top:7891;width:1905;height:2" coordorigin="6882,7891" coordsize="1905,2">
              <v:shape style="position:absolute;left:6882;top:7891;width:1905;height:2" coordorigin="6882,7891" coordsize="1905,0" path="m6882,7891l8786,7891e" filled="false" stroked="true" strokeweight=".47998pt" strokecolor="#000000">
                <v:path arrowok="t"/>
              </v:shape>
            </v:group>
            <v:group style="position:absolute;left:8796;top:7891;width:1905;height:2" coordorigin="8796,7891" coordsize="1905,2">
              <v:shape style="position:absolute;left:8796;top:7891;width:1905;height:2" coordorigin="8796,7891" coordsize="1905,0" path="m8796,7891l10700,7891e" filled="false" stroked="true" strokeweight=".47998pt" strokecolor="#000000">
                <v:path arrowok="t"/>
              </v:shape>
            </v:group>
            <v:group style="position:absolute;left:1134;top:-17;width:2;height:8627" coordorigin="1134,-17" coordsize="2,8627">
              <v:shape style="position:absolute;left:1134;top:-17;width:2;height:8627" coordorigin="1134,-17" coordsize="0,8627" path="m1134,-17l1134,8609e" filled="false" stroked="true" strokeweight=".48pt" strokecolor="#000000">
                <v:path arrowok="t"/>
              </v:shape>
            </v:group>
            <v:group style="position:absolute;left:1139;top:8605;width:2401;height:2" coordorigin="1139,8605" coordsize="2401,2">
              <v:shape style="position:absolute;left:1139;top:8605;width:2401;height:2" coordorigin="1139,8605" coordsize="2401,0" path="m1139,8605l3539,8605e" filled="false" stroked="true" strokeweight=".47998pt" strokecolor="#000000">
                <v:path arrowok="t"/>
              </v:shape>
            </v:group>
            <v:group style="position:absolute;left:3544;top:-17;width:2;height:8627" coordorigin="3544,-17" coordsize="2,8627">
              <v:shape style="position:absolute;left:3544;top:-17;width:2;height:8627" coordorigin="3544,-17" coordsize="0,8627" path="m3544,-17l3544,8609e" filled="false" stroked="true" strokeweight=".48001pt" strokecolor="#000000">
                <v:path arrowok="t"/>
              </v:shape>
            </v:group>
            <v:group style="position:absolute;left:3549;top:8605;width:1410;height:2" coordorigin="3549,8605" coordsize="1410,2">
              <v:shape style="position:absolute;left:3549;top:8605;width:1410;height:2" coordorigin="3549,8605" coordsize="1410,0" path="m3549,8605l4958,8605e" filled="false" stroked="true" strokeweight=".47998pt" strokecolor="#000000">
                <v:path arrowok="t"/>
              </v:shape>
            </v:group>
            <v:group style="position:absolute;left:4963;top:-17;width:2;height:8627" coordorigin="4963,-17" coordsize="2,8627">
              <v:shape style="position:absolute;left:4963;top:-17;width:2;height:8627" coordorigin="4963,-17" coordsize="0,8627" path="m4963,-17l4963,8609e" filled="false" stroked="true" strokeweight=".48pt" strokecolor="#000000">
                <v:path arrowok="t"/>
              </v:shape>
            </v:group>
            <v:group style="position:absolute;left:4968;top:8605;width:1905;height:2" coordorigin="4968,8605" coordsize="1905,2">
              <v:shape style="position:absolute;left:4968;top:8605;width:1905;height:2" coordorigin="4968,8605" coordsize="1905,0" path="m4968,8605l6872,8605e" filled="false" stroked="true" strokeweight=".47998pt" strokecolor="#000000">
                <v:path arrowok="t"/>
              </v:shape>
            </v:group>
            <v:group style="position:absolute;left:6877;top:-17;width:2;height:8627" coordorigin="6877,-17" coordsize="2,8627">
              <v:shape style="position:absolute;left:6877;top:-17;width:2;height:8627" coordorigin="6877,-17" coordsize="0,8627" path="m6877,-17l6877,8609e" filled="false" stroked="true" strokeweight=".47998pt" strokecolor="#000000">
                <v:path arrowok="t"/>
              </v:shape>
            </v:group>
            <v:group style="position:absolute;left:6882;top:8605;width:1905;height:2" coordorigin="6882,8605" coordsize="1905,2">
              <v:shape style="position:absolute;left:6882;top:8605;width:1905;height:2" coordorigin="6882,8605" coordsize="1905,0" path="m6882,8605l8786,8605e" filled="false" stroked="true" strokeweight=".47998pt" strokecolor="#000000">
                <v:path arrowok="t"/>
              </v:shape>
            </v:group>
            <v:group style="position:absolute;left:8791;top:-17;width:2;height:8627" coordorigin="8791,-17" coordsize="2,8627">
              <v:shape style="position:absolute;left:8791;top:-17;width:2;height:8627" coordorigin="8791,-17" coordsize="0,8627" path="m8791,-17l8791,8609e" filled="false" stroked="true" strokeweight=".48001pt" strokecolor="#000000">
                <v:path arrowok="t"/>
              </v:shape>
            </v:group>
            <v:group style="position:absolute;left:8796;top:8605;width:1905;height:2" coordorigin="8796,8605" coordsize="1905,2">
              <v:shape style="position:absolute;left:8796;top:8605;width:1905;height:2" coordorigin="8796,8605" coordsize="1905,0" path="m8796,8605l10700,8605e" filled="false" stroked="true" strokeweight=".47998pt" strokecolor="#000000">
                <v:path arrowok="t"/>
              </v:shape>
            </v:group>
            <v:group style="position:absolute;left:10705;top:-17;width:2;height:8627" coordorigin="10705,-17" coordsize="2,8627">
              <v:shape style="position:absolute;left:10705;top:-17;width:2;height:8627" coordorigin="10705,-17" coordsize="0,8627" path="m10705,-17l10705,8609e" filled="false" stroked="true" strokeweight=".48004pt" strokecolor="#000000">
                <v:path arrowok="t"/>
              </v:shape>
            </v:group>
            <w10:wrap type="none"/>
          </v:group>
        </w:pict>
      </w:r>
      <w:r>
        <w:rPr/>
        <w:t>被担保方</w:t>
        <w:tab/>
        <w:t>担保金额</w:t>
        <w:tab/>
        <w:t>担保起始日</w:t>
        <w:tab/>
        <w:t>担保到期日</w:t>
        <w:tab/>
        <w:t>担保是否已经履行完毕</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pStyle w:val="BodyText"/>
        <w:spacing w:line="316" w:lineRule="auto" w:before="44"/>
        <w:ind w:left="181" w:right="0"/>
        <w:jc w:val="both"/>
      </w:pPr>
      <w:r>
        <w:rPr/>
        <w:t>上海全程玖玖健康服务有限公 司（原上海万达全程健康服务 有限公司，下同）</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2781" w:val="left" w:leader="none"/>
          <w:tab w:pos="4695" w:val="left" w:leader="none"/>
        </w:tabs>
        <w:spacing w:line="240" w:lineRule="auto" w:before="121"/>
        <w:ind w:left="181" w:right="0"/>
        <w:jc w:val="left"/>
      </w:pPr>
      <w:r>
        <w:rPr>
          <w:rFonts w:ascii="Times New Roman" w:hAnsi="Times New Roman" w:cs="Times New Roman" w:eastAsia="Times New Roman" w:hint="default"/>
        </w:rPr>
        <w:t>2,000.00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tab/>
        <w:t>是</w:t>
      </w:r>
    </w:p>
    <w:p>
      <w:pPr>
        <w:spacing w:after="0" w:line="240" w:lineRule="auto"/>
        <w:jc w:val="left"/>
        <w:sectPr>
          <w:type w:val="continuous"/>
          <w:pgSz w:w="11910" w:h="16840"/>
          <w:pgMar w:top="1060" w:bottom="1160" w:left="980" w:right="0"/>
          <w:cols w:num="2" w:equalWidth="0">
            <w:col w:w="2522" w:space="621"/>
            <w:col w:w="7787"/>
          </w:cols>
        </w:sectPr>
      </w:pPr>
    </w:p>
    <w:p>
      <w:pPr>
        <w:pStyle w:val="BodyText"/>
        <w:tabs>
          <w:tab w:pos="3234" w:val="left" w:leader="none"/>
          <w:tab w:pos="5924" w:val="left" w:leader="none"/>
          <w:tab w:pos="7838" w:val="left" w:leader="none"/>
        </w:tabs>
        <w:spacing w:line="240" w:lineRule="auto" w:before="109"/>
        <w:ind w:left="181" w:right="0"/>
        <w:jc w:val="left"/>
      </w:pPr>
      <w:r>
        <w:rPr>
          <w:spacing w:val="-3"/>
        </w:rPr>
        <w:t>四川浩特通信有限公司（注</w:t>
      </w:r>
      <w:r>
        <w:rPr>
          <w:spacing w:val="-41"/>
        </w:rPr>
        <w:t> </w:t>
      </w:r>
      <w:r>
        <w:rPr>
          <w:rFonts w:ascii="Times New Roman" w:hAnsi="Times New Roman" w:cs="Times New Roman" w:eastAsia="Times New Roman" w:hint="default"/>
        </w:rPr>
        <w:t>1</w:t>
      </w:r>
      <w:r>
        <w:rPr/>
        <w:t>）</w:t>
        <w:tab/>
      </w:r>
      <w:r>
        <w:rPr>
          <w:rFonts w:ascii="Times New Roman" w:hAnsi="Times New Roman" w:cs="Times New Roman" w:eastAsia="Times New Roman" w:hint="default"/>
        </w:rPr>
        <w:t>20,000.00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t>否</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pStyle w:val="BodyText"/>
        <w:spacing w:line="316" w:lineRule="auto" w:before="44"/>
        <w:ind w:left="181" w:right="-19"/>
        <w:jc w:val="left"/>
      </w:pPr>
      <w:r>
        <w:rPr/>
        <w:t>上海全程玖玖健康服务有限公 司（注</w:t>
      </w:r>
      <w:r>
        <w:rPr>
          <w:spacing w:val="-46"/>
        </w:rPr>
        <w:t> </w:t>
      </w:r>
      <w:r>
        <w:rPr>
          <w:rFonts w:ascii="Times New Roman" w:hAnsi="Times New Roman" w:cs="Times New Roman" w:eastAsia="Times New Roman" w:hint="default"/>
        </w:rPr>
        <w:t>1</w:t>
      </w:r>
      <w:r>
        <w:rPr/>
        <w:t>）</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2781" w:val="left" w:leader="none"/>
          <w:tab w:pos="4695" w:val="left" w:leader="none"/>
        </w:tabs>
        <w:spacing w:line="240" w:lineRule="auto"/>
        <w:ind w:left="181" w:right="0"/>
        <w:jc w:val="left"/>
      </w:pPr>
      <w:r>
        <w:rPr>
          <w:rFonts w:ascii="Times New Roman" w:hAnsi="Times New Roman" w:cs="Times New Roman" w:eastAsia="Times New Roman" w:hint="default"/>
        </w:rPr>
        <w:t>3,000.00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t>是</w:t>
      </w:r>
    </w:p>
    <w:p>
      <w:pPr>
        <w:spacing w:after="0" w:line="240" w:lineRule="auto"/>
        <w:jc w:val="left"/>
        <w:sectPr>
          <w:type w:val="continuous"/>
          <w:pgSz w:w="11910" w:h="16840"/>
          <w:pgMar w:top="1060" w:bottom="1160" w:left="980" w:right="0"/>
          <w:cols w:num="2" w:equalWidth="0">
            <w:col w:w="2523" w:space="621"/>
            <w:col w:w="7786"/>
          </w:cols>
        </w:sectPr>
      </w:pPr>
    </w:p>
    <w:p>
      <w:pPr>
        <w:pStyle w:val="BodyText"/>
        <w:spacing w:line="240" w:lineRule="auto" w:before="89"/>
        <w:ind w:left="181" w:right="-20"/>
        <w:jc w:val="left"/>
      </w:pPr>
      <w:r>
        <w:rPr/>
        <w:t>上海万达信息系统有限公司</w:t>
      </w:r>
    </w:p>
    <w:p>
      <w:pPr>
        <w:pStyle w:val="BodyText"/>
        <w:spacing w:line="240" w:lineRule="auto" w:before="76"/>
        <w:ind w:left="181" w:right="-20"/>
        <w:jc w:val="left"/>
      </w:pPr>
      <w:r>
        <w:rPr/>
        <w:t>（注</w:t>
      </w:r>
      <w:r>
        <w:rPr>
          <w:spacing w:val="-46"/>
        </w:rPr>
        <w:t> </w:t>
      </w:r>
      <w:r>
        <w:rPr>
          <w:rFonts w:ascii="Times New Roman" w:hAnsi="Times New Roman" w:cs="Times New Roman" w:eastAsia="Times New Roman" w:hint="default"/>
        </w:rPr>
        <w:t>1</w:t>
      </w:r>
      <w:r>
        <w:rPr/>
        <w:t>）</w:t>
      </w:r>
    </w:p>
    <w:p>
      <w:pPr>
        <w:spacing w:line="240" w:lineRule="auto" w:before="9"/>
        <w:rPr>
          <w:rFonts w:ascii="宋体" w:hAnsi="宋体" w:cs="宋体" w:eastAsia="宋体" w:hint="default"/>
          <w:sz w:val="18"/>
          <w:szCs w:val="18"/>
        </w:rPr>
      </w:pPr>
      <w:r>
        <w:rPr/>
        <w:br w:type="column"/>
      </w:r>
      <w:r>
        <w:rPr>
          <w:rFonts w:ascii="宋体"/>
          <w:sz w:val="18"/>
        </w:rPr>
      </w:r>
    </w:p>
    <w:p>
      <w:pPr>
        <w:pStyle w:val="BodyText"/>
        <w:tabs>
          <w:tab w:pos="2781" w:val="left" w:leader="none"/>
          <w:tab w:pos="4695" w:val="left" w:leader="none"/>
        </w:tabs>
        <w:spacing w:line="240" w:lineRule="auto"/>
        <w:ind w:left="181" w:right="0"/>
        <w:jc w:val="left"/>
      </w:pPr>
      <w:r>
        <w:rPr>
          <w:rFonts w:ascii="Times New Roman" w:hAnsi="Times New Roman" w:cs="Times New Roman" w:eastAsia="Times New Roman" w:hint="default"/>
        </w:rPr>
        <w:t>6,000.00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t>是</w:t>
      </w:r>
    </w:p>
    <w:p>
      <w:pPr>
        <w:spacing w:after="0" w:line="240" w:lineRule="auto"/>
        <w:jc w:val="left"/>
        <w:sectPr>
          <w:type w:val="continuous"/>
          <w:pgSz w:w="11910" w:h="16840"/>
          <w:pgMar w:top="1060" w:bottom="1160" w:left="980" w:right="0"/>
          <w:cols w:num="2" w:equalWidth="0">
            <w:col w:w="2342" w:space="801"/>
            <w:col w:w="7787"/>
          </w:cols>
        </w:sectPr>
      </w:pPr>
    </w:p>
    <w:p>
      <w:pPr>
        <w:spacing w:line="240" w:lineRule="auto" w:before="4"/>
        <w:rPr>
          <w:rFonts w:ascii="宋体" w:hAnsi="宋体" w:cs="宋体" w:eastAsia="宋体" w:hint="default"/>
          <w:sz w:val="8"/>
          <w:szCs w:val="8"/>
        </w:rPr>
      </w:pPr>
    </w:p>
    <w:p>
      <w:pPr>
        <w:pStyle w:val="BodyText"/>
        <w:tabs>
          <w:tab w:pos="3324" w:val="left" w:leader="none"/>
          <w:tab w:pos="5924" w:val="left" w:leader="none"/>
          <w:tab w:pos="7838" w:val="left" w:leader="none"/>
        </w:tabs>
        <w:spacing w:line="240" w:lineRule="auto" w:before="44"/>
        <w:ind w:left="181" w:right="0"/>
        <w:jc w:val="left"/>
      </w:pPr>
      <w:r>
        <w:rPr>
          <w:spacing w:val="-3"/>
        </w:rPr>
        <w:t>宁波金唐软件有限公司（注</w:t>
      </w:r>
      <w:r>
        <w:rPr>
          <w:spacing w:val="-41"/>
        </w:rPr>
        <w:t> </w:t>
      </w:r>
      <w:r>
        <w:rPr>
          <w:rFonts w:ascii="Times New Roman" w:hAnsi="Times New Roman" w:cs="Times New Roman" w:eastAsia="Times New Roman" w:hint="default"/>
        </w:rPr>
        <w:t>1</w:t>
      </w:r>
      <w:r>
        <w:rPr/>
        <w:t>）</w:t>
        <w:tab/>
      </w:r>
      <w:r>
        <w:rPr>
          <w:rFonts w:ascii="Times New Roman" w:hAnsi="Times New Roman" w:cs="Times New Roman" w:eastAsia="Times New Roman" w:hint="default"/>
        </w:rPr>
        <w:t>5,000.00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t>是</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pStyle w:val="BodyText"/>
        <w:spacing w:line="240" w:lineRule="auto" w:before="44"/>
        <w:ind w:left="181" w:right="-20"/>
        <w:jc w:val="left"/>
      </w:pPr>
      <w:r>
        <w:rPr/>
        <w:t>上海复高计算机科技有限公司</w:t>
      </w:r>
    </w:p>
    <w:p>
      <w:pPr>
        <w:pStyle w:val="BodyText"/>
        <w:spacing w:line="240" w:lineRule="auto" w:before="76"/>
        <w:ind w:left="181" w:right="-20"/>
        <w:jc w:val="left"/>
      </w:pPr>
      <w:r>
        <w:rPr/>
        <w:t>（注</w:t>
      </w:r>
      <w:r>
        <w:rPr>
          <w:spacing w:val="-46"/>
        </w:rPr>
        <w:t> </w:t>
      </w:r>
      <w:r>
        <w:rPr>
          <w:rFonts w:ascii="Times New Roman" w:hAnsi="Times New Roman" w:cs="Times New Roman" w:eastAsia="Times New Roman" w:hint="default"/>
        </w:rPr>
        <w:t>1</w:t>
      </w:r>
      <w:r>
        <w:rPr/>
        <w:t>）</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2781" w:val="left" w:leader="none"/>
          <w:tab w:pos="4695" w:val="left" w:leader="none"/>
        </w:tabs>
        <w:spacing w:line="240" w:lineRule="auto"/>
        <w:ind w:left="181" w:right="0"/>
        <w:jc w:val="left"/>
      </w:pPr>
      <w:r>
        <w:rPr>
          <w:rFonts w:ascii="Times New Roman" w:hAnsi="Times New Roman" w:cs="Times New Roman" w:eastAsia="Times New Roman" w:hint="default"/>
        </w:rPr>
        <w:t>5,000.00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tab/>
        <w:t>是</w:t>
      </w:r>
    </w:p>
    <w:p>
      <w:pPr>
        <w:spacing w:after="0" w:line="240" w:lineRule="auto"/>
        <w:jc w:val="left"/>
        <w:sectPr>
          <w:type w:val="continuous"/>
          <w:pgSz w:w="11910" w:h="16840"/>
          <w:pgMar w:top="1060" w:bottom="1160" w:left="980" w:right="0"/>
          <w:cols w:num="2" w:equalWidth="0">
            <w:col w:w="2522" w:space="621"/>
            <w:col w:w="7787"/>
          </w:cols>
        </w:sectPr>
      </w:pPr>
    </w:p>
    <w:p>
      <w:pPr>
        <w:spacing w:line="240" w:lineRule="auto" w:before="4"/>
        <w:rPr>
          <w:rFonts w:ascii="宋体" w:hAnsi="宋体" w:cs="宋体" w:eastAsia="宋体" w:hint="default"/>
          <w:sz w:val="8"/>
          <w:szCs w:val="8"/>
        </w:rPr>
      </w:pPr>
    </w:p>
    <w:p>
      <w:pPr>
        <w:pStyle w:val="BodyText"/>
        <w:tabs>
          <w:tab w:pos="3234" w:val="left" w:leader="none"/>
          <w:tab w:pos="5924" w:val="left" w:leader="none"/>
          <w:tab w:pos="7838" w:val="left" w:leader="none"/>
        </w:tabs>
        <w:spacing w:line="240" w:lineRule="auto" w:before="44"/>
        <w:ind w:left="181" w:right="0"/>
        <w:jc w:val="left"/>
      </w:pPr>
      <w:r>
        <w:rPr/>
        <w:t>四川浩特通信有限公司</w:t>
        <w:tab/>
      </w:r>
      <w:r>
        <w:rPr>
          <w:rFonts w:ascii="Times New Roman" w:hAnsi="Times New Roman" w:cs="Times New Roman" w:eastAsia="Times New Roman" w:hint="default"/>
        </w:rPr>
        <w:t>10,000.00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tab/>
        <w:t>否</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pStyle w:val="BodyText"/>
        <w:spacing w:line="240" w:lineRule="auto" w:before="44"/>
        <w:ind w:left="181" w:right="-20"/>
        <w:jc w:val="left"/>
      </w:pPr>
      <w:r>
        <w:rPr/>
        <w:t>上海万达信息系统有限公司</w:t>
      </w:r>
    </w:p>
    <w:p>
      <w:pPr>
        <w:pStyle w:val="BodyText"/>
        <w:spacing w:line="240" w:lineRule="auto" w:before="76"/>
        <w:ind w:left="181" w:right="-20"/>
        <w:jc w:val="left"/>
      </w:pPr>
      <w:r>
        <w:rPr/>
        <w:t>（注</w:t>
      </w:r>
      <w:r>
        <w:rPr>
          <w:spacing w:val="-46"/>
        </w:rPr>
        <w:t> </w:t>
      </w:r>
      <w:r>
        <w:rPr>
          <w:rFonts w:ascii="Times New Roman" w:hAnsi="Times New Roman" w:cs="Times New Roman" w:eastAsia="Times New Roman" w:hint="default"/>
        </w:rPr>
        <w:t>2</w:t>
      </w:r>
      <w:r>
        <w:rPr/>
        <w:t>）</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2781" w:val="left" w:leader="none"/>
          <w:tab w:pos="4695" w:val="left" w:leader="none"/>
        </w:tabs>
        <w:spacing w:line="240" w:lineRule="auto"/>
        <w:ind w:left="181" w:right="0"/>
        <w:jc w:val="left"/>
      </w:pPr>
      <w:r>
        <w:rPr>
          <w:rFonts w:ascii="Times New Roman" w:hAnsi="Times New Roman" w:cs="Times New Roman" w:eastAsia="Times New Roman" w:hint="default"/>
        </w:rPr>
        <w:t>6,000.00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09 </w:t>
      </w:r>
      <w:r>
        <w:rPr/>
        <w:t>月</w:t>
      </w:r>
      <w:r>
        <w:rPr>
          <w:spacing w:val="-46"/>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09 </w:t>
      </w:r>
      <w:r>
        <w:rPr/>
        <w:t>月</w:t>
      </w:r>
      <w:r>
        <w:rPr>
          <w:spacing w:val="-46"/>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日</w:t>
        <w:tab/>
        <w:t>否</w:t>
      </w:r>
    </w:p>
    <w:p>
      <w:pPr>
        <w:spacing w:after="0" w:line="240" w:lineRule="auto"/>
        <w:jc w:val="left"/>
        <w:sectPr>
          <w:type w:val="continuous"/>
          <w:pgSz w:w="11910" w:h="16840"/>
          <w:pgMar w:top="1060" w:bottom="1160" w:left="980" w:right="0"/>
          <w:cols w:num="2" w:equalWidth="0">
            <w:col w:w="2342" w:space="801"/>
            <w:col w:w="7787"/>
          </w:cols>
        </w:sectPr>
      </w:pPr>
    </w:p>
    <w:p>
      <w:pPr>
        <w:spacing w:line="240" w:lineRule="auto" w:before="4"/>
        <w:rPr>
          <w:rFonts w:ascii="宋体" w:hAnsi="宋体" w:cs="宋体" w:eastAsia="宋体" w:hint="default"/>
          <w:sz w:val="8"/>
          <w:szCs w:val="8"/>
        </w:rPr>
      </w:pPr>
    </w:p>
    <w:p>
      <w:pPr>
        <w:pStyle w:val="BodyText"/>
        <w:tabs>
          <w:tab w:pos="3234" w:val="left" w:leader="none"/>
          <w:tab w:pos="5924" w:val="left" w:leader="none"/>
          <w:tab w:pos="7838" w:val="left" w:leader="none"/>
        </w:tabs>
        <w:spacing w:line="240" w:lineRule="auto" w:before="44"/>
        <w:ind w:left="181" w:right="0"/>
        <w:jc w:val="left"/>
      </w:pPr>
      <w:r>
        <w:rPr>
          <w:spacing w:val="-3"/>
        </w:rPr>
        <w:t>四川浩特通信有限公司（注</w:t>
      </w:r>
      <w:r>
        <w:rPr>
          <w:spacing w:val="-41"/>
        </w:rPr>
        <w:t> </w:t>
      </w:r>
      <w:r>
        <w:rPr>
          <w:rFonts w:ascii="Times New Roman" w:hAnsi="Times New Roman" w:cs="Times New Roman" w:eastAsia="Times New Roman" w:hint="default"/>
        </w:rPr>
        <w:t>2</w:t>
      </w:r>
      <w:r>
        <w:rPr/>
        <w:t>）</w:t>
        <w:tab/>
      </w:r>
      <w:r>
        <w:rPr>
          <w:rFonts w:ascii="Times New Roman" w:hAnsi="Times New Roman" w:cs="Times New Roman" w:eastAsia="Times New Roman" w:hint="default"/>
        </w:rPr>
        <w:t>15,000.00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09 </w:t>
      </w:r>
      <w:r>
        <w:rPr/>
        <w:t>月</w:t>
      </w:r>
      <w:r>
        <w:rPr>
          <w:spacing w:val="-46"/>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09 </w:t>
      </w:r>
      <w:r>
        <w:rPr/>
        <w:t>月</w:t>
      </w:r>
      <w:r>
        <w:rPr>
          <w:spacing w:val="-46"/>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日</w:t>
        <w:tab/>
        <w:t>否</w:t>
      </w:r>
    </w:p>
    <w:p>
      <w:pPr>
        <w:spacing w:line="240" w:lineRule="auto" w:before="4"/>
        <w:rPr>
          <w:rFonts w:ascii="宋体" w:hAnsi="宋体" w:cs="宋体" w:eastAsia="宋体" w:hint="default"/>
          <w:sz w:val="8"/>
          <w:szCs w:val="8"/>
        </w:rPr>
      </w:pPr>
    </w:p>
    <w:p>
      <w:pPr>
        <w:pStyle w:val="BodyText"/>
        <w:tabs>
          <w:tab w:pos="3234" w:val="left" w:leader="none"/>
        </w:tabs>
        <w:spacing w:line="240" w:lineRule="auto" w:before="44"/>
        <w:ind w:left="181" w:right="0"/>
        <w:jc w:val="left"/>
        <w:rPr>
          <w:rFonts w:ascii="Times New Roman" w:hAnsi="Times New Roman" w:cs="Times New Roman" w:eastAsia="Times New Roman" w:hint="default"/>
        </w:rPr>
      </w:pPr>
      <w:r>
        <w:rPr/>
        <w:t>短期借款小计</w:t>
        <w:tab/>
      </w:r>
      <w:r>
        <w:rPr>
          <w:rFonts w:ascii="Times New Roman" w:hAnsi="Times New Roman" w:cs="Times New Roman" w:eastAsia="Times New Roman" w:hint="default"/>
        </w:rPr>
        <w:t>72,000.00</w:t>
      </w:r>
    </w:p>
    <w:p>
      <w:pPr>
        <w:spacing w:line="240" w:lineRule="auto" w:before="5"/>
        <w:rPr>
          <w:rFonts w:ascii="Times New Roman" w:hAnsi="Times New Roman" w:cs="Times New Roman" w:eastAsia="Times New Roman" w:hint="default"/>
          <w:sz w:val="9"/>
          <w:szCs w:val="9"/>
        </w:rPr>
      </w:pPr>
    </w:p>
    <w:p>
      <w:pPr>
        <w:pStyle w:val="BodyText"/>
        <w:tabs>
          <w:tab w:pos="3324" w:val="left" w:leader="none"/>
          <w:tab w:pos="5924" w:val="left" w:leader="none"/>
          <w:tab w:pos="7838" w:val="left" w:leader="none"/>
        </w:tabs>
        <w:spacing w:line="240" w:lineRule="auto" w:before="44"/>
        <w:ind w:left="181" w:right="0"/>
        <w:jc w:val="left"/>
      </w:pPr>
      <w:r>
        <w:rPr>
          <w:spacing w:val="-3"/>
        </w:rPr>
        <w:t>四川浩特通信有限公司（注</w:t>
      </w:r>
      <w:r>
        <w:rPr>
          <w:spacing w:val="-41"/>
        </w:rPr>
        <w:t> </w:t>
      </w:r>
      <w:r>
        <w:rPr>
          <w:rFonts w:ascii="Times New Roman" w:hAnsi="Times New Roman" w:cs="Times New Roman" w:eastAsia="Times New Roman" w:hint="default"/>
        </w:rPr>
        <w:t>3</w:t>
      </w:r>
      <w:r>
        <w:rPr/>
        <w:t>）</w:t>
        <w:tab/>
      </w:r>
      <w:r>
        <w:rPr>
          <w:rFonts w:ascii="Times New Roman" w:hAnsi="Times New Roman" w:cs="Times New Roman" w:eastAsia="Times New Roman" w:hint="default"/>
        </w:rPr>
        <w:t>9,000.00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tab/>
        <w:t>否</w:t>
      </w:r>
    </w:p>
    <w:p>
      <w:pPr>
        <w:spacing w:line="240" w:lineRule="auto" w:before="4"/>
        <w:rPr>
          <w:rFonts w:ascii="宋体" w:hAnsi="宋体" w:cs="宋体" w:eastAsia="宋体" w:hint="default"/>
          <w:sz w:val="8"/>
          <w:szCs w:val="8"/>
        </w:rPr>
      </w:pPr>
    </w:p>
    <w:p>
      <w:pPr>
        <w:pStyle w:val="BodyText"/>
        <w:tabs>
          <w:tab w:pos="3324" w:val="left" w:leader="none"/>
          <w:tab w:pos="5924" w:val="left" w:leader="none"/>
          <w:tab w:pos="7838" w:val="left" w:leader="none"/>
        </w:tabs>
        <w:spacing w:line="240" w:lineRule="auto" w:before="44"/>
        <w:ind w:left="181" w:right="0"/>
        <w:jc w:val="left"/>
      </w:pPr>
      <w:r>
        <w:rPr>
          <w:spacing w:val="-3"/>
        </w:rPr>
        <w:t>四川浩特通信有限公司（注</w:t>
      </w:r>
      <w:r>
        <w:rPr>
          <w:spacing w:val="-41"/>
        </w:rPr>
        <w:t> </w:t>
      </w:r>
      <w:r>
        <w:rPr>
          <w:rFonts w:ascii="Times New Roman" w:hAnsi="Times New Roman" w:cs="Times New Roman" w:eastAsia="Times New Roman" w:hint="default"/>
        </w:rPr>
        <w:t>4</w:t>
      </w:r>
      <w:r>
        <w:rPr/>
        <w:t>）</w:t>
        <w:tab/>
      </w:r>
      <w:r>
        <w:rPr>
          <w:rFonts w:ascii="Times New Roman" w:hAnsi="Times New Roman" w:cs="Times New Roman" w:eastAsia="Times New Roman" w:hint="default"/>
        </w:rPr>
        <w:t>1,000.00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tab/>
        <w:t>否</w:t>
      </w:r>
    </w:p>
    <w:p>
      <w:pPr>
        <w:spacing w:line="240" w:lineRule="auto" w:before="4"/>
        <w:rPr>
          <w:rFonts w:ascii="宋体" w:hAnsi="宋体" w:cs="宋体" w:eastAsia="宋体" w:hint="default"/>
          <w:sz w:val="8"/>
          <w:szCs w:val="8"/>
        </w:rPr>
      </w:pPr>
    </w:p>
    <w:p>
      <w:pPr>
        <w:pStyle w:val="BodyText"/>
        <w:tabs>
          <w:tab w:pos="3324" w:val="left" w:leader="none"/>
          <w:tab w:pos="5924" w:val="left" w:leader="none"/>
          <w:tab w:pos="7838" w:val="left" w:leader="none"/>
        </w:tabs>
        <w:spacing w:line="240" w:lineRule="auto" w:before="44"/>
        <w:ind w:left="181" w:right="0"/>
        <w:jc w:val="left"/>
      </w:pPr>
      <w:r>
        <w:rPr>
          <w:spacing w:val="-3"/>
        </w:rPr>
        <w:t>四川浩特通信有限公司（注</w:t>
      </w:r>
      <w:r>
        <w:rPr>
          <w:spacing w:val="-41"/>
        </w:rPr>
        <w:t> </w:t>
      </w:r>
      <w:r>
        <w:rPr>
          <w:rFonts w:ascii="Times New Roman" w:hAnsi="Times New Roman" w:cs="Times New Roman" w:eastAsia="Times New Roman" w:hint="default"/>
        </w:rPr>
        <w:t>5</w:t>
      </w:r>
      <w:r>
        <w:rPr/>
        <w:t>）</w:t>
        <w:tab/>
      </w:r>
      <w:r>
        <w:rPr>
          <w:rFonts w:ascii="Times New Roman" w:hAnsi="Times New Roman" w:cs="Times New Roman" w:eastAsia="Times New Roman" w:hint="default"/>
        </w:rPr>
        <w:t>4,600.00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tab/>
        <w:t>否</w:t>
      </w:r>
    </w:p>
    <w:p>
      <w:pPr>
        <w:spacing w:line="240" w:lineRule="auto" w:before="4"/>
        <w:rPr>
          <w:rFonts w:ascii="宋体" w:hAnsi="宋体" w:cs="宋体" w:eastAsia="宋体" w:hint="default"/>
          <w:sz w:val="8"/>
          <w:szCs w:val="8"/>
        </w:rPr>
      </w:pPr>
    </w:p>
    <w:p>
      <w:pPr>
        <w:pStyle w:val="BodyText"/>
        <w:tabs>
          <w:tab w:pos="3324" w:val="left" w:leader="none"/>
          <w:tab w:pos="5924" w:val="left" w:leader="none"/>
          <w:tab w:pos="7838" w:val="left" w:leader="none"/>
        </w:tabs>
        <w:spacing w:line="240" w:lineRule="auto" w:before="44"/>
        <w:ind w:left="181" w:right="0"/>
        <w:jc w:val="left"/>
      </w:pPr>
      <w:r>
        <w:rPr>
          <w:spacing w:val="-3"/>
        </w:rPr>
        <w:t>四川浩特通信有限公司（注</w:t>
      </w:r>
      <w:r>
        <w:rPr>
          <w:spacing w:val="-41"/>
        </w:rPr>
        <w:t> </w:t>
      </w:r>
      <w:r>
        <w:rPr>
          <w:rFonts w:ascii="Times New Roman" w:hAnsi="Times New Roman" w:cs="Times New Roman" w:eastAsia="Times New Roman" w:hint="default"/>
        </w:rPr>
        <w:t>6</w:t>
      </w:r>
      <w:r>
        <w:rPr/>
        <w:t>）</w:t>
        <w:tab/>
      </w:r>
      <w:r>
        <w:rPr>
          <w:rFonts w:ascii="Times New Roman" w:hAnsi="Times New Roman" w:cs="Times New Roman" w:eastAsia="Times New Roman" w:hint="default"/>
        </w:rPr>
        <w:t>4,000.00</w:t>
      </w:r>
      <w:r>
        <w:rPr>
          <w:rFonts w:ascii="Times New Roman" w:hAnsi="Times New Roman" w:cs="Times New Roman" w:eastAsia="Times New Roman" w:hint="default"/>
          <w:spacing w:val="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2022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08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t>否</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pStyle w:val="BodyText"/>
        <w:spacing w:line="316" w:lineRule="auto" w:before="44"/>
        <w:ind w:left="181" w:right="-20"/>
        <w:jc w:val="left"/>
      </w:pPr>
      <w:r>
        <w:rPr/>
        <w:t>长期借款（含一年内到期的长 期借款）小计</w:t>
      </w:r>
    </w:p>
    <w:p>
      <w:pPr>
        <w:spacing w:line="240" w:lineRule="auto" w:before="5"/>
        <w:rPr>
          <w:rFonts w:ascii="宋体" w:hAnsi="宋体" w:cs="宋体" w:eastAsia="宋体" w:hint="default"/>
          <w:sz w:val="18"/>
          <w:szCs w:val="18"/>
        </w:rPr>
      </w:pPr>
      <w:r>
        <w:rPr/>
        <w:br w:type="column"/>
      </w:r>
      <w:r>
        <w:rPr>
          <w:rFonts w:ascii="宋体"/>
          <w:sz w:val="18"/>
        </w:rPr>
      </w:r>
    </w:p>
    <w:p>
      <w:pPr>
        <w:pStyle w:val="BodyText"/>
        <w:spacing w:line="240" w:lineRule="auto"/>
        <w:ind w:left="181" w:right="0"/>
        <w:jc w:val="left"/>
        <w:rPr>
          <w:rFonts w:ascii="Times New Roman" w:hAnsi="Times New Roman" w:cs="Times New Roman" w:eastAsia="Times New Roman" w:hint="default"/>
        </w:rPr>
      </w:pPr>
      <w:r>
        <w:rPr>
          <w:rFonts w:ascii="Times New Roman"/>
        </w:rPr>
        <w:t>18,600.00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2522" w:space="531"/>
            <w:col w:w="7877"/>
          </w:cols>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关联担保情况说明</w:t>
      </w:r>
    </w:p>
    <w:p>
      <w:pPr>
        <w:pStyle w:val="BodyText"/>
        <w:spacing w:line="307" w:lineRule="auto" w:before="116"/>
        <w:ind w:right="1122"/>
        <w:jc w:val="left"/>
      </w:pPr>
      <w:r>
        <w:rPr/>
        <w:t>注</w:t>
      </w:r>
      <w:r>
        <w:rPr>
          <w:rFonts w:ascii="Times New Roman" w:hAnsi="Times New Roman" w:cs="Times New Roman" w:eastAsia="Times New Roman" w:hint="default"/>
        </w:rPr>
        <w:t>1</w:t>
      </w:r>
      <w:r>
        <w:rPr/>
        <w:t>：公司与中国民生银行股份有限公司上海分行签订综合授信合同（合同编号：公授信字第</w:t>
      </w:r>
      <w:r>
        <w:rPr>
          <w:rFonts w:ascii="Times New Roman" w:hAnsi="Times New Roman" w:cs="Times New Roman" w:eastAsia="Times New Roman" w:hint="default"/>
        </w:rPr>
        <w:t>02142017200600</w:t>
      </w:r>
      <w:r>
        <w:rPr/>
        <w:t>号），最高授 信额度为人民币</w:t>
      </w:r>
      <w:r>
        <w:rPr>
          <w:rFonts w:ascii="Times New Roman" w:hAnsi="Times New Roman" w:cs="Times New Roman" w:eastAsia="Times New Roman" w:hint="default"/>
        </w:rPr>
        <w:t>8</w:t>
      </w:r>
      <w:r>
        <w:rPr/>
        <w:t>亿元，最高授信额度有效使用期限为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日。合同约定的全资或控股子公司可使 用综合授信额度，可用于贷款、汇票承兑、汇票贴现、保函及理财业务（含理财直接融资工具）。 注</w:t>
      </w:r>
      <w:r>
        <w:rPr>
          <w:rFonts w:ascii="Times New Roman" w:hAnsi="Times New Roman" w:cs="Times New Roman" w:eastAsia="Times New Roman" w:hint="default"/>
        </w:rPr>
        <w:t>2</w:t>
      </w:r>
      <w:r>
        <w:rPr/>
        <w:t>：公司与中国民生银行股份有限公司上海分行签订综合授信合同（合同编号：公授信字第</w:t>
      </w:r>
      <w:r>
        <w:rPr>
          <w:rFonts w:ascii="Times New Roman" w:hAnsi="Times New Roman" w:cs="Times New Roman" w:eastAsia="Times New Roman" w:hint="default"/>
        </w:rPr>
        <w:t>02142018201300</w:t>
      </w:r>
      <w:r>
        <w:rPr/>
        <w:t>号），最高授 信额度为人民币</w:t>
      </w:r>
      <w:r>
        <w:rPr>
          <w:rFonts w:ascii="Times New Roman" w:hAnsi="Times New Roman" w:cs="Times New Roman" w:eastAsia="Times New Roman" w:hint="default"/>
        </w:rPr>
        <w:t>8</w:t>
      </w:r>
      <w:r>
        <w:rPr/>
        <w:t>亿元，最高授信额度有效使用期限为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日。合同约定的全资或控股子公司可使用 综合授信额度，可用于贷款、汇票承兑、汇票贴现、保函及理财业务（含理财直接融资工具）。 注</w:t>
      </w:r>
      <w:r>
        <w:rPr>
          <w:rFonts w:ascii="Times New Roman" w:hAnsi="Times New Roman" w:cs="Times New Roman" w:eastAsia="Times New Roman" w:hint="default"/>
        </w:rPr>
        <w:t>3</w:t>
      </w:r>
      <w:r>
        <w:rPr/>
        <w:t>：公司全资子公司四川浩特通信有限公司（以下简称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）因公司经营发展需要，与长江联合金融租赁有限公司</w:t>
      </w:r>
    </w:p>
    <w:p>
      <w:pPr>
        <w:pStyle w:val="BodyText"/>
        <w:spacing w:line="300" w:lineRule="auto" w:before="7"/>
        <w:ind w:right="0"/>
        <w:jc w:val="left"/>
      </w:pPr>
      <w:r>
        <w:rPr>
          <w:spacing w:val="-2"/>
        </w:rPr>
        <w:t>（以下简称</w:t>
      </w:r>
      <w:r>
        <w:rPr>
          <w:rFonts w:ascii="Times New Roman" w:hAnsi="Times New Roman" w:cs="Times New Roman" w:eastAsia="Times New Roman" w:hint="default"/>
          <w:spacing w:val="-2"/>
        </w:rPr>
        <w:t>“</w:t>
      </w:r>
      <w:r>
        <w:rPr>
          <w:spacing w:val="-2"/>
        </w:rPr>
        <w:t>长江联合</w:t>
      </w:r>
      <w:r>
        <w:rPr>
          <w:rFonts w:ascii="Times New Roman" w:hAnsi="Times New Roman" w:cs="Times New Roman" w:eastAsia="Times New Roman" w:hint="default"/>
          <w:spacing w:val="-2"/>
        </w:rPr>
        <w:t>”</w:t>
      </w:r>
      <w:r>
        <w:rPr>
          <w:spacing w:val="-2"/>
        </w:rPr>
        <w:t>）签订《融资租赁合同》（售后回租类），通过融资租赁（售后回租类）形式，向长江联合融资人民</w:t>
      </w:r>
      <w:r>
        <w:rPr>
          <w:spacing w:val="-49"/>
        </w:rPr>
        <w:t> </w:t>
      </w:r>
      <w:r>
        <w:rPr>
          <w:spacing w:val="-49"/>
        </w:rPr>
      </w:r>
      <w:r>
        <w:rPr/>
        <w:t>币</w:t>
      </w:r>
      <w:r>
        <w:rPr>
          <w:rFonts w:ascii="Times New Roman" w:hAnsi="Times New Roman" w:cs="Times New Roman" w:eastAsia="Times New Roman" w:hint="default"/>
        </w:rPr>
        <w:t>9,000.00</w:t>
      </w:r>
      <w:r>
        <w:rPr/>
        <w:t>万元。本公司为四川浩特提供不可撤销的连带责任保证。 注</w:t>
      </w:r>
      <w:r>
        <w:rPr>
          <w:rFonts w:ascii="Times New Roman" w:hAnsi="Times New Roman" w:cs="Times New Roman" w:eastAsia="Times New Roman" w:hint="default"/>
        </w:rPr>
        <w:t>4</w:t>
      </w:r>
      <w:r>
        <w:rPr/>
        <w:t>：公司全资子公司四川浩特通信有限公司（以下简称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）因公司经营发展需要，与长江联合金融租赁有限公司</w:t>
      </w:r>
    </w:p>
    <w:p>
      <w:pPr>
        <w:pStyle w:val="BodyText"/>
        <w:spacing w:line="307" w:lineRule="auto" w:before="13"/>
        <w:ind w:right="0"/>
        <w:jc w:val="left"/>
      </w:pPr>
      <w:r>
        <w:rPr>
          <w:spacing w:val="-2"/>
        </w:rPr>
        <w:t>（以下简称</w:t>
      </w:r>
      <w:r>
        <w:rPr>
          <w:rFonts w:ascii="Times New Roman" w:hAnsi="Times New Roman" w:cs="Times New Roman" w:eastAsia="Times New Roman" w:hint="default"/>
          <w:spacing w:val="-2"/>
        </w:rPr>
        <w:t>“</w:t>
      </w:r>
      <w:r>
        <w:rPr>
          <w:spacing w:val="-2"/>
        </w:rPr>
        <w:t>长江联合</w:t>
      </w:r>
      <w:r>
        <w:rPr>
          <w:rFonts w:ascii="Times New Roman" w:hAnsi="Times New Roman" w:cs="Times New Roman" w:eastAsia="Times New Roman" w:hint="default"/>
          <w:spacing w:val="-2"/>
        </w:rPr>
        <w:t>”</w:t>
      </w:r>
      <w:r>
        <w:rPr>
          <w:spacing w:val="-2"/>
        </w:rPr>
        <w:t>）签订《融资租赁合同》（售后回租类），通过融资租赁（售后回租类）形式，向长江联合融资人民</w:t>
      </w:r>
      <w:r>
        <w:rPr>
          <w:spacing w:val="-49"/>
        </w:rPr>
        <w:t> </w:t>
      </w:r>
      <w:r>
        <w:rPr>
          <w:spacing w:val="-49"/>
        </w:rPr>
      </w:r>
      <w:r>
        <w:rPr/>
        <w:t>币</w:t>
      </w:r>
      <w:r>
        <w:rPr>
          <w:rFonts w:ascii="Times New Roman" w:hAnsi="Times New Roman" w:cs="Times New Roman" w:eastAsia="Times New Roman" w:hint="default"/>
        </w:rPr>
        <w:t>1,000.00</w:t>
      </w:r>
      <w:r>
        <w:rPr/>
        <w:t>万元。本公司为四川浩特提供不可撤销的连带责任保证。 </w:t>
      </w:r>
      <w:r>
        <w:rPr>
          <w:spacing w:val="-3"/>
        </w:rPr>
        <w:t>注</w:t>
      </w:r>
      <w:r>
        <w:rPr>
          <w:rFonts w:ascii="Times New Roman" w:hAnsi="Times New Roman" w:cs="Times New Roman" w:eastAsia="Times New Roman" w:hint="default"/>
          <w:spacing w:val="-3"/>
        </w:rPr>
        <w:t>5</w:t>
      </w:r>
      <w:r>
        <w:rPr>
          <w:spacing w:val="-3"/>
        </w:rPr>
        <w:t>：本公司全资子公司四川浩特通信有限公司（以下简称</w:t>
      </w:r>
      <w:r>
        <w:rPr>
          <w:rFonts w:ascii="Times New Roman" w:hAnsi="Times New Roman" w:cs="Times New Roman" w:eastAsia="Times New Roman" w:hint="default"/>
          <w:spacing w:val="-3"/>
        </w:rPr>
        <w:t>“</w:t>
      </w:r>
      <w:r>
        <w:rPr>
          <w:spacing w:val="-3"/>
        </w:rPr>
        <w:t>四川浩特</w:t>
      </w:r>
      <w:r>
        <w:rPr>
          <w:rFonts w:ascii="Times New Roman" w:hAnsi="Times New Roman" w:cs="Times New Roman" w:eastAsia="Times New Roman" w:hint="default"/>
          <w:spacing w:val="-3"/>
        </w:rPr>
        <w:t>”</w:t>
      </w:r>
      <w:r>
        <w:rPr>
          <w:spacing w:val="-3"/>
        </w:rPr>
        <w:t>）因公司项目建设需要，由成都盈开投资有限公司（以</w:t>
      </w:r>
      <w:r>
        <w:rPr>
          <w:spacing w:val="-78"/>
        </w:rPr>
        <w:t> </w:t>
      </w:r>
      <w:r>
        <w:rPr>
          <w:spacing w:val="-78"/>
        </w:rPr>
      </w:r>
      <w:r>
        <w:rPr/>
        <w:t>下简称</w:t>
      </w:r>
      <w:r>
        <w:rPr>
          <w:rFonts w:ascii="Times New Roman" w:hAnsi="Times New Roman" w:cs="Times New Roman" w:eastAsia="Times New Roman" w:hint="default"/>
        </w:rPr>
        <w:t>“</w:t>
      </w:r>
      <w:r>
        <w:rPr/>
        <w:t>盈开投资</w:t>
      </w:r>
      <w:r>
        <w:rPr>
          <w:rFonts w:ascii="Times New Roman" w:hAnsi="Times New Roman" w:cs="Times New Roman" w:eastAsia="Times New Roman" w:hint="default"/>
        </w:rPr>
        <w:t>”</w:t>
      </w:r>
      <w:r>
        <w:rPr/>
        <w:t>）委托中国民生银行股份有限公司成都分行（以下简称</w:t>
      </w:r>
      <w:r>
        <w:rPr>
          <w:rFonts w:ascii="Times New Roman" w:hAnsi="Times New Roman" w:cs="Times New Roman" w:eastAsia="Times New Roman" w:hint="default"/>
        </w:rPr>
        <w:t>“</w:t>
      </w:r>
      <w:r>
        <w:rPr/>
        <w:t>民生银行成都分行</w:t>
      </w:r>
      <w:r>
        <w:rPr>
          <w:rFonts w:ascii="Times New Roman" w:hAnsi="Times New Roman" w:cs="Times New Roman" w:eastAsia="Times New Roman" w:hint="default"/>
        </w:rPr>
        <w:t>”</w:t>
      </w:r>
      <w:r>
        <w:rPr/>
        <w:t>）向四川浩特发放</w:t>
      </w:r>
      <w:r>
        <w:rPr>
          <w:rFonts w:ascii="Times New Roman" w:hAnsi="Times New Roman" w:cs="Times New Roman" w:eastAsia="Times New Roman" w:hint="default"/>
        </w:rPr>
        <w:t>4,600.00</w:t>
      </w:r>
      <w:r>
        <w:rPr/>
        <w:t>万 </w:t>
      </w:r>
      <w:r>
        <w:rPr>
          <w:spacing w:val="-2"/>
        </w:rPr>
        <w:t>元借款，成都中小企业融资担保有限责任公司为上述借款提供担保。本公司向成都中小企业融资担保有限责任公司为四川浩</w:t>
      </w:r>
      <w:r>
        <w:rPr>
          <w:spacing w:val="-64"/>
        </w:rPr>
        <w:t> </w:t>
      </w:r>
      <w:r>
        <w:rPr>
          <w:spacing w:val="-64"/>
        </w:rPr>
      </w:r>
      <w:r>
        <w:rPr/>
        <w:t>特在盈开投资申请的上述借款提供连带责任反担保，反担保期限为两年。 注</w:t>
      </w:r>
      <w:r>
        <w:rPr>
          <w:rFonts w:ascii="Times New Roman" w:hAnsi="Times New Roman" w:cs="Times New Roman" w:eastAsia="Times New Roman" w:hint="default"/>
        </w:rPr>
        <w:t>6</w:t>
      </w:r>
      <w:r>
        <w:rPr/>
        <w:t>：公司全资子公司四川浩特通信有限公司（以下简称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）因公司经营发展需要，与长江联合金融租赁有限公司</w:t>
      </w:r>
    </w:p>
    <w:p>
      <w:pPr>
        <w:pStyle w:val="BodyText"/>
        <w:spacing w:line="300" w:lineRule="auto" w:before="7"/>
        <w:ind w:right="0"/>
        <w:jc w:val="left"/>
      </w:pPr>
      <w:r>
        <w:rPr>
          <w:spacing w:val="-2"/>
        </w:rPr>
        <w:t>（以下简称</w:t>
      </w:r>
      <w:r>
        <w:rPr>
          <w:rFonts w:ascii="Times New Roman" w:hAnsi="Times New Roman" w:cs="Times New Roman" w:eastAsia="Times New Roman" w:hint="default"/>
          <w:spacing w:val="-2"/>
        </w:rPr>
        <w:t>“</w:t>
      </w:r>
      <w:r>
        <w:rPr>
          <w:spacing w:val="-2"/>
        </w:rPr>
        <w:t>长江联合</w:t>
      </w:r>
      <w:r>
        <w:rPr>
          <w:rFonts w:ascii="Times New Roman" w:hAnsi="Times New Roman" w:cs="Times New Roman" w:eastAsia="Times New Roman" w:hint="default"/>
          <w:spacing w:val="-2"/>
        </w:rPr>
        <w:t>”</w:t>
      </w:r>
      <w:r>
        <w:rPr>
          <w:spacing w:val="-2"/>
        </w:rPr>
        <w:t>）签订《融资租赁合同》（售后回租类），通过融资租赁（售后回租类）形式，向长江联合融资人民</w:t>
      </w:r>
      <w:r>
        <w:rPr>
          <w:spacing w:val="-49"/>
        </w:rPr>
        <w:t> </w:t>
      </w:r>
      <w:r>
        <w:rPr>
          <w:spacing w:val="-49"/>
        </w:rPr>
      </w:r>
      <w:r>
        <w:rPr/>
        <w:t>币</w:t>
      </w:r>
      <w:r>
        <w:rPr>
          <w:rFonts w:ascii="Times New Roman" w:hAnsi="Times New Roman" w:cs="Times New Roman" w:eastAsia="Times New Roman" w:hint="default"/>
        </w:rPr>
        <w:t>4,000.00</w:t>
      </w:r>
      <w:r>
        <w:rPr/>
        <w:t>万元。本公司为四川浩特提供不可撤销的连带责任保证。</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5）关联方资金拆借" w:id="457"/>
      <w:bookmarkEnd w:id="45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458"/>
      <w:bookmarkEnd w:id="45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59"/>
      <w:bookmarkEnd w:id="45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其他关联交易" w:id="460"/>
      <w:bookmarkEnd w:id="46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right="0"/>
        <w:jc w:val="left"/>
        <w:rPr>
          <w:b w:val="0"/>
          <w:bCs w:val="0"/>
        </w:rPr>
      </w:pPr>
      <w:r>
        <w:rPr/>
        <w:t>与控股股东共同参与投资设立金融租赁公司</w:t>
      </w:r>
      <w:r>
        <w:rPr>
          <w:b w:val="0"/>
          <w:bCs w:val="0"/>
        </w:rPr>
      </w:r>
    </w:p>
    <w:p>
      <w:pPr>
        <w:pStyle w:val="BodyText"/>
        <w:spacing w:line="300" w:lineRule="auto" w:before="76"/>
        <w:ind w:right="0" w:firstLine="360"/>
        <w:jc w:val="left"/>
      </w:pPr>
      <w:r>
        <w:rPr/>
        <w:t>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16 </w:t>
      </w:r>
      <w:r>
        <w:rPr/>
        <w:t>日召开第五届董事会</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年第十七次临时会议并经股东大会审议通过了《关于与控股股东共同 参与投资设立金融租赁公司暨关联交易的议案》。</w:t>
      </w:r>
    </w:p>
    <w:p>
      <w:pPr>
        <w:pStyle w:val="BodyText"/>
        <w:spacing w:line="300" w:lineRule="auto" w:before="31"/>
        <w:ind w:right="1130" w:firstLine="360"/>
        <w:jc w:val="both"/>
      </w:pPr>
      <w:r>
        <w:rPr>
          <w:spacing w:val="-2"/>
        </w:rPr>
        <w:t>公司与控股股东上海万豪投资有限公司（以下简称</w:t>
      </w:r>
      <w:r>
        <w:rPr>
          <w:rFonts w:ascii="Times New Roman" w:hAnsi="Times New Roman" w:cs="Times New Roman" w:eastAsia="Times New Roman" w:hint="default"/>
          <w:spacing w:val="-2"/>
        </w:rPr>
        <w:t>“</w:t>
      </w:r>
      <w:r>
        <w:rPr>
          <w:spacing w:val="-2"/>
        </w:rPr>
        <w:t>万豪投资</w:t>
      </w:r>
      <w:r>
        <w:rPr>
          <w:rFonts w:ascii="Times New Roman" w:hAnsi="Times New Roman" w:cs="Times New Roman" w:eastAsia="Times New Roman" w:hint="default"/>
          <w:spacing w:val="-2"/>
        </w:rPr>
        <w:t>”</w:t>
      </w:r>
      <w:r>
        <w:rPr>
          <w:spacing w:val="-2"/>
        </w:rPr>
        <w:t>）、上海农村商业银行股份有限公司等其他发起人共同签</w:t>
      </w:r>
      <w:r>
        <w:rPr/>
        <w:t> </w:t>
      </w:r>
      <w:r>
        <w:rPr>
          <w:spacing w:val="-4"/>
        </w:rPr>
        <w:t>署《关于设立长江联合金融租赁有限公司之出资协议》，参与投资设立金融租赁公司。金融租赁公司注册资本为人民币</w:t>
      </w:r>
      <w:r>
        <w:rPr>
          <w:rFonts w:ascii="Times New Roman" w:hAnsi="Times New Roman" w:cs="Times New Roman" w:eastAsia="Times New Roman" w:hint="default"/>
          <w:spacing w:val="-4"/>
        </w:rPr>
        <w:t>10 </w:t>
      </w:r>
      <w:r>
        <w:rPr/>
        <w:t>亿</w:t>
      </w:r>
      <w:r>
        <w:rPr>
          <w:spacing w:val="-82"/>
        </w:rPr>
        <w:t> </w:t>
      </w:r>
      <w:r>
        <w:rPr/>
        <w:t>元，其中万达信息以自有资金出资人民币</w:t>
      </w:r>
      <w:r>
        <w:rPr>
          <w:rFonts w:ascii="Times New Roman" w:hAnsi="Times New Roman" w:cs="Times New Roman" w:eastAsia="Times New Roman" w:hint="default"/>
        </w:rPr>
        <w:t>2 </w:t>
      </w:r>
      <w:r>
        <w:rPr/>
        <w:t>亿元，持有金融租赁公司</w:t>
      </w:r>
      <w:r>
        <w:rPr>
          <w:rFonts w:ascii="Times New Roman" w:hAnsi="Times New Roman" w:cs="Times New Roman" w:eastAsia="Times New Roman" w:hint="default"/>
        </w:rPr>
        <w:t>20%</w:t>
      </w:r>
      <w:r>
        <w:rPr/>
        <w:t>股权，万豪投资出资人民币</w:t>
      </w:r>
      <w:r>
        <w:rPr>
          <w:rFonts w:ascii="Times New Roman" w:hAnsi="Times New Roman" w:cs="Times New Roman" w:eastAsia="Times New Roman" w:hint="default"/>
        </w:rPr>
        <w:t>0.8</w:t>
      </w:r>
      <w:r>
        <w:rPr>
          <w:rFonts w:ascii="Times New Roman" w:hAnsi="Times New Roman" w:cs="Times New Roman" w:eastAsia="Times New Roman" w:hint="default"/>
          <w:spacing w:val="33"/>
        </w:rPr>
        <w:t> </w:t>
      </w:r>
      <w:r>
        <w:rPr/>
        <w:t>亿元，持有金融租 赁公司</w:t>
      </w:r>
      <w:r>
        <w:rPr>
          <w:rFonts w:ascii="Times New Roman" w:hAnsi="Times New Roman" w:cs="Times New Roman" w:eastAsia="Times New Roman" w:hint="default"/>
        </w:rPr>
        <w:t>8%</w:t>
      </w:r>
      <w:r>
        <w:rPr/>
        <w:t>股权。</w:t>
      </w:r>
    </w:p>
    <w:p>
      <w:pPr>
        <w:pStyle w:val="BodyText"/>
        <w:spacing w:line="240" w:lineRule="auto" w:before="13"/>
        <w:ind w:left="514" w:right="0"/>
        <w:jc w:val="left"/>
      </w:pPr>
      <w:r>
        <w:rPr/>
        <w:t>长江联合金融租赁有限公司已经中国银行业监督管理委员会批准设立于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日取得统一社会信用代码为</w:t>
      </w:r>
    </w:p>
    <w:p>
      <w:pPr>
        <w:pStyle w:val="BodyText"/>
        <w:spacing w:line="240" w:lineRule="auto" w:before="63"/>
        <w:ind w:right="0"/>
        <w:jc w:val="left"/>
      </w:pPr>
      <w:r>
        <w:rPr>
          <w:rFonts w:ascii="Times New Roman" w:hAnsi="Times New Roman" w:cs="Times New Roman" w:eastAsia="Times New Roman" w:hint="default"/>
        </w:rPr>
        <w:t>913100003422088139</w:t>
      </w:r>
      <w:r>
        <w:rPr/>
        <w:t>号营业执照。</w:t>
      </w:r>
    </w:p>
    <w:p>
      <w:pPr>
        <w:pStyle w:val="BodyText"/>
        <w:spacing w:line="307" w:lineRule="auto" w:before="63"/>
        <w:ind w:right="0" w:firstLine="360"/>
        <w:jc w:val="left"/>
        <w:rPr>
          <w:rFonts w:ascii="宋体" w:hAnsi="宋体" w:cs="宋体" w:eastAsia="宋体" w:hint="default"/>
        </w:rPr>
      </w:pPr>
      <w:r>
        <w:rPr>
          <w:spacing w:val="-2"/>
        </w:rPr>
        <w:t>经长江联合金融租赁有限公司</w:t>
      </w:r>
      <w:r>
        <w:rPr>
          <w:rFonts w:ascii="Times New Roman" w:hAnsi="Times New Roman" w:cs="Times New Roman" w:eastAsia="Times New Roman" w:hint="default"/>
          <w:spacing w:val="-2"/>
        </w:rPr>
        <w:t>2016</w:t>
      </w:r>
      <w:r>
        <w:rPr>
          <w:spacing w:val="-2"/>
        </w:rPr>
        <w:t>年董事会决议及修订后的章程规定，长江联合金融租赁有限公司增加注册资本人民币</w:t>
      </w:r>
      <w:r>
        <w:rPr/>
        <w:t> </w:t>
      </w:r>
      <w:r>
        <w:rPr>
          <w:rFonts w:ascii="Times New Roman" w:hAnsi="Times New Roman" w:cs="Times New Roman" w:eastAsia="Times New Roman" w:hint="default"/>
        </w:rPr>
        <w:t>10</w:t>
      </w:r>
      <w:r>
        <w:rPr/>
        <w:t>亿元，增资完成后注册资本变更为人民币</w:t>
      </w:r>
      <w:r>
        <w:rPr>
          <w:rFonts w:ascii="Times New Roman" w:hAnsi="Times New Roman" w:cs="Times New Roman" w:eastAsia="Times New Roman" w:hint="default"/>
        </w:rPr>
        <w:t>20</w:t>
      </w:r>
      <w:r>
        <w:rPr/>
        <w:t>亿元，其中本公司出资额仍为人民币</w:t>
      </w:r>
      <w:r>
        <w:rPr>
          <w:rFonts w:ascii="Times New Roman" w:hAnsi="Times New Roman" w:cs="Times New Roman" w:eastAsia="Times New Roman" w:hint="default"/>
        </w:rPr>
        <w:t>2</w:t>
      </w:r>
      <w:r>
        <w:rPr/>
        <w:t>亿元，持股比例降至</w:t>
      </w:r>
      <w:r>
        <w:rPr>
          <w:rFonts w:ascii="Times New Roman" w:hAnsi="Times New Roman" w:cs="Times New Roman" w:eastAsia="Times New Roman" w:hint="default"/>
        </w:rPr>
        <w:t>10%</w:t>
      </w:r>
      <w:r>
        <w:rPr/>
        <w:t>，相关变更手 续业已完成，公司对长江联合金融租赁有限公司不再具有重大影响，转入可供出售金融资产核算相关投资。 </w:t>
      </w:r>
      <w:r>
        <w:rPr>
          <w:rFonts w:ascii="宋体" w:hAnsi="宋体" w:cs="宋体" w:eastAsia="宋体" w:hint="default"/>
          <w:b/>
          <w:bCs/>
        </w:rPr>
        <w:t>全资子公司与参股公司签订融资租赁借款合同</w:t>
      </w:r>
      <w:r>
        <w:rPr>
          <w:rFonts w:ascii="宋体" w:hAnsi="宋体" w:cs="宋体" w:eastAsia="宋体" w:hint="default"/>
        </w:rPr>
      </w:r>
    </w:p>
    <w:p>
      <w:pPr>
        <w:pStyle w:val="BodyText"/>
        <w:spacing w:line="300" w:lineRule="auto" w:before="26"/>
        <w:ind w:right="0" w:firstLine="360"/>
        <w:jc w:val="left"/>
      </w:pPr>
      <w:r>
        <w:rPr>
          <w:spacing w:val="-2"/>
        </w:rPr>
        <w:t>公司全资子公司四川浩特通信有限公司因公司经营发展需要，分别于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月及</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月与长江联合金融租赁有限公</w:t>
      </w:r>
      <w:r>
        <w:rPr/>
        <w:t> 司签订《融资租赁合同》（售后回租类），共向长江联合融资合计人民币</w:t>
      </w:r>
      <w:r>
        <w:rPr>
          <w:rFonts w:ascii="Times New Roman" w:hAnsi="Times New Roman" w:cs="Times New Roman" w:eastAsia="Times New Roman" w:hint="default"/>
        </w:rPr>
        <w:t>100,000,000.00</w:t>
      </w:r>
      <w:r>
        <w:rPr/>
        <w:t>元，融资期限</w:t>
      </w:r>
      <w:r>
        <w:rPr>
          <w:rFonts w:ascii="Times New Roman" w:hAnsi="Times New Roman" w:cs="Times New Roman" w:eastAsia="Times New Roman" w:hint="default"/>
        </w:rPr>
        <w:t>5</w:t>
      </w:r>
      <w:r>
        <w:rPr/>
        <w:t>年。</w:t>
      </w:r>
    </w:p>
    <w:p>
      <w:pPr>
        <w:pStyle w:val="BodyText"/>
        <w:spacing w:line="300" w:lineRule="auto" w:before="13"/>
        <w:ind w:right="1122" w:firstLine="360"/>
        <w:jc w:val="left"/>
      </w:pPr>
      <w:r>
        <w:rPr/>
        <w:t>公司全资子公司四川浩特通信有限公司因公司经营发展需要，于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月与长江联合金融租赁有限公司签订《融资租 赁合同》（售后回租类），向长江联合融资合计人民币</w:t>
      </w:r>
      <w:r>
        <w:rPr>
          <w:rFonts w:ascii="Times New Roman" w:hAnsi="Times New Roman" w:cs="Times New Roman" w:eastAsia="Times New Roman" w:hint="default"/>
        </w:rPr>
        <w:t>40,000,000.00</w:t>
      </w:r>
      <w:r>
        <w:rPr/>
        <w:t>元，融资期限</w:t>
      </w:r>
      <w:r>
        <w:rPr>
          <w:rFonts w:ascii="Times New Roman" w:hAnsi="Times New Roman" w:cs="Times New Roman" w:eastAsia="Times New Roman" w:hint="default"/>
        </w:rPr>
        <w:t>5</w:t>
      </w:r>
      <w:r>
        <w:rPr/>
        <w:t>年。</w:t>
      </w:r>
    </w:p>
    <w:p>
      <w:pPr>
        <w:pStyle w:val="BodyText"/>
        <w:spacing w:line="300" w:lineRule="auto" w:before="13"/>
        <w:ind w:right="1122" w:firstLine="360"/>
        <w:jc w:val="left"/>
      </w:pPr>
      <w:r>
        <w:rPr/>
        <w:t>本因公司经营发展需要，于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月与长江联合金融租赁有限公司签订《融资租赁合同》（售后回租类），向长江联 合融资合计人民币</w:t>
      </w:r>
      <w:r>
        <w:rPr>
          <w:rFonts w:ascii="Times New Roman" w:hAnsi="Times New Roman" w:cs="Times New Roman" w:eastAsia="Times New Roman" w:hint="default"/>
        </w:rPr>
        <w:t>60,000,000.00</w:t>
      </w:r>
      <w:r>
        <w:rPr/>
        <w:t>元，融资期限</w:t>
      </w:r>
      <w:r>
        <w:rPr>
          <w:rFonts w:ascii="Times New Roman" w:hAnsi="Times New Roman" w:cs="Times New Roman" w:eastAsia="Times New Roman" w:hint="default"/>
        </w:rPr>
        <w:t>5</w:t>
      </w:r>
      <w:r>
        <w:rPr/>
        <w:t>年。</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6、关联方应收应付款项" w:id="461"/>
      <w:bookmarkEnd w:id="46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62"/>
      <w:bookmarkEnd w:id="46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上海全程玖玖健康 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上海达保贵生信息 科技股份有限公司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17,476,692.76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622,708.66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14,120,400.00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宁波市科技园区明 天医网科技有限公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0"/>
              <w:jc w:val="left"/>
              <w:rPr>
                <w:rFonts w:ascii="宋体" w:hAnsi="宋体" w:cs="宋体" w:eastAsia="宋体" w:hint="default"/>
                <w:sz w:val="18"/>
                <w:szCs w:val="18"/>
              </w:rPr>
            </w:pPr>
            <w:r>
              <w:rPr>
                <w:rFonts w:ascii="宋体" w:hAnsi="宋体" w:cs="宋体" w:eastAsia="宋体" w:hint="default"/>
                <w:sz w:val="18"/>
                <w:szCs w:val="18"/>
              </w:rPr>
              <w:t>上海嘉达信息科技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深圳市华波美通信 技术有限公司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163,001.86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10,019.72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7"/>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长江联合金融租赁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12,000,000.00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108,000.00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63"/>
      <w:bookmarkEnd w:id="46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2,351,825.34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2,351,825.34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深圳市华波美通信技术有限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7,887,837.03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宁波市科技园区明天医网科 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8,779,000.00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上海达保贵生信息科技股份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2,752,690.79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上海全程玖玖健康服务有限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4,079,825.15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深圳市华波美通信技术有限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105,556.16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深圳市华波美通信技术有限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长江联合金融租赁有限公司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26,303,273.24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11,718,567.39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长江联合金融租赁有限公司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147,346,984.34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173,822,225.50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64"/>
      <w:bookmarkEnd w:id="46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其他" w:id="465"/>
      <w:bookmarkEnd w:id="465"/>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股份支付" w:id="466"/>
      <w:bookmarkEnd w:id="466"/>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支付总体情况" w:id="467"/>
      <w:bookmarkEnd w:id="46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bl>
    <w:p>
      <w:pPr>
        <w:pStyle w:val="BodyText"/>
        <w:spacing w:line="357" w:lineRule="auto" w:before="51"/>
        <w:ind w:right="10032"/>
        <w:jc w:val="left"/>
      </w:pPr>
      <w:r>
        <w:rPr/>
        <w:t>其他说明 注</w:t>
      </w:r>
      <w:r>
        <w:rPr>
          <w:rFonts w:ascii="Times New Roman" w:hAnsi="Times New Roman" w:cs="Times New Roman" w:eastAsia="Times New Roman" w:hint="default"/>
        </w:rPr>
        <w:t>1</w:t>
      </w:r>
      <w:r>
        <w:rPr/>
        <w:t>：</w:t>
      </w:r>
    </w:p>
    <w:p>
      <w:pPr>
        <w:pStyle w:val="BodyText"/>
        <w:spacing w:line="214" w:lineRule="exact"/>
        <w:ind w:right="0"/>
        <w:jc w:val="left"/>
      </w:pPr>
      <w:r>
        <w:rPr>
          <w:rFonts w:ascii="Times New Roman" w:hAnsi="Times New Roman" w:cs="Times New Roman" w:eastAsia="Times New Roman" w:hint="default"/>
        </w:rPr>
        <w:t>1</w:t>
      </w:r>
      <w:r>
        <w:rPr/>
        <w:t>）本次激励计划简述</w:t>
      </w:r>
    </w:p>
    <w:p>
      <w:pPr>
        <w:pStyle w:val="BodyText"/>
        <w:spacing w:line="240" w:lineRule="auto" w:before="63"/>
        <w:ind w:right="0"/>
        <w:jc w:val="left"/>
      </w:pPr>
      <w:r>
        <w:rPr/>
        <w:t>本次激励计划的审议程序</w:t>
      </w:r>
    </w:p>
    <w:p>
      <w:pPr>
        <w:pStyle w:val="BodyText"/>
        <w:spacing w:line="240" w:lineRule="auto" w:before="76"/>
        <w:ind w:left="514" w:right="0"/>
        <w:jc w:val="left"/>
      </w:pPr>
      <w:r>
        <w:rPr>
          <w:rFonts w:ascii="Times New Roman" w:hAnsi="Times New Roman" w:cs="Times New Roman" w:eastAsia="Times New Roman" w:hint="default"/>
        </w:rPr>
        <w:t>2018</w:t>
      </w:r>
      <w:r>
        <w:rPr/>
        <w:t>年</w:t>
      </w:r>
      <w:r>
        <w:rPr>
          <w:spacing w:val="-19"/>
        </w:rPr>
        <w:t> </w:t>
      </w:r>
      <w:r>
        <w:rPr>
          <w:rFonts w:ascii="Times New Roman" w:hAnsi="Times New Roman" w:cs="Times New Roman" w:eastAsia="Times New Roman" w:hint="default"/>
        </w:rPr>
        <w:t>4</w:t>
      </w:r>
      <w:r>
        <w:rPr/>
        <w:t>月</w:t>
      </w:r>
      <w:r>
        <w:rPr>
          <w:spacing w:val="-20"/>
        </w:rPr>
        <w:t> </w:t>
      </w:r>
      <w:r>
        <w:rPr>
          <w:rFonts w:ascii="Times New Roman" w:hAnsi="Times New Roman" w:cs="Times New Roman" w:eastAsia="Times New Roman" w:hint="default"/>
        </w:rPr>
        <w:t>13</w:t>
      </w:r>
      <w:r>
        <w:rPr/>
        <w:t>日，公司第六届董事会</w:t>
      </w:r>
      <w:r>
        <w:rPr>
          <w:spacing w:val="-19"/>
        </w:rPr>
        <w:t> </w:t>
      </w:r>
      <w:r>
        <w:rPr>
          <w:rFonts w:ascii="Times New Roman" w:hAnsi="Times New Roman" w:cs="Times New Roman" w:eastAsia="Times New Roman" w:hint="default"/>
        </w:rPr>
        <w:t>2018</w:t>
      </w:r>
      <w:r>
        <w:rPr/>
        <w:t>年第六次临时会议和第六届监事会</w:t>
      </w:r>
      <w:r>
        <w:rPr>
          <w:spacing w:val="-1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年第二次临时会议分别审议通过了</w:t>
      </w:r>
    </w:p>
    <w:p>
      <w:pPr>
        <w:pStyle w:val="BodyText"/>
        <w:spacing w:line="300" w:lineRule="auto" w:before="63"/>
        <w:ind w:right="1141"/>
        <w:jc w:val="left"/>
      </w:pPr>
      <w:r>
        <w:rPr/>
        <w:t>《万达信息股份有限公司</w:t>
      </w:r>
      <w:r>
        <w:rPr>
          <w:spacing w:val="-19"/>
        </w:rPr>
        <w:t> </w:t>
      </w:r>
      <w:r>
        <w:rPr>
          <w:rFonts w:ascii="Times New Roman" w:hAnsi="Times New Roman" w:cs="Times New Roman" w:eastAsia="Times New Roman" w:hint="default"/>
        </w:rPr>
        <w:t>2018</w:t>
      </w:r>
      <w:r>
        <w:rPr/>
        <w:t>年股票期权激励计划（草案）》等相关议案，公司独立董事发表了明确同意的独立意见，公 司监事会对激励对象名单发表了同意意见，律师事务所出具了同意的法律意见。</w:t>
      </w:r>
    </w:p>
    <w:p>
      <w:pPr>
        <w:pStyle w:val="BodyText"/>
        <w:spacing w:line="300" w:lineRule="auto" w:before="31"/>
        <w:ind w:right="1129" w:firstLine="360"/>
        <w:jc w:val="both"/>
      </w:pPr>
      <w:r>
        <w:rPr/>
        <w:t>公司对首次授予的激励对象名单在公司内部进行了公示，公示时间为</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13</w:t>
      </w:r>
      <w:r>
        <w:rPr/>
        <w:t>日至 </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4 </w:t>
      </w:r>
      <w:r>
        <w:rPr/>
        <w:t>月</w:t>
      </w:r>
      <w:r>
        <w:rPr>
          <w:spacing w:val="-55"/>
        </w:rPr>
        <w:t> </w:t>
      </w:r>
      <w:r>
        <w:rPr>
          <w:rFonts w:ascii="Times New Roman" w:hAnsi="Times New Roman" w:cs="Times New Roman" w:eastAsia="Times New Roman" w:hint="default"/>
          <w:spacing w:val="-4"/>
        </w:rPr>
        <w:t>24</w:t>
      </w:r>
      <w:r>
        <w:rPr>
          <w:spacing w:val="-4"/>
        </w:rPr>
        <w:t>日。在公示期</w:t>
      </w:r>
      <w:r>
        <w:rPr/>
        <w:t> </w:t>
      </w:r>
      <w:r>
        <w:rPr>
          <w:spacing w:val="-3"/>
        </w:rPr>
        <w:t>内，公司监事会未接到与本激励计划拟激励对象有关的任何异议，并于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9 </w:t>
      </w:r>
      <w:r>
        <w:rPr>
          <w:spacing w:val="-4"/>
        </w:rPr>
        <w:t>日披露了《监事会关于公司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 股票期权激励计划激励对象名单的审核意见及公示情况说明》。</w:t>
      </w:r>
    </w:p>
    <w:p>
      <w:pPr>
        <w:pStyle w:val="BodyText"/>
        <w:spacing w:line="300" w:lineRule="auto" w:before="31"/>
        <w:ind w:right="1132" w:firstLine="360"/>
        <w:jc w:val="both"/>
      </w:pPr>
      <w:r>
        <w:rPr>
          <w:rFonts w:ascii="Times New Roman" w:hAnsi="Times New Roman" w:cs="Times New Roman" w:eastAsia="Times New Roman" w:hint="default"/>
        </w:rPr>
        <w:t>2018</w:t>
      </w:r>
      <w:r>
        <w:rPr/>
        <w:t>年</w:t>
      </w:r>
      <w:r>
        <w:rPr>
          <w:spacing w:val="-19"/>
        </w:rPr>
        <w:t> </w:t>
      </w:r>
      <w:r>
        <w:rPr>
          <w:rFonts w:ascii="Times New Roman" w:hAnsi="Times New Roman" w:cs="Times New Roman" w:eastAsia="Times New Roman" w:hint="default"/>
        </w:rPr>
        <w:t>5</w:t>
      </w:r>
      <w:r>
        <w:rPr/>
        <w:t>月</w:t>
      </w:r>
      <w:r>
        <w:rPr>
          <w:spacing w:val="-20"/>
        </w:rPr>
        <w:t> </w:t>
      </w:r>
      <w:r>
        <w:rPr>
          <w:rFonts w:ascii="Times New Roman" w:hAnsi="Times New Roman" w:cs="Times New Roman" w:eastAsia="Times New Roman" w:hint="default"/>
        </w:rPr>
        <w:t>15</w:t>
      </w:r>
      <w:r>
        <w:rPr/>
        <w:t>日，公司</w:t>
      </w:r>
      <w:r>
        <w:rPr>
          <w:spacing w:val="-19"/>
        </w:rPr>
        <w:t> </w:t>
      </w:r>
      <w:r>
        <w:rPr>
          <w:rFonts w:ascii="Times New Roman" w:hAnsi="Times New Roman" w:cs="Times New Roman" w:eastAsia="Times New Roman" w:hint="default"/>
        </w:rPr>
        <w:t>2017</w:t>
      </w:r>
      <w:r>
        <w:rPr/>
        <w:t>年度股东大会逐项审议通过了《</w:t>
      </w:r>
      <w:r>
        <w:rPr>
          <w:rFonts w:ascii="Times New Roman" w:hAnsi="Times New Roman" w:cs="Times New Roman" w:eastAsia="Times New Roman" w:hint="default"/>
        </w:rPr>
        <w:t>&lt;</w:t>
      </w:r>
      <w:r>
        <w:rPr/>
        <w:t>公司</w:t>
      </w:r>
      <w:r>
        <w:rPr>
          <w:spacing w:val="-19"/>
        </w:rPr>
        <w:t> </w:t>
      </w:r>
      <w:r>
        <w:rPr>
          <w:rFonts w:ascii="Times New Roman" w:hAnsi="Times New Roman" w:cs="Times New Roman" w:eastAsia="Times New Roman" w:hint="default"/>
        </w:rPr>
        <w:t>2018</w:t>
      </w:r>
      <w:r>
        <w:rPr/>
        <w:t>年股票期权激励计划（草案）</w:t>
      </w:r>
      <w:r>
        <w:rPr>
          <w:rFonts w:ascii="Times New Roman" w:hAnsi="Times New Roman" w:cs="Times New Roman" w:eastAsia="Times New Roman" w:hint="default"/>
        </w:rPr>
        <w:t>&gt;</w:t>
      </w:r>
      <w:r>
        <w:rPr/>
        <w:t>及其摘要的议 </w:t>
      </w:r>
      <w:r>
        <w:rPr>
          <w:spacing w:val="-7"/>
        </w:rPr>
        <w:t>案》、《</w:t>
      </w:r>
      <w:r>
        <w:rPr>
          <w:rFonts w:ascii="Times New Roman" w:hAnsi="Times New Roman" w:cs="Times New Roman" w:eastAsia="Times New Roman" w:hint="default"/>
          <w:spacing w:val="-7"/>
        </w:rPr>
        <w:t>&lt;</w:t>
      </w:r>
      <w:r>
        <w:rPr>
          <w:spacing w:val="-7"/>
        </w:rPr>
        <w:t>公司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年股票期权激励计划实施考核管理办法</w:t>
      </w:r>
      <w:r>
        <w:rPr>
          <w:rFonts w:ascii="Times New Roman" w:hAnsi="Times New Roman" w:cs="Times New Roman" w:eastAsia="Times New Roman" w:hint="default"/>
        </w:rPr>
        <w:t>&gt;</w:t>
      </w:r>
      <w:r>
        <w:rPr/>
        <w:t>的议案》及《关于提请股东大会授权董事会办理股权激励相关 事宜的议案》。股东大会授权董事会办理本次股权激励计划顺利实施所必需的所有相关事宜。《关于公司</w:t>
      </w:r>
      <w:r>
        <w:rPr>
          <w:spacing w:val="-18"/>
        </w:rPr>
        <w:t> </w:t>
      </w:r>
      <w:r>
        <w:rPr>
          <w:rFonts w:ascii="Times New Roman" w:hAnsi="Times New Roman" w:cs="Times New Roman" w:eastAsia="Times New Roman" w:hint="default"/>
        </w:rPr>
        <w:t>2018</w:t>
      </w:r>
      <w:r>
        <w:rPr/>
        <w:t>年股票期权 激励计划内幕信息知情人及激励对象买卖公司股票情况的自查报告》已于同日与《公司</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年度股东大会决议公告》同时 披露。</w:t>
      </w:r>
    </w:p>
    <w:p>
      <w:pPr>
        <w:pStyle w:val="BodyText"/>
        <w:spacing w:line="304" w:lineRule="auto" w:before="31"/>
        <w:ind w:right="1116" w:firstLine="360"/>
        <w:jc w:val="left"/>
      </w:pPr>
      <w:r>
        <w:rPr>
          <w:rFonts w:ascii="Times New Roman" w:hAnsi="Times New Roman" w:cs="Times New Roman" w:eastAsia="Times New Roman" w:hint="default"/>
        </w:rPr>
        <w:t>2018</w:t>
      </w:r>
      <w:r>
        <w:rPr/>
        <w:t>年</w:t>
      </w:r>
      <w:r>
        <w:rPr>
          <w:spacing w:val="-19"/>
        </w:rPr>
        <w:t> </w:t>
      </w:r>
      <w:r>
        <w:rPr>
          <w:rFonts w:ascii="Times New Roman" w:hAnsi="Times New Roman" w:cs="Times New Roman" w:eastAsia="Times New Roman" w:hint="default"/>
        </w:rPr>
        <w:t>5</w:t>
      </w:r>
      <w:r>
        <w:rPr/>
        <w:t>月</w:t>
      </w:r>
      <w:r>
        <w:rPr>
          <w:spacing w:val="-20"/>
        </w:rPr>
        <w:t> </w:t>
      </w:r>
      <w:r>
        <w:rPr>
          <w:rFonts w:ascii="Times New Roman" w:hAnsi="Times New Roman" w:cs="Times New Roman" w:eastAsia="Times New Roman" w:hint="default"/>
        </w:rPr>
        <w:t>15</w:t>
      </w:r>
      <w:r>
        <w:rPr/>
        <w:t>日，公司第六届董事会</w:t>
      </w:r>
      <w:r>
        <w:rPr>
          <w:spacing w:val="-19"/>
        </w:rPr>
        <w:t> </w:t>
      </w:r>
      <w:r>
        <w:rPr>
          <w:rFonts w:ascii="Times New Roman" w:hAnsi="Times New Roman" w:cs="Times New Roman" w:eastAsia="Times New Roman" w:hint="default"/>
        </w:rPr>
        <w:t>2018</w:t>
      </w:r>
      <w:r>
        <w:rPr/>
        <w:t>年第九次临时会议和第六届监事会</w:t>
      </w:r>
      <w:r>
        <w:rPr>
          <w:spacing w:val="-19"/>
        </w:rPr>
        <w:t> </w:t>
      </w:r>
      <w:r>
        <w:rPr>
          <w:rFonts w:ascii="Times New Roman" w:hAnsi="Times New Roman" w:cs="Times New Roman" w:eastAsia="Times New Roman" w:hint="default"/>
        </w:rPr>
        <w:t>2018</w:t>
      </w:r>
      <w:r>
        <w:rPr/>
        <w:t>年第五次临时会议审议通过了《关 于 </w:t>
      </w:r>
      <w:r>
        <w:rPr>
          <w:rFonts w:ascii="Times New Roman" w:hAnsi="Times New Roman" w:cs="Times New Roman" w:eastAsia="Times New Roman" w:hint="default"/>
        </w:rPr>
        <w:t>2018 </w:t>
      </w:r>
      <w:r>
        <w:rPr/>
        <w:t>年股票期权激励计划所涉激励对象调整的议案》及《关于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年股票期权激励计划首次授予期权相关事项的议 案》。</w:t>
      </w:r>
      <w:r>
        <w:rPr>
          <w:rFonts w:ascii="Times New Roman" w:hAnsi="Times New Roman" w:cs="Times New Roman" w:eastAsia="Times New Roman" w:hint="default"/>
        </w:rPr>
        <w:t>2018</w:t>
      </w:r>
      <w:r>
        <w:rPr/>
        <w:t>年股票期权激励计划所涉首次授予的激励对象人数由</w:t>
      </w:r>
      <w:r>
        <w:rPr>
          <w:spacing w:val="-42"/>
        </w:rPr>
        <w:t> </w:t>
      </w:r>
      <w:r>
        <w:rPr>
          <w:rFonts w:ascii="Times New Roman" w:hAnsi="Times New Roman" w:cs="Times New Roman" w:eastAsia="Times New Roman" w:hint="default"/>
        </w:rPr>
        <w:t>939</w:t>
      </w:r>
      <w:r>
        <w:rPr/>
        <w:t>人调整为</w:t>
      </w:r>
      <w:r>
        <w:rPr>
          <w:spacing w:val="-42"/>
        </w:rPr>
        <w:t> </w:t>
      </w:r>
      <w:r>
        <w:rPr>
          <w:rFonts w:ascii="Times New Roman" w:hAnsi="Times New Roman" w:cs="Times New Roman" w:eastAsia="Times New Roman" w:hint="default"/>
        </w:rPr>
        <w:t>921</w:t>
      </w:r>
      <w:r>
        <w:rPr/>
        <w:t>人。董事会确认本次激励对象调整符合相 </w:t>
      </w:r>
      <w:r>
        <w:rPr>
          <w:spacing w:val="-2"/>
        </w:rPr>
        <w:t>关规定。公司独立董事发表了同意的独立意见。监事会确认调整后的激励对象作为公司股票期权激励计划激励对象的主体资</w:t>
      </w:r>
      <w:r>
        <w:rPr>
          <w:spacing w:val="-64"/>
        </w:rPr>
        <w:t> </w:t>
      </w:r>
      <w:r>
        <w:rPr>
          <w:spacing w:val="-64"/>
        </w:rPr>
      </w:r>
      <w:r>
        <w:rPr>
          <w:spacing w:val="-4"/>
        </w:rPr>
        <w:t>格合法、有效；公司 </w:t>
      </w:r>
      <w:r>
        <w:rPr>
          <w:rFonts w:ascii="Times New Roman" w:hAnsi="Times New Roman" w:cs="Times New Roman" w:eastAsia="Times New Roman" w:hint="default"/>
        </w:rPr>
        <w:t>2018 </w:t>
      </w:r>
      <w:r>
        <w:rPr/>
        <w:t>年股票期权激励计划规定的首次授予条件已经成就，首次授予激励对象不存在不能授予或者不得</w:t>
      </w:r>
    </w:p>
    <w:p>
      <w:pPr>
        <w:pStyle w:val="BodyText"/>
        <w:spacing w:line="240" w:lineRule="auto" w:before="9"/>
        <w:ind w:right="0"/>
        <w:jc w:val="left"/>
      </w:pPr>
      <w:r>
        <w:rPr/>
        <w:t>成为激励对象的情形，本次首次授予计划与已披露的《公司</w:t>
      </w:r>
      <w:r>
        <w:rPr>
          <w:spacing w:val="-2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年股票期权激励计划》不存在差异。同意以</w:t>
      </w:r>
      <w:r>
        <w:rPr>
          <w:spacing w:val="-2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w:t>
      </w:r>
      <w:r>
        <w:rPr>
          <w:spacing w:val="-30"/>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p>
    <w:p>
      <w:pPr>
        <w:pStyle w:val="BodyText"/>
        <w:spacing w:line="240" w:lineRule="auto" w:before="63"/>
        <w:ind w:right="0"/>
        <w:jc w:val="left"/>
      </w:pPr>
      <w:r>
        <w:rPr>
          <w:rFonts w:ascii="Times New Roman" w:hAnsi="Times New Roman" w:cs="Times New Roman" w:eastAsia="Times New Roman" w:hint="default"/>
        </w:rPr>
        <w:t>15 </w:t>
      </w:r>
      <w:r>
        <w:rPr/>
        <w:t>日为授予日，首次授予 </w:t>
      </w:r>
      <w:r>
        <w:rPr>
          <w:rFonts w:ascii="Times New Roman" w:hAnsi="Times New Roman" w:cs="Times New Roman" w:eastAsia="Times New Roman" w:hint="default"/>
        </w:rPr>
        <w:t>921 </w:t>
      </w:r>
      <w:r>
        <w:rPr/>
        <w:t>名激励对象合计 </w:t>
      </w:r>
      <w:r>
        <w:rPr>
          <w:rFonts w:ascii="Times New Roman" w:hAnsi="Times New Roman" w:cs="Times New Roman" w:eastAsia="Times New Roman" w:hint="default"/>
        </w:rPr>
        <w:t>3500 </w:t>
      </w:r>
      <w:r>
        <w:rPr/>
        <w:t>万份股票期权，行权价格为</w:t>
      </w:r>
      <w:r>
        <w:rPr>
          <w:spacing w:val="23"/>
        </w:rPr>
        <w:t> </w:t>
      </w:r>
      <w:r>
        <w:rPr>
          <w:rFonts w:ascii="Times New Roman" w:hAnsi="Times New Roman" w:cs="Times New Roman" w:eastAsia="Times New Roman" w:hint="default"/>
        </w:rPr>
        <w:t>17.51</w:t>
      </w:r>
      <w:r>
        <w:rPr/>
        <w:t>元。</w:t>
      </w:r>
    </w:p>
    <w:p>
      <w:pPr>
        <w:pStyle w:val="BodyText"/>
        <w:spacing w:line="304" w:lineRule="auto" w:before="63"/>
        <w:ind w:right="1050" w:firstLine="360"/>
        <w:jc w:val="left"/>
      </w:pPr>
      <w:r>
        <w:rPr>
          <w:rFonts w:ascii="Times New Roman" w:hAnsi="Times New Roman" w:cs="Times New Roman" w:eastAsia="Times New Roman" w:hint="default"/>
        </w:rPr>
        <w:t>2018</w:t>
      </w:r>
      <w:r>
        <w:rPr/>
        <w:t>年</w:t>
      </w:r>
      <w:r>
        <w:rPr>
          <w:spacing w:val="-18"/>
        </w:rPr>
        <w:t> </w:t>
      </w:r>
      <w:r>
        <w:rPr>
          <w:rFonts w:ascii="Times New Roman" w:hAnsi="Times New Roman" w:cs="Times New Roman" w:eastAsia="Times New Roman" w:hint="default"/>
        </w:rPr>
        <w:t>6</w:t>
      </w:r>
      <w:r>
        <w:rPr/>
        <w:t>月</w:t>
      </w:r>
      <w:r>
        <w:rPr>
          <w:spacing w:val="-19"/>
        </w:rPr>
        <w:t> </w:t>
      </w:r>
      <w:r>
        <w:rPr>
          <w:rFonts w:ascii="Times New Roman" w:hAnsi="Times New Roman" w:cs="Times New Roman" w:eastAsia="Times New Roman" w:hint="default"/>
        </w:rPr>
        <w:t>13</w:t>
      </w:r>
      <w:r>
        <w:rPr/>
        <w:t>日，公司第六届董事会</w:t>
      </w:r>
      <w:r>
        <w:rPr>
          <w:spacing w:val="-18"/>
        </w:rPr>
        <w:t> </w:t>
      </w:r>
      <w:r>
        <w:rPr>
          <w:rFonts w:ascii="Times New Roman" w:hAnsi="Times New Roman" w:cs="Times New Roman" w:eastAsia="Times New Roman" w:hint="default"/>
        </w:rPr>
        <w:t>2018</w:t>
      </w:r>
      <w:r>
        <w:rPr/>
        <w:t>年第十次临时会议和第六届监事会</w:t>
      </w:r>
      <w:r>
        <w:rPr>
          <w:spacing w:val="-18"/>
        </w:rPr>
        <w:t> </w:t>
      </w:r>
      <w:r>
        <w:rPr>
          <w:rFonts w:ascii="Times New Roman" w:hAnsi="Times New Roman" w:cs="Times New Roman" w:eastAsia="Times New Roman" w:hint="default"/>
        </w:rPr>
        <w:t>2018</w:t>
      </w:r>
      <w:r>
        <w:rPr/>
        <w:t>年第六次临时会议审议通过了《关 于 </w:t>
      </w:r>
      <w:r>
        <w:rPr>
          <w:rFonts w:ascii="Times New Roman" w:hAnsi="Times New Roman" w:cs="Times New Roman" w:eastAsia="Times New Roman" w:hint="default"/>
        </w:rPr>
        <w:t>2018 </w:t>
      </w:r>
      <w:r>
        <w:rPr/>
        <w:t>年股票期权激励计划所涉激励对象和行权价格调整的议案》，决议同意根据公司</w:t>
      </w:r>
      <w:r>
        <w:rPr>
          <w:spacing w:val="-54"/>
        </w:rPr>
        <w:t> </w:t>
      </w:r>
      <w:r>
        <w:rPr>
          <w:rFonts w:ascii="Times New Roman" w:hAnsi="Times New Roman" w:cs="Times New Roman" w:eastAsia="Times New Roman" w:hint="default"/>
        </w:rPr>
        <w:t>2017</w:t>
      </w:r>
      <w:r>
        <w:rPr/>
        <w:t>年度利润分配方案调整股票 期权行权价格，调整后的行权价格为 </w:t>
      </w:r>
      <w:r>
        <w:rPr>
          <w:rFonts w:ascii="Times New Roman" w:hAnsi="Times New Roman" w:cs="Times New Roman" w:eastAsia="Times New Roman" w:hint="default"/>
        </w:rPr>
        <w:t>17.47 </w:t>
      </w:r>
      <w:r>
        <w:rPr>
          <w:spacing w:val="-3"/>
        </w:rPr>
        <w:t>元，同时取消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名离职人员的激励对象资格。经过本次调整后的股票期权激励 计划所涉首次授予的激励对象人数由 </w:t>
      </w:r>
      <w:r>
        <w:rPr>
          <w:rFonts w:ascii="Times New Roman" w:hAnsi="Times New Roman" w:cs="Times New Roman" w:eastAsia="Times New Roman" w:hint="default"/>
        </w:rPr>
        <w:t>921 </w:t>
      </w:r>
      <w:r>
        <w:rPr/>
        <w:t>人调整为</w:t>
      </w:r>
      <w:r>
        <w:rPr>
          <w:spacing w:val="-56"/>
        </w:rPr>
        <w:t> </w:t>
      </w:r>
      <w:r>
        <w:rPr>
          <w:rFonts w:ascii="Times New Roman" w:hAnsi="Times New Roman" w:cs="Times New Roman" w:eastAsia="Times New Roman" w:hint="default"/>
        </w:rPr>
        <w:t>910</w:t>
      </w:r>
      <w:r>
        <w:rPr/>
        <w:t>人。董事会确认本次激励对象和行权价格调整符合相关规定。公司 </w:t>
      </w:r>
      <w:r>
        <w:rPr>
          <w:spacing w:val="-4"/>
        </w:rPr>
        <w:t>独立董事发表了同意的独立意见。监事会确认调整后的激励对象作为公司股票期权激励计划激励对象的主体资格合法、有效。</w:t>
      </w:r>
      <w:r>
        <w:rPr>
          <w:spacing w:val="-44"/>
        </w:rPr>
        <w:t> </w:t>
      </w:r>
      <w:r>
        <w:rPr>
          <w:spacing w:val="-44"/>
        </w:rPr>
      </w:r>
      <w:r>
        <w:rPr/>
        <w:t>同意对公司股票期权激励计划激励对象和行权价格进行调整。</w:t>
      </w:r>
    </w:p>
    <w:p>
      <w:pPr>
        <w:pStyle w:val="BodyText"/>
        <w:spacing w:line="309" w:lineRule="auto" w:before="28"/>
        <w:ind w:right="4250"/>
        <w:jc w:val="left"/>
      </w:pPr>
      <w:r>
        <w:rPr/>
        <w:t>本次激励计划的具体方案 标的股票种类：激励计划拟授予股票期权所涉及的标的股票种类为公司</w:t>
      </w: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股股票。 标的股票来源：公司向激励对象定向发行的普通股股票。</w:t>
      </w:r>
    </w:p>
    <w:p>
      <w:pPr>
        <w:pStyle w:val="BodyText"/>
        <w:spacing w:line="300" w:lineRule="auto" w:before="24"/>
        <w:ind w:right="2399"/>
        <w:jc w:val="left"/>
      </w:pPr>
      <w:r>
        <w:rPr/>
        <w:t>激励计划拟向激励对象授予</w:t>
      </w:r>
      <w:r>
        <w:rPr>
          <w:rFonts w:ascii="Times New Roman" w:hAnsi="Times New Roman" w:cs="Times New Roman" w:eastAsia="Times New Roman" w:hint="default"/>
        </w:rPr>
        <w:t>3,800</w:t>
      </w:r>
      <w:r>
        <w:rPr/>
        <w:t>万份股票期权，其中首次授予期权</w:t>
      </w:r>
      <w:r>
        <w:rPr>
          <w:rFonts w:ascii="Times New Roman" w:hAnsi="Times New Roman" w:cs="Times New Roman" w:eastAsia="Times New Roman" w:hint="default"/>
        </w:rPr>
        <w:t>3,500</w:t>
      </w:r>
      <w:r>
        <w:rPr/>
        <w:t>万份，预留股票期权</w:t>
      </w:r>
      <w:r>
        <w:rPr>
          <w:spacing w:val="-19"/>
        </w:rPr>
        <w:t> </w:t>
      </w:r>
      <w:r>
        <w:rPr>
          <w:rFonts w:ascii="Times New Roman" w:hAnsi="Times New Roman" w:cs="Times New Roman" w:eastAsia="Times New Roman" w:hint="default"/>
        </w:rPr>
        <w:t>300</w:t>
      </w:r>
      <w:r>
        <w:rPr/>
        <w:t>万份。 有效期：自股票期权授予之日起至激励对象获授的股票期权全部行权或注销之日止，最长不超过</w:t>
      </w:r>
      <w:r>
        <w:rPr>
          <w:spacing w:val="-17"/>
        </w:rPr>
        <w:t> </w:t>
      </w:r>
      <w:r>
        <w:rPr>
          <w:rFonts w:ascii="Times New Roman" w:hAnsi="Times New Roman" w:cs="Times New Roman" w:eastAsia="Times New Roman" w:hint="default"/>
        </w:rPr>
        <w:t>48</w:t>
      </w:r>
      <w:r>
        <w:rPr/>
        <w:t>个月。</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8142"/>
        <w:jc w:val="left"/>
      </w:pPr>
      <w:r>
        <w:rPr>
          <w:rFonts w:ascii="Times New Roman" w:hAnsi="Times New Roman" w:cs="Times New Roman" w:eastAsia="Times New Roman" w:hint="default"/>
        </w:rPr>
        <w:t>2</w:t>
      </w:r>
      <w:r>
        <w:rPr/>
        <w:t>）首次授予股票期权的具体情况 授权日：</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5</w:t>
      </w:r>
      <w:r>
        <w:rPr/>
        <w:t>月</w:t>
      </w:r>
      <w:r>
        <w:rPr>
          <w:spacing w:val="-35"/>
        </w:rPr>
        <w:t> </w:t>
      </w:r>
      <w:r>
        <w:rPr>
          <w:rFonts w:ascii="Times New Roman" w:hAnsi="Times New Roman" w:cs="Times New Roman" w:eastAsia="Times New Roman" w:hint="default"/>
        </w:rPr>
        <w:t>15</w:t>
      </w:r>
      <w:r>
        <w:rPr/>
        <w:t>日。</w:t>
      </w:r>
    </w:p>
    <w:p>
      <w:pPr>
        <w:pStyle w:val="BodyText"/>
        <w:spacing w:line="300" w:lineRule="auto" w:before="13"/>
        <w:ind w:right="1028"/>
        <w:jc w:val="left"/>
      </w:pPr>
      <w:r>
        <w:rPr/>
        <w:t>授予对象：首次授予激励对象共</w:t>
      </w:r>
      <w:r>
        <w:rPr>
          <w:spacing w:val="-43"/>
        </w:rPr>
        <w:t> </w:t>
      </w:r>
      <w:r>
        <w:rPr>
          <w:rFonts w:ascii="Times New Roman" w:hAnsi="Times New Roman" w:cs="Times New Roman" w:eastAsia="Times New Roman" w:hint="default"/>
        </w:rPr>
        <w:t>910</w:t>
      </w:r>
      <w:r>
        <w:rPr>
          <w:rFonts w:ascii="Times New Roman" w:hAnsi="Times New Roman" w:cs="Times New Roman" w:eastAsia="Times New Roman" w:hint="default"/>
          <w:spacing w:val="2"/>
        </w:rPr>
        <w:t> </w:t>
      </w:r>
      <w:r>
        <w:rPr/>
        <w:t>名，包括在公司（含子公司）任职的董事、高级管理人员、核心管理、业务骨干人员。 不含独立董事、监事、单独或合计持股</w:t>
      </w:r>
      <w:r>
        <w:rPr>
          <w:spacing w:val="-18"/>
        </w:rPr>
        <w:t> </w:t>
      </w:r>
      <w:r>
        <w:rPr>
          <w:rFonts w:ascii="Times New Roman" w:hAnsi="Times New Roman" w:cs="Times New Roman" w:eastAsia="Times New Roman" w:hint="default"/>
        </w:rPr>
        <w:t>5%</w:t>
      </w:r>
      <w:r>
        <w:rPr/>
        <w:t>以上的股东或实际控制人及其配偶、父母、子女。 授予数量：首次授予股票期权数量为</w:t>
      </w:r>
      <w:r>
        <w:rPr>
          <w:spacing w:val="-18"/>
        </w:rPr>
        <w:t> </w:t>
      </w:r>
      <w:r>
        <w:rPr>
          <w:rFonts w:ascii="Times New Roman" w:hAnsi="Times New Roman" w:cs="Times New Roman" w:eastAsia="Times New Roman" w:hint="default"/>
        </w:rPr>
        <w:t>3,500</w:t>
      </w:r>
      <w:r>
        <w:rPr/>
        <w:t>万份。</w:t>
      </w:r>
    </w:p>
    <w:p>
      <w:pPr>
        <w:pStyle w:val="BodyText"/>
        <w:spacing w:line="240" w:lineRule="auto" w:before="13"/>
        <w:ind w:right="0"/>
        <w:jc w:val="left"/>
      </w:pPr>
      <w:r>
        <w:rPr/>
        <w:t>行权价格：</w:t>
      </w:r>
      <w:r>
        <w:rPr>
          <w:rFonts w:ascii="Times New Roman" w:hAnsi="Times New Roman" w:cs="Times New Roman" w:eastAsia="Times New Roman" w:hint="default"/>
        </w:rPr>
        <w:t>17.47</w:t>
      </w:r>
      <w:r>
        <w:rPr/>
        <w:t>元</w:t>
      </w:r>
    </w:p>
    <w:p>
      <w:pPr>
        <w:pStyle w:val="BodyText"/>
        <w:spacing w:line="300" w:lineRule="auto" w:before="63"/>
        <w:ind w:right="1116"/>
        <w:jc w:val="left"/>
      </w:pPr>
      <w:r>
        <w:rPr/>
        <w:t>行权安排：首次授予的股票期权自授予日起</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个月后，满足行权条件的，激励对象可以分三期申请行权。具体行权安排如 下表所示：</w:t>
      </w:r>
    </w:p>
    <w:tbl>
      <w:tblPr>
        <w:tblW w:w="0" w:type="auto"/>
        <w:jc w:val="left"/>
        <w:tblInd w:w="753" w:type="dxa"/>
        <w:tblLayout w:type="fixed"/>
        <w:tblCellMar>
          <w:top w:w="0" w:type="dxa"/>
          <w:left w:w="0" w:type="dxa"/>
          <w:bottom w:w="0" w:type="dxa"/>
          <w:right w:w="0" w:type="dxa"/>
        </w:tblCellMar>
        <w:tblLook w:val="01E0"/>
      </w:tblPr>
      <w:tblGrid>
        <w:gridCol w:w="2052"/>
        <w:gridCol w:w="4262"/>
        <w:gridCol w:w="1500"/>
      </w:tblGrid>
      <w:tr>
        <w:trPr>
          <w:trHeight w:val="355" w:hRule="exact"/>
        </w:trPr>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color w:val="333333"/>
                <w:sz w:val="18"/>
                <w:szCs w:val="18"/>
              </w:rPr>
              <w:t>行权期</w:t>
            </w:r>
            <w:r>
              <w:rPr>
                <w:rFonts w:ascii="宋体" w:hAnsi="宋体" w:cs="宋体" w:eastAsia="宋体" w:hint="default"/>
                <w:sz w:val="18"/>
                <w:szCs w:val="18"/>
              </w:rPr>
            </w:r>
          </w:p>
        </w:tc>
        <w:tc>
          <w:tcPr>
            <w:tcW w:w="4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color w:val="333333"/>
                <w:sz w:val="18"/>
                <w:szCs w:val="18"/>
              </w:rPr>
              <w:t>行权时间</w:t>
            </w:r>
            <w:r>
              <w:rPr>
                <w:rFonts w:ascii="宋体" w:hAnsi="宋体" w:cs="宋体" w:eastAsia="宋体" w:hint="default"/>
                <w:sz w:val="18"/>
                <w:szCs w:val="18"/>
              </w:rPr>
            </w:r>
          </w:p>
        </w:tc>
        <w:tc>
          <w:tcPr>
            <w:tcW w:w="15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color w:val="333333"/>
                <w:sz w:val="18"/>
                <w:szCs w:val="18"/>
              </w:rPr>
              <w:t>可行权比例</w:t>
            </w:r>
            <w:r>
              <w:rPr>
                <w:rFonts w:ascii="宋体" w:hAnsi="宋体" w:cs="宋体" w:eastAsia="宋体" w:hint="default"/>
                <w:sz w:val="18"/>
                <w:szCs w:val="18"/>
              </w:rPr>
            </w:r>
          </w:p>
        </w:tc>
      </w:tr>
      <w:tr>
        <w:trPr>
          <w:trHeight w:val="664" w:hRule="exact"/>
        </w:trPr>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57" w:right="29" w:hanging="630"/>
              <w:jc w:val="left"/>
              <w:rPr>
                <w:rFonts w:ascii="宋体" w:hAnsi="宋体" w:cs="宋体" w:eastAsia="宋体" w:hint="default"/>
                <w:sz w:val="18"/>
                <w:szCs w:val="18"/>
              </w:rPr>
            </w:pPr>
            <w:r>
              <w:rPr>
                <w:rFonts w:ascii="宋体" w:hAnsi="宋体" w:cs="宋体" w:eastAsia="宋体" w:hint="default"/>
                <w:color w:val="333333"/>
                <w:sz w:val="18"/>
                <w:szCs w:val="18"/>
              </w:rPr>
              <w:t>首次授予股票期权的第一 个行权期</w:t>
            </w:r>
            <w:r>
              <w:rPr>
                <w:rFonts w:ascii="宋体" w:hAnsi="宋体" w:cs="宋体" w:eastAsia="宋体" w:hint="default"/>
                <w:sz w:val="18"/>
                <w:szCs w:val="18"/>
              </w:rPr>
            </w:r>
          </w:p>
        </w:tc>
        <w:tc>
          <w:tcPr>
            <w:tcW w:w="4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color w:val="333333"/>
                <w:sz w:val="18"/>
                <w:szCs w:val="18"/>
              </w:rPr>
              <w:t>自首次授予日起满</w:t>
            </w:r>
            <w:r>
              <w:rPr>
                <w:rFonts w:ascii="Times New Roman" w:hAnsi="Times New Roman" w:cs="Times New Roman" w:eastAsia="Times New Roman" w:hint="default"/>
                <w:color w:val="333333"/>
                <w:sz w:val="18"/>
                <w:szCs w:val="18"/>
              </w:rPr>
              <w:t>12</w:t>
            </w:r>
            <w:r>
              <w:rPr>
                <w:rFonts w:ascii="宋体" w:hAnsi="宋体" w:cs="宋体" w:eastAsia="宋体" w:hint="default"/>
                <w:color w:val="333333"/>
                <w:sz w:val="18"/>
                <w:szCs w:val="18"/>
              </w:rPr>
              <w:t>个月后的首个交易日至授予日起</w:t>
            </w:r>
            <w:r>
              <w:rPr>
                <w:rFonts w:ascii="宋体" w:hAnsi="宋体" w:cs="宋体" w:eastAsia="宋体" w:hint="default"/>
                <w:sz w:val="18"/>
                <w:szCs w:val="18"/>
              </w:rPr>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24</w:t>
            </w:r>
            <w:r>
              <w:rPr>
                <w:rFonts w:ascii="宋体" w:hAnsi="宋体" w:cs="宋体" w:eastAsia="宋体" w:hint="default"/>
                <w:color w:val="333333"/>
                <w:sz w:val="18"/>
                <w:szCs w:val="18"/>
              </w:rPr>
              <w:t>个月内的最后一个交易日止</w:t>
            </w:r>
            <w:r>
              <w:rPr>
                <w:rFonts w:ascii="宋体" w:hAnsi="宋体" w:cs="宋体" w:eastAsia="宋体" w:hint="default"/>
                <w:sz w:val="18"/>
                <w:szCs w:val="18"/>
              </w:rPr>
            </w:r>
          </w:p>
        </w:tc>
        <w:tc>
          <w:tcPr>
            <w:tcW w:w="15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color w:val="333333"/>
                <w:sz w:val="18"/>
              </w:rPr>
              <w:t>40%</w:t>
            </w:r>
            <w:r>
              <w:rPr>
                <w:rFonts w:ascii="Times New Roman"/>
                <w:sz w:val="18"/>
              </w:rPr>
            </w:r>
          </w:p>
        </w:tc>
      </w:tr>
      <w:tr>
        <w:trPr>
          <w:trHeight w:val="665" w:hRule="exact"/>
        </w:trPr>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57" w:right="29" w:hanging="630"/>
              <w:jc w:val="left"/>
              <w:rPr>
                <w:rFonts w:ascii="宋体" w:hAnsi="宋体" w:cs="宋体" w:eastAsia="宋体" w:hint="default"/>
                <w:sz w:val="18"/>
                <w:szCs w:val="18"/>
              </w:rPr>
            </w:pPr>
            <w:r>
              <w:rPr>
                <w:rFonts w:ascii="宋体" w:hAnsi="宋体" w:cs="宋体" w:eastAsia="宋体" w:hint="default"/>
                <w:color w:val="333333"/>
                <w:sz w:val="18"/>
                <w:szCs w:val="18"/>
              </w:rPr>
              <w:t>首次授予股票期权的第二 个行权期</w:t>
            </w:r>
            <w:r>
              <w:rPr>
                <w:rFonts w:ascii="宋体" w:hAnsi="宋体" w:cs="宋体" w:eastAsia="宋体" w:hint="default"/>
                <w:sz w:val="18"/>
                <w:szCs w:val="18"/>
              </w:rPr>
            </w:r>
          </w:p>
        </w:tc>
        <w:tc>
          <w:tcPr>
            <w:tcW w:w="4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color w:val="333333"/>
                <w:sz w:val="18"/>
                <w:szCs w:val="18"/>
              </w:rPr>
              <w:t>自首次授予日起满</w:t>
            </w:r>
            <w:r>
              <w:rPr>
                <w:rFonts w:ascii="Times New Roman" w:hAnsi="Times New Roman" w:cs="Times New Roman" w:eastAsia="Times New Roman" w:hint="default"/>
                <w:color w:val="333333"/>
                <w:sz w:val="18"/>
                <w:szCs w:val="18"/>
              </w:rPr>
              <w:t>24</w:t>
            </w:r>
            <w:r>
              <w:rPr>
                <w:rFonts w:ascii="宋体" w:hAnsi="宋体" w:cs="宋体" w:eastAsia="宋体" w:hint="default"/>
                <w:color w:val="333333"/>
                <w:sz w:val="18"/>
                <w:szCs w:val="18"/>
              </w:rPr>
              <w:t>个月后的首个交易日至授予日起</w:t>
            </w:r>
            <w:r>
              <w:rPr>
                <w:rFonts w:ascii="宋体" w:hAnsi="宋体" w:cs="宋体" w:eastAsia="宋体" w:hint="default"/>
                <w:sz w:val="18"/>
                <w:szCs w:val="18"/>
              </w:rPr>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color w:val="333333"/>
                <w:sz w:val="18"/>
                <w:szCs w:val="18"/>
              </w:rPr>
              <w:t>36</w:t>
            </w:r>
            <w:r>
              <w:rPr>
                <w:rFonts w:ascii="宋体" w:hAnsi="宋体" w:cs="宋体" w:eastAsia="宋体" w:hint="default"/>
                <w:color w:val="333333"/>
                <w:sz w:val="18"/>
                <w:szCs w:val="18"/>
              </w:rPr>
              <w:t>个月内的最后一个交易日止</w:t>
            </w:r>
            <w:r>
              <w:rPr>
                <w:rFonts w:ascii="宋体" w:hAnsi="宋体" w:cs="宋体" w:eastAsia="宋体" w:hint="default"/>
                <w:sz w:val="18"/>
                <w:szCs w:val="18"/>
              </w:rPr>
            </w:r>
          </w:p>
        </w:tc>
        <w:tc>
          <w:tcPr>
            <w:tcW w:w="15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color w:val="333333"/>
                <w:sz w:val="18"/>
              </w:rPr>
              <w:t>30%</w:t>
            </w:r>
            <w:r>
              <w:rPr>
                <w:rFonts w:ascii="Times New Roman"/>
                <w:sz w:val="18"/>
              </w:rPr>
            </w:r>
          </w:p>
        </w:tc>
      </w:tr>
      <w:tr>
        <w:trPr>
          <w:trHeight w:val="664" w:hRule="exact"/>
        </w:trPr>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57" w:right="29" w:hanging="630"/>
              <w:jc w:val="left"/>
              <w:rPr>
                <w:rFonts w:ascii="宋体" w:hAnsi="宋体" w:cs="宋体" w:eastAsia="宋体" w:hint="default"/>
                <w:sz w:val="18"/>
                <w:szCs w:val="18"/>
              </w:rPr>
            </w:pPr>
            <w:r>
              <w:rPr>
                <w:rFonts w:ascii="宋体" w:hAnsi="宋体" w:cs="宋体" w:eastAsia="宋体" w:hint="default"/>
                <w:color w:val="333333"/>
                <w:sz w:val="18"/>
                <w:szCs w:val="18"/>
              </w:rPr>
              <w:t>首次授予股票期权的第三 个行权期</w:t>
            </w:r>
            <w:r>
              <w:rPr>
                <w:rFonts w:ascii="宋体" w:hAnsi="宋体" w:cs="宋体" w:eastAsia="宋体" w:hint="default"/>
                <w:sz w:val="18"/>
                <w:szCs w:val="18"/>
              </w:rPr>
            </w:r>
          </w:p>
        </w:tc>
        <w:tc>
          <w:tcPr>
            <w:tcW w:w="4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color w:val="333333"/>
                <w:sz w:val="18"/>
                <w:szCs w:val="18"/>
              </w:rPr>
              <w:t>自首次授予日起满</w:t>
            </w:r>
            <w:r>
              <w:rPr>
                <w:rFonts w:ascii="Times New Roman" w:hAnsi="Times New Roman" w:cs="Times New Roman" w:eastAsia="Times New Roman" w:hint="default"/>
                <w:color w:val="333333"/>
                <w:sz w:val="18"/>
                <w:szCs w:val="18"/>
              </w:rPr>
              <w:t>36</w:t>
            </w:r>
            <w:r>
              <w:rPr>
                <w:rFonts w:ascii="宋体" w:hAnsi="宋体" w:cs="宋体" w:eastAsia="宋体" w:hint="default"/>
                <w:color w:val="333333"/>
                <w:sz w:val="18"/>
                <w:szCs w:val="18"/>
              </w:rPr>
              <w:t>个月后的首个交易日至授予日起</w:t>
            </w:r>
            <w:r>
              <w:rPr>
                <w:rFonts w:ascii="宋体" w:hAnsi="宋体" w:cs="宋体" w:eastAsia="宋体" w:hint="default"/>
                <w:sz w:val="18"/>
                <w:szCs w:val="18"/>
              </w:rPr>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color w:val="333333"/>
                <w:sz w:val="18"/>
                <w:szCs w:val="18"/>
              </w:rPr>
              <w:t>48</w:t>
            </w:r>
            <w:r>
              <w:rPr>
                <w:rFonts w:ascii="宋体" w:hAnsi="宋体" w:cs="宋体" w:eastAsia="宋体" w:hint="default"/>
                <w:color w:val="333333"/>
                <w:sz w:val="18"/>
                <w:szCs w:val="18"/>
              </w:rPr>
              <w:t>个月内的最后一个交易日止</w:t>
            </w:r>
            <w:r>
              <w:rPr>
                <w:rFonts w:ascii="宋体" w:hAnsi="宋体" w:cs="宋体" w:eastAsia="宋体" w:hint="default"/>
                <w:sz w:val="18"/>
                <w:szCs w:val="18"/>
              </w:rPr>
            </w:r>
          </w:p>
        </w:tc>
        <w:tc>
          <w:tcPr>
            <w:tcW w:w="15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color w:val="333333"/>
                <w:sz w:val="18"/>
              </w:rPr>
              <w:t>30%</w:t>
            </w:r>
            <w:r>
              <w:rPr>
                <w:rFonts w:ascii="Times New Roman"/>
                <w:sz w:val="18"/>
              </w:rPr>
            </w:r>
          </w:p>
        </w:tc>
      </w:tr>
    </w:tbl>
    <w:p>
      <w:pPr>
        <w:pStyle w:val="BodyText"/>
        <w:spacing w:line="316" w:lineRule="auto" w:before="31"/>
        <w:ind w:right="1132" w:firstLine="360"/>
        <w:jc w:val="both"/>
      </w:pPr>
      <w:r>
        <w:rPr>
          <w:spacing w:val="-2"/>
        </w:rPr>
        <w:t>激励对象必须在股票期权对应的可行权期内行权完毕，本次激励计划有效期届满后，已获授但尚未行权的股票期权不得</w:t>
      </w:r>
      <w:r>
        <w:rPr/>
        <w:t> </w:t>
      </w:r>
      <w:r>
        <w:rPr>
          <w:spacing w:val="-2"/>
        </w:rPr>
        <w:t>行权。各期可行权的部分必须在对应行权时间内的最后一个交易日前完成行权，不可以与之后的可行权部分统一行权，逾期</w:t>
      </w:r>
      <w:r>
        <w:rPr>
          <w:spacing w:val="-66"/>
        </w:rPr>
        <w:t> </w:t>
      </w:r>
      <w:r>
        <w:rPr>
          <w:spacing w:val="-66"/>
        </w:rPr>
      </w:r>
      <w:r>
        <w:rPr/>
        <w:t>期权不得行权，未行权的则注销。</w:t>
      </w:r>
    </w:p>
    <w:p>
      <w:pPr>
        <w:pStyle w:val="BodyText"/>
        <w:spacing w:line="300" w:lineRule="auto" w:before="19"/>
        <w:ind w:right="1134" w:firstLine="360"/>
        <w:jc w:val="both"/>
      </w:pPr>
      <w:r>
        <w:rPr/>
        <w:t>行权条件：本激励计划在 </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年会计年度中，分年度对公司的业绩指标进行考核，以达到业绩考核目标作为 激励对象当年度的行权条件之一。本激励计划业绩考核目标如下表所示：</w:t>
      </w:r>
    </w:p>
    <w:tbl>
      <w:tblPr>
        <w:tblW w:w="0" w:type="auto"/>
        <w:jc w:val="left"/>
        <w:tblInd w:w="753" w:type="dxa"/>
        <w:tblLayout w:type="fixed"/>
        <w:tblCellMar>
          <w:top w:w="0" w:type="dxa"/>
          <w:left w:w="0" w:type="dxa"/>
          <w:bottom w:w="0" w:type="dxa"/>
          <w:right w:w="0" w:type="dxa"/>
        </w:tblCellMar>
        <w:tblLook w:val="01E0"/>
      </w:tblPr>
      <w:tblGrid>
        <w:gridCol w:w="2209"/>
        <w:gridCol w:w="1816"/>
        <w:gridCol w:w="3789"/>
      </w:tblGrid>
      <w:tr>
        <w:trPr>
          <w:trHeight w:val="355" w:hRule="exact"/>
        </w:trPr>
        <w:tc>
          <w:tcPr>
            <w:tcW w:w="402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color w:val="333333"/>
                <w:sz w:val="18"/>
                <w:szCs w:val="18"/>
              </w:rPr>
              <w:t>行权期</w:t>
            </w:r>
            <w:r>
              <w:rPr>
                <w:rFonts w:ascii="宋体" w:hAnsi="宋体" w:cs="宋体" w:eastAsia="宋体" w:hint="default"/>
                <w:sz w:val="18"/>
                <w:szCs w:val="18"/>
              </w:rPr>
            </w:r>
          </w:p>
        </w:tc>
        <w:tc>
          <w:tcPr>
            <w:tcW w:w="37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color w:val="333333"/>
                <w:sz w:val="18"/>
                <w:szCs w:val="18"/>
              </w:rPr>
              <w:t>业绩考核目标</w:t>
            </w:r>
            <w:r>
              <w:rPr>
                <w:rFonts w:ascii="宋体" w:hAnsi="宋体" w:cs="宋体" w:eastAsia="宋体" w:hint="default"/>
                <w:sz w:val="18"/>
                <w:szCs w:val="18"/>
              </w:rPr>
            </w:r>
          </w:p>
        </w:tc>
      </w:tr>
      <w:tr>
        <w:trPr>
          <w:trHeight w:val="353" w:hRule="exact"/>
        </w:trPr>
        <w:tc>
          <w:tcPr>
            <w:tcW w:w="2209" w:type="dxa"/>
            <w:vMerge w:val="restart"/>
            <w:tcBorders>
              <w:top w:val="single" w:sz="12" w:space="0" w:color="000000"/>
              <w:left w:val="single" w:sz="6" w:space="0" w:color="000000"/>
              <w:right w:val="single" w:sz="6" w:space="0" w:color="000000"/>
            </w:tcBorders>
          </w:tcPr>
          <w:p>
            <w:pPr>
              <w:pStyle w:val="TableParagraph"/>
              <w:spacing w:line="240" w:lineRule="auto" w:before="11"/>
              <w:ind w:left="286" w:right="0"/>
              <w:jc w:val="left"/>
              <w:rPr>
                <w:rFonts w:ascii="宋体" w:hAnsi="宋体" w:cs="宋体" w:eastAsia="宋体" w:hint="default"/>
                <w:sz w:val="18"/>
                <w:szCs w:val="18"/>
              </w:rPr>
            </w:pPr>
            <w:r>
              <w:rPr>
                <w:rFonts w:ascii="宋体" w:hAnsi="宋体" w:cs="宋体" w:eastAsia="宋体" w:hint="default"/>
                <w:color w:val="333333"/>
                <w:sz w:val="18"/>
                <w:szCs w:val="18"/>
              </w:rPr>
              <w:t>首次授予的股票期权</w:t>
            </w:r>
            <w:r>
              <w:rPr>
                <w:rFonts w:ascii="宋体" w:hAnsi="宋体" w:cs="宋体" w:eastAsia="宋体" w:hint="default"/>
                <w:sz w:val="18"/>
                <w:szCs w:val="18"/>
              </w:rPr>
            </w:r>
          </w:p>
        </w:tc>
        <w:tc>
          <w:tcPr>
            <w:tcW w:w="1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color w:val="333333"/>
                <w:sz w:val="18"/>
                <w:szCs w:val="18"/>
              </w:rPr>
              <w:t>第一个行权期</w:t>
            </w:r>
            <w:r>
              <w:rPr>
                <w:rFonts w:ascii="宋体" w:hAnsi="宋体" w:cs="宋体" w:eastAsia="宋体" w:hint="default"/>
                <w:sz w:val="18"/>
                <w:szCs w:val="18"/>
              </w:rPr>
            </w:r>
          </w:p>
        </w:tc>
        <w:tc>
          <w:tcPr>
            <w:tcW w:w="37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2018</w:t>
            </w:r>
            <w:r>
              <w:rPr>
                <w:rFonts w:ascii="宋体" w:hAnsi="宋体" w:cs="宋体" w:eastAsia="宋体" w:hint="default"/>
                <w:color w:val="333333"/>
                <w:sz w:val="18"/>
                <w:szCs w:val="18"/>
              </w:rPr>
              <w:t>年净利润不低于</w:t>
            </w:r>
            <w:r>
              <w:rPr>
                <w:rFonts w:ascii="Times New Roman" w:hAnsi="Times New Roman" w:cs="Times New Roman" w:eastAsia="Times New Roman" w:hint="default"/>
                <w:color w:val="333333"/>
                <w:sz w:val="18"/>
                <w:szCs w:val="18"/>
              </w:rPr>
              <w:t>3.8</w:t>
            </w:r>
            <w:r>
              <w:rPr>
                <w:rFonts w:ascii="宋体" w:hAnsi="宋体" w:cs="宋体" w:eastAsia="宋体" w:hint="default"/>
                <w:color w:val="333333"/>
                <w:sz w:val="18"/>
                <w:szCs w:val="18"/>
              </w:rPr>
              <w:t>亿元</w:t>
            </w:r>
            <w:r>
              <w:rPr>
                <w:rFonts w:ascii="宋体" w:hAnsi="宋体" w:cs="宋体" w:eastAsia="宋体" w:hint="default"/>
                <w:sz w:val="18"/>
                <w:szCs w:val="18"/>
              </w:rPr>
            </w:r>
          </w:p>
        </w:tc>
      </w:tr>
      <w:tr>
        <w:trPr>
          <w:trHeight w:val="352" w:hRule="exact"/>
        </w:trPr>
        <w:tc>
          <w:tcPr>
            <w:tcW w:w="2209" w:type="dxa"/>
            <w:vMerge/>
            <w:tcBorders>
              <w:left w:val="single" w:sz="6" w:space="0" w:color="000000"/>
              <w:right w:val="single" w:sz="6" w:space="0" w:color="000000"/>
            </w:tcBorders>
          </w:tcPr>
          <w:p>
            <w:pPr/>
          </w:p>
        </w:tc>
        <w:tc>
          <w:tcPr>
            <w:tcW w:w="1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color w:val="333333"/>
                <w:sz w:val="18"/>
                <w:szCs w:val="18"/>
              </w:rPr>
              <w:t>第二个行权期</w:t>
            </w:r>
            <w:r>
              <w:rPr>
                <w:rFonts w:ascii="宋体" w:hAnsi="宋体" w:cs="宋体" w:eastAsia="宋体" w:hint="default"/>
                <w:sz w:val="18"/>
                <w:szCs w:val="18"/>
              </w:rPr>
            </w:r>
          </w:p>
        </w:tc>
        <w:tc>
          <w:tcPr>
            <w:tcW w:w="37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2019</w:t>
            </w:r>
            <w:r>
              <w:rPr>
                <w:rFonts w:ascii="宋体" w:hAnsi="宋体" w:cs="宋体" w:eastAsia="宋体" w:hint="default"/>
                <w:color w:val="333333"/>
                <w:sz w:val="18"/>
                <w:szCs w:val="18"/>
              </w:rPr>
              <w:t>年净利润不低于</w:t>
            </w:r>
            <w:r>
              <w:rPr>
                <w:rFonts w:ascii="Times New Roman" w:hAnsi="Times New Roman" w:cs="Times New Roman" w:eastAsia="Times New Roman" w:hint="default"/>
                <w:color w:val="333333"/>
                <w:sz w:val="18"/>
                <w:szCs w:val="18"/>
              </w:rPr>
              <w:t>4.5</w:t>
            </w:r>
            <w:r>
              <w:rPr>
                <w:rFonts w:ascii="宋体" w:hAnsi="宋体" w:cs="宋体" w:eastAsia="宋体" w:hint="default"/>
                <w:color w:val="333333"/>
                <w:sz w:val="18"/>
                <w:szCs w:val="18"/>
              </w:rPr>
              <w:t>亿元</w:t>
            </w:r>
            <w:r>
              <w:rPr>
                <w:rFonts w:ascii="宋体" w:hAnsi="宋体" w:cs="宋体" w:eastAsia="宋体" w:hint="default"/>
                <w:sz w:val="18"/>
                <w:szCs w:val="18"/>
              </w:rPr>
            </w:r>
          </w:p>
        </w:tc>
      </w:tr>
      <w:tr>
        <w:trPr>
          <w:trHeight w:val="352" w:hRule="exact"/>
        </w:trPr>
        <w:tc>
          <w:tcPr>
            <w:tcW w:w="2209" w:type="dxa"/>
            <w:vMerge/>
            <w:tcBorders>
              <w:left w:val="single" w:sz="6" w:space="0" w:color="000000"/>
              <w:bottom w:val="single" w:sz="12" w:space="0" w:color="000000"/>
              <w:right w:val="single" w:sz="6" w:space="0" w:color="000000"/>
            </w:tcBorders>
          </w:tcPr>
          <w:p>
            <w:pPr/>
          </w:p>
        </w:tc>
        <w:tc>
          <w:tcPr>
            <w:tcW w:w="1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color w:val="333333"/>
                <w:sz w:val="18"/>
                <w:szCs w:val="18"/>
              </w:rPr>
              <w:t>第三个行权期</w:t>
            </w:r>
            <w:r>
              <w:rPr>
                <w:rFonts w:ascii="宋体" w:hAnsi="宋体" w:cs="宋体" w:eastAsia="宋体" w:hint="default"/>
                <w:sz w:val="18"/>
                <w:szCs w:val="18"/>
              </w:rPr>
            </w:r>
          </w:p>
        </w:tc>
        <w:tc>
          <w:tcPr>
            <w:tcW w:w="37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2020</w:t>
            </w:r>
            <w:r>
              <w:rPr>
                <w:rFonts w:ascii="宋体" w:hAnsi="宋体" w:cs="宋体" w:eastAsia="宋体" w:hint="default"/>
                <w:color w:val="333333"/>
                <w:sz w:val="18"/>
                <w:szCs w:val="18"/>
              </w:rPr>
              <w:t>年净利润不低于</w:t>
            </w:r>
            <w:r>
              <w:rPr>
                <w:rFonts w:ascii="Times New Roman" w:hAnsi="Times New Roman" w:cs="Times New Roman" w:eastAsia="Times New Roman" w:hint="default"/>
                <w:color w:val="333333"/>
                <w:sz w:val="18"/>
                <w:szCs w:val="18"/>
              </w:rPr>
              <w:t>5.5</w:t>
            </w:r>
            <w:r>
              <w:rPr>
                <w:rFonts w:ascii="宋体" w:hAnsi="宋体" w:cs="宋体" w:eastAsia="宋体" w:hint="default"/>
                <w:color w:val="333333"/>
                <w:sz w:val="18"/>
                <w:szCs w:val="18"/>
              </w:rPr>
              <w:t>亿元</w:t>
            </w:r>
            <w:r>
              <w:rPr>
                <w:rFonts w:ascii="宋体" w:hAnsi="宋体" w:cs="宋体" w:eastAsia="宋体" w:hint="default"/>
                <w:sz w:val="18"/>
                <w:szCs w:val="18"/>
              </w:rPr>
            </w:r>
          </w:p>
        </w:tc>
      </w:tr>
    </w:tbl>
    <w:p>
      <w:pPr>
        <w:pStyle w:val="BodyText"/>
        <w:spacing w:line="240" w:lineRule="auto" w:before="31"/>
        <w:ind w:right="0"/>
        <w:jc w:val="left"/>
      </w:pPr>
      <w:r>
        <w:rPr/>
        <w:t>注：上述各指标计算时使用的净利润为经审计的归属于母公司所有者的净利润。</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注</w:t>
      </w:r>
      <w:r>
        <w:rPr>
          <w:rFonts w:ascii="Times New Roman" w:hAnsi="Times New Roman" w:cs="Times New Roman" w:eastAsia="Times New Roman" w:hint="default"/>
        </w:rPr>
        <w:t>2</w:t>
      </w:r>
      <w:r>
        <w:rPr/>
        <w:t>：同时本公司</w:t>
      </w:r>
      <w:r>
        <w:rPr>
          <w:rFonts w:ascii="Times New Roman" w:hAnsi="Times New Roman" w:cs="Times New Roman" w:eastAsia="Times New Roman" w:hint="default"/>
        </w:rPr>
        <w:t>2018</w:t>
      </w:r>
      <w:r>
        <w:rPr/>
        <w:t>年度经营业绩未满足《公司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年股票期权激励计划》中关于首次授予股票期权第一个行权期业绩</w:t>
      </w:r>
    </w:p>
    <w:p>
      <w:pPr>
        <w:pStyle w:val="BodyText"/>
        <w:spacing w:line="300" w:lineRule="auto" w:before="63"/>
        <w:ind w:right="1122"/>
        <w:jc w:val="left"/>
      </w:pPr>
      <w:r>
        <w:rPr/>
        <w:t>条件归属于母公司所有者的净利润不低于</w:t>
      </w:r>
      <w:r>
        <w:rPr>
          <w:rFonts w:ascii="Times New Roman" w:hAnsi="Times New Roman" w:cs="Times New Roman" w:eastAsia="Times New Roman" w:hint="default"/>
          <w:color w:val="333333"/>
        </w:rPr>
        <w:t>3.8</w:t>
      </w:r>
      <w:r>
        <w:rPr/>
        <w:t>亿元的业绩考核指标。因此，公司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年股票期权激励计划首次授予股票期 权第一个行权期不可行权，所涉及的激励对象已授予但未行权的</w:t>
      </w:r>
      <w:r>
        <w:rPr>
          <w:rFonts w:ascii="Times New Roman" w:hAnsi="Times New Roman" w:cs="Times New Roman" w:eastAsia="Times New Roman" w:hint="default"/>
        </w:rPr>
        <w:t>1400</w:t>
      </w:r>
      <w:r>
        <w:rPr/>
        <w:t>万份股权期权应按规定予以注销。 另外，我们关注到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日，公司第六届董事会</w:t>
      </w:r>
      <w:r>
        <w:rPr>
          <w:rFonts w:ascii="Times New Roman" w:hAnsi="Times New Roman" w:cs="Times New Roman" w:eastAsia="Times New Roman" w:hint="default"/>
        </w:rPr>
        <w:t>2019</w:t>
      </w:r>
      <w:r>
        <w:rPr/>
        <w:t>年第八次临时会议和第六届监事会</w:t>
      </w:r>
      <w:r>
        <w:rPr>
          <w:rFonts w:ascii="Times New Roman" w:hAnsi="Times New Roman" w:cs="Times New Roman" w:eastAsia="Times New Roman" w:hint="default"/>
        </w:rPr>
        <w:t>2019</w:t>
      </w:r>
      <w:r>
        <w:rPr/>
        <w:t>年第二次临时会议，审议 </w:t>
      </w:r>
      <w:r>
        <w:rPr>
          <w:spacing w:val="-2"/>
        </w:rPr>
        <w:t>通过了《关于注销公司</w:t>
      </w:r>
      <w:r>
        <w:rPr>
          <w:rFonts w:ascii="Times New Roman" w:hAnsi="Times New Roman" w:cs="Times New Roman" w:eastAsia="Times New Roman" w:hint="default"/>
          <w:spacing w:val="-2"/>
        </w:rPr>
        <w:t>2018</w:t>
      </w:r>
      <w:r>
        <w:rPr>
          <w:spacing w:val="-2"/>
        </w:rPr>
        <w:t>年股票期权激励计划首次授予第一个行权期未达行权条件对应股票期权的议案》，决议同意公司</w:t>
      </w:r>
      <w:r>
        <w:rPr>
          <w:spacing w:val="-62"/>
        </w:rPr>
        <w:t> </w:t>
      </w:r>
      <w:r>
        <w:rPr>
          <w:spacing w:val="-62"/>
        </w:rPr>
      </w:r>
      <w:r>
        <w:rPr/>
        <w:t>注销本激励计划首次授予第一个行权期未达行权条件的股票期权</w:t>
      </w:r>
      <w:r>
        <w:rPr>
          <w:rFonts w:ascii="Times New Roman" w:hAnsi="Times New Roman" w:cs="Times New Roman" w:eastAsia="Times New Roman" w:hint="default"/>
        </w:rPr>
        <w:t>1400</w:t>
      </w:r>
      <w:r>
        <w:rPr/>
        <w:t>万份。</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以权益结算的股份支付情况" w:id="468"/>
      <w:bookmarkEnd w:id="46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BLACK-SCHOLARS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期权定价模型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最佳估算行权数量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27,686,500.00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32" w:hRule="exact"/>
        </w:trPr>
        <w:tc>
          <w:tcPr>
            <w:tcW w:w="4984" w:type="dxa"/>
            <w:tcBorders>
              <w:top w:val="nil" w:sz="6" w:space="0" w:color="auto"/>
              <w:left w:val="nil" w:sz="6" w:space="0" w:color="auto"/>
              <w:bottom w:val="single" w:sz="4" w:space="0" w:color="000000"/>
              <w:right w:val="nil" w:sz="6" w:space="0" w:color="auto"/>
            </w:tcBorders>
          </w:tcPr>
          <w:p>
            <w:pPr/>
          </w:p>
        </w:tc>
        <w:tc>
          <w:tcPr>
            <w:tcW w:w="458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27,686,500.00</w:t>
            </w:r>
          </w:p>
        </w:tc>
      </w:tr>
    </w:tbl>
    <w:p>
      <w:pPr>
        <w:pStyle w:val="BodyText"/>
        <w:spacing w:line="357" w:lineRule="auto" w:before="51"/>
        <w:ind w:right="10032"/>
        <w:jc w:val="left"/>
      </w:pPr>
      <w:r>
        <w:rPr/>
        <w:pict>
          <v:group style="position:absolute;margin-left:55.200001pt;margin-top:-36.978271pt;width:485pt;height:.1pt;mso-position-horizontal-relative:page;mso-position-vertical-relative:paragraph;z-index:-1241872"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以现金结算的股份支付情况" w:id="469"/>
      <w:bookmarkEnd w:id="46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70"/>
      <w:bookmarkEnd w:id="470"/>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23"/>
        <w:ind w:right="0"/>
        <w:jc w:val="left"/>
        <w:rPr>
          <w:b w:val="0"/>
          <w:bCs w:val="0"/>
        </w:rPr>
      </w:pPr>
      <w:bookmarkStart w:name="5、其他" w:id="471"/>
      <w:bookmarkEnd w:id="471"/>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四、承诺及或有事项" w:id="472"/>
      <w:bookmarkEnd w:id="472"/>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473"/>
      <w:bookmarkEnd w:id="47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6"/>
        <w:ind w:left="229" w:right="0"/>
        <w:jc w:val="left"/>
      </w:pPr>
      <w:r>
        <w:rPr/>
        <w:t>（</w:t>
      </w:r>
      <w:r>
        <w:rPr>
          <w:rFonts w:ascii="Times New Roman" w:hAnsi="Times New Roman" w:cs="Times New Roman" w:eastAsia="Times New Roman" w:hint="default"/>
        </w:rPr>
        <w:t>1</w:t>
      </w:r>
      <w:r>
        <w:rPr/>
        <w:t>）质押借款情况：</w:t>
      </w:r>
    </w:p>
    <w:p>
      <w:pPr>
        <w:spacing w:line="240" w:lineRule="auto" w:before="0"/>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932"/>
        <w:gridCol w:w="734"/>
        <w:gridCol w:w="1596"/>
        <w:gridCol w:w="1275"/>
        <w:gridCol w:w="851"/>
        <w:gridCol w:w="709"/>
        <w:gridCol w:w="1134"/>
        <w:gridCol w:w="1134"/>
        <w:gridCol w:w="1134"/>
      </w:tblGrid>
      <w:tr>
        <w:trPr>
          <w:trHeight w:val="667" w:hRule="exact"/>
        </w:trPr>
        <w:tc>
          <w:tcPr>
            <w:tcW w:w="9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宋体" w:hAnsi="宋体" w:cs="宋体" w:eastAsia="宋体" w:hint="default"/>
                <w:sz w:val="18"/>
                <w:szCs w:val="18"/>
              </w:rPr>
              <w:t>债务人</w:t>
            </w:r>
          </w:p>
        </w:tc>
        <w:tc>
          <w:tcPr>
            <w:tcW w:w="73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68" w:right="89" w:hanging="180"/>
              <w:jc w:val="left"/>
              <w:rPr>
                <w:rFonts w:ascii="宋体" w:hAnsi="宋体" w:cs="宋体" w:eastAsia="宋体" w:hint="default"/>
                <w:sz w:val="18"/>
                <w:szCs w:val="18"/>
              </w:rPr>
            </w:pPr>
            <w:r>
              <w:rPr>
                <w:rFonts w:ascii="宋体" w:hAnsi="宋体" w:cs="宋体" w:eastAsia="宋体" w:hint="default"/>
                <w:sz w:val="18"/>
                <w:szCs w:val="18"/>
              </w:rPr>
              <w:t>借款金 额</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29"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hAnsi="宋体" w:cs="宋体" w:eastAsia="宋体" w:hint="default"/>
                <w:sz w:val="18"/>
                <w:szCs w:val="18"/>
              </w:rPr>
              <w:t>借款提款期</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27" w:right="56" w:hanging="270"/>
              <w:jc w:val="left"/>
              <w:rPr>
                <w:rFonts w:ascii="宋体" w:hAnsi="宋体" w:cs="宋体" w:eastAsia="宋体" w:hint="default"/>
                <w:sz w:val="18"/>
                <w:szCs w:val="18"/>
              </w:rPr>
            </w:pPr>
            <w:r>
              <w:rPr>
                <w:rFonts w:ascii="宋体" w:hAnsi="宋体" w:cs="宋体" w:eastAsia="宋体" w:hint="default"/>
                <w:sz w:val="18"/>
                <w:szCs w:val="18"/>
              </w:rPr>
              <w:t>已提款金 额</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67" w:right="74" w:hanging="90"/>
              <w:jc w:val="left"/>
              <w:rPr>
                <w:rFonts w:ascii="宋体" w:hAnsi="宋体" w:cs="宋体" w:eastAsia="宋体" w:hint="default"/>
                <w:sz w:val="18"/>
                <w:szCs w:val="18"/>
              </w:rPr>
            </w:pPr>
            <w:r>
              <w:rPr>
                <w:rFonts w:ascii="宋体" w:hAnsi="宋体" w:cs="宋体" w:eastAsia="宋体" w:hint="default"/>
                <w:sz w:val="18"/>
                <w:szCs w:val="18"/>
              </w:rPr>
              <w:t>已还款 金额</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质押物</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99" w:right="18" w:hanging="180"/>
              <w:jc w:val="left"/>
              <w:rPr>
                <w:rFonts w:ascii="宋体" w:hAnsi="宋体" w:cs="宋体" w:eastAsia="宋体" w:hint="default"/>
                <w:sz w:val="18"/>
                <w:szCs w:val="18"/>
              </w:rPr>
            </w:pPr>
            <w:r>
              <w:rPr>
                <w:rFonts w:ascii="宋体" w:hAnsi="宋体" w:cs="宋体" w:eastAsia="宋体" w:hint="default"/>
                <w:sz w:val="18"/>
                <w:szCs w:val="18"/>
              </w:rPr>
              <w:t>股权出质设立 登记日期</w:t>
            </w:r>
          </w:p>
        </w:tc>
        <w:tc>
          <w:tcPr>
            <w:tcW w:w="11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借款利率</w:t>
            </w:r>
          </w:p>
        </w:tc>
      </w:tr>
      <w:tr>
        <w:trPr>
          <w:trHeight w:val="976" w:hRule="exact"/>
        </w:trPr>
        <w:tc>
          <w:tcPr>
            <w:tcW w:w="93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2"/>
              <w:jc w:val="left"/>
              <w:rPr>
                <w:rFonts w:ascii="宋体" w:hAnsi="宋体" w:cs="宋体" w:eastAsia="宋体" w:hint="default"/>
                <w:sz w:val="18"/>
                <w:szCs w:val="18"/>
              </w:rPr>
            </w:pPr>
            <w:r>
              <w:rPr>
                <w:rFonts w:ascii="宋体" w:hAnsi="宋体" w:cs="宋体" w:eastAsia="宋体" w:hint="default"/>
                <w:sz w:val="18"/>
                <w:szCs w:val="18"/>
              </w:rPr>
              <w:t>万达信息股 份有限公司</w:t>
            </w:r>
          </w:p>
        </w:tc>
        <w:tc>
          <w:tcPr>
            <w:tcW w:w="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22,000</w:t>
            </w:r>
            <w:r>
              <w:rPr>
                <w:rFonts w:ascii="宋体" w:hAnsi="宋体" w:cs="宋体" w:eastAsia="宋体" w:hint="default"/>
                <w:sz w:val="18"/>
                <w:szCs w:val="18"/>
              </w:rPr>
              <w:t>万</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首次提款日起五年</w:t>
            </w:r>
          </w:p>
          <w:p>
            <w:pPr>
              <w:pStyle w:val="TableParagraph"/>
              <w:spacing w:line="300" w:lineRule="auto" w:before="76"/>
              <w:ind w:left="25" w:right="24"/>
              <w:jc w:val="left"/>
              <w:rPr>
                <w:rFonts w:ascii="宋体" w:hAnsi="宋体" w:cs="宋体" w:eastAsia="宋体" w:hint="default"/>
                <w:sz w:val="18"/>
                <w:szCs w:val="18"/>
              </w:rPr>
            </w:pPr>
            <w:r>
              <w:rPr>
                <w:rFonts w:ascii="宋体" w:hAnsi="宋体" w:cs="宋体" w:eastAsia="宋体" w:hint="default"/>
                <w:sz w:val="18"/>
                <w:szCs w:val="18"/>
              </w:rPr>
              <w:t>（即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 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 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22,000</w:t>
            </w:r>
            <w:r>
              <w:rPr>
                <w:rFonts w:ascii="宋体" w:hAnsi="宋体" w:cs="宋体" w:eastAsia="宋体" w:hint="default"/>
                <w:sz w:val="18"/>
                <w:szCs w:val="18"/>
              </w:rPr>
              <w:t>万</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13,750</w:t>
            </w:r>
            <w:r>
              <w:rPr>
                <w:rFonts w:ascii="宋体" w:hAnsi="宋体" w:cs="宋体" w:eastAsia="宋体" w:hint="default"/>
                <w:sz w:val="18"/>
                <w:szCs w:val="18"/>
              </w:rPr>
              <w:t>万</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5"/>
              <w:jc w:val="both"/>
              <w:rPr>
                <w:rFonts w:ascii="宋体" w:hAnsi="宋体" w:cs="宋体" w:eastAsia="宋体" w:hint="default"/>
                <w:sz w:val="18"/>
                <w:szCs w:val="18"/>
              </w:rPr>
            </w:pPr>
            <w:r>
              <w:rPr>
                <w:rFonts w:ascii="宋体" w:hAnsi="宋体" w:cs="宋体" w:eastAsia="宋体" w:hint="default"/>
                <w:sz w:val="18"/>
                <w:szCs w:val="18"/>
              </w:rPr>
              <w:t>上海复高计算 机科技有限公 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4.75%</w:t>
            </w:r>
          </w:p>
        </w:tc>
      </w:tr>
    </w:tbl>
    <w:p>
      <w:pPr>
        <w:pStyle w:val="BodyText"/>
        <w:spacing w:line="300" w:lineRule="auto" w:before="10"/>
        <w:ind w:right="1139" w:firstLine="360"/>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日与上海浦东发展银行空港支行签订并购贷款合同（合同编号：</w:t>
      </w:r>
      <w:r>
        <w:rPr>
          <w:rFonts w:ascii="Times New Roman" w:hAnsi="Times New Roman" w:cs="Times New Roman" w:eastAsia="Times New Roman" w:hint="default"/>
        </w:rPr>
        <w:t>98912015280055</w:t>
      </w:r>
      <w:r>
        <w:rPr/>
        <w:t>），用于支付并购 上海复高计算机科技有限公司的并购款，公司以持有的上海复高计算机科技有限公司</w:t>
      </w:r>
      <w:r>
        <w:rPr>
          <w:rFonts w:ascii="Times New Roman" w:hAnsi="Times New Roman" w:cs="Times New Roman" w:eastAsia="Times New Roman" w:hint="default"/>
        </w:rPr>
        <w:t>100%</w:t>
      </w:r>
      <w:r>
        <w:rPr/>
        <w:t>股权做为质押物为上述借款提供 担保。</w:t>
      </w:r>
    </w:p>
    <w:p>
      <w:pPr>
        <w:pStyle w:val="BodyText"/>
        <w:spacing w:line="307" w:lineRule="auto" w:before="31"/>
        <w:ind w:right="1130"/>
        <w:jc w:val="both"/>
      </w:pPr>
      <w:r>
        <w:rPr>
          <w:spacing w:val="-3"/>
        </w:rPr>
        <w:t>（</w:t>
      </w:r>
      <w:r>
        <w:rPr>
          <w:rFonts w:ascii="Times New Roman" w:hAnsi="Times New Roman" w:cs="Times New Roman" w:eastAsia="Times New Roman" w:hint="default"/>
          <w:spacing w:val="-3"/>
        </w:rPr>
        <w:t>2</w:t>
      </w:r>
      <w:r>
        <w:rPr>
          <w:spacing w:val="-3"/>
        </w:rPr>
        <w:t>）本公司全资子公司四川浩特通信有限公司（以下简称</w:t>
      </w:r>
      <w:r>
        <w:rPr>
          <w:rFonts w:ascii="Times New Roman" w:hAnsi="Times New Roman" w:cs="Times New Roman" w:eastAsia="Times New Roman" w:hint="default"/>
          <w:spacing w:val="-3"/>
        </w:rPr>
        <w:t>“</w:t>
      </w:r>
      <w:r>
        <w:rPr>
          <w:spacing w:val="-3"/>
        </w:rPr>
        <w:t>四川浩特</w:t>
      </w:r>
      <w:r>
        <w:rPr>
          <w:rFonts w:ascii="Times New Roman" w:hAnsi="Times New Roman" w:cs="Times New Roman" w:eastAsia="Times New Roman" w:hint="default"/>
          <w:spacing w:val="-3"/>
        </w:rPr>
        <w:t>”</w:t>
      </w:r>
      <w:r>
        <w:rPr>
          <w:spacing w:val="-3"/>
        </w:rPr>
        <w:t>）因公司项目建设需要，由成都盈开投资有限公司（以</w:t>
      </w:r>
      <w:r>
        <w:rPr>
          <w:spacing w:val="-77"/>
        </w:rPr>
        <w:t> </w:t>
      </w:r>
      <w:r>
        <w:rPr>
          <w:spacing w:val="-77"/>
        </w:rPr>
      </w:r>
      <w:r>
        <w:rPr/>
        <w:t>下简称</w:t>
      </w:r>
      <w:r>
        <w:rPr>
          <w:rFonts w:ascii="Times New Roman" w:hAnsi="Times New Roman" w:cs="Times New Roman" w:eastAsia="Times New Roman" w:hint="default"/>
        </w:rPr>
        <w:t>“</w:t>
      </w:r>
      <w:r>
        <w:rPr/>
        <w:t>盈开投资</w:t>
      </w:r>
      <w:r>
        <w:rPr>
          <w:rFonts w:ascii="Times New Roman" w:hAnsi="Times New Roman" w:cs="Times New Roman" w:eastAsia="Times New Roman" w:hint="default"/>
        </w:rPr>
        <w:t>”</w:t>
      </w:r>
      <w:r>
        <w:rPr/>
        <w:t>）委托中国民生银行股份有限公司成都分行（以下简称</w:t>
      </w:r>
      <w:r>
        <w:rPr>
          <w:rFonts w:ascii="Times New Roman" w:hAnsi="Times New Roman" w:cs="Times New Roman" w:eastAsia="Times New Roman" w:hint="default"/>
        </w:rPr>
        <w:t>“</w:t>
      </w:r>
      <w:r>
        <w:rPr/>
        <w:t>民生银行成都分行</w:t>
      </w:r>
      <w:r>
        <w:rPr>
          <w:rFonts w:ascii="Times New Roman" w:hAnsi="Times New Roman" w:cs="Times New Roman" w:eastAsia="Times New Roman" w:hint="default"/>
        </w:rPr>
        <w:t>”</w:t>
      </w:r>
      <w:r>
        <w:rPr/>
        <w:t>）向四川浩特发放</w:t>
      </w:r>
      <w:r>
        <w:rPr>
          <w:rFonts w:ascii="Times New Roman" w:hAnsi="Times New Roman" w:cs="Times New Roman" w:eastAsia="Times New Roman" w:hint="default"/>
        </w:rPr>
        <w:t>4,600.00</w:t>
      </w:r>
      <w:r>
        <w:rPr/>
        <w:t>万 </w:t>
      </w:r>
      <w:r>
        <w:rPr>
          <w:spacing w:val="-2"/>
        </w:rPr>
        <w:t>元（大写：人民币肆仟陆佰万元）借款，成都中小企业融资担保有限责任公司为上述借款提供担保。本公司向成都中小企业</w:t>
      </w:r>
      <w:r>
        <w:rPr>
          <w:spacing w:val="-65"/>
        </w:rPr>
        <w:t> </w:t>
      </w:r>
      <w:r>
        <w:rPr>
          <w:spacing w:val="-65"/>
        </w:rPr>
      </w:r>
      <w:r>
        <w:rPr/>
        <w:t>融资担保有限责任公司为四川浩特在盈开投资申请的上述借款提供连带责任反担保，反担保期限为两年。</w:t>
      </w:r>
    </w:p>
    <w:p>
      <w:pPr>
        <w:pStyle w:val="BodyText"/>
        <w:spacing w:line="240" w:lineRule="auto" w:before="26"/>
        <w:ind w:right="0"/>
        <w:jc w:val="both"/>
      </w:pPr>
      <w:r>
        <w:rPr/>
        <w:t>（</w:t>
      </w:r>
      <w:r>
        <w:rPr>
          <w:rFonts w:ascii="Times New Roman" w:hAnsi="Times New Roman" w:cs="Times New Roman" w:eastAsia="Times New Roman" w:hint="default"/>
        </w:rPr>
        <w:t>3</w:t>
      </w:r>
      <w:r>
        <w:rPr/>
        <w:t>）本公司全资子公司四川浩特通信有限公司（以下简称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）与浙商银行股份有限公司成都分行签订借款合同</w:t>
      </w:r>
    </w:p>
    <w:p>
      <w:pPr>
        <w:pStyle w:val="BodyText"/>
        <w:spacing w:line="300" w:lineRule="auto" w:before="63"/>
        <w:ind w:right="0"/>
        <w:jc w:val="left"/>
      </w:pPr>
      <w:r>
        <w:rPr>
          <w:spacing w:val="-2"/>
        </w:rPr>
        <w:t>【</w:t>
      </w:r>
      <w:r>
        <w:rPr>
          <w:rFonts w:ascii="Times New Roman" w:hAnsi="Times New Roman" w:cs="Times New Roman" w:eastAsia="Times New Roman" w:hint="default"/>
          <w:spacing w:val="-2"/>
        </w:rPr>
        <w:t>(20400000)</w:t>
      </w:r>
      <w:r>
        <w:rPr>
          <w:spacing w:val="-2"/>
        </w:rPr>
        <w:t>浙商银借字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01076</w:t>
      </w:r>
      <w:r>
        <w:rPr>
          <w:spacing w:val="-2"/>
        </w:rPr>
        <w:t>号】，借款的担保方式为抵押，抵押合同【</w:t>
      </w:r>
      <w:r>
        <w:rPr>
          <w:rFonts w:ascii="Times New Roman" w:hAnsi="Times New Roman" w:cs="Times New Roman" w:eastAsia="Times New Roman" w:hint="default"/>
          <w:spacing w:val="-2"/>
        </w:rPr>
        <w:t>(651202)</w:t>
      </w:r>
      <w:r>
        <w:rPr>
          <w:spacing w:val="-2"/>
        </w:rPr>
        <w:t>浙商银高抵字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00008</w:t>
      </w:r>
      <w:r>
        <w:rPr>
          <w:spacing w:val="-2"/>
        </w:rPr>
        <w:t>号】，</w:t>
      </w:r>
      <w:r>
        <w:rPr>
          <w:spacing w:val="-55"/>
        </w:rPr>
        <w:t> </w:t>
      </w:r>
      <w:r>
        <w:rPr>
          <w:spacing w:val="-55"/>
        </w:rPr>
      </w:r>
      <w:r>
        <w:rPr/>
        <w:t>抵押所担保的主债权为自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日止，抵押物为四川浩特固定资产：房权证监证字第</w:t>
      </w:r>
      <w:r>
        <w:rPr>
          <w:rFonts w:ascii="Times New Roman" w:hAnsi="Times New Roman" w:cs="Times New Roman" w:eastAsia="Times New Roman" w:hint="default"/>
        </w:rPr>
        <w:t>2746372</w:t>
      </w:r>
      <w:r>
        <w:rPr/>
        <w:t>号、 </w:t>
      </w:r>
      <w:r>
        <w:rPr>
          <w:spacing w:val="-2"/>
        </w:rPr>
        <w:t>房权证监证字第</w:t>
      </w:r>
      <w:r>
        <w:rPr>
          <w:rFonts w:ascii="Times New Roman" w:hAnsi="Times New Roman" w:cs="Times New Roman" w:eastAsia="Times New Roman" w:hint="default"/>
          <w:spacing w:val="-2"/>
        </w:rPr>
        <w:t>1944971</w:t>
      </w:r>
      <w:r>
        <w:rPr>
          <w:spacing w:val="-2"/>
        </w:rPr>
        <w:t>号、房权证监证字第</w:t>
      </w:r>
      <w:r>
        <w:rPr>
          <w:rFonts w:ascii="Times New Roman" w:hAnsi="Times New Roman" w:cs="Times New Roman" w:eastAsia="Times New Roman" w:hint="default"/>
          <w:spacing w:val="-2"/>
        </w:rPr>
        <w:t>1944966</w:t>
      </w:r>
      <w:r>
        <w:rPr>
          <w:spacing w:val="-2"/>
        </w:rPr>
        <w:t>号、房权证监证字第</w:t>
      </w:r>
      <w:r>
        <w:rPr>
          <w:rFonts w:ascii="Times New Roman" w:hAnsi="Times New Roman" w:cs="Times New Roman" w:eastAsia="Times New Roman" w:hint="default"/>
          <w:spacing w:val="-2"/>
        </w:rPr>
        <w:t>1944961</w:t>
      </w:r>
      <w:r>
        <w:rPr>
          <w:spacing w:val="-2"/>
        </w:rPr>
        <w:t>号、房权证监证字第</w:t>
      </w:r>
      <w:r>
        <w:rPr>
          <w:rFonts w:ascii="Times New Roman" w:hAnsi="Times New Roman" w:cs="Times New Roman" w:eastAsia="Times New Roman" w:hint="default"/>
          <w:spacing w:val="-2"/>
        </w:rPr>
        <w:t>1944943</w:t>
      </w:r>
      <w:r>
        <w:rPr>
          <w:spacing w:val="-2"/>
        </w:rPr>
        <w:t>号、房权证监</w:t>
      </w:r>
      <w:r>
        <w:rPr>
          <w:spacing w:val="-40"/>
        </w:rPr>
        <w:t> </w:t>
      </w:r>
      <w:r>
        <w:rPr>
          <w:spacing w:val="-40"/>
        </w:rPr>
      </w:r>
      <w:r>
        <w:rPr/>
        <w:t>证字第</w:t>
      </w:r>
      <w:r>
        <w:rPr>
          <w:rFonts w:ascii="Times New Roman" w:hAnsi="Times New Roman" w:cs="Times New Roman" w:eastAsia="Times New Roman" w:hint="default"/>
        </w:rPr>
        <w:t>1944955</w:t>
      </w:r>
      <w:r>
        <w:rPr/>
        <w:t>号、房权证监证字第</w:t>
      </w:r>
      <w:r>
        <w:rPr>
          <w:rFonts w:ascii="Times New Roman" w:hAnsi="Times New Roman" w:cs="Times New Roman" w:eastAsia="Times New Roman" w:hint="default"/>
        </w:rPr>
        <w:t>4001976</w:t>
      </w:r>
      <w:r>
        <w:rPr/>
        <w:t>号，被担保的主债权最高额为壹仟叁佰陆拾柒万伍仟零贰拾元整。</w:t>
      </w:r>
    </w:p>
    <w:p>
      <w:pPr>
        <w:pStyle w:val="BodyText"/>
        <w:spacing w:line="300" w:lineRule="auto" w:before="13"/>
        <w:ind w:right="1130"/>
        <w:jc w:val="both"/>
      </w:pPr>
      <w:r>
        <w:rPr/>
        <w:t>（</w:t>
      </w:r>
      <w:r>
        <w:rPr>
          <w:rFonts w:ascii="Times New Roman" w:hAnsi="Times New Roman" w:cs="Times New Roman" w:eastAsia="Times New Roman" w:hint="default"/>
        </w:rPr>
        <w:t>4</w:t>
      </w:r>
      <w:r>
        <w:rPr/>
        <w:t>）本公司全资子公司四川浩特通信有限公司（以下简称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）与浙商银行股份有限公司成都分行签订最高额抵押 </w:t>
      </w:r>
      <w:r>
        <w:rPr>
          <w:spacing w:val="-1"/>
        </w:rPr>
        <w:t>合同【</w:t>
      </w:r>
      <w:r>
        <w:rPr>
          <w:rFonts w:ascii="Times New Roman" w:hAnsi="Times New Roman" w:cs="Times New Roman" w:eastAsia="Times New Roman" w:hint="default"/>
          <w:spacing w:val="-1"/>
        </w:rPr>
        <w:t>(651202)</w:t>
      </w:r>
      <w:r>
        <w:rPr>
          <w:spacing w:val="-1"/>
        </w:rPr>
        <w:t>浙商银高抵字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00104</w:t>
      </w:r>
      <w:r>
        <w:rPr>
          <w:spacing w:val="-1"/>
        </w:rPr>
        <w:t>号】，抵押所担保的主债权为自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24</w:t>
      </w:r>
      <w:r>
        <w:rPr>
          <w:spacing w:val="-1"/>
        </w:rPr>
        <w:t>日起至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23</w:t>
      </w:r>
      <w:r>
        <w:rPr>
          <w:spacing w:val="-1"/>
        </w:rPr>
        <w:t>日止，抵押物为</w:t>
      </w:r>
      <w:r>
        <w:rPr>
          <w:spacing w:val="-77"/>
        </w:rPr>
        <w:t> </w:t>
      </w:r>
      <w:r>
        <w:rPr>
          <w:spacing w:val="-77"/>
        </w:rPr>
      </w:r>
      <w:r>
        <w:rPr/>
        <w:t>四川浩特固定资产：房权证监证字第</w:t>
      </w:r>
      <w:r>
        <w:rPr>
          <w:rFonts w:ascii="Times New Roman" w:hAnsi="Times New Roman" w:cs="Times New Roman" w:eastAsia="Times New Roman" w:hint="default"/>
        </w:rPr>
        <w:t>2746372</w:t>
      </w:r>
      <w:r>
        <w:rPr/>
        <w:t>号、房权证监证字第</w:t>
      </w:r>
      <w:r>
        <w:rPr>
          <w:rFonts w:ascii="Times New Roman" w:hAnsi="Times New Roman" w:cs="Times New Roman" w:eastAsia="Times New Roman" w:hint="default"/>
        </w:rPr>
        <w:t>1944971</w:t>
      </w:r>
      <w:r>
        <w:rPr/>
        <w:t>号、房权证监证字第</w:t>
      </w:r>
      <w:r>
        <w:rPr>
          <w:rFonts w:ascii="Times New Roman" w:hAnsi="Times New Roman" w:cs="Times New Roman" w:eastAsia="Times New Roman" w:hint="default"/>
        </w:rPr>
        <w:t>1944966</w:t>
      </w:r>
      <w:r>
        <w:rPr/>
        <w:t>号、房权证监证字第 </w:t>
      </w:r>
      <w:r>
        <w:rPr>
          <w:rFonts w:ascii="Times New Roman" w:hAnsi="Times New Roman" w:cs="Times New Roman" w:eastAsia="Times New Roman" w:hint="default"/>
          <w:spacing w:val="-2"/>
        </w:rPr>
        <w:t>1944961</w:t>
      </w:r>
      <w:r>
        <w:rPr>
          <w:spacing w:val="-2"/>
        </w:rPr>
        <w:t>号、房权证监证字第</w:t>
      </w:r>
      <w:r>
        <w:rPr>
          <w:rFonts w:ascii="Times New Roman" w:hAnsi="Times New Roman" w:cs="Times New Roman" w:eastAsia="Times New Roman" w:hint="default"/>
          <w:spacing w:val="-2"/>
        </w:rPr>
        <w:t>1944943</w:t>
      </w:r>
      <w:r>
        <w:rPr>
          <w:spacing w:val="-2"/>
        </w:rPr>
        <w:t>号、房权证监证字第</w:t>
      </w:r>
      <w:r>
        <w:rPr>
          <w:rFonts w:ascii="Times New Roman" w:hAnsi="Times New Roman" w:cs="Times New Roman" w:eastAsia="Times New Roman" w:hint="default"/>
          <w:spacing w:val="-2"/>
        </w:rPr>
        <w:t>1944955</w:t>
      </w:r>
      <w:r>
        <w:rPr>
          <w:spacing w:val="-2"/>
        </w:rPr>
        <w:t>号、房权证监证字第</w:t>
      </w:r>
      <w:r>
        <w:rPr>
          <w:rFonts w:ascii="Times New Roman" w:hAnsi="Times New Roman" w:cs="Times New Roman" w:eastAsia="Times New Roman" w:hint="default"/>
          <w:spacing w:val="-2"/>
        </w:rPr>
        <w:t>4001976</w:t>
      </w:r>
      <w:r>
        <w:rPr>
          <w:spacing w:val="-2"/>
        </w:rPr>
        <w:t>号，被担保的主债权最高额为</w:t>
      </w:r>
      <w:r>
        <w:rPr>
          <w:spacing w:val="-40"/>
        </w:rPr>
        <w:t> </w:t>
      </w:r>
      <w:r>
        <w:rPr>
          <w:spacing w:val="-40"/>
        </w:rPr>
      </w:r>
      <w:r>
        <w:rPr/>
        <w:t>壹仟叁佰陆拾柒万伍仟零贰拾元整。</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7" w:lineRule="auto" w:before="44"/>
        <w:ind w:right="1042"/>
        <w:jc w:val="left"/>
      </w:pPr>
      <w:r>
        <w:rPr>
          <w:spacing w:val="-2"/>
        </w:rPr>
        <w:t>（</w:t>
      </w:r>
      <w:r>
        <w:rPr>
          <w:rFonts w:ascii="Times New Roman" w:hAnsi="Times New Roman" w:cs="Times New Roman" w:eastAsia="Times New Roman" w:hint="default"/>
          <w:spacing w:val="-2"/>
        </w:rPr>
        <w:t>5</w:t>
      </w:r>
      <w:r>
        <w:rPr>
          <w:spacing w:val="-2"/>
        </w:rPr>
        <w:t>）本公司全资子公司四川浩特通信有限公司（以下简称</w:t>
      </w:r>
      <w:r>
        <w:rPr>
          <w:rFonts w:ascii="Times New Roman" w:hAnsi="Times New Roman" w:cs="Times New Roman" w:eastAsia="Times New Roman" w:hint="default"/>
          <w:spacing w:val="-2"/>
        </w:rPr>
        <w:t>“</w:t>
      </w:r>
      <w:r>
        <w:rPr>
          <w:spacing w:val="-2"/>
        </w:rPr>
        <w:t>四川浩特</w:t>
      </w:r>
      <w:r>
        <w:rPr>
          <w:rFonts w:ascii="Times New Roman" w:hAnsi="Times New Roman" w:cs="Times New Roman" w:eastAsia="Times New Roman" w:hint="default"/>
          <w:spacing w:val="-2"/>
        </w:rPr>
        <w:t>”</w:t>
      </w:r>
      <w:r>
        <w:rPr>
          <w:spacing w:val="-2"/>
        </w:rPr>
        <w:t>）与北京亦庄国际融资租赁有限公司（以下简称</w:t>
      </w:r>
      <w:r>
        <w:rPr>
          <w:rFonts w:ascii="Times New Roman" w:hAnsi="Times New Roman" w:cs="Times New Roman" w:eastAsia="Times New Roman" w:hint="default"/>
          <w:spacing w:val="-2"/>
        </w:rPr>
        <w:t>“</w:t>
      </w:r>
      <w:r>
        <w:rPr>
          <w:spacing w:val="-2"/>
        </w:rPr>
        <w:t>北京</w:t>
      </w:r>
      <w:r>
        <w:rPr>
          <w:spacing w:val="-37"/>
        </w:rPr>
        <w:t> </w:t>
      </w:r>
      <w:r>
        <w:rPr/>
        <w:t>亦庄</w:t>
      </w:r>
      <w:r>
        <w:rPr>
          <w:rFonts w:ascii="Times New Roman" w:hAnsi="Times New Roman" w:cs="Times New Roman" w:eastAsia="Times New Roman" w:hint="default"/>
        </w:rPr>
        <w:t>”</w:t>
      </w:r>
      <w:r>
        <w:rPr/>
        <w:t>）签订《融资租赁合同》（售后回租类），通过融资租赁（售后回租类）形式，向北京亦庄融资人民币</w:t>
      </w:r>
      <w:r>
        <w:rPr>
          <w:rFonts w:ascii="Times New Roman" w:hAnsi="Times New Roman" w:cs="Times New Roman" w:eastAsia="Times New Roman" w:hint="default"/>
        </w:rPr>
        <w:t>4,000.00</w:t>
      </w:r>
      <w:r>
        <w:rPr/>
        <w:t>万元， </w:t>
      </w:r>
      <w:r>
        <w:rPr>
          <w:spacing w:val="-2"/>
        </w:rPr>
        <w:t>借款条件为向北京亦庄质押四川浩特《自贡市公共视频监控系统建设服务合同》、《关于自贡市公共视频监控系统建设、服</w:t>
      </w:r>
      <w:r>
        <w:rPr>
          <w:spacing w:val="-66"/>
        </w:rPr>
        <w:t> </w:t>
      </w:r>
      <w:r>
        <w:rPr>
          <w:spacing w:val="-66"/>
        </w:rPr>
      </w:r>
      <w:r>
        <w:rPr/>
        <w:t>务协议》基础合同项下全部应收账款。</w:t>
      </w:r>
    </w:p>
    <w:p>
      <w:pPr>
        <w:pStyle w:val="BodyText"/>
        <w:spacing w:line="304" w:lineRule="auto" w:before="26"/>
        <w:ind w:right="1122"/>
        <w:jc w:val="left"/>
      </w:pPr>
      <w:r>
        <w:rPr/>
        <w:t>（</w:t>
      </w:r>
      <w:r>
        <w:rPr>
          <w:rFonts w:ascii="Times New Roman" w:hAnsi="Times New Roman" w:cs="Times New Roman" w:eastAsia="Times New Roman" w:hint="default"/>
        </w:rPr>
        <w:t>6</w:t>
      </w:r>
      <w:r>
        <w:rPr/>
        <w:t>）本公司全资子公司四川浩特通信有限公司（以下简称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）与远东国际租赁有限公司（以下简称</w:t>
      </w:r>
      <w:r>
        <w:rPr>
          <w:rFonts w:ascii="Times New Roman" w:hAnsi="Times New Roman" w:cs="Times New Roman" w:eastAsia="Times New Roman" w:hint="default"/>
        </w:rPr>
        <w:t>“</w:t>
      </w:r>
      <w:r>
        <w:rPr/>
        <w:t>远东国际</w:t>
      </w:r>
      <w:r>
        <w:rPr>
          <w:rFonts w:ascii="Times New Roman" w:hAnsi="Times New Roman" w:cs="Times New Roman" w:eastAsia="Times New Roman" w:hint="default"/>
        </w:rPr>
        <w:t>”</w:t>
      </w:r>
      <w:r>
        <w:rPr/>
        <w:t>） 签订《融资租赁合同》（售后回租类），通过融资租赁（售后回租类）形式，向远东国际融资人民币</w:t>
      </w:r>
      <w:r>
        <w:rPr>
          <w:rFonts w:ascii="Times New Roman" w:hAnsi="Times New Roman" w:cs="Times New Roman" w:eastAsia="Times New Roman" w:hint="default"/>
        </w:rPr>
        <w:t>1,956.52</w:t>
      </w:r>
      <w:r>
        <w:rPr/>
        <w:t>万元，借款条 </w:t>
      </w:r>
      <w:r>
        <w:rPr>
          <w:spacing w:val="-5"/>
        </w:rPr>
        <w:t>件为向远东国际质押四川浩特《中国电信股份有限公司巴中分公司四川浩特通信有限公司南江智慧旅游项目合作协议》及《中</w:t>
      </w:r>
      <w:r>
        <w:rPr>
          <w:spacing w:val="-79"/>
        </w:rPr>
        <w:t> </w:t>
      </w:r>
      <w:r>
        <w:rPr>
          <w:spacing w:val="-79"/>
        </w:rPr>
      </w:r>
      <w:r>
        <w:rPr/>
        <w:t>国电信股份有限公司巴中分公司四川浩特通信有限公司</w:t>
      </w:r>
      <w:r>
        <w:rPr>
          <w:rFonts w:ascii="Times New Roman" w:hAnsi="Times New Roman" w:cs="Times New Roman" w:eastAsia="Times New Roman" w:hint="default"/>
        </w:rPr>
        <w:t>2016</w:t>
      </w:r>
      <w:r>
        <w:rPr/>
        <w:t>年南江智慧旅游二期项目合作协议》基础合同项下全部应收账 款。</w:t>
      </w:r>
    </w:p>
    <w:p>
      <w:pPr>
        <w:pStyle w:val="BodyText"/>
        <w:spacing w:line="240" w:lineRule="auto" w:before="28"/>
        <w:ind w:right="0"/>
        <w:jc w:val="left"/>
      </w:pPr>
      <w:r>
        <w:rPr/>
        <w:t>（</w:t>
      </w:r>
      <w:r>
        <w:rPr>
          <w:rFonts w:ascii="Times New Roman" w:hAnsi="Times New Roman" w:cs="Times New Roman" w:eastAsia="Times New Roman" w:hint="default"/>
        </w:rPr>
        <w:t>7</w:t>
      </w:r>
      <w:r>
        <w:rPr/>
        <w:t>）本公司全资子公司四川浩特通信有限公司（以下简称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）与浙商银行股份有限公司成都分行签订借款合同</w:t>
      </w:r>
    </w:p>
    <w:p>
      <w:pPr>
        <w:pStyle w:val="BodyText"/>
        <w:spacing w:line="300" w:lineRule="auto" w:before="63"/>
        <w:ind w:right="1182"/>
        <w:jc w:val="left"/>
      </w:pPr>
      <w:r>
        <w:rPr/>
        <w:t>【</w:t>
      </w:r>
      <w:r>
        <w:rPr>
          <w:rFonts w:ascii="Times New Roman" w:hAnsi="Times New Roman" w:cs="Times New Roman" w:eastAsia="Times New Roman" w:hint="default"/>
        </w:rPr>
        <w:t>(20400000)</w:t>
      </w:r>
      <w:r>
        <w:rPr/>
        <w:t>浙商银网借字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00071</w:t>
      </w:r>
      <w:r>
        <w:rPr/>
        <w:t>号】、【</w:t>
      </w:r>
      <w:r>
        <w:rPr>
          <w:rFonts w:ascii="Times New Roman" w:hAnsi="Times New Roman" w:cs="Times New Roman" w:eastAsia="Times New Roman" w:hint="default"/>
        </w:rPr>
        <w:t>(20400000)</w:t>
      </w:r>
      <w:r>
        <w:rPr/>
        <w:t>浙商银网借字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00072</w:t>
      </w:r>
      <w:r>
        <w:rPr/>
        <w:t>号】借款</w:t>
      </w:r>
      <w:r>
        <w:rPr>
          <w:rFonts w:ascii="Times New Roman" w:hAnsi="Times New Roman" w:cs="Times New Roman" w:eastAsia="Times New Roman" w:hint="default"/>
        </w:rPr>
        <w:t>1,150.00</w:t>
      </w:r>
      <w:r>
        <w:rPr/>
        <w:t>万元，担保方式 为质押，质押合同编号【（</w:t>
      </w:r>
      <w:r>
        <w:rPr>
          <w:rFonts w:ascii="Times New Roman" w:hAnsi="Times New Roman" w:cs="Times New Roman" w:eastAsia="Times New Roman" w:hint="default"/>
        </w:rPr>
        <w:t>651202</w:t>
      </w:r>
      <w:r>
        <w:rPr/>
        <w:t>）浙商银高质字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00003</w:t>
      </w:r>
      <w:r>
        <w:rPr/>
        <w:t>号】，合同约定质押《中国电信股份有限公司南充分公司</w:t>
      </w:r>
    </w:p>
    <w:p>
      <w:pPr>
        <w:pStyle w:val="BodyText"/>
        <w:spacing w:line="240" w:lineRule="auto" w:before="13"/>
        <w:ind w:right="0"/>
        <w:jc w:val="left"/>
      </w:pPr>
      <w:r>
        <w:rPr/>
        <w:t>（南充顺庆天网）》及《中国电信股份有限公司内江分公司（内江大数据中心）》合同项下全部应收账款。</w:t>
      </w:r>
    </w:p>
    <w:p>
      <w:pPr>
        <w:pStyle w:val="BodyText"/>
        <w:spacing w:line="300" w:lineRule="auto" w:before="76"/>
        <w:ind w:right="1122"/>
        <w:jc w:val="left"/>
      </w:pPr>
      <w:r>
        <w:rPr/>
        <w:t>（</w:t>
      </w:r>
      <w:r>
        <w:rPr>
          <w:rFonts w:ascii="Times New Roman" w:hAnsi="Times New Roman" w:cs="Times New Roman" w:eastAsia="Times New Roman" w:hint="default"/>
        </w:rPr>
        <w:t>8</w:t>
      </w:r>
      <w:r>
        <w:rPr/>
        <w:t>）本公司全资子公司四川浩特与浙商银行签订《应收账款转让协议》（企业应收款链平台专用），向浙商银行转让编号 为</w:t>
      </w:r>
      <w:r>
        <w:rPr>
          <w:rFonts w:ascii="Times New Roman" w:hAnsi="Times New Roman" w:cs="Times New Roman" w:eastAsia="Times New Roman" w:hint="default"/>
        </w:rPr>
        <w:t>YSZK20180802005414</w:t>
      </w:r>
      <w:r>
        <w:rPr/>
        <w:t>的应收款项人民币</w:t>
      </w:r>
      <w:r>
        <w:rPr>
          <w:rFonts w:ascii="Times New Roman" w:hAnsi="Times New Roman" w:cs="Times New Roman" w:eastAsia="Times New Roman" w:hint="default"/>
        </w:rPr>
        <w:t>9,000,000.00</w:t>
      </w:r>
      <w:r>
        <w:rPr/>
        <w:t>元，转让价款人民币</w:t>
      </w:r>
      <w:r>
        <w:rPr>
          <w:rFonts w:ascii="Times New Roman" w:hAnsi="Times New Roman" w:cs="Times New Roman" w:eastAsia="Times New Roman" w:hint="default"/>
        </w:rPr>
        <w:t>8,330,625.00</w:t>
      </w:r>
      <w:r>
        <w:rPr/>
        <w:t>元，该笔应收款项付款人为中国电</w:t>
      </w:r>
      <w:r>
        <w:rPr>
          <w:w w:val="99"/>
        </w:rPr>
        <w:t> </w:t>
      </w:r>
      <w:r>
        <w:rPr/>
        <w:t>信股份有限公司自贡分公司。</w:t>
      </w:r>
    </w:p>
    <w:p>
      <w:pPr>
        <w:pStyle w:val="BodyText"/>
        <w:spacing w:line="300" w:lineRule="auto" w:before="31"/>
        <w:ind w:right="1122"/>
        <w:jc w:val="left"/>
      </w:pPr>
      <w:r>
        <w:rPr/>
        <w:t>（</w:t>
      </w:r>
      <w:r>
        <w:rPr>
          <w:rFonts w:ascii="Times New Roman" w:hAnsi="Times New Roman" w:cs="Times New Roman" w:eastAsia="Times New Roman" w:hint="default"/>
        </w:rPr>
        <w:t>9</w:t>
      </w:r>
      <w:r>
        <w:rPr/>
        <w:t>）本公司全资子公司四川浩特与浙商银行签订《应收账款转让协议》（企业应收款链平台专用），向浙商银行转让编号 为</w:t>
      </w:r>
      <w:r>
        <w:rPr>
          <w:rFonts w:ascii="Times New Roman" w:hAnsi="Times New Roman" w:cs="Times New Roman" w:eastAsia="Times New Roman" w:hint="default"/>
        </w:rPr>
        <w:t>YSZK20180731005282</w:t>
      </w:r>
      <w:r>
        <w:rPr/>
        <w:t>的应收款项人民币</w:t>
      </w:r>
      <w:r>
        <w:rPr>
          <w:rFonts w:ascii="Times New Roman" w:hAnsi="Times New Roman" w:cs="Times New Roman" w:eastAsia="Times New Roman" w:hint="default"/>
        </w:rPr>
        <w:t>9,500,000.00</w:t>
      </w:r>
      <w:r>
        <w:rPr/>
        <w:t>元；转让价款人民币</w:t>
      </w:r>
      <w:r>
        <w:rPr>
          <w:rFonts w:ascii="Times New Roman" w:hAnsi="Times New Roman" w:cs="Times New Roman" w:eastAsia="Times New Roman" w:hint="default"/>
        </w:rPr>
        <w:t>8,793,437.50</w:t>
      </w:r>
      <w:r>
        <w:rPr/>
        <w:t>元，该笔应收款项付款人为遂宁市</w:t>
      </w:r>
      <w:r>
        <w:rPr>
          <w:w w:val="99"/>
        </w:rPr>
        <w:t> </w:t>
      </w:r>
      <w:r>
        <w:rPr/>
        <w:t>公安局。</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或有事项" w:id="474"/>
      <w:bookmarkEnd w:id="47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75"/>
      <w:bookmarkEnd w:id="47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公司没有需要披露的重要或有事项，也应予以说明" w:id="476"/>
      <w:bookmarkEnd w:id="47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 w:id="477"/>
      <w:bookmarkEnd w:id="47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五、资产负债表日后事项" w:id="478"/>
      <w:bookmarkEnd w:id="478"/>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非调整事项" w:id="479"/>
      <w:bookmarkEnd w:id="479"/>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91"/>
        <w:gridCol w:w="4820"/>
        <w:gridCol w:w="1559"/>
        <w:gridCol w:w="1488"/>
      </w:tblGrid>
      <w:tr>
        <w:trPr>
          <w:trHeight w:val="161"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33" w:right="53" w:hanging="180"/>
              <w:jc w:val="left"/>
              <w:rPr>
                <w:rFonts w:ascii="宋体" w:hAnsi="宋体" w:cs="宋体" w:eastAsia="宋体" w:hint="default"/>
                <w:sz w:val="18"/>
                <w:szCs w:val="18"/>
              </w:rPr>
            </w:pPr>
            <w:r>
              <w:rPr>
                <w:rFonts w:ascii="宋体" w:hAnsi="宋体" w:cs="宋体" w:eastAsia="宋体" w:hint="default"/>
                <w:sz w:val="18"/>
                <w:szCs w:val="18"/>
              </w:rPr>
              <w:t>对财务状况和经营 成果的影响数</w:t>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69" w:right="107" w:hanging="360"/>
              <w:jc w:val="left"/>
              <w:rPr>
                <w:rFonts w:ascii="宋体" w:hAnsi="宋体" w:cs="宋体" w:eastAsia="宋体" w:hint="default"/>
                <w:sz w:val="18"/>
                <w:szCs w:val="18"/>
              </w:rPr>
            </w:pPr>
            <w:r>
              <w:rPr>
                <w:rFonts w:ascii="宋体" w:hAnsi="宋体" w:cs="宋体" w:eastAsia="宋体" w:hint="default"/>
                <w:sz w:val="18"/>
                <w:szCs w:val="18"/>
              </w:rPr>
              <w:t>无法估计影响数 的原因</w:t>
            </w:r>
          </w:p>
        </w:tc>
      </w:tr>
      <w:tr>
        <w:trPr>
          <w:trHeight w:val="393"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559" w:type="dxa"/>
            <w:vMerge/>
            <w:tcBorders>
              <w:left w:val="single" w:sz="4" w:space="0" w:color="000000"/>
              <w:right w:val="single" w:sz="4" w:space="0" w:color="000000"/>
            </w:tcBorders>
            <w:shd w:val="clear" w:color="auto" w:fill="D2D2D2"/>
          </w:tcPr>
          <w:p>
            <w:pPr/>
          </w:p>
        </w:tc>
        <w:tc>
          <w:tcPr>
            <w:tcW w:w="1488" w:type="dxa"/>
            <w:vMerge/>
            <w:tcBorders>
              <w:left w:val="single" w:sz="4" w:space="0" w:color="000000"/>
              <w:right w:val="single" w:sz="4" w:space="0" w:color="000000"/>
            </w:tcBorders>
            <w:shd w:val="clear" w:color="auto" w:fill="D2D2D2"/>
          </w:tcPr>
          <w:p>
            <w:pPr/>
          </w:p>
        </w:tc>
      </w:tr>
      <w:tr>
        <w:trPr>
          <w:trHeight w:val="161"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r>
      <w:tr>
        <w:trPr>
          <w:trHeight w:val="296"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根据贵公司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w:t>
            </w:r>
          </w:p>
          <w:p>
            <w:pPr>
              <w:pStyle w:val="TableParagraph"/>
              <w:spacing w:line="300" w:lineRule="auto" w:before="61"/>
              <w:ind w:left="16" w:right="20"/>
              <w:jc w:val="left"/>
              <w:rPr>
                <w:rFonts w:ascii="宋体" w:hAnsi="宋体" w:cs="宋体" w:eastAsia="宋体" w:hint="default"/>
                <w:sz w:val="18"/>
                <w:szCs w:val="18"/>
              </w:rPr>
            </w:pPr>
            <w:r>
              <w:rPr>
                <w:rFonts w:ascii="宋体" w:hAnsi="宋体" w:cs="宋体" w:eastAsia="宋体" w:hint="default"/>
                <w:sz w:val="18"/>
                <w:szCs w:val="18"/>
              </w:rPr>
              <w:t>东大会决议，贵公司拟发行总额不超过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亿元的可转换为公 </w:t>
            </w:r>
            <w:r>
              <w:rPr>
                <w:rFonts w:ascii="宋体" w:hAnsi="宋体" w:cs="宋体" w:eastAsia="宋体" w:hint="default"/>
                <w:spacing w:val="-4"/>
                <w:w w:val="100"/>
                <w:sz w:val="18"/>
                <w:szCs w:val="18"/>
              </w:rPr>
              <w:t>司股票的可转换公司债券（以下简称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可转债</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），票面金额为</w:t>
            </w:r>
          </w:p>
        </w:tc>
        <w:tc>
          <w:tcPr>
            <w:tcW w:w="1559"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r>
      <w:tr>
        <w:trPr>
          <w:trHeight w:val="392"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4820"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298"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0"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313.899994pt;margin-top:72.47998pt;width:146.6pt;height:173.7pt;mso-position-horizontal-relative:page;mso-position-vertical-relative:page;z-index:-1241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0" w:right="0" w:firstLine="178"/>
                    <w:jc w:val="left"/>
                  </w:pPr>
                  <w:r>
                    <w:rPr/>
                    <w:t>除发行费用后，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BodyText"/>
                    <w:spacing w:line="240" w:lineRule="auto"/>
                    <w:ind w:left="0" w:right="0"/>
                    <w:jc w:val="left"/>
                  </w:pPr>
                  <w:r>
                    <w:rPr/>
                    <w:t>号验资报告验证。</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702"/>
        <w:gridCol w:w="4820"/>
        <w:gridCol w:w="1559"/>
        <w:gridCol w:w="1488"/>
      </w:tblGrid>
      <w:tr>
        <w:trPr>
          <w:trHeight w:val="322"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元人民币，按面值发行，期限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年。经中国证券监</w:t>
            </w:r>
          </w:p>
        </w:tc>
        <w:tc>
          <w:tcPr>
            <w:tcW w:w="1559" w:type="dxa"/>
            <w:vMerge w:val="restart"/>
            <w:tcBorders>
              <w:top w:val="single" w:sz="4" w:space="0" w:color="000000"/>
              <w:left w:val="single" w:sz="4" w:space="0" w:color="000000"/>
              <w:right w:val="single" w:sz="4" w:space="0" w:color="000000"/>
            </w:tcBorders>
          </w:tcPr>
          <w:p>
            <w:pPr>
              <w:pStyle w:val="TableParagraph"/>
              <w:spacing w:line="3473" w:lineRule="exact"/>
              <w:ind w:right="-51"/>
              <w:jc w:val="left"/>
              <w:rPr>
                <w:rFonts w:ascii="宋体" w:hAnsi="宋体" w:cs="宋体" w:eastAsia="宋体" w:hint="default"/>
                <w:sz w:val="20"/>
                <w:szCs w:val="20"/>
              </w:rPr>
            </w:pPr>
            <w:r>
              <w:rPr>
                <w:rFonts w:ascii="宋体" w:hAnsi="宋体" w:cs="宋体" w:eastAsia="宋体" w:hint="default"/>
                <w:position w:val="-68"/>
                <w:sz w:val="20"/>
                <w:szCs w:val="20"/>
              </w:rPr>
              <w:pict>
                <v:group style="width:77.5pt;height:173.7pt;mso-position-horizontal-relative:char;mso-position-vertical-relative:line" coordorigin="0,0" coordsize="1550,3474">
                  <v:group style="position:absolute;left:0;top:0;width:1550;height:3474" coordorigin="0,0" coordsize="1550,3474">
                    <v:shape style="position:absolute;left:0;top:0;width:1550;height:3474" coordorigin="0,0" coordsize="1550,3474" path="m0,3473l1550,3473,1550,0,0,0,0,3473xe" filled="true" fillcolor="#ffffff" stroked="false">
                      <v:path arrowok="t"/>
                      <v:fill type="solid"/>
                    </v:shape>
                  </v:group>
                </v:group>
              </w:pict>
            </w:r>
            <w:r>
              <w:rPr>
                <w:rFonts w:ascii="宋体" w:hAnsi="宋体" w:cs="宋体" w:eastAsia="宋体" w:hint="default"/>
                <w:position w:val="-68"/>
                <w:sz w:val="20"/>
                <w:szCs w:val="20"/>
              </w:rPr>
            </w:r>
          </w:p>
        </w:tc>
        <w:tc>
          <w:tcPr>
            <w:tcW w:w="1488" w:type="dxa"/>
            <w:vMerge w:val="restart"/>
            <w:tcBorders>
              <w:top w:val="single" w:sz="4" w:space="0" w:color="000000"/>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督管理委员会证监许可</w:t>
            </w:r>
            <w:r>
              <w:rPr>
                <w:rFonts w:ascii="Times New Roman" w:hAnsi="Times New Roman" w:cs="Times New Roman" w:eastAsia="Times New Roman" w:hint="default"/>
                <w:sz w:val="18"/>
                <w:szCs w:val="18"/>
              </w:rPr>
              <w:t>[2019]60</w:t>
            </w:r>
            <w:r>
              <w:rPr>
                <w:rFonts w:ascii="Times New Roman" w:hAnsi="Times New Roman" w:cs="Times New Roman" w:eastAsia="Times New Roman" w:hint="default"/>
                <w:spacing w:val="-1"/>
                <w:sz w:val="18"/>
                <w:szCs w:val="18"/>
              </w:rPr>
              <w:t> </w:t>
            </w:r>
            <w:r>
              <w:rPr>
                <w:rFonts w:ascii="宋体" w:hAnsi="宋体" w:cs="宋体" w:eastAsia="宋体" w:hint="default"/>
                <w:spacing w:val="-81"/>
                <w:sz w:val="18"/>
                <w:szCs w:val="18"/>
              </w:rPr>
              <w:t>号</w:t>
            </w:r>
            <w:r>
              <w:rPr>
                <w:rFonts w:ascii="宋体" w:hAnsi="宋体" w:cs="宋体" w:eastAsia="宋体" w:hint="default"/>
                <w:sz w:val="18"/>
                <w:szCs w:val="18"/>
              </w:rPr>
              <w:t>《关于核准万达信息股份有</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07" w:hRule="exact"/>
        </w:trPr>
        <w:tc>
          <w:tcPr>
            <w:tcW w:w="170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限公司公开发行可转换公司债券的批复》的核准，同意贵公</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7" w:hRule="exact"/>
        </w:trPr>
        <w:tc>
          <w:tcPr>
            <w:tcW w:w="170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司发行面值总额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亿元的可转换公司债券，每张可转债面值</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元，按面值发行，期限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日公司已完成本次创业板公开发行可转换公司债券的发行</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工作，募集资金人民币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1,200,000,000.00 </w:t>
            </w:r>
            <w:r>
              <w:rPr>
                <w:rFonts w:ascii="宋体" w:hAnsi="宋体" w:cs="宋体" w:eastAsia="宋体" w:hint="default"/>
                <w:spacing w:val="-17"/>
                <w:sz w:val="18"/>
                <w:szCs w:val="18"/>
              </w:rPr>
              <w:t>元，扣</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07" w:hRule="exact"/>
        </w:trPr>
        <w:tc>
          <w:tcPr>
            <w:tcW w:w="170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公司本次创业板公开发行可转换公司债券的实际募集资金净</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7" w:hRule="exact"/>
        </w:trPr>
        <w:tc>
          <w:tcPr>
            <w:tcW w:w="170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1,187,030,000.00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元。上述创业板公开发行可转换</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08" w:hRule="exact"/>
        </w:trPr>
        <w:tc>
          <w:tcPr>
            <w:tcW w:w="170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公司债券募集资金实收情况，业经立信会计师事务所（特殊</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57"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普通合伙）以信会师报字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ZA10349</w:t>
            </w:r>
          </w:p>
        </w:tc>
        <w:tc>
          <w:tcPr>
            <w:tcW w:w="1559"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362"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日投资设立上海爱可及医疗科技有限</w:t>
            </w:r>
          </w:p>
        </w:tc>
        <w:tc>
          <w:tcPr>
            <w:tcW w:w="1559"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r>
      <w:tr>
        <w:trPr>
          <w:trHeight w:val="31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公司，注册资本人民币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万元，本公司出资人民币</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1,200.00 </w:t>
            </w:r>
            <w:r>
              <w:rPr>
                <w:rFonts w:ascii="宋体" w:hAnsi="宋体" w:cs="宋体" w:eastAsia="宋体" w:hint="default"/>
                <w:spacing w:val="-5"/>
                <w:sz w:val="18"/>
                <w:szCs w:val="18"/>
              </w:rPr>
              <w:t>万元，持股比例</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，上海爱可及医疗科技有限公司</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日办妥工商登记手续并领取了统一社会</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52"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信用代码为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91310115MA1K4AXJ1L</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号营业执照。</w:t>
            </w:r>
          </w:p>
        </w:tc>
        <w:tc>
          <w:tcPr>
            <w:tcW w:w="1559"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362" w:hRule="exact"/>
        </w:trPr>
        <w:tc>
          <w:tcPr>
            <w:tcW w:w="1702" w:type="dxa"/>
            <w:vMerge w:val="restart"/>
            <w:tcBorders>
              <w:top w:val="single" w:sz="4" w:space="0" w:color="000000"/>
              <w:left w:val="single" w:sz="4" w:space="0" w:color="000000"/>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公司控股股东上海万豪投资有限公司于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日与</w:t>
            </w:r>
          </w:p>
        </w:tc>
        <w:tc>
          <w:tcPr>
            <w:tcW w:w="1559"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r>
      <w:tr>
        <w:trPr>
          <w:trHeight w:val="306"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中国人寿资产管理有限公司签署了《关于万达信息股份有限</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公司之股份转让协议</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上海万豪投资有限公司将其持有的公</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7"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股无限售流通股份转让给中国人寿资产管理有</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限公司，占公司目前总股本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1,099,449,688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5.0025%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日，转让双方收到中国证券登记结算有限责任公司</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07"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出具</w:t>
            </w:r>
            <w:r>
              <w:rPr>
                <w:rFonts w:ascii="宋体" w:hAnsi="宋体" w:cs="宋体" w:eastAsia="宋体" w:hint="default"/>
                <w:spacing w:val="-4"/>
                <w:sz w:val="18"/>
                <w:szCs w:val="18"/>
              </w:rPr>
              <w:t>的</w:t>
            </w:r>
            <w:r>
              <w:rPr>
                <w:rFonts w:ascii="宋体" w:hAnsi="宋体" w:cs="宋体" w:eastAsia="宋体" w:hint="default"/>
                <w:sz w:val="18"/>
                <w:szCs w:val="18"/>
              </w:rPr>
              <w:t>《证券过户登记确认书</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上海万</w:t>
            </w:r>
            <w:r>
              <w:rPr>
                <w:rFonts w:ascii="宋体" w:hAnsi="宋体" w:cs="宋体" w:eastAsia="宋体" w:hint="default"/>
                <w:spacing w:val="-2"/>
                <w:sz w:val="18"/>
                <w:szCs w:val="18"/>
              </w:rPr>
              <w:t>豪</w:t>
            </w:r>
            <w:r>
              <w:rPr>
                <w:rFonts w:ascii="宋体" w:hAnsi="宋体" w:cs="宋体" w:eastAsia="宋体" w:hint="default"/>
                <w:sz w:val="18"/>
                <w:szCs w:val="18"/>
              </w:rPr>
              <w:t>投资有限公司转让</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7"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予中国人寿资产管理有限公司发行并管理的</w:t>
            </w:r>
            <w:r>
              <w:rPr>
                <w:rFonts w:ascii="Times New Roman" w:hAnsi="Times New Roman" w:cs="Times New Roman" w:eastAsia="Times New Roman" w:hint="default"/>
                <w:sz w:val="18"/>
                <w:szCs w:val="18"/>
              </w:rPr>
              <w:t>“</w:t>
            </w:r>
            <w:r>
              <w:rPr>
                <w:rFonts w:ascii="宋体" w:hAnsi="宋体" w:cs="宋体" w:eastAsia="宋体" w:hint="default"/>
                <w:sz w:val="18"/>
                <w:szCs w:val="18"/>
              </w:rPr>
              <w:t>中国人寿资管－</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农业银行－国寿资产－凤凰系列专项产品（第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股无限售流通股份已于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日完成过户</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07"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登记手续。</w:t>
            </w:r>
            <w:r>
              <w:rPr>
                <w:rFonts w:ascii="宋体" w:hAnsi="宋体" w:cs="宋体" w:eastAsia="宋体" w:hint="default"/>
                <w:spacing w:val="-6"/>
                <w:sz w:val="18"/>
                <w:szCs w:val="18"/>
              </w:rPr>
              <w:t> </w:t>
            </w:r>
            <w:r>
              <w:rPr>
                <w:rFonts w:ascii="宋体" w:hAnsi="宋体" w:cs="宋体" w:eastAsia="宋体" w:hint="default"/>
                <w:sz w:val="18"/>
                <w:szCs w:val="18"/>
              </w:rPr>
              <w:t>本次转让后上海万豪投资有限公司持有本公司股</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7"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200,588,800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股，占公司总股份数的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18.2445%</w:t>
            </w:r>
            <w:r>
              <w:rPr>
                <w:rFonts w:ascii="宋体" w:hAnsi="宋体" w:cs="宋体" w:eastAsia="宋体" w:hint="default"/>
                <w:spacing w:val="-3"/>
                <w:sz w:val="18"/>
                <w:szCs w:val="18"/>
              </w:rPr>
              <w:t>，仍为公司控</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股股东，中国人寿资产管理有限公司发行并管理的</w:t>
            </w:r>
            <w:r>
              <w:rPr>
                <w:rFonts w:ascii="Times New Roman" w:hAnsi="Times New Roman" w:cs="Times New Roman" w:eastAsia="Times New Roman" w:hint="default"/>
                <w:sz w:val="18"/>
                <w:szCs w:val="18"/>
              </w:rPr>
              <w:t>“</w:t>
            </w:r>
            <w:r>
              <w:rPr>
                <w:rFonts w:ascii="宋体" w:hAnsi="宋体" w:cs="宋体" w:eastAsia="宋体" w:hint="default"/>
                <w:sz w:val="18"/>
                <w:szCs w:val="18"/>
              </w:rPr>
              <w:t>中国人寿</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13"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资管－农业银行－国寿资产－凤凰系列专项产品（第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期）</w:t>
            </w:r>
            <w:r>
              <w:rPr>
                <w:rFonts w:ascii="Times New Roman" w:hAnsi="Times New Roman" w:cs="Times New Roman" w:eastAsia="Times New Roman" w:hint="default"/>
                <w:sz w:val="18"/>
                <w:szCs w:val="18"/>
              </w:rPr>
              <w:t>”</w:t>
            </w:r>
          </w:p>
        </w:tc>
        <w:tc>
          <w:tcPr>
            <w:tcW w:w="1559"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r>
      <w:tr>
        <w:trPr>
          <w:trHeight w:val="352" w:hRule="exact"/>
        </w:trPr>
        <w:tc>
          <w:tcPr>
            <w:tcW w:w="1702"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持有本公司股份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55,000,000 </w:t>
            </w:r>
            <w:r>
              <w:rPr>
                <w:rFonts w:ascii="宋体" w:hAnsi="宋体" w:cs="宋体" w:eastAsia="宋体" w:hint="default"/>
                <w:sz w:val="18"/>
                <w:szCs w:val="18"/>
              </w:rPr>
              <w:t>股，占公司总股份数的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5.0025%</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1488" w:type="dxa"/>
            <w:vMerge/>
            <w:tcBorders>
              <w:left w:val="single" w:sz="4" w:space="0" w:color="000000"/>
              <w:bottom w:val="single" w:sz="4" w:space="0" w:color="000000"/>
              <w:right w:val="single" w:sz="4" w:space="0" w:color="000000"/>
            </w:tcBorders>
          </w:tcPr>
          <w:p>
            <w:pPr/>
          </w:p>
        </w:tc>
      </w:tr>
      <w:tr>
        <w:trPr>
          <w:trHeight w:val="357" w:hRule="exact"/>
        </w:trPr>
        <w:tc>
          <w:tcPr>
            <w:tcW w:w="1702" w:type="dxa"/>
            <w:vMerge w:val="restart"/>
            <w:tcBorders>
              <w:top w:val="single" w:sz="4" w:space="0" w:color="000000"/>
              <w:left w:val="single" w:sz="4" w:space="0" w:color="000000"/>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联强国际贸易（中国）有限公司成都分公司就其诉公司子公</w:t>
            </w:r>
          </w:p>
        </w:tc>
        <w:tc>
          <w:tcPr>
            <w:tcW w:w="1559"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r>
      <w:tr>
        <w:trPr>
          <w:trHeight w:val="311"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司四川浩特通信有限公司买卖合同纠纷案，向成都市武侯区</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人民法院申请对四川浩特通信有限公司上海浦东发展银行成</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18" w:hRule="exact"/>
        </w:trPr>
        <w:tc>
          <w:tcPr>
            <w:tcW w:w="1702"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都科华支行（账号：</w:t>
            </w:r>
            <w:r>
              <w:rPr>
                <w:rFonts w:ascii="Times New Roman" w:hAnsi="Times New Roman" w:cs="Times New Roman" w:eastAsia="Times New Roman" w:hint="default"/>
                <w:sz w:val="18"/>
                <w:szCs w:val="18"/>
              </w:rPr>
              <w:t>73030154800000511</w:t>
            </w:r>
            <w:r>
              <w:rPr>
                <w:rFonts w:ascii="宋体" w:hAnsi="宋体" w:cs="宋体" w:eastAsia="宋体" w:hint="default"/>
                <w:sz w:val="18"/>
                <w:szCs w:val="18"/>
              </w:rPr>
              <w:t>）存款人民币</w:t>
            </w:r>
          </w:p>
        </w:tc>
        <w:tc>
          <w:tcPr>
            <w:tcW w:w="15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352" w:hRule="exact"/>
        </w:trPr>
        <w:tc>
          <w:tcPr>
            <w:tcW w:w="1702"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元实施财产保全，现该案尚在审理中。</w:t>
            </w:r>
          </w:p>
        </w:tc>
        <w:tc>
          <w:tcPr>
            <w:tcW w:w="1559"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group style="position:absolute;margin-left:383.019989pt;margin-top:-204.746338pt;width:77.5pt;height:109.2pt;mso-position-horizontal-relative:page;mso-position-vertical-relative:paragraph;z-index:-1241776" coordorigin="7660,-4095" coordsize="1550,2184">
            <v:shape style="position:absolute;left:7660;top:-4095;width:1550;height:2184" coordorigin="7660,-4095" coordsize="1550,2184" path="m7660,-1911l9210,-1911,9210,-4095,7660,-4095,7660,-1911xe" filled="true" fillcolor="#ffffff" stroked="false">
              <v:path arrowok="t"/>
              <v:fill type="solid"/>
            </v:shape>
            <w10:wrap type="none"/>
          </v:group>
        </w:pict>
      </w:r>
      <w:bookmarkStart w:name="2、利润分配情况" w:id="480"/>
      <w:bookmarkEnd w:id="48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27,422,156.83</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27,422,156.83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销售退回" w:id="481"/>
      <w:bookmarkEnd w:id="48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资产负债表日后事项说明" w:id="482"/>
      <w:bookmarkEnd w:id="48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六、其他重要事项" w:id="483"/>
      <w:bookmarkEnd w:id="483"/>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84"/>
      <w:bookmarkEnd w:id="48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85"/>
      <w:bookmarkEnd w:id="48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86"/>
      <w:bookmarkEnd w:id="48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87"/>
      <w:bookmarkEnd w:id="48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资产置换" w:id="488"/>
      <w:bookmarkEnd w:id="48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89"/>
      <w:bookmarkEnd w:id="48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其他资产置换" w:id="490"/>
      <w:bookmarkEnd w:id="49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年金计划" w:id="491"/>
      <w:bookmarkEnd w:id="49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终止经营" w:id="492"/>
      <w:bookmarkEnd w:id="49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归属于母公司所</w:t>
            </w:r>
          </w:p>
        </w:tc>
      </w:tr>
    </w:tbl>
    <w:p>
      <w:pPr>
        <w:spacing w:after="0" w:line="240" w:lineRule="auto"/>
        <w:jc w:val="left"/>
        <w:rPr>
          <w:rFonts w:ascii="宋体" w:hAnsi="宋体" w:cs="宋体" w:eastAsia="宋体" w:hint="default"/>
          <w:sz w:val="18"/>
          <w:szCs w:val="18"/>
        </w:rPr>
        <w:sectPr>
          <w:footerReference w:type="default" r:id="rId19"/>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97" w:right="47" w:hanging="450"/>
              <w:jc w:val="left"/>
              <w:rPr>
                <w:rFonts w:ascii="宋体" w:hAnsi="宋体" w:cs="宋体" w:eastAsia="宋体" w:hint="default"/>
                <w:sz w:val="18"/>
                <w:szCs w:val="18"/>
              </w:rPr>
            </w:pPr>
            <w:r>
              <w:rPr>
                <w:rFonts w:ascii="宋体" w:hAnsi="宋体" w:cs="宋体" w:eastAsia="宋体" w:hint="default"/>
                <w:sz w:val="18"/>
                <w:szCs w:val="18"/>
              </w:rPr>
              <w:t>有者的终止经营 利润</w:t>
            </w:r>
          </w:p>
        </w:tc>
      </w:tr>
    </w:tbl>
    <w:p>
      <w:pPr>
        <w:pStyle w:val="BodyText"/>
        <w:spacing w:line="357" w:lineRule="auto" w:before="51"/>
        <w:ind w:right="1003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6、分部信息" w:id="493"/>
      <w:bookmarkEnd w:id="49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494"/>
      <w:bookmarkEnd w:id="49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报告分部的财务信息" w:id="495"/>
      <w:bookmarkEnd w:id="49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496"/>
      <w:bookmarkEnd w:id="49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说明" w:id="497"/>
      <w:bookmarkEnd w:id="49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其他对投资者决策有影响的重要交易和事项" w:id="498"/>
      <w:bookmarkEnd w:id="49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日公司与嘉实投资、宁波联创以及嘉达信息签订重大资产重组终止协议，根据协议本公司以现金方式 收购嘉达信息持有的万达志翔医疗科技（北京）有限责任公司</w:t>
      </w:r>
      <w:r>
        <w:rPr>
          <w:rFonts w:ascii="Times New Roman" w:hAnsi="Times New Roman" w:cs="Times New Roman" w:eastAsia="Times New Roman" w:hint="default"/>
        </w:rPr>
        <w:t>70%</w:t>
      </w:r>
      <w:r>
        <w:rPr/>
        <w:t>股权和澳门万讯行综合设备有限公司</w:t>
      </w:r>
      <w:r>
        <w:rPr>
          <w:rFonts w:ascii="Times New Roman" w:hAnsi="Times New Roman" w:cs="Times New Roman" w:eastAsia="Times New Roman" w:hint="default"/>
        </w:rPr>
        <w:t>30%</w:t>
      </w:r>
      <w:r>
        <w:rPr/>
        <w:t>股权。 截止报告日万达志翔医疗科技（北京）有限责任公司和澳门万讯行综合设备有限公司股权变更手续尚在办理中。</w:t>
      </w:r>
    </w:p>
    <w:p>
      <w:pPr>
        <w:pStyle w:val="BodyText"/>
        <w:spacing w:line="300" w:lineRule="auto" w:before="31"/>
        <w:ind w:right="1130" w:firstLine="360"/>
        <w:jc w:val="both"/>
      </w:pPr>
      <w:r>
        <w:rPr>
          <w:rFonts w:ascii="Times New Roman" w:hAnsi="Times New Roman" w:cs="Times New Roman" w:eastAsia="Times New Roman" w:hint="default"/>
          <w:spacing w:val="-1"/>
        </w:rPr>
        <w:t>2018</w:t>
      </w:r>
      <w:r>
        <w:rPr>
          <w:spacing w:val="-1"/>
        </w:rPr>
        <w:t>年公司投资设立上海智瑙智能科技有限公司，上海智瑙智能科技有限公司注册资本人民币</w:t>
      </w:r>
      <w:r>
        <w:rPr>
          <w:rFonts w:ascii="Times New Roman" w:hAnsi="Times New Roman" w:cs="Times New Roman" w:eastAsia="Times New Roman" w:hint="default"/>
          <w:spacing w:val="-1"/>
        </w:rPr>
        <w:t>100.00</w:t>
      </w:r>
      <w:r>
        <w:rPr>
          <w:spacing w:val="-1"/>
        </w:rPr>
        <w:t>万元，本公司出资</w:t>
      </w:r>
      <w:r>
        <w:rPr/>
        <w:t> </w:t>
      </w:r>
      <w:r>
        <w:rPr>
          <w:spacing w:val="-1"/>
        </w:rPr>
        <w:t>人民币</w:t>
      </w:r>
      <w:r>
        <w:rPr>
          <w:rFonts w:ascii="Times New Roman" w:hAnsi="Times New Roman" w:cs="Times New Roman" w:eastAsia="Times New Roman" w:hint="default"/>
          <w:spacing w:val="-1"/>
        </w:rPr>
        <w:t>34.00</w:t>
      </w:r>
      <w:r>
        <w:rPr>
          <w:spacing w:val="-1"/>
        </w:rPr>
        <w:t>万元，持股比例</w:t>
      </w:r>
      <w:r>
        <w:rPr>
          <w:rFonts w:ascii="Times New Roman" w:hAnsi="Times New Roman" w:cs="Times New Roman" w:eastAsia="Times New Roman" w:hint="default"/>
          <w:spacing w:val="-1"/>
        </w:rPr>
        <w:t>34%</w:t>
      </w:r>
      <w:r>
        <w:rPr>
          <w:spacing w:val="-1"/>
        </w:rPr>
        <w:t>，上海智瑙智能科技有限公司已于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日办妥工商登记手续并领取了统一社会信用</w:t>
      </w:r>
      <w:r>
        <w:rPr>
          <w:spacing w:val="-39"/>
        </w:rPr>
        <w:t> </w:t>
      </w:r>
      <w:r>
        <w:rPr/>
        <w:t>代码为</w:t>
      </w:r>
      <w:r>
        <w:rPr>
          <w:rFonts w:ascii="Times New Roman" w:hAnsi="Times New Roman" w:cs="Times New Roman" w:eastAsia="Times New Roman" w:hint="default"/>
        </w:rPr>
        <w:t>91310104MA1FRBTC22</w:t>
      </w:r>
      <w:r>
        <w:rPr/>
        <w:t>号营业执照，截止报告日尚未实际出资。</w:t>
      </w:r>
    </w:p>
    <w:p>
      <w:pPr>
        <w:pStyle w:val="BodyText"/>
        <w:spacing w:line="300" w:lineRule="auto" w:before="13"/>
        <w:ind w:right="1122" w:firstLine="360"/>
        <w:jc w:val="left"/>
      </w:pPr>
      <w:r>
        <w:rPr>
          <w:rFonts w:ascii="Times New Roman" w:hAnsi="Times New Roman" w:cs="Times New Roman" w:eastAsia="Times New Roman" w:hint="default"/>
        </w:rPr>
        <w:t>2017</w:t>
      </w:r>
      <w:r>
        <w:rPr/>
        <w:t>年公司投资设立上海国奇数据科技有限公司，上海国奇数据科技有限公司注册资本人民币</w:t>
      </w:r>
      <w:r>
        <w:rPr>
          <w:rFonts w:ascii="Times New Roman" w:hAnsi="Times New Roman" w:cs="Times New Roman" w:eastAsia="Times New Roman" w:hint="default"/>
        </w:rPr>
        <w:t>3,000.00</w:t>
      </w:r>
      <w:r>
        <w:rPr/>
        <w:t>万元，本公司认 缴出资人民币</w:t>
      </w:r>
      <w:r>
        <w:rPr>
          <w:rFonts w:ascii="Times New Roman" w:hAnsi="Times New Roman" w:cs="Times New Roman" w:eastAsia="Times New Roman" w:hint="default"/>
        </w:rPr>
        <w:t>1,200.00</w:t>
      </w:r>
      <w:r>
        <w:rPr/>
        <w:t>万元，持股比例</w:t>
      </w:r>
      <w:r>
        <w:rPr>
          <w:rFonts w:ascii="Times New Roman" w:hAnsi="Times New Roman" w:cs="Times New Roman" w:eastAsia="Times New Roman" w:hint="default"/>
        </w:rPr>
        <w:t>40.00%</w:t>
      </w:r>
      <w:r>
        <w:rPr/>
        <w:t>，上海国奇数据科技有限公司已于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日办妥工商登记手续并领取了 统一社会信用代码为</w:t>
      </w:r>
      <w:r>
        <w:rPr>
          <w:rFonts w:ascii="Times New Roman" w:hAnsi="Times New Roman" w:cs="Times New Roman" w:eastAsia="Times New Roman" w:hint="default"/>
        </w:rPr>
        <w:t>91310104MA1FR8F15U</w:t>
      </w:r>
      <w:r>
        <w:rPr/>
        <w:t>号营业执照，截止报告日尚未实际出资。</w:t>
      </w:r>
    </w:p>
    <w:p>
      <w:pPr>
        <w:pStyle w:val="BodyText"/>
        <w:spacing w:line="300" w:lineRule="auto" w:before="13"/>
        <w:ind w:right="1131" w:firstLine="360"/>
        <w:jc w:val="both"/>
      </w:pPr>
      <w:r>
        <w:rPr>
          <w:rFonts w:ascii="Times New Roman" w:hAnsi="Times New Roman" w:cs="Times New Roman" w:eastAsia="Times New Roman" w:hint="default"/>
          <w:spacing w:val="-2"/>
        </w:rPr>
        <w:t>2018</w:t>
      </w:r>
      <w:r>
        <w:rPr>
          <w:spacing w:val="-2"/>
        </w:rPr>
        <w:t>年公司投资设立上海大亿精诚智能网络科技有限责任公司，上海大亿精诚智能网络科技有限责任公司注册资本人民</w:t>
      </w:r>
      <w:r>
        <w:rPr/>
        <w:t> </w:t>
      </w:r>
      <w:r>
        <w:rPr>
          <w:spacing w:val="-1"/>
        </w:rPr>
        <w:t>币</w:t>
      </w:r>
      <w:r>
        <w:rPr>
          <w:rFonts w:ascii="Times New Roman" w:hAnsi="Times New Roman" w:cs="Times New Roman" w:eastAsia="Times New Roman" w:hint="default"/>
          <w:spacing w:val="-1"/>
        </w:rPr>
        <w:t>1,000.00</w:t>
      </w:r>
      <w:r>
        <w:rPr>
          <w:spacing w:val="-1"/>
        </w:rPr>
        <w:t>万元，本公司出资人民币</w:t>
      </w:r>
      <w:r>
        <w:rPr>
          <w:rFonts w:ascii="Times New Roman" w:hAnsi="Times New Roman" w:cs="Times New Roman" w:eastAsia="Times New Roman" w:hint="default"/>
          <w:spacing w:val="-1"/>
        </w:rPr>
        <w:t>750.00</w:t>
      </w:r>
      <w:r>
        <w:rPr>
          <w:spacing w:val="-1"/>
        </w:rPr>
        <w:t>万元，持股比例</w:t>
      </w:r>
      <w:r>
        <w:rPr>
          <w:rFonts w:ascii="Times New Roman" w:hAnsi="Times New Roman" w:cs="Times New Roman" w:eastAsia="Times New Roman" w:hint="default"/>
          <w:spacing w:val="-1"/>
        </w:rPr>
        <w:t>75%</w:t>
      </w:r>
      <w:r>
        <w:rPr>
          <w:spacing w:val="-1"/>
        </w:rPr>
        <w:t>，上海大亿精诚智能网络科技有限责任公司已于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8"/>
        </w:rPr>
        <w:t> </w:t>
      </w:r>
      <w:r>
        <w:rPr/>
        <w:t>日办妥工商登记手续并领取了统一社会信用代码为</w:t>
      </w:r>
      <w:r>
        <w:rPr>
          <w:rFonts w:ascii="Times New Roman" w:hAnsi="Times New Roman" w:cs="Times New Roman" w:eastAsia="Times New Roman" w:hint="default"/>
        </w:rPr>
        <w:t>91310104MA1FREE07N</w:t>
      </w:r>
      <w:r>
        <w:rPr/>
        <w:t>号营业执照，截止报告日尚未实际出资。</w:t>
      </w:r>
    </w:p>
    <w:p>
      <w:pPr>
        <w:pStyle w:val="BodyText"/>
        <w:spacing w:line="300" w:lineRule="auto" w:before="13"/>
        <w:ind w:right="1131" w:firstLine="360"/>
        <w:jc w:val="both"/>
      </w:pPr>
      <w:r>
        <w:rPr>
          <w:rFonts w:ascii="Times New Roman" w:hAnsi="Times New Roman" w:cs="Times New Roman" w:eastAsia="Times New Roman" w:hint="default"/>
          <w:spacing w:val="-1"/>
        </w:rPr>
        <w:t>2018</w:t>
      </w:r>
      <w:r>
        <w:rPr>
          <w:spacing w:val="-1"/>
        </w:rPr>
        <w:t>年公司投资设立上海慈铭智能网络科技有限责任公司，上海慈铭智能网络科技有限责任公司注册资本人民币</w:t>
      </w:r>
      <w:r>
        <w:rPr>
          <w:rFonts w:ascii="Times New Roman" w:hAnsi="Times New Roman" w:cs="Times New Roman" w:eastAsia="Times New Roman" w:hint="default"/>
          <w:spacing w:val="-1"/>
        </w:rPr>
        <w:t>700.00</w:t>
      </w:r>
      <w:r>
        <w:rPr>
          <w:rFonts w:ascii="Times New Roman" w:hAnsi="Times New Roman" w:cs="Times New Roman" w:eastAsia="Times New Roman" w:hint="default"/>
        </w:rPr>
        <w:t> </w:t>
      </w:r>
      <w:r>
        <w:rPr>
          <w:spacing w:val="-1"/>
        </w:rPr>
        <w:t>万元，本公司出资人民币</w:t>
      </w:r>
      <w:r>
        <w:rPr>
          <w:rFonts w:ascii="Times New Roman" w:hAnsi="Times New Roman" w:cs="Times New Roman" w:eastAsia="Times New Roman" w:hint="default"/>
          <w:spacing w:val="-1"/>
        </w:rPr>
        <w:t>357.00</w:t>
      </w:r>
      <w:r>
        <w:rPr>
          <w:spacing w:val="-1"/>
        </w:rPr>
        <w:t>万元，持股比例</w:t>
      </w:r>
      <w:r>
        <w:rPr>
          <w:rFonts w:ascii="Times New Roman" w:hAnsi="Times New Roman" w:cs="Times New Roman" w:eastAsia="Times New Roman" w:hint="default"/>
          <w:spacing w:val="-1"/>
        </w:rPr>
        <w:t>51%</w:t>
      </w:r>
      <w:r>
        <w:rPr>
          <w:spacing w:val="-1"/>
        </w:rPr>
        <w:t>，上海慈铭智能网络科技有限责任公司已于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14</w:t>
      </w:r>
      <w:r>
        <w:rPr>
          <w:spacing w:val="-1"/>
        </w:rPr>
        <w:t>日办妥工商登</w:t>
      </w:r>
      <w:r>
        <w:rPr>
          <w:spacing w:val="-40"/>
        </w:rPr>
        <w:t> </w:t>
      </w:r>
      <w:r>
        <w:rPr/>
        <w:t>记手续并领取了统一社会信用代码为</w:t>
      </w:r>
      <w:r>
        <w:rPr>
          <w:rFonts w:ascii="Times New Roman" w:hAnsi="Times New Roman" w:cs="Times New Roman" w:eastAsia="Times New Roman" w:hint="default"/>
        </w:rPr>
        <w:t>91310104MA1FREXT5G</w:t>
      </w:r>
      <w:r>
        <w:rPr/>
        <w:t>号营业执照，截止报告日尚未实际出资。</w:t>
      </w:r>
    </w:p>
    <w:p>
      <w:pPr>
        <w:pStyle w:val="BodyText"/>
        <w:spacing w:line="300" w:lineRule="auto" w:before="13"/>
        <w:ind w:right="1131" w:firstLine="360"/>
        <w:jc w:val="both"/>
      </w:pPr>
      <w:r>
        <w:rPr>
          <w:rFonts w:ascii="Times New Roman" w:hAnsi="Times New Roman" w:cs="Times New Roman" w:eastAsia="Times New Roman" w:hint="default"/>
          <w:spacing w:val="-1"/>
        </w:rPr>
        <w:t>2018</w:t>
      </w:r>
      <w:hyperlink r:id="rId21">
        <w:r>
          <w:rPr>
            <w:spacing w:val="-1"/>
          </w:rPr>
          <w:t>年公司投资设立上海振民智能网络科技有限责任公司</w:t>
        </w:r>
      </w:hyperlink>
      <w:r>
        <w:rPr>
          <w:spacing w:val="-1"/>
        </w:rPr>
        <w:t>，</w:t>
      </w:r>
      <w:hyperlink r:id="rId21">
        <w:r>
          <w:rPr>
            <w:spacing w:val="-1"/>
          </w:rPr>
          <w:t>上海振民智能网络科技有限责任公司</w:t>
        </w:r>
      </w:hyperlink>
      <w:r>
        <w:rPr>
          <w:spacing w:val="-1"/>
        </w:rPr>
        <w:t>注册资本人民币</w:t>
      </w:r>
      <w:r>
        <w:rPr>
          <w:rFonts w:ascii="Times New Roman" w:hAnsi="Times New Roman" w:cs="Times New Roman" w:eastAsia="Times New Roman" w:hint="default"/>
          <w:spacing w:val="-1"/>
        </w:rPr>
        <w:t>700.00</w:t>
      </w:r>
      <w:r>
        <w:rPr>
          <w:rFonts w:ascii="Times New Roman" w:hAnsi="Times New Roman" w:cs="Times New Roman" w:eastAsia="Times New Roman" w:hint="default"/>
        </w:rPr>
        <w:t> </w:t>
      </w:r>
      <w:r>
        <w:rPr>
          <w:spacing w:val="-1"/>
        </w:rPr>
        <w:t>万元，本公司出资人民币</w:t>
      </w:r>
      <w:r>
        <w:rPr>
          <w:rFonts w:ascii="Times New Roman" w:hAnsi="Times New Roman" w:cs="Times New Roman" w:eastAsia="Times New Roman" w:hint="default"/>
          <w:spacing w:val="-1"/>
        </w:rPr>
        <w:t>357.00</w:t>
      </w:r>
      <w:r>
        <w:rPr>
          <w:spacing w:val="-1"/>
        </w:rPr>
        <w:t>万元，持股比例</w:t>
      </w:r>
      <w:r>
        <w:rPr>
          <w:rFonts w:ascii="Times New Roman" w:hAnsi="Times New Roman" w:cs="Times New Roman" w:eastAsia="Times New Roman" w:hint="default"/>
          <w:spacing w:val="-1"/>
        </w:rPr>
        <w:t>80%</w:t>
      </w:r>
      <w:r>
        <w:rPr>
          <w:spacing w:val="-1"/>
        </w:rPr>
        <w:t>，</w:t>
      </w:r>
      <w:hyperlink r:id="rId21">
        <w:r>
          <w:rPr>
            <w:spacing w:val="-1"/>
          </w:rPr>
          <w:t>上海振民智能网络科技有限责任公司</w:t>
        </w:r>
      </w:hyperlink>
      <w:r>
        <w:rPr>
          <w:spacing w:val="-1"/>
        </w:rPr>
        <w:t>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14</w:t>
      </w:r>
      <w:r>
        <w:rPr>
          <w:spacing w:val="-1"/>
        </w:rPr>
        <w:t>日办妥工商登</w:t>
      </w:r>
      <w:r>
        <w:rPr>
          <w:spacing w:val="-40"/>
        </w:rPr>
        <w:t> </w:t>
      </w:r>
      <w:r>
        <w:rPr/>
        <w:t>记手续并领取了统一社会信用代码为</w:t>
      </w:r>
      <w:r>
        <w:rPr>
          <w:rFonts w:ascii="Times New Roman" w:hAnsi="Times New Roman" w:cs="Times New Roman" w:eastAsia="Times New Roman" w:hint="default"/>
        </w:rPr>
        <w:t>91310104MA1FREXLXL</w:t>
      </w:r>
      <w:r>
        <w:rPr/>
        <w:t>号营业执照，截止报告日尚未实际出资。</w:t>
      </w:r>
    </w:p>
    <w:p>
      <w:pPr>
        <w:spacing w:after="0" w:line="300" w:lineRule="auto"/>
        <w:jc w:val="both"/>
        <w:sectPr>
          <w:footerReference w:type="default" r:id="rId20"/>
          <w:pgSz w:w="11910" w:h="16840"/>
          <w:pgMar w:footer="979" w:header="747" w:top="1060" w:bottom="1160" w:left="980" w:right="0"/>
          <w:pgNumType w:start="201"/>
        </w:sectPr>
      </w:pPr>
    </w:p>
    <w:p>
      <w:pPr>
        <w:spacing w:line="240" w:lineRule="auto" w:before="12"/>
        <w:rPr>
          <w:rFonts w:ascii="宋体" w:hAnsi="宋体" w:cs="宋体" w:eastAsia="宋体" w:hint="default"/>
          <w:sz w:val="25"/>
          <w:szCs w:val="25"/>
        </w:rPr>
      </w:pPr>
    </w:p>
    <w:p>
      <w:pPr>
        <w:pStyle w:val="BodyText"/>
        <w:spacing w:line="300" w:lineRule="auto" w:before="44"/>
        <w:ind w:right="1132" w:firstLine="360"/>
        <w:jc w:val="both"/>
      </w:pPr>
      <w:r>
        <w:rPr>
          <w:rFonts w:ascii="Times New Roman" w:hAnsi="Times New Roman" w:cs="Times New Roman" w:eastAsia="Times New Roman" w:hint="default"/>
        </w:rPr>
        <w:t>2018</w:t>
      </w:r>
      <w:hyperlink r:id="rId22">
        <w:r>
          <w:rPr/>
          <w:t>年公司投资设立宁夏智慧医疗科技股份有限公司</w:t>
        </w:r>
      </w:hyperlink>
      <w:r>
        <w:rPr/>
        <w:t>，</w:t>
      </w:r>
      <w:hyperlink r:id="rId22">
        <w:r>
          <w:rPr/>
          <w:t>宁夏智慧医疗科技股份有限公司</w:t>
        </w:r>
      </w:hyperlink>
      <w:r>
        <w:rPr/>
        <w:t>注册资本人民币</w:t>
      </w:r>
      <w:r>
        <w:rPr>
          <w:rFonts w:ascii="Times New Roman" w:hAnsi="Times New Roman" w:cs="Times New Roman" w:eastAsia="Times New Roman" w:hint="default"/>
        </w:rPr>
        <w:t>1,859.55</w:t>
      </w:r>
      <w:r>
        <w:rPr/>
        <w:t>万元， </w:t>
      </w:r>
      <w:r>
        <w:rPr>
          <w:spacing w:val="-1"/>
        </w:rPr>
        <w:t>本公司出资人民币</w:t>
      </w:r>
      <w:r>
        <w:rPr>
          <w:rFonts w:ascii="Times New Roman" w:hAnsi="Times New Roman" w:cs="Times New Roman" w:eastAsia="Times New Roman" w:hint="default"/>
          <w:spacing w:val="-1"/>
        </w:rPr>
        <w:t>632.25</w:t>
      </w:r>
      <w:r>
        <w:rPr>
          <w:spacing w:val="-1"/>
        </w:rPr>
        <w:t>万元，持股比例</w:t>
      </w:r>
      <w:r>
        <w:rPr>
          <w:rFonts w:ascii="Times New Roman" w:hAnsi="Times New Roman" w:cs="Times New Roman" w:eastAsia="Times New Roman" w:hint="default"/>
          <w:spacing w:val="-1"/>
        </w:rPr>
        <w:t>34%</w:t>
      </w:r>
      <w:r>
        <w:rPr>
          <w:spacing w:val="-1"/>
        </w:rPr>
        <w:t>，</w:t>
      </w:r>
      <w:hyperlink r:id="rId22">
        <w:r>
          <w:rPr>
            <w:spacing w:val="-1"/>
          </w:rPr>
          <w:t>宁夏智慧医疗科技股份有限公司</w:t>
        </w:r>
      </w:hyperlink>
      <w:r>
        <w:rPr>
          <w:spacing w:val="-1"/>
        </w:rPr>
        <w:t>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日办妥工商登记手续并领</w:t>
      </w:r>
      <w:r>
        <w:rPr>
          <w:spacing w:val="-38"/>
        </w:rPr>
        <w:t> </w:t>
      </w:r>
      <w:r>
        <w:rPr/>
        <w:t>取了统一社会信用代码为</w:t>
      </w:r>
      <w:r>
        <w:rPr>
          <w:rFonts w:ascii="Times New Roman" w:hAnsi="Times New Roman" w:cs="Times New Roman" w:eastAsia="Times New Roman" w:hint="default"/>
        </w:rPr>
        <w:t>91640500MA770R819M</w:t>
      </w:r>
      <w:r>
        <w:rPr/>
        <w:t>号营业执照，截止报告日尚未实际出资。</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8、其他" w:id="499"/>
      <w:bookmarkEnd w:id="499"/>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七、母公司财务报表主要项目注释" w:id="500"/>
      <w:bookmarkEnd w:id="500"/>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501"/>
      <w:bookmarkEnd w:id="501"/>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1,225,312,519.11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863,700,995.88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1,225,312,519.11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863,700,995.88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502"/>
      <w:bookmarkEnd w:id="50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503"/>
      <w:bookmarkEnd w:id="503"/>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应收账款" w:id="504"/>
      <w:bookmarkEnd w:id="50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1,312,78</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9,335.87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87,476,8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16.76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1,225,312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,519.11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921,329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,941.26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57,628,94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863,700,99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5.88</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1,312,78</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9,335.87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87,476,8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16.76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6.66%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1,225,312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,519.11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921,329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,941.26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57,628,94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863,700,99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5.88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537,257,336.53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338,448,508.33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10,153,455.25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875,705,844.86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10,153,455.25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288,782,572.51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14,439,128.63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18,097,115.50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1,809,711.55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93,062,977.24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21,774,521.33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24,251,392.45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4,850,278.49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25,174,683.90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12,587,341.95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43,636,900.89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43,636,900.89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1,275,648,510.11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87,476,816.76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7152"/>
        <w:jc w:val="left"/>
      </w:pPr>
      <w:r>
        <w:rPr/>
        <w:t>确定该组合依据的说明： 相同账龄的应收账款具有类似的信用风险特征</w:t>
      </w:r>
    </w:p>
    <w:p>
      <w:pPr>
        <w:pStyle w:val="BodyText"/>
        <w:spacing w:line="224" w:lineRule="exact"/>
        <w:ind w:left="1430" w:right="0"/>
        <w:jc w:val="left"/>
      </w:pPr>
      <w:r>
        <w:rPr/>
        <w:t>不计提坏账准备的应收账款：</w:t>
      </w:r>
    </w:p>
    <w:p>
      <w:pPr>
        <w:spacing w:line="240" w:lineRule="auto" w:before="0"/>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3600"/>
        <w:gridCol w:w="1702"/>
        <w:gridCol w:w="1323"/>
        <w:gridCol w:w="1276"/>
      </w:tblGrid>
      <w:tr>
        <w:trPr>
          <w:trHeight w:val="355" w:hRule="exact"/>
        </w:trPr>
        <w:tc>
          <w:tcPr>
            <w:tcW w:w="360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30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3600" w:type="dxa"/>
            <w:vMerge/>
            <w:tcBorders>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9,626,225.76</w:t>
            </w:r>
          </w:p>
        </w:tc>
        <w:tc>
          <w:tcPr>
            <w:tcW w:w="1323"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20,396,940.00</w:t>
            </w:r>
          </w:p>
        </w:tc>
        <w:tc>
          <w:tcPr>
            <w:tcW w:w="1323"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四川万达智城云数据有限公司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2,900,000.00</w:t>
            </w:r>
          </w:p>
        </w:tc>
        <w:tc>
          <w:tcPr>
            <w:tcW w:w="1323"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四川万达智能安防数据有限公司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1,420,332.00</w:t>
            </w:r>
          </w:p>
        </w:tc>
        <w:tc>
          <w:tcPr>
            <w:tcW w:w="1323"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897,328.00</w:t>
            </w:r>
          </w:p>
        </w:tc>
        <w:tc>
          <w:tcPr>
            <w:tcW w:w="1323"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nil" w:sz="6" w:space="0" w:color="auto"/>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3600"/>
        <w:gridCol w:w="1702"/>
        <w:gridCol w:w="1323"/>
        <w:gridCol w:w="1276"/>
      </w:tblGrid>
      <w:tr>
        <w:trPr>
          <w:trHeight w:val="355" w:hRule="exact"/>
        </w:trPr>
        <w:tc>
          <w:tcPr>
            <w:tcW w:w="36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万达云医疗科技健康产业（上海）有限公司</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1,900,000.00</w:t>
            </w:r>
          </w:p>
        </w:tc>
        <w:tc>
          <w:tcPr>
            <w:tcW w:w="1323"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nil" w:sz="6" w:space="0" w:color="auto"/>
            </w:tcBorders>
          </w:tcPr>
          <w:p>
            <w:pPr/>
          </w:p>
        </w:tc>
      </w:tr>
      <w:tr>
        <w:trPr>
          <w:trHeight w:val="353" w:hRule="exact"/>
        </w:trPr>
        <w:tc>
          <w:tcPr>
            <w:tcW w:w="3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37,140,825.76</w:t>
            </w:r>
          </w:p>
        </w:tc>
        <w:tc>
          <w:tcPr>
            <w:tcW w:w="1323" w:type="dxa"/>
            <w:tcBorders>
              <w:top w:val="single" w:sz="12" w:space="0" w:color="000000"/>
              <w:left w:val="single" w:sz="6" w:space="0" w:color="000000"/>
              <w:bottom w:val="single" w:sz="12" w:space="0" w:color="000000"/>
              <w:right w:val="single" w:sz="6" w:space="0" w:color="000000"/>
            </w:tcBorders>
          </w:tcPr>
          <w:p>
            <w:pPr/>
          </w:p>
        </w:tc>
        <w:tc>
          <w:tcPr>
            <w:tcW w:w="1276"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pStyle w:val="BodyText"/>
        <w:spacing w:line="240" w:lineRule="auto" w:before="51"/>
        <w:ind w:right="-14"/>
        <w:jc w:val="left"/>
      </w:pPr>
      <w:r>
        <w:rPr/>
        <w:t>组合中，采用余额百分比法计提坏账准备的应收账款：</w:t>
      </w:r>
    </w:p>
    <w:p>
      <w:pPr>
        <w:pStyle w:val="BodyText"/>
        <w:spacing w:line="348" w:lineRule="auto" w:before="116"/>
        <w:ind w:right="2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pStyle w:val="BodyText"/>
        <w:spacing w:line="240" w:lineRule="auto" w:before="36"/>
        <w:ind w:right="-14"/>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4"/>
        <w:jc w:val="left"/>
      </w:pPr>
      <w:r>
        <w:rPr/>
        <w:t>本期计提坏账准备金额</w:t>
      </w:r>
      <w:r>
        <w:rPr>
          <w:spacing w:val="-47"/>
        </w:rPr>
        <w:t> </w:t>
      </w:r>
      <w:r>
        <w:rPr>
          <w:rFonts w:ascii="Times New Roman" w:hAnsi="Times New Roman" w:cs="Times New Roman" w:eastAsia="Times New Roman" w:hint="default"/>
        </w:rPr>
        <w:t>29,847,871.38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11"/>
        <w:ind w:right="-20"/>
        <w:jc w:val="left"/>
      </w:pPr>
      <w:r>
        <w:rPr/>
        <w:t>无</w:t>
      </w:r>
    </w:p>
    <w:p>
      <w:pPr>
        <w:pStyle w:val="Heading3"/>
        <w:spacing w:line="240" w:lineRule="auto" w:before="26"/>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3475" w:space="5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right="9132"/>
        <w:jc w:val="left"/>
      </w:pPr>
      <w:r>
        <w:rPr/>
        <w:t>应收账款核销说明： 无</w:t>
      </w:r>
    </w:p>
    <w:p>
      <w:pPr>
        <w:pStyle w:val="BodyText"/>
        <w:spacing w:line="240" w:lineRule="auto" w:before="29"/>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612"/>
        <w:gridCol w:w="1784"/>
        <w:gridCol w:w="2403"/>
        <w:gridCol w:w="1700"/>
      </w:tblGrid>
      <w:tr>
        <w:trPr>
          <w:trHeight w:val="356" w:hRule="exact"/>
        </w:trPr>
        <w:tc>
          <w:tcPr>
            <w:tcW w:w="361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88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3612" w:type="dxa"/>
            <w:vMerge/>
            <w:tcBorders>
              <w:left w:val="single" w:sz="6" w:space="0" w:color="000000"/>
              <w:bottom w:val="single" w:sz="12" w:space="0" w:color="000000"/>
              <w:right w:val="single" w:sz="6" w:space="0" w:color="000000"/>
            </w:tcBorders>
          </w:tcPr>
          <w:p>
            <w:pPr/>
          </w:p>
        </w:tc>
        <w:tc>
          <w:tcPr>
            <w:tcW w:w="17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7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上海申康医院发展中心</w:t>
            </w:r>
          </w:p>
        </w:tc>
        <w:tc>
          <w:tcPr>
            <w:tcW w:w="17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68,107,295.00</w:t>
            </w:r>
          </w:p>
        </w:tc>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5.19</w:t>
            </w:r>
          </w:p>
        </w:tc>
        <w:tc>
          <w:tcPr>
            <w:tcW w:w="17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1,962,743.85</w:t>
            </w:r>
          </w:p>
        </w:tc>
      </w:tr>
      <w:tr>
        <w:trPr>
          <w:trHeight w:val="353" w:hRule="exact"/>
        </w:trPr>
        <w:tc>
          <w:tcPr>
            <w:tcW w:w="3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上海市卫生健康委员会（注）</w:t>
            </w:r>
          </w:p>
        </w:tc>
        <w:tc>
          <w:tcPr>
            <w:tcW w:w="17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44,767,600.40</w:t>
            </w:r>
          </w:p>
        </w:tc>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3.41</w:t>
            </w:r>
          </w:p>
        </w:tc>
        <w:tc>
          <w:tcPr>
            <w:tcW w:w="17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29,269,100.03</w:t>
            </w:r>
          </w:p>
        </w:tc>
      </w:tr>
      <w:tr>
        <w:trPr>
          <w:trHeight w:val="352" w:hRule="exact"/>
        </w:trPr>
        <w:tc>
          <w:tcPr>
            <w:tcW w:w="3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上海市人力资源和社会保障局信息中心</w:t>
            </w:r>
          </w:p>
        </w:tc>
        <w:tc>
          <w:tcPr>
            <w:tcW w:w="17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37,811,400.00</w:t>
            </w:r>
          </w:p>
        </w:tc>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2.88</w:t>
            </w:r>
          </w:p>
        </w:tc>
        <w:tc>
          <w:tcPr>
            <w:tcW w:w="170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上海市公安局浦东分局</w:t>
            </w:r>
          </w:p>
        </w:tc>
        <w:tc>
          <w:tcPr>
            <w:tcW w:w="17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34,584,480.00</w:t>
            </w:r>
          </w:p>
        </w:tc>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2.63</w:t>
            </w:r>
          </w:p>
        </w:tc>
        <w:tc>
          <w:tcPr>
            <w:tcW w:w="170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上海松江大学城建设发展有限公司</w:t>
            </w:r>
          </w:p>
        </w:tc>
        <w:tc>
          <w:tcPr>
            <w:tcW w:w="17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30,982,102.00</w:t>
            </w:r>
          </w:p>
        </w:tc>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2.36</w:t>
            </w:r>
          </w:p>
        </w:tc>
        <w:tc>
          <w:tcPr>
            <w:tcW w:w="17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929,463.06</w:t>
            </w:r>
          </w:p>
        </w:tc>
      </w:tr>
      <w:tr>
        <w:trPr>
          <w:trHeight w:val="352" w:hRule="exact"/>
        </w:trPr>
        <w:tc>
          <w:tcPr>
            <w:tcW w:w="3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216,252,877.40</w:t>
            </w:r>
          </w:p>
        </w:tc>
        <w:tc>
          <w:tcPr>
            <w:tcW w:w="2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16.47</w:t>
            </w:r>
          </w:p>
        </w:tc>
        <w:tc>
          <w:tcPr>
            <w:tcW w:w="17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32,161,306.94</w:t>
            </w:r>
          </w:p>
        </w:tc>
      </w:tr>
    </w:tbl>
    <w:p>
      <w:pPr>
        <w:pStyle w:val="BodyText"/>
        <w:spacing w:line="300" w:lineRule="auto" w:before="10"/>
        <w:ind w:right="1118"/>
        <w:jc w:val="left"/>
      </w:pPr>
      <w:r>
        <w:rPr>
          <w:spacing w:val="-2"/>
        </w:rPr>
        <w:t>注：</w:t>
      </w:r>
      <w:r>
        <w:rPr>
          <w:rFonts w:ascii="Times New Roman" w:hAnsi="Times New Roman" w:cs="Times New Roman" w:eastAsia="Times New Roman" w:hint="default"/>
          <w:color w:val="333333"/>
          <w:spacing w:val="-2"/>
        </w:rPr>
        <w:t>2018</w:t>
      </w:r>
      <w:r>
        <w:rPr>
          <w:color w:val="333333"/>
          <w:spacing w:val="-2"/>
        </w:rPr>
        <w:t>年</w:t>
      </w:r>
      <w:r>
        <w:rPr>
          <w:rFonts w:ascii="Times New Roman" w:hAnsi="Times New Roman" w:cs="Times New Roman" w:eastAsia="Times New Roman" w:hint="default"/>
          <w:color w:val="333333"/>
          <w:spacing w:val="-2"/>
        </w:rPr>
        <w:t>11</w:t>
      </w:r>
      <w:r>
        <w:rPr>
          <w:color w:val="333333"/>
          <w:spacing w:val="-2"/>
        </w:rPr>
        <w:t>月，党中央、国务院正式批准《上海市机构改革方案》，原</w:t>
      </w:r>
      <w:r>
        <w:rPr>
          <w:spacing w:val="-2"/>
        </w:rPr>
        <w:t>上海市卫生和计划生育委员会改组为上海市卫生健</w:t>
      </w:r>
      <w:r>
        <w:rPr>
          <w:spacing w:val="-61"/>
        </w:rPr>
        <w:t> </w:t>
      </w:r>
      <w:r>
        <w:rPr>
          <w:spacing w:val="-61"/>
        </w:rPr>
      </w:r>
      <w:r>
        <w:rPr/>
        <w:t>康委员会。</w:t>
      </w:r>
    </w:p>
    <w:p>
      <w:pPr>
        <w:spacing w:line="240" w:lineRule="auto" w:before="0"/>
        <w:rPr>
          <w:rFonts w:ascii="宋体" w:hAnsi="宋体" w:cs="宋体" w:eastAsia="宋体" w:hint="default"/>
          <w:sz w:val="18"/>
          <w:szCs w:val="18"/>
        </w:rPr>
      </w:pPr>
    </w:p>
    <w:p>
      <w:pPr>
        <w:pStyle w:val="BodyText"/>
        <w:spacing w:line="338" w:lineRule="auto" w:before="148"/>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4"/>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357" w:lineRule="auto" w:before="43"/>
        <w:ind w:right="9852"/>
        <w:jc w:val="left"/>
      </w:pPr>
      <w:r>
        <w:rPr/>
        <w:t>其他说明： 无</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其他应收款" w:id="505"/>
      <w:bookmarkEnd w:id="50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616,147,057.16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388,874,004.86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616,147,057.16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388,874,004.86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506"/>
      <w:bookmarkEnd w:id="50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应收股利" w:id="507"/>
      <w:bookmarkEnd w:id="50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其他应收款" w:id="508"/>
      <w:bookmarkEnd w:id="50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631,053,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706.32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14,906,6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616,147,0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57.16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401,146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,831.49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12,272,82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6.63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388,874,00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4.86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631,053,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706.32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14,906,6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616,147,0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57.16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401,146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,831.49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12,272,82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6.63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388,874,00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4.86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43,555,960.77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12,226,542.95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366,796.29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55,782,503.72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366,796.29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40,723,542.82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2,036,177.15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8,910,216.08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891,021.61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19,503,469.21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11,612,654.11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9,208,234.47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1,841,646.89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1,048,455.05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524,227.53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9,246,779.69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9,246,779.69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124,919,731.83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14,906,649.16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7152"/>
        <w:jc w:val="left"/>
      </w:pPr>
      <w:r>
        <w:rPr/>
        <w:t>确定该组合依据的说明： 相同账龄的应收账款具有类似的信用风险特征</w:t>
      </w:r>
    </w:p>
    <w:p>
      <w:pPr>
        <w:pStyle w:val="BodyText"/>
        <w:spacing w:line="237" w:lineRule="exact"/>
        <w:ind w:left="1430" w:right="0"/>
        <w:jc w:val="left"/>
      </w:pPr>
      <w:r>
        <w:rPr/>
        <w:t>组合</w:t>
      </w:r>
      <w:r>
        <w:rPr>
          <w:rFonts w:ascii="Times New Roman" w:hAnsi="Times New Roman" w:cs="Times New Roman" w:eastAsia="Times New Roman" w:hint="default"/>
        </w:rPr>
        <w:t>2</w:t>
      </w:r>
      <w:r>
        <w:rPr/>
        <w:t>中，不计提坏账准备的其他应收款：</w:t>
      </w:r>
    </w:p>
    <w:p>
      <w:pPr>
        <w:spacing w:line="240" w:lineRule="auto" w:before="13"/>
        <w:rPr>
          <w:rFonts w:ascii="宋体" w:hAnsi="宋体" w:cs="宋体" w:eastAsia="宋体" w:hint="default"/>
          <w:sz w:val="3"/>
          <w:szCs w:val="3"/>
        </w:rPr>
      </w:pPr>
    </w:p>
    <w:tbl>
      <w:tblPr>
        <w:tblW w:w="0" w:type="auto"/>
        <w:jc w:val="left"/>
        <w:tblInd w:w="753" w:type="dxa"/>
        <w:tblLayout w:type="fixed"/>
        <w:tblCellMar>
          <w:top w:w="0" w:type="dxa"/>
          <w:left w:w="0" w:type="dxa"/>
          <w:bottom w:w="0" w:type="dxa"/>
          <w:right w:w="0" w:type="dxa"/>
        </w:tblCellMar>
        <w:tblLook w:val="01E0"/>
      </w:tblPr>
      <w:tblGrid>
        <w:gridCol w:w="3222"/>
        <w:gridCol w:w="1842"/>
        <w:gridCol w:w="1560"/>
        <w:gridCol w:w="1189"/>
      </w:tblGrid>
      <w:tr>
        <w:trPr>
          <w:trHeight w:val="355" w:hRule="exact"/>
        </w:trPr>
        <w:tc>
          <w:tcPr>
            <w:tcW w:w="322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59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3222"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89" w:right="0"/>
              <w:jc w:val="left"/>
              <w:rPr>
                <w:rFonts w:ascii="Times New Roman" w:hAnsi="Times New Roman" w:cs="Times New Roman" w:eastAsia="Times New Roman" w:hint="default"/>
                <w:sz w:val="18"/>
                <w:szCs w:val="18"/>
              </w:rPr>
            </w:pPr>
            <w:r>
              <w:rPr>
                <w:rFonts w:ascii="Times New Roman"/>
                <w:sz w:val="18"/>
              </w:rPr>
              <w:t>14,734,414.00</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10"/>
        <w:ind w:left="1430" w:right="0"/>
        <w:jc w:val="left"/>
      </w:pPr>
      <w:r>
        <w:rPr/>
        <w:t>组合</w:t>
      </w:r>
      <w:r>
        <w:rPr>
          <w:rFonts w:ascii="Times New Roman" w:hAnsi="Times New Roman" w:cs="Times New Roman" w:eastAsia="Times New Roman" w:hint="default"/>
        </w:rPr>
        <w:t>3</w:t>
      </w:r>
      <w:r>
        <w:rPr/>
        <w:t>中，不计提坏账准备的其他应收款：</w:t>
      </w:r>
    </w:p>
    <w:p>
      <w:pPr>
        <w:spacing w:line="240" w:lineRule="auto" w:before="13"/>
        <w:rPr>
          <w:rFonts w:ascii="宋体" w:hAnsi="宋体" w:cs="宋体" w:eastAsia="宋体" w:hint="default"/>
          <w:sz w:val="3"/>
          <w:szCs w:val="3"/>
        </w:rPr>
      </w:pPr>
    </w:p>
    <w:tbl>
      <w:tblPr>
        <w:tblW w:w="0" w:type="auto"/>
        <w:jc w:val="left"/>
        <w:tblInd w:w="753" w:type="dxa"/>
        <w:tblLayout w:type="fixed"/>
        <w:tblCellMar>
          <w:top w:w="0" w:type="dxa"/>
          <w:left w:w="0" w:type="dxa"/>
          <w:bottom w:w="0" w:type="dxa"/>
          <w:right w:w="0" w:type="dxa"/>
        </w:tblCellMar>
        <w:tblLook w:val="01E0"/>
      </w:tblPr>
      <w:tblGrid>
        <w:gridCol w:w="3222"/>
        <w:gridCol w:w="1842"/>
        <w:gridCol w:w="1560"/>
        <w:gridCol w:w="1189"/>
      </w:tblGrid>
      <w:tr>
        <w:trPr>
          <w:trHeight w:val="355" w:hRule="exact"/>
        </w:trPr>
        <w:tc>
          <w:tcPr>
            <w:tcW w:w="322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59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3222"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杭州万达信息有限公司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19,736,876.13</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宁波万达信息有限公司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3,016,081.30</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深圳市万达计算机软件有限公司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13,078,885.41</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126,743,412.68</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12,631,949.33</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3222"/>
        <w:gridCol w:w="1842"/>
        <w:gridCol w:w="1560"/>
        <w:gridCol w:w="1189"/>
      </w:tblGrid>
      <w:tr>
        <w:trPr>
          <w:trHeight w:val="355" w:hRule="exact"/>
        </w:trPr>
        <w:tc>
          <w:tcPr>
            <w:tcW w:w="3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南京爱递吉供应链管理服务有限公司</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1,237,016.43</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189" w:type="dxa"/>
            <w:tcBorders>
              <w:top w:val="single" w:sz="6" w:space="0" w:color="000000"/>
              <w:left w:val="single" w:sz="6" w:space="0" w:color="000000"/>
              <w:bottom w:val="single" w:sz="12" w:space="0" w:color="000000"/>
              <w:right w:val="nil" w:sz="6" w:space="0" w:color="auto"/>
            </w:tcBorders>
          </w:tcPr>
          <w:p>
            <w:pPr/>
          </w:p>
        </w:tc>
      </w:tr>
      <w:tr>
        <w:trPr>
          <w:trHeight w:val="353"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175,558.36</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308,200,000.00</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3,156,290.22</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23,999.00</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湖南万达智慧城市信息技术有限公司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3,013,843.46</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132,958.17</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四川万达智城云数据有限公司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252,690.00</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491,399,560.49</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189"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pStyle w:val="BodyText"/>
        <w:spacing w:line="240" w:lineRule="auto" w:before="51"/>
        <w:ind w:right="-13"/>
        <w:jc w:val="left"/>
      </w:pPr>
      <w:r>
        <w:rPr/>
        <w:t>组合中，采用余额百分比法计提坏账准备的其他应收款：</w:t>
      </w:r>
    </w:p>
    <w:p>
      <w:pPr>
        <w:pStyle w:val="BodyText"/>
        <w:spacing w:line="338" w:lineRule="auto" w:before="117"/>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3"/>
        <w:jc w:val="left"/>
      </w:pPr>
      <w:r>
        <w:rPr/>
        <w:t>本期计提坏账准备金额</w:t>
      </w:r>
      <w:r>
        <w:rPr>
          <w:spacing w:val="-47"/>
        </w:rPr>
        <w:t> </w:t>
      </w:r>
      <w:r>
        <w:rPr>
          <w:rFonts w:ascii="Times New Roman" w:hAnsi="Times New Roman" w:cs="Times New Roman" w:eastAsia="Times New Roman" w:hint="default"/>
        </w:rPr>
        <w:t>2,633,822.53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10"/>
        <w:ind w:right="-20"/>
        <w:jc w:val="left"/>
      </w:pPr>
      <w:r>
        <w:rPr/>
        <w:t>无</w:t>
      </w:r>
    </w:p>
    <w:p>
      <w:pPr>
        <w:pStyle w:val="BodyText"/>
        <w:spacing w:line="240" w:lineRule="auto" w:before="77"/>
        <w:ind w:right="-20"/>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357" w:lineRule="auto" w:before="51"/>
        <w:ind w:right="850"/>
        <w:jc w:val="left"/>
      </w:pPr>
      <w:r>
        <w:rPr/>
        <w:t>其他应收款核销说明： 无</w:t>
      </w:r>
    </w:p>
    <w:p>
      <w:pPr>
        <w:pStyle w:val="BodyText"/>
        <w:spacing w:line="240" w:lineRule="auto" w:before="29"/>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496,466,912.28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292,302,926.90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项目保证金及保函押金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108,843,367.54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71,316,505.55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9,743,426.50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11,527,399.04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631,053,706.32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401,146,831.49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杭州万达信息有限公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19,736,876.13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上海恒基浦业资产管 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深圳市万达计算机软 件有限公司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13,078,885.41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上海爱递吉供应链管 理服务有限公司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12,631,949.33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369,647,710.87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309" w:lineRule="auto" w:before="11"/>
        <w:ind w:right="7362"/>
        <w:jc w:val="left"/>
      </w:pPr>
      <w:r>
        <w:rPr/>
        <w:t>无 </w:t>
      </w:r>
      <w:r>
        <w:rPr>
          <w:rFonts w:ascii="Times New Roman" w:hAnsi="Times New Roman" w:cs="Times New Roman" w:eastAsia="Times New Roman" w:hint="default"/>
        </w:rPr>
        <w:t>7)</w:t>
      </w:r>
      <w:r>
        <w:rPr/>
        <w:t>因金融资产转移而终止确认的其他应收款 无</w:t>
      </w:r>
    </w:p>
    <w:p>
      <w:pPr>
        <w:pStyle w:val="BodyText"/>
        <w:spacing w:line="338" w:lineRule="auto" w:before="65"/>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357" w:lineRule="auto" w:before="43"/>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长期股权投资" w:id="509"/>
      <w:bookmarkEnd w:id="50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1,772,348,495.43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1,772,348,495.43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1,820,097,475.43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1,820,097,475.43</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76,199,843.17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76,199,843.17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60,880,005.98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60,880,005.98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1,848,548,338.60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1,848,548,338.60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1,880,977,481.41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1,880,977,481.41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510"/>
      <w:bookmarkEnd w:id="51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5"/>
        <w:gridCol w:w="1389"/>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本期计提减值准</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8" w:right="0"/>
              <w:jc w:val="left"/>
              <w:rPr>
                <w:rFonts w:ascii="宋体" w:hAnsi="宋体" w:cs="宋体" w:eastAsia="宋体" w:hint="default"/>
                <w:sz w:val="18"/>
                <w:szCs w:val="18"/>
              </w:rPr>
            </w:pPr>
            <w:r>
              <w:rPr>
                <w:rFonts w:ascii="宋体" w:hAnsi="宋体" w:cs="宋体" w:eastAsia="宋体" w:hint="default"/>
                <w:sz w:val="18"/>
                <w:szCs w:val="18"/>
              </w:rPr>
              <w:t>减值准备期末余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宁波万达信息系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0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Wonders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Corp.</w:t>
            </w:r>
            <w:r>
              <w:rPr>
                <w:rFonts w:ascii="宋体" w:hAnsi="宋体" w:cs="宋体" w:eastAsia="宋体" w:hint="default"/>
                <w:sz w:val="18"/>
                <w:szCs w:val="18"/>
              </w:rPr>
              <w:t>美国万达信 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4,611,115.10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4,611,115.10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深圳市万达信息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上海爱递吉供应 链管理服务有限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上海万达信息服 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上海卫生信息工 程技术研究中心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上海全程玖玖健 康服务有限公司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9,750,196.00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9,750,196.00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38,508,784.00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38,508,784.00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天津万达信息技 术有限责任公司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北京万达全城信 息系统有限公司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上海格言管理有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242,083,971.56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242,083,971.56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2,743,182.91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2,743,182.91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51,960,225.86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51,960,225.86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湖南万达智慧城 市信息技术有限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四川万达智城云 数据有限公司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万达云医疗科技 健康产业（上海）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四川万达健康数 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宁波市万达数据 应用服务有限公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万达志翔医疗科 </w:t>
            </w:r>
            <w:r>
              <w:rPr>
                <w:rFonts w:ascii="宋体" w:hAnsi="宋体" w:cs="宋体" w:eastAsia="宋体" w:hint="default"/>
                <w:spacing w:val="-7"/>
                <w:sz w:val="18"/>
                <w:szCs w:val="18"/>
              </w:rPr>
              <w:t>技（北京）有限责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上海耀学信息科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1,820,097,475.43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48,258,980.00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1,772,348,495.43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对联营、合营企业投资" w:id="511"/>
      <w:bookmarkEnd w:id="51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2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94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4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11,633,42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603,849.5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12,237,27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41"/>
              <w:jc w:val="both"/>
              <w:rPr>
                <w:rFonts w:ascii="宋体" w:hAnsi="宋体" w:cs="宋体" w:eastAsia="宋体" w:hint="default"/>
                <w:sz w:val="18"/>
                <w:szCs w:val="18"/>
              </w:rPr>
            </w:pPr>
            <w:r>
              <w:rPr>
                <w:rFonts w:ascii="宋体" w:hAnsi="宋体" w:cs="宋体" w:eastAsia="宋体" w:hint="default"/>
                <w:sz w:val="18"/>
                <w:szCs w:val="18"/>
              </w:rPr>
              <w:t>上海昕鼎 网络科技 有限公司</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Times New Roman" w:hAnsi="Times New Roman" w:cs="Times New Roman" w:eastAsia="Times New Roman" w:hint="default"/>
                <w:sz w:val="18"/>
                <w:szCs w:val="18"/>
              </w:rPr>
            </w:pPr>
            <w:r>
              <w:rPr>
                <w:rFonts w:ascii="Times New Roman"/>
                <w:sz w:val="18"/>
              </w:rPr>
              <w:t>32,560,64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2,815,031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35,375,67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上海达保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10,321,96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-1,989,05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8,332,913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21"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贵生信息</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5.90</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.85</w:t>
            </w:r>
          </w:p>
        </w:tc>
        <w:tc>
          <w:tcPr>
            <w:tcW w:w="798" w:type="dxa"/>
            <w:vMerge w:val="restart"/>
            <w:tcBorders>
              <w:top w:val="single" w:sz="4" w:space="0" w:color="000000"/>
              <w:left w:val="single" w:sz="4" w:space="0" w:color="000000"/>
              <w:right w:val="single" w:sz="4" w:space="0" w:color="000000"/>
            </w:tcBorders>
          </w:tcPr>
          <w:p>
            <w:pPr/>
          </w:p>
        </w:tc>
      </w:tr>
      <w:tr>
        <w:trPr>
          <w:trHeight w:val="308"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科技股份</w:t>
            </w:r>
          </w:p>
        </w:tc>
        <w:tc>
          <w:tcPr>
            <w:tcW w:w="798"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19"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上海久事</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智慧体育</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6,191,082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-2,233,27</w:t>
            </w:r>
            <w:r>
              <w:rPr>
                <w:rFonts w:ascii="Times New Roman"/>
                <w:sz w:val="18"/>
              </w:rPr>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3,957,807</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5.16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.49</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1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上海万达</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健青网络 科技有限 公司（注</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172,892.8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-1,861.69</w:t>
            </w:r>
            <w:r>
              <w:rPr>
                <w:rFonts w:ascii="Times New Roman"/>
                <w:sz w:val="18"/>
              </w:rPr>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1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上海全程</w:t>
            </w: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玖玖健康 服务有限 公司（注</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9,750,196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1,376,383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11,126,57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9.44</w:t>
            </w: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1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成都天府</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468" w:lineRule="exact"/>
              <w:ind w:left="1" w:right="-49"/>
              <w:jc w:val="left"/>
              <w:rPr>
                <w:rFonts w:ascii="宋体" w:hAnsi="宋体" w:cs="宋体" w:eastAsia="宋体" w:hint="default"/>
                <w:sz w:val="20"/>
                <w:szCs w:val="20"/>
              </w:rPr>
            </w:pPr>
            <w:r>
              <w:rPr>
                <w:rFonts w:ascii="宋体" w:hAnsi="宋体" w:cs="宋体" w:eastAsia="宋体" w:hint="default"/>
                <w:position w:val="-8"/>
                <w:sz w:val="20"/>
                <w:szCs w:val="20"/>
              </w:rPr>
              <w:pict>
                <v:group style="width:39.3pt;height:23.4pt;mso-position-horizontal-relative:char;mso-position-vertical-relative:line" coordorigin="0,0" coordsize="786,468">
                  <v:group style="position:absolute;left:0;top:0;width:786;height:468" coordorigin="0,0" coordsize="786,468">
                    <v:shape style="position:absolute;left:0;top:0;width:786;height:468" coordorigin="0,0" coordsize="786,468" path="m0,468l786,468,786,0,0,0,0,468xe" filled="true" fillcolor="#ffffff" stroked="false">
                      <v:path arrowok="t"/>
                      <v:fill type="solid"/>
                    </v:shape>
                  </v:group>
                </v:group>
              </w:pict>
            </w:r>
            <w:r>
              <w:rPr>
                <w:rFonts w:ascii="宋体" w:hAnsi="宋体" w:cs="宋体" w:eastAsia="宋体" w:hint="default"/>
                <w:position w:val="-8"/>
                <w:sz w:val="20"/>
                <w:szCs w:val="20"/>
              </w:rPr>
            </w: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市民云服</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198,565.1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4,998,565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务有限公</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.12</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63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60,880,00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14,550,19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769,641.1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76,199,84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60,880,00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14,550,19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769,641.1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76,199,84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shape style="position:absolute;margin-left:90.559998pt;margin-top:-99.886337pt;width:45.55pt;height:23.4pt;mso-position-horizontal-relative:page;mso-position-vertical-relative:paragraph;z-index:-1241728" type="#_x0000_t202" filled="false" stroked="false">
            <v:textbox inset="0,0,0,0">
              <w:txbxContent>
                <w:p>
                  <w:pPr>
                    <w:spacing w:line="240" w:lineRule="auto" w:before="10"/>
                    <w:rPr>
                      <w:rFonts w:ascii="宋体" w:hAnsi="宋体" w:cs="宋体" w:eastAsia="宋体" w:hint="default"/>
                      <w:sz w:val="12"/>
                      <w:szCs w:val="12"/>
                    </w:rPr>
                  </w:pPr>
                </w:p>
                <w:p>
                  <w:pPr>
                    <w:pStyle w:val="BodyText"/>
                    <w:spacing w:line="240" w:lineRule="auto"/>
                    <w:ind w:left="0" w:right="0"/>
                    <w:jc w:val="left"/>
                  </w:pPr>
                  <w:r>
                    <w:rPr/>
                    <w:t>）</w:t>
                  </w:r>
                </w:p>
              </w:txbxContent>
            </v:textbox>
            <w10:wrap type="none"/>
          </v:shape>
        </w:pict>
      </w:r>
      <w:bookmarkStart w:name="（3）其他说明" w:id="512"/>
      <w:bookmarkEnd w:id="51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229" w:right="1032"/>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年公司与上海科技创业投资有限公司签订协议，约定公司出资</w:t>
      </w:r>
      <w:r>
        <w:rPr>
          <w:rFonts w:ascii="Times New Roman" w:hAnsi="Times New Roman" w:cs="Times New Roman" w:eastAsia="Times New Roman" w:hint="default"/>
        </w:rPr>
        <w:t>15,565,500.00</w:t>
      </w:r>
      <w:r>
        <w:rPr/>
        <w:t>元收购上海科技创业投资有限公司持 </w:t>
      </w:r>
      <w:r>
        <w:rPr>
          <w:spacing w:val="-2"/>
        </w:rPr>
        <w:t>有的上海昕鼎网络科技有限公司</w:t>
      </w:r>
      <w:r>
        <w:rPr>
          <w:rFonts w:ascii="Times New Roman" w:hAnsi="Times New Roman" w:cs="Times New Roman" w:eastAsia="Times New Roman" w:hint="default"/>
          <w:spacing w:val="-2"/>
        </w:rPr>
        <w:t>12.00%</w:t>
      </w:r>
      <w:r>
        <w:rPr>
          <w:spacing w:val="-2"/>
        </w:rPr>
        <w:t>的股份，公司对上海昕鼎网络科技有限公司具有重大影响，按权益法核算相关投资。</w:t>
      </w:r>
      <w:r>
        <w:rPr>
          <w:spacing w:val="-61"/>
        </w:rPr>
        <w:t> </w:t>
      </w:r>
      <w:r>
        <w:rPr>
          <w:spacing w:val="-61"/>
        </w:rPr>
      </w:r>
      <w:r>
        <w:rPr>
          <w:spacing w:val="-6"/>
        </w:rPr>
        <w:t>注</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2</w:t>
      </w:r>
      <w:r>
        <w:rPr>
          <w:spacing w:val="-6"/>
        </w:rPr>
        <w:t>月公司与中国太平洋人寿保险股份有限公司、上海紫丞网络科技合伙企业（有限合伙）共同出资人民币</w:t>
      </w:r>
      <w:r>
        <w:rPr>
          <w:rFonts w:ascii="Times New Roman" w:hAnsi="Times New Roman" w:cs="Times New Roman" w:eastAsia="Times New Roman" w:hint="default"/>
          <w:spacing w:val="-6"/>
        </w:rPr>
        <w:t>10,000.00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万元设立上海达保贵生信息科技股份有限公司，其中本公司出资人民币</w:t>
      </w:r>
      <w:r>
        <w:rPr>
          <w:rFonts w:ascii="Times New Roman" w:hAnsi="Times New Roman" w:cs="Times New Roman" w:eastAsia="Times New Roman" w:hint="default"/>
        </w:rPr>
        <w:t>4,000.00</w:t>
      </w:r>
      <w:r>
        <w:rPr/>
        <w:t>万元，持股</w:t>
      </w:r>
      <w:r>
        <w:rPr>
          <w:rFonts w:ascii="Times New Roman" w:hAnsi="Times New Roman" w:cs="Times New Roman" w:eastAsia="Times New Roman" w:hint="default"/>
        </w:rPr>
        <w:t>40%</w:t>
      </w:r>
      <w:r>
        <w:rPr/>
        <w:t>。上海达保贵生信息科技股 份有限公司于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日取得统一社会信用代码为</w:t>
      </w:r>
      <w:r>
        <w:rPr>
          <w:rFonts w:ascii="Times New Roman" w:hAnsi="Times New Roman" w:cs="Times New Roman" w:eastAsia="Times New Roman" w:hint="default"/>
        </w:rPr>
        <w:t>91310000MA1FL3QM0A</w:t>
      </w:r>
      <w:r>
        <w:rPr/>
        <w:t>的营业执照，公司对上海达保贵生信息科技 股份有限公司具有重大影响，按权益法核算相关投资。 </w:t>
      </w:r>
      <w:r>
        <w:rPr>
          <w:spacing w:val="-2"/>
        </w:rPr>
        <w:t>注</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月公司与上海久事体育产业发展（集团）有限公司、上海久事投资管理有限公司及上海紫莘网络科技合伙企</w:t>
      </w:r>
      <w:r>
        <w:rPr>
          <w:spacing w:val="-44"/>
        </w:rPr>
        <w:t> </w:t>
      </w:r>
      <w:r>
        <w:rPr>
          <w:spacing w:val="-44"/>
        </w:rPr>
      </w:r>
      <w:r>
        <w:rPr>
          <w:spacing w:val="-5"/>
        </w:rPr>
        <w:t>业（有限合伙）共同出资人民币</w:t>
      </w:r>
      <w:r>
        <w:rPr>
          <w:rFonts w:ascii="Times New Roman" w:hAnsi="Times New Roman" w:cs="Times New Roman" w:eastAsia="Times New Roman" w:hint="default"/>
          <w:spacing w:val="-5"/>
        </w:rPr>
        <w:t>2,000.00</w:t>
      </w:r>
      <w:r>
        <w:rPr>
          <w:spacing w:val="-5"/>
        </w:rPr>
        <w:t>万元设立上海久事智慧体育有限公司，其中本公司出资人民币</w:t>
      </w:r>
      <w:r>
        <w:rPr>
          <w:rFonts w:ascii="Times New Roman" w:hAnsi="Times New Roman" w:cs="Times New Roman" w:eastAsia="Times New Roman" w:hint="default"/>
          <w:spacing w:val="-5"/>
        </w:rPr>
        <w:t>680.00</w:t>
      </w:r>
      <w:r>
        <w:rPr>
          <w:spacing w:val="-5"/>
        </w:rPr>
        <w:t>万元，持股</w:t>
      </w:r>
      <w:r>
        <w:rPr>
          <w:rFonts w:ascii="Times New Roman" w:hAnsi="Times New Roman" w:cs="Times New Roman" w:eastAsia="Times New Roman" w:hint="default"/>
          <w:spacing w:val="-5"/>
        </w:rPr>
        <w:t>34%</w:t>
      </w:r>
      <w:r>
        <w:rPr>
          <w:spacing w:val="-5"/>
        </w:rPr>
        <w:t>。</w:t>
      </w:r>
      <w:r>
        <w:rPr>
          <w:spacing w:val="-40"/>
        </w:rPr>
        <w:t> </w:t>
      </w:r>
      <w:r>
        <w:rPr/>
        <w:t>上海久事智慧体育有限公司于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日取得统一社会信用代码为</w:t>
      </w:r>
      <w:r>
        <w:rPr>
          <w:rFonts w:ascii="Times New Roman" w:hAnsi="Times New Roman" w:cs="Times New Roman" w:eastAsia="Times New Roman" w:hint="default"/>
        </w:rPr>
        <w:t>91310101MA1FP90544</w:t>
      </w:r>
      <w:r>
        <w:rPr/>
        <w:t>的营业执照，公司对上海久 事智慧体育有限公司具有重大影响，按权益法核算相关投资。 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月公司与上海卓玟健康科技有限公司、自然人陈晓岚共同出资人民币</w:t>
      </w:r>
      <w:r>
        <w:rPr>
          <w:rFonts w:ascii="Times New Roman" w:hAnsi="Times New Roman" w:cs="Times New Roman" w:eastAsia="Times New Roman" w:hint="default"/>
        </w:rPr>
        <w:t>500.00</w:t>
      </w:r>
      <w:r>
        <w:rPr/>
        <w:t>万元设立上海万达健青网络科技 </w:t>
      </w:r>
      <w:r>
        <w:rPr>
          <w:spacing w:val="-2"/>
        </w:rPr>
        <w:t>有限公司，其中本公司出资人民币</w:t>
      </w:r>
      <w:r>
        <w:rPr>
          <w:rFonts w:ascii="Times New Roman" w:hAnsi="Times New Roman" w:cs="Times New Roman" w:eastAsia="Times New Roman" w:hint="default"/>
          <w:spacing w:val="-2"/>
        </w:rPr>
        <w:t>180.00</w:t>
      </w:r>
      <w:r>
        <w:rPr>
          <w:spacing w:val="-2"/>
        </w:rPr>
        <w:t>万元，持股</w:t>
      </w:r>
      <w:r>
        <w:rPr>
          <w:rFonts w:ascii="Times New Roman" w:hAnsi="Times New Roman" w:cs="Times New Roman" w:eastAsia="Times New Roman" w:hint="default"/>
          <w:spacing w:val="-2"/>
        </w:rPr>
        <w:t>36%</w:t>
      </w:r>
      <w:r>
        <w:rPr>
          <w:spacing w:val="-2"/>
        </w:rPr>
        <w:t>。上海万达健青网络科技有限公司于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日取得统一社会</w:t>
      </w:r>
      <w:r>
        <w:rPr>
          <w:spacing w:val="-53"/>
        </w:rPr>
        <w:t> </w:t>
      </w:r>
      <w:r>
        <w:rPr/>
        <w:t>信用代码为</w:t>
      </w:r>
      <w:r>
        <w:rPr>
          <w:rFonts w:ascii="Times New Roman" w:hAnsi="Times New Roman" w:cs="Times New Roman" w:eastAsia="Times New Roman" w:hint="default"/>
        </w:rPr>
        <w:t>91310109MA1G5AYR58</w:t>
      </w:r>
      <w:r>
        <w:rPr/>
        <w:t>的营业执照，公司对上海万达健青网络科技有限公司具有重大影响，按权益法核算相关 投资。 </w:t>
      </w:r>
      <w:r>
        <w:rPr>
          <w:spacing w:val="-2"/>
        </w:rPr>
        <w:t>注</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日公司、翁思跃以及上海鹏都健康科技发展有限公司共同签署《增资协议书》，同意鹏都健康以人民币</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229" w:right="0"/>
        <w:jc w:val="left"/>
      </w:pPr>
      <w:r>
        <w:rPr>
          <w:rFonts w:ascii="Times New Roman" w:hAnsi="Times New Roman" w:cs="Times New Roman" w:eastAsia="Times New Roman" w:hint="default"/>
        </w:rPr>
        <w:t>10,000.00</w:t>
      </w:r>
      <w:r>
        <w:rPr/>
        <w:t>万元对上海全程玖玖健康服务有限公司进行增资，其中</w:t>
      </w:r>
      <w:r>
        <w:rPr>
          <w:rFonts w:ascii="Times New Roman" w:hAnsi="Times New Roman" w:cs="Times New Roman" w:eastAsia="Times New Roman" w:hint="default"/>
        </w:rPr>
        <w:t>2,416.5</w:t>
      </w:r>
      <w:r>
        <w:rPr/>
        <w:t>万元计入上海全程玖玖健康服务有限公司的注册资 </w:t>
      </w:r>
      <w:r>
        <w:rPr>
          <w:spacing w:val="-3"/>
        </w:rPr>
        <w:t>本，本次增资后，上海全程玖玖健康服务有限公司的注册资本将由</w:t>
      </w:r>
      <w:r>
        <w:rPr>
          <w:rFonts w:ascii="Times New Roman" w:hAnsi="Times New Roman" w:cs="Times New Roman" w:eastAsia="Times New Roman" w:hint="default"/>
          <w:spacing w:val="-3"/>
        </w:rPr>
        <w:t>1,611.00</w:t>
      </w:r>
      <w:r>
        <w:rPr>
          <w:spacing w:val="-3"/>
        </w:rPr>
        <w:t>万元增至</w:t>
      </w:r>
      <w:r>
        <w:rPr>
          <w:rFonts w:ascii="Times New Roman" w:hAnsi="Times New Roman" w:cs="Times New Roman" w:eastAsia="Times New Roman" w:hint="default"/>
          <w:spacing w:val="-3"/>
        </w:rPr>
        <w:t>4,027.50</w:t>
      </w:r>
      <w:r>
        <w:rPr>
          <w:spacing w:val="-3"/>
        </w:rPr>
        <w:t>万元，公司的持股比例将由</w:t>
      </w:r>
      <w:r>
        <w:rPr>
          <w:rFonts w:ascii="Times New Roman" w:hAnsi="Times New Roman" w:cs="Times New Roman" w:eastAsia="Times New Roman" w:hint="default"/>
          <w:spacing w:val="-3"/>
        </w:rPr>
        <w:t>55%</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变更为</w:t>
      </w:r>
      <w:r>
        <w:rPr>
          <w:rFonts w:ascii="Times New Roman" w:hAnsi="Times New Roman" w:cs="Times New Roman" w:eastAsia="Times New Roman" w:hint="default"/>
        </w:rPr>
        <w:t>22%</w:t>
      </w:r>
      <w:r>
        <w:rPr/>
        <w:t>，上海全程玖玖健康服务有限公司不再是本公司的控股子公司，亦不再纳入公司的合并报表范围，但公司对上 海全程玖玖健康服务有限公司具有重大影响，按权益法核算相关投资。 </w:t>
      </w:r>
      <w:r>
        <w:rPr>
          <w:spacing w:val="-2"/>
        </w:rPr>
        <w:t>注</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月公司与成都金控数据服务有限公司共同出资人民币</w:t>
      </w:r>
      <w:r>
        <w:rPr>
          <w:rFonts w:ascii="Times New Roman" w:hAnsi="Times New Roman" w:cs="Times New Roman" w:eastAsia="Times New Roman" w:hint="default"/>
          <w:spacing w:val="-2"/>
        </w:rPr>
        <w:t>3,000.00</w:t>
      </w:r>
      <w:r>
        <w:rPr>
          <w:spacing w:val="-2"/>
        </w:rPr>
        <w:t>万元设立成都天府市民云服务有限公司，其中本</w:t>
      </w:r>
      <w:r>
        <w:rPr>
          <w:spacing w:val="-37"/>
        </w:rPr>
        <w:t> </w:t>
      </w:r>
      <w:r>
        <w:rPr>
          <w:spacing w:val="-37"/>
        </w:rPr>
      </w:r>
      <w:r>
        <w:rPr/>
        <w:t>公司认缴出资人民币</w:t>
      </w:r>
      <w:r>
        <w:rPr>
          <w:rFonts w:ascii="Times New Roman" w:hAnsi="Times New Roman" w:cs="Times New Roman" w:eastAsia="Times New Roman" w:hint="default"/>
        </w:rPr>
        <w:t>1,200.00</w:t>
      </w:r>
      <w:r>
        <w:rPr/>
        <w:t>万元，持股</w:t>
      </w:r>
      <w:r>
        <w:rPr>
          <w:rFonts w:ascii="Times New Roman" w:hAnsi="Times New Roman" w:cs="Times New Roman" w:eastAsia="Times New Roman" w:hint="default"/>
        </w:rPr>
        <w:t>40%</w:t>
      </w:r>
      <w:r>
        <w:rPr/>
        <w:t>。成都天府市民云服务有限公司于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日取得统一社会信用代码为 </w:t>
      </w:r>
      <w:r>
        <w:rPr>
          <w:rFonts w:ascii="Times New Roman" w:hAnsi="Times New Roman" w:cs="Times New Roman" w:eastAsia="Times New Roman" w:hint="default"/>
        </w:rPr>
        <w:t>91510100MA6CD828XH</w:t>
      </w:r>
      <w:r>
        <w:rPr/>
        <w:t>的营业执照，公司对成都天府市民云服务有限公司具有重大影响，按权益法核算相关投资。</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bookmarkStart w:name="4、营业收入和营业成本" w:id="513"/>
      <w:bookmarkEnd w:id="51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167"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1,899,641,479.39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1,225,485,412.23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1,717,214,998.55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1,140,063,213.49</w:t>
            </w:r>
          </w:p>
        </w:tc>
      </w:tr>
      <w:tr>
        <w:trPr>
          <w:trHeight w:val="32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1,064,537.26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755,215.74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1,900,706,016.65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1,226,240,627.97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1,717,214,998.55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1,140,063,213.49</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投资收益" w:id="514"/>
      <w:bookmarkEnd w:id="51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-2,920,676.82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-2,040,433.65</w:t>
            </w: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13,115,580.97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55,433,883.09</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1,425,895.10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65,620,799.25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53,393,449.44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515"/>
      <w:bookmarkEnd w:id="515"/>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补充资料" w:id="516"/>
      <w:bookmarkEnd w:id="51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17"/>
      <w:bookmarkEnd w:id="51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-26,616.58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30,903,180.24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2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167,949.81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-1,143,712.32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股权处置收益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46,590,169.75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5,369,934.13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249,605.83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70,871,430.94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18"/>
      <w:bookmarkEnd w:id="51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167"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6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0.2146</w:t>
            </w:r>
          </w:p>
        </w:tc>
      </w:tr>
      <w:tr>
        <w:trPr>
          <w:trHeight w:val="63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0.1491</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19"/>
      <w:bookmarkEnd w:id="51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20"/>
      <w:bookmarkEnd w:id="52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21"/>
      <w:bookmarkEnd w:id="52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22"/>
      <w:bookmarkEnd w:id="52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7"/>
        </w:rPr>
        <w:t> </w:t>
      </w:r>
      <w:r>
        <w:rPr>
          <w:spacing w:val="-67"/>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 w:id="523"/>
      <w:bookmarkEnd w:id="523"/>
      <w:r>
        <w:rPr>
          <w:b w:val="0"/>
          <w:bCs w:val="0"/>
        </w:rPr>
      </w: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十二节 备查文件目录" w:id="524"/>
      <w:bookmarkEnd w:id="524"/>
      <w:r>
        <w:rPr>
          <w:b w:val="0"/>
          <w:bCs w:val="0"/>
        </w:rPr>
      </w:r>
      <w:bookmarkStart w:name="_bookmark11" w:id="525"/>
      <w:bookmarkEnd w:id="525"/>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68" w:lineRule="auto" w:before="215"/>
        <w:ind w:right="1212"/>
        <w:jc w:val="left"/>
      </w:pPr>
      <w:r>
        <w:rPr/>
        <w:t>一、经公司法定代表人签字和公司盖章的</w:t>
      </w:r>
      <w:r>
        <w:rPr>
          <w:rFonts w:ascii="Times New Roman" w:hAnsi="Times New Roman" w:cs="Times New Roman" w:eastAsia="Times New Roman" w:hint="default"/>
        </w:rPr>
        <w:t>2018</w:t>
      </w:r>
      <w:r>
        <w:rPr/>
        <w:t>年度报告文本原件。 二、载有公司法定代表人、主管会计工作的公司负责人、公司会计机构负责人（会计主管人员）签名并盖章的财务报表。 三、载有会计师事务所盖章、注册会计师签名并盖章的审计报告原件。 四、报告期内在中国证监会指定网站上公开披露过的所有公司文件的正本及公告的原稿。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072" type="#_x0000_t75" stroked="false">
          <v:imagedata r:id="rId1" o:title=""/>
        </v:shape>
      </w:pict>
    </w:r>
    <w:r>
      <w:rPr/>
      <w:pict>
        <v:shape style="position:absolute;margin-left:533.179993pt;margin-top:795.517944pt;width:6.5pt;height:11pt;mso-position-horizontal-relative:page;mso-position-vertical-relative:page;z-index:-12430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024" type="#_x0000_t75" stroked="false">
          <v:imagedata r:id="rId1" o:title=""/>
        </v:shape>
      </w:pict>
    </w:r>
    <w:r>
      <w:rPr/>
      <w:pict>
        <v:shape style="position:absolute;margin-left:527.679993pt;margin-top:781.957947pt;width:13pt;height:11pt;mso-position-horizontal-relative:page;mso-position-vertical-relative:page;z-index:-1243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2976" type="#_x0000_t75" stroked="false">
          <v:imagedata r:id="rId1" o:title=""/>
        </v:shape>
      </w:pict>
    </w:r>
    <w:r>
      <w:rPr/>
      <w:pict>
        <v:shape style="position:absolute;margin-left:524.179993pt;margin-top:781.957947pt;width:15.5pt;height:11pt;mso-position-horizontal-relative:page;mso-position-vertical-relative:page;z-index:-1242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2928" type="#_x0000_t75" stroked="false">
          <v:imagedata r:id="rId1" o:title=""/>
        </v:shape>
      </w:pict>
    </w:r>
    <w:r>
      <w:rPr/>
      <w:pict>
        <v:shape style="position:absolute;margin-left:523.179993pt;margin-top:781.957947pt;width:17.5pt;height:11pt;mso-position-horizontal-relative:page;mso-position-vertical-relative:page;z-index:-1242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2880" type="#_x0000_t75" stroked="false">
          <v:imagedata r:id="rId1" o:title=""/>
        </v:shape>
      </w:pict>
    </w:r>
    <w:r>
      <w:rPr/>
      <w:pict>
        <v:group style="position:absolute;margin-left:56.459999pt;margin-top:746.099915pt;width:478.95pt;height:21.1pt;mso-position-horizontal-relative:page;mso-position-vertical-relative:page;z-index:-1242856" coordorigin="1129,14922" coordsize="9579,422">
          <v:group style="position:absolute;left:1150;top:14936;width:2;height:393" coordorigin="1150,14936" coordsize="2,393">
            <v:shape style="position:absolute;left:1150;top:14936;width:2;height:393" coordorigin="1150,14936" coordsize="0,393" path="m1150,14936l1150,15329e" filled="false" stroked="true" strokeweight="1.140pt" strokecolor="#d2d2d2">
              <v:path arrowok="t"/>
            </v:shape>
          </v:group>
          <v:group style="position:absolute;left:5902;top:14936;width:2;height:393" coordorigin="5902,14936" coordsize="2,393">
            <v:shape style="position:absolute;left:5902;top:14936;width:2;height:393" coordorigin="5902,14936" coordsize="0,393" path="m5902,14936l5902,15329e" filled="false" stroked="true" strokeweight="1.140pt" strokecolor="#d2d2d2">
              <v:path arrowok="t"/>
            </v:shape>
          </v:group>
          <v:group style="position:absolute;left:1162;top:14936;width:4729;height:393" coordorigin="1162,14936" coordsize="4729,393">
            <v:shape style="position:absolute;left:1162;top:14936;width:4729;height:393" coordorigin="1162,14936" coordsize="4729,393" path="m1162,15329l5890,15329,5890,14936,1162,14936,1162,15329xe" filled="true" fillcolor="#d2d2d2" stroked="false">
              <v:path arrowok="t"/>
              <v:fill type="solid"/>
            </v:shape>
          </v:group>
          <v:group style="position:absolute;left:5935;top:14936;width:2;height:393" coordorigin="5935,14936" coordsize="2,393">
            <v:shape style="position:absolute;left:5935;top:14936;width:2;height:393" coordorigin="5935,14936" coordsize="0,393" path="m5935,14936l5935,15329e" filled="false" stroked="true" strokeweight="1.140pt" strokecolor="#e0ffff">
              <v:path arrowok="t"/>
            </v:shape>
          </v:group>
          <v:group style="position:absolute;left:10687;top:14936;width:2;height:393" coordorigin="10687,14936" coordsize="2,393">
            <v:shape style="position:absolute;left:10687;top:14936;width:2;height:393" coordorigin="10687,14936" coordsize="0,393" path="m10687,14936l10687,15329e" filled="false" stroked="true" strokeweight="1.140pt" strokecolor="#e0ffff">
              <v:path arrowok="t"/>
            </v:shape>
          </v:group>
          <v:group style="position:absolute;left:5947;top:14936;width:4729;height:393" coordorigin="5947,14936" coordsize="4729,393">
            <v:shape style="position:absolute;left:5947;top:14936;width:4729;height:393" coordorigin="5947,14936" coordsize="4729,393" path="m5947,15329l10675,15329,10675,14936,5947,14936,5947,15329xe" filled="true" fillcolor="#e0ffff" stroked="false">
              <v:path arrowok="t"/>
              <v:fill type="solid"/>
            </v:shape>
          </v:group>
          <v:group style="position:absolute;left:1139;top:14932;width:4776;height:2" coordorigin="1139,14932" coordsize="4776,2">
            <v:shape style="position:absolute;left:1139;top:14932;width:4776;height:2" coordorigin="1139,14932" coordsize="4776,0" path="m1139,14932l5914,14932e" filled="false" stroked="true" strokeweight=".48004pt" strokecolor="#000000">
              <v:path arrowok="t"/>
            </v:shape>
          </v:group>
          <v:group style="position:absolute;left:5924;top:14932;width:4774;height:2" coordorigin="5924,14932" coordsize="4774,2">
            <v:shape style="position:absolute;left:5924;top:14932;width:4774;height:2" coordorigin="5924,14932" coordsize="4774,0" path="m5924,14932l10698,14932e" filled="false" stroked="true" strokeweight=".48004pt" strokecolor="#000000">
              <v:path arrowok="t"/>
            </v:shape>
          </v:group>
          <v:group style="position:absolute;left:1134;top:14927;width:2;height:412" coordorigin="1134,14927" coordsize="2,412">
            <v:shape style="position:absolute;left:1134;top:14927;width:2;height:412" coordorigin="1134,14927" coordsize="0,412" path="m1134,14927l1134,15338e" filled="false" stroked="true" strokeweight=".48pt" strokecolor="#000000">
              <v:path arrowok="t"/>
            </v:shape>
          </v:group>
          <v:group style="position:absolute;left:1139;top:15334;width:4776;height:2" coordorigin="1139,15334" coordsize="4776,2">
            <v:shape style="position:absolute;left:1139;top:15334;width:4776;height:2" coordorigin="1139,15334" coordsize="4776,0" path="m1139,15334l5914,15334e" filled="false" stroked="true" strokeweight=".47998pt" strokecolor="#000000">
              <v:path arrowok="t"/>
            </v:shape>
          </v:group>
          <v:group style="position:absolute;left:5919;top:14927;width:2;height:412" coordorigin="5919,14927" coordsize="2,412">
            <v:shape style="position:absolute;left:5919;top:14927;width:2;height:412" coordorigin="5919,14927" coordsize="0,412" path="m5919,14927l5919,15338e" filled="false" stroked="true" strokeweight=".47998pt" strokecolor="#000000">
              <v:path arrowok="t"/>
            </v:shape>
          </v:group>
          <v:group style="position:absolute;left:5924;top:15334;width:4774;height:2" coordorigin="5924,15334" coordsize="4774,2">
            <v:shape style="position:absolute;left:5924;top:15334;width:4774;height:2" coordorigin="5924,15334" coordsize="4774,0" path="m5924,15334l10698,15334e" filled="false" stroked="true" strokeweight=".47998pt" strokecolor="#000000">
              <v:path arrowok="t"/>
            </v:shape>
          </v:group>
          <v:group style="position:absolute;left:10703;top:14927;width:2;height:412" coordorigin="10703,14927" coordsize="2,412">
            <v:shape style="position:absolute;left:10703;top:14927;width:2;height:412" coordorigin="10703,14927" coordsize="0,412" path="m10703,14927l10703,15338e" filled="false" stroked="true" strokeweight=".48004pt" strokecolor="#000000">
              <v:path arrowok="t"/>
            </v:shape>
          </v:group>
          <w10:wrap type="none"/>
        </v:group>
      </w:pict>
    </w:r>
    <w:r>
      <w:rPr/>
      <w:pict>
        <v:shape style="position:absolute;margin-left:157.300003pt;margin-top:751.165588pt;width:38pt;height:11pt;mso-position-horizontal-relative:page;mso-position-vertical-relative:page;z-index:-1242832" type="#_x0000_t202" filled="false" stroked="false">
          <v:textbox inset="0,0,0,0">
            <w:txbxContent>
              <w:p>
                <w:pPr>
                  <w:pStyle w:val="BodyText"/>
                  <w:spacing w:line="200" w:lineRule="exact"/>
                  <w:ind w:left="20" w:right="0"/>
                  <w:jc w:val="left"/>
                </w:pPr>
                <w:r>
                  <w:rPr/>
                  <w:t>合并成本</w:t>
                </w:r>
              </w:p>
            </w:txbxContent>
          </v:textbox>
          <w10:wrap type="none"/>
        </v:shape>
      </w:pict>
    </w:r>
    <w:r>
      <w:rPr/>
      <w:pict>
        <v:shape style="position:absolute;margin-left:523.179993pt;margin-top:781.957947pt;width:17.5pt;height:11pt;mso-position-horizontal-relative:page;mso-position-vertical-relative:page;z-index:-1242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2784" type="#_x0000_t75" stroked="false">
          <v:imagedata r:id="rId1" o:title=""/>
        </v:shape>
      </w:pict>
    </w:r>
    <w:r>
      <w:rPr/>
      <w:pict>
        <v:shape style="position:absolute;margin-left:523.179993pt;margin-top:781.957947pt;width:17.5pt;height:11pt;mso-position-horizontal-relative:page;mso-position-vertical-relative:page;z-index:-1242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2736" type="#_x0000_t75" stroked="false">
          <v:imagedata r:id="rId1" o:title=""/>
        </v:shape>
      </w:pict>
    </w:r>
    <w:r>
      <w:rPr/>
      <w:pict>
        <v:shape style="position:absolute;margin-left:524.179993pt;margin-top:781.957947pt;width:15.5pt;height:11pt;mso-position-horizontal-relative:page;mso-position-vertical-relative:page;z-index:-12427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2688" type="#_x0000_t75" stroked="false">
          <v:imagedata r:id="rId1" o:title=""/>
        </v:shape>
      </w:pict>
    </w:r>
    <w:r>
      <w:rPr/>
      <w:pict>
        <v:shape style="position:absolute;margin-left:523.179993pt;margin-top:781.957947pt;width:17.5pt;height:11pt;mso-position-horizontal-relative:page;mso-position-vertical-relative:page;z-index:-1242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243096" type="#_x0000_t202" filled="false" stroked="false">
          <v:textbox inset="0,0,0,0">
            <w:txbxContent>
              <w:p>
                <w:pPr>
                  <w:pStyle w:val="BodyText"/>
                  <w:spacing w:line="214" w:lineRule="exact"/>
                  <w:ind w:left="20" w:right="0"/>
                  <w:jc w:val="left"/>
                </w:pPr>
                <w:r>
                  <w:rPr/>
                  <w:t>万达信息股份有限公司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96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4"/>
      <w:outlineLvl w:val="5"/>
    </w:pPr>
    <w:rPr>
      <w:rFonts w:ascii="宋体" w:hAnsi="宋体" w:eastAsia="宋体"/>
      <w:sz w:val="21"/>
      <w:szCs w:val="21"/>
    </w:rPr>
  </w:style>
  <w:style w:styleId="Heading6" w:type="paragraph">
    <w:name w:val="Heading 6"/>
    <w:basedOn w:val="Normal"/>
    <w:uiPriority w:val="1"/>
    <w:qFormat/>
    <w:pPr>
      <w:ind w:left="154"/>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wondersgroup.com/" TargetMode="External"/><Relationship Id="rId10" Type="http://schemas.openxmlformats.org/officeDocument/2006/relationships/hyperlink" Target="mailto:invest@wondersgroup.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rs.p5w.net/c/300168.shtml" TargetMode="External"/><Relationship Id="rId14" Type="http://schemas.openxmlformats.org/officeDocument/2006/relationships/image" Target="media/image4.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yperlink" Target="https://www.qichacha.com/firm_06ca79d969cbf9e1bebdc45c39082014.html" TargetMode="External"/><Relationship Id="rId22" Type="http://schemas.openxmlformats.org/officeDocument/2006/relationships/hyperlink" Target="https://www.qichacha.com/firm_0fc7b4cab1b2d7d5572601e91bbb5799.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万达信息股份有限公司</dc:creator>
  <dc:title>万达信息股份有限公司2018年年度报告全文</dc:title>
  <dcterms:created xsi:type="dcterms:W3CDTF">2020-05-05T02:55:23Z</dcterms:created>
  <dcterms:modified xsi:type="dcterms:W3CDTF">2020-05-05T02:55:23Z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