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4.9pt;height:.1pt;mso-position-horizontal-relative:page;mso-position-vertical-relative:page;z-index:0" coordorigin="1104,982" coordsize="9698,2">
            <v:shape style="position:absolute;left:1104;top:982;width:9698;height:2" coordorigin="1104,982" coordsize="9698,0" path="m1104,982l10802,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3"/>
          <w:szCs w:val="23"/>
        </w:rPr>
      </w:pPr>
    </w:p>
    <w:p>
      <w:pPr>
        <w:spacing w:line="539" w:lineRule="exact" w:before="0"/>
        <w:ind w:left="0" w:right="979" w:firstLine="0"/>
        <w:jc w:val="center"/>
        <w:rPr>
          <w:rFonts w:ascii="宋体" w:hAnsi="宋体" w:cs="宋体" w:eastAsia="宋体" w:hint="default"/>
          <w:sz w:val="44"/>
          <w:szCs w:val="44"/>
        </w:rPr>
      </w:pPr>
      <w:r>
        <w:rPr>
          <w:rFonts w:ascii="宋体" w:hAnsi="宋体" w:cs="宋体" w:eastAsia="宋体" w:hint="default"/>
          <w:b/>
          <w:bCs/>
          <w:sz w:val="44"/>
          <w:szCs w:val="44"/>
        </w:rPr>
        <w:t>万达信息股份有限公司</w:t>
      </w:r>
      <w:r>
        <w:rPr>
          <w:rFonts w:ascii="宋体" w:hAnsi="宋体" w:cs="宋体" w:eastAsia="宋体" w:hint="default"/>
          <w:sz w:val="44"/>
          <w:szCs w:val="44"/>
        </w:rPr>
      </w:r>
    </w:p>
    <w:p>
      <w:pPr>
        <w:spacing w:line="240" w:lineRule="auto" w:before="8"/>
        <w:rPr>
          <w:rFonts w:ascii="宋体" w:hAnsi="宋体" w:cs="宋体" w:eastAsia="宋体" w:hint="default"/>
          <w:b/>
          <w:bCs/>
          <w:sz w:val="30"/>
          <w:szCs w:val="30"/>
        </w:rPr>
      </w:pPr>
    </w:p>
    <w:p>
      <w:pPr>
        <w:spacing w:before="0"/>
        <w:ind w:left="0" w:right="978" w:firstLine="0"/>
        <w:jc w:val="center"/>
        <w:rPr>
          <w:rFonts w:ascii="宋体" w:hAnsi="宋体" w:cs="宋体" w:eastAsia="宋体" w:hint="default"/>
          <w:sz w:val="40"/>
          <w:szCs w:val="40"/>
        </w:rPr>
      </w:pPr>
      <w:r>
        <w:rPr>
          <w:rFonts w:ascii="Times New Roman" w:hAnsi="Times New Roman" w:cs="Times New Roman" w:eastAsia="Times New Roman" w:hint="default"/>
          <w:b/>
          <w:bCs/>
          <w:sz w:val="40"/>
          <w:szCs w:val="40"/>
        </w:rPr>
        <w:t>2019</w:t>
      </w:r>
      <w:r>
        <w:rPr>
          <w:rFonts w:ascii="Times New Roman" w:hAnsi="Times New Roman" w:cs="Times New Roman" w:eastAsia="Times New Roman" w:hint="default"/>
          <w:b/>
          <w:bCs/>
          <w:spacing w:val="-1"/>
          <w:sz w:val="40"/>
          <w:szCs w:val="40"/>
        </w:rPr>
        <w:t> </w:t>
      </w:r>
      <w:r>
        <w:rPr>
          <w:rFonts w:ascii="宋体" w:hAnsi="宋体" w:cs="宋体" w:eastAsia="宋体" w:hint="default"/>
          <w:b/>
          <w:bCs/>
          <w:sz w:val="40"/>
          <w:szCs w:val="40"/>
        </w:rPr>
        <w:t>年年度报告</w:t>
      </w:r>
      <w:r>
        <w:rPr>
          <w:rFonts w:ascii="宋体" w:hAnsi="宋体" w:cs="宋体" w:eastAsia="宋体" w:hint="default"/>
          <w:sz w:val="40"/>
          <w:szCs w:val="4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p>
      <w:pPr>
        <w:spacing w:line="552" w:lineRule="exact"/>
        <w:ind w:left="4083" w:right="0" w:firstLine="0"/>
        <w:rPr>
          <w:rFonts w:ascii="宋体" w:hAnsi="宋体" w:cs="宋体" w:eastAsia="宋体" w:hint="default"/>
          <w:sz w:val="20"/>
          <w:szCs w:val="20"/>
        </w:rPr>
      </w:pPr>
      <w:r>
        <w:rPr>
          <w:rFonts w:ascii="宋体" w:hAnsi="宋体" w:cs="宋体" w:eastAsia="宋体" w:hint="default"/>
          <w:position w:val="-10"/>
          <w:sz w:val="20"/>
          <w:szCs w:val="20"/>
        </w:rPr>
        <w:drawing>
          <wp:inline distT="0" distB="0" distL="0" distR="0">
            <wp:extent cx="1134410" cy="350520"/>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1134410" cy="350520"/>
                    </a:xfrm>
                    <a:prstGeom prst="rect">
                      <a:avLst/>
                    </a:prstGeom>
                  </pic:spPr>
                </pic:pic>
              </a:graphicData>
            </a:graphic>
          </wp:inline>
        </w:drawing>
      </w:r>
      <w:r>
        <w:rPr>
          <w:rFonts w:ascii="宋体" w:hAnsi="宋体" w:cs="宋体" w:eastAsia="宋体" w:hint="default"/>
          <w:position w:val="-10"/>
          <w:sz w:val="20"/>
          <w:szCs w:val="20"/>
        </w:rPr>
      </w: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0"/>
        <w:rPr>
          <w:rFonts w:ascii="宋体" w:hAnsi="宋体" w:cs="宋体" w:eastAsia="宋体" w:hint="default"/>
          <w:b/>
          <w:bCs/>
          <w:sz w:val="42"/>
          <w:szCs w:val="42"/>
        </w:rPr>
      </w:pPr>
    </w:p>
    <w:p>
      <w:pPr>
        <w:spacing w:line="240" w:lineRule="auto" w:before="9"/>
        <w:rPr>
          <w:rFonts w:ascii="宋体" w:hAnsi="宋体" w:cs="宋体" w:eastAsia="宋体" w:hint="default"/>
          <w:b/>
          <w:bCs/>
          <w:sz w:val="33"/>
          <w:szCs w:val="33"/>
        </w:rPr>
      </w:pPr>
    </w:p>
    <w:p>
      <w:pPr>
        <w:spacing w:before="0"/>
        <w:ind w:left="0" w:right="980" w:firstLine="0"/>
        <w:jc w:val="center"/>
        <w:rPr>
          <w:rFonts w:ascii="宋体" w:hAnsi="宋体" w:cs="宋体" w:eastAsia="宋体" w:hint="default"/>
          <w:sz w:val="40"/>
          <w:szCs w:val="40"/>
        </w:rPr>
      </w:pPr>
      <w:r>
        <w:rPr>
          <w:rFonts w:ascii="Times New Roman" w:hAnsi="Times New Roman" w:cs="Times New Roman" w:eastAsia="Times New Roman" w:hint="default"/>
          <w:b/>
          <w:bCs/>
          <w:sz w:val="40"/>
          <w:szCs w:val="40"/>
        </w:rPr>
        <w:t>2020</w:t>
      </w:r>
      <w:r>
        <w:rPr>
          <w:rFonts w:ascii="Times New Roman" w:hAnsi="Times New Roman" w:cs="Times New Roman" w:eastAsia="Times New Roman" w:hint="default"/>
          <w:b/>
          <w:bCs/>
          <w:spacing w:val="-2"/>
          <w:sz w:val="40"/>
          <w:szCs w:val="40"/>
        </w:rPr>
        <w:t> </w:t>
      </w:r>
      <w:r>
        <w:rPr>
          <w:rFonts w:ascii="宋体" w:hAnsi="宋体" w:cs="宋体" w:eastAsia="宋体" w:hint="default"/>
          <w:b/>
          <w:bCs/>
          <w:sz w:val="40"/>
          <w:szCs w:val="40"/>
        </w:rPr>
        <w:t>年</w:t>
      </w:r>
      <w:r>
        <w:rPr>
          <w:rFonts w:ascii="宋体" w:hAnsi="宋体" w:cs="宋体" w:eastAsia="宋体" w:hint="default"/>
          <w:b/>
          <w:bCs/>
          <w:spacing w:val="-98"/>
          <w:sz w:val="40"/>
          <w:szCs w:val="40"/>
        </w:rPr>
        <w:t> </w:t>
      </w:r>
      <w:r>
        <w:rPr>
          <w:rFonts w:ascii="Times New Roman" w:hAnsi="Times New Roman" w:cs="Times New Roman" w:eastAsia="Times New Roman" w:hint="default"/>
          <w:b/>
          <w:bCs/>
          <w:sz w:val="40"/>
          <w:szCs w:val="40"/>
        </w:rPr>
        <w:t>4</w:t>
      </w:r>
      <w:r>
        <w:rPr>
          <w:rFonts w:ascii="Times New Roman" w:hAnsi="Times New Roman" w:cs="Times New Roman" w:eastAsia="Times New Roman" w:hint="default"/>
          <w:b/>
          <w:bCs/>
          <w:spacing w:val="-1"/>
          <w:sz w:val="40"/>
          <w:szCs w:val="40"/>
        </w:rPr>
        <w:t> </w:t>
      </w:r>
      <w:r>
        <w:rPr>
          <w:rFonts w:ascii="宋体" w:hAnsi="宋体" w:cs="宋体" w:eastAsia="宋体" w:hint="default"/>
          <w:b/>
          <w:bCs/>
          <w:sz w:val="40"/>
          <w:szCs w:val="40"/>
        </w:rPr>
        <w:t>月</w:t>
      </w:r>
      <w:r>
        <w:rPr>
          <w:rFonts w:ascii="宋体" w:hAnsi="宋体" w:cs="宋体" w:eastAsia="宋体" w:hint="default"/>
          <w:sz w:val="40"/>
          <w:szCs w:val="40"/>
        </w:rPr>
      </w:r>
    </w:p>
    <w:p>
      <w:pPr>
        <w:spacing w:after="0"/>
        <w:jc w:val="center"/>
        <w:rPr>
          <w:rFonts w:ascii="宋体" w:hAnsi="宋体" w:cs="宋体" w:eastAsia="宋体" w:hint="default"/>
          <w:sz w:val="40"/>
          <w:szCs w:val="40"/>
        </w:rPr>
        <w:sectPr>
          <w:headerReference w:type="default" r:id="rId5"/>
          <w:footerReference w:type="default" r:id="rId6"/>
          <w:type w:val="continuous"/>
          <w:pgSz w:w="11910" w:h="16840"/>
          <w:pgMar w:header="745" w:footer="980" w:top="1060" w:bottom="1160" w:left="980" w:right="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3" w:right="2602"/>
        <w:jc w:val="left"/>
        <w:rPr>
          <w:b w:val="0"/>
          <w:bCs w:val="0"/>
        </w:rPr>
      </w:pPr>
      <w:bookmarkStart w:name="第一节 重要提示、目录和释义" w:id="1"/>
      <w:bookmarkEnd w:id="1"/>
      <w:r>
        <w:rPr>
          <w:b w:val="0"/>
          <w:bCs w:val="0"/>
        </w:rPr>
      </w:r>
      <w:bookmarkStart w:name="_bookmark0" w:id="2"/>
      <w:bookmarkEnd w:id="2"/>
      <w:r>
        <w:rPr>
          <w:b w:val="0"/>
          <w:bCs w:val="0"/>
        </w:rPr>
      </w:r>
      <w:r>
        <w:rPr/>
        <w:t>第一节</w:t>
      </w:r>
      <w:r>
        <w:rPr>
          <w:spacing w:val="-6"/>
        </w:rPr>
        <w:t> </w:t>
      </w:r>
      <w:r>
        <w:rPr/>
        <w:t>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5"/>
        <w:ind w:left="152" w:right="1136" w:firstLine="562"/>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w w:val="99"/>
          <w:sz w:val="28"/>
          <w:szCs w:val="28"/>
        </w:rPr>
        <w:t> </w:t>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2"/>
        <w:ind w:left="152" w:right="1131"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公司负责人胡宏伟、主管会计工作负责人陈丽娜及会计机构负责人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w:t>
      </w:r>
      <w:r>
        <w:rPr>
          <w:rFonts w:ascii="宋体" w:hAnsi="宋体" w:cs="宋体" w:eastAsia="宋体" w:hint="default"/>
          <w:b/>
          <w:bCs/>
          <w:w w:val="99"/>
          <w:sz w:val="28"/>
          <w:szCs w:val="28"/>
        </w:rPr>
        <w:t> </w:t>
      </w:r>
      <w:r>
        <w:rPr>
          <w:rFonts w:ascii="宋体" w:hAnsi="宋体" w:cs="宋体" w:eastAsia="宋体" w:hint="default"/>
          <w:b/>
          <w:bCs/>
          <w:sz w:val="28"/>
          <w:szCs w:val="28"/>
        </w:rPr>
        <w:t>管人员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郭伟民声明：保证年度报告中财务报告的真实、准确、完整。</w:t>
      </w:r>
      <w:r>
        <w:rPr>
          <w:rFonts w:ascii="宋体" w:hAnsi="宋体" w:cs="宋体" w:eastAsia="宋体" w:hint="default"/>
          <w:sz w:val="28"/>
          <w:szCs w:val="28"/>
        </w:rPr>
      </w:r>
    </w:p>
    <w:p>
      <w:pPr>
        <w:spacing w:line="472" w:lineRule="auto" w:before="148"/>
        <w:ind w:left="714" w:right="2602"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z w:val="28"/>
          <w:szCs w:val="28"/>
        </w:rPr>
        <w:t>公司计划不派发现金红利，不送红股，不以公积金转增股本。</w:t>
      </w:r>
      <w:r>
        <w:rPr>
          <w:rFonts w:ascii="宋体" w:hAnsi="宋体" w:cs="宋体" w:eastAsia="宋体" w:hint="default"/>
          <w:sz w:val="28"/>
          <w:szCs w:val="28"/>
        </w:rPr>
      </w:r>
    </w:p>
    <w:p>
      <w:pPr>
        <w:spacing w:after="0" w:line="472" w:lineRule="auto"/>
        <w:jc w:val="left"/>
        <w:rPr>
          <w:rFonts w:ascii="宋体" w:hAnsi="宋体" w:cs="宋体" w:eastAsia="宋体" w:hint="default"/>
          <w:sz w:val="28"/>
          <w:szCs w:val="28"/>
        </w:rPr>
        <w:sectPr>
          <w:footerReference w:type="default" r:id="rId8"/>
          <w:pgSz w:w="11910" w:h="16840"/>
          <w:pgMar w:footer="980" w:header="745" w:top="1060" w:bottom="1160" w:left="980" w:right="0"/>
          <w:pgNumType w:start="2"/>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p>
      <w:pPr>
        <w:tabs>
          <w:tab w:pos="724" w:val="left" w:leader="none"/>
        </w:tabs>
        <w:spacing w:line="460" w:lineRule="exact" w:before="0"/>
        <w:ind w:left="0" w:right="978"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2"/>
        <w:rPr>
          <w:rFonts w:ascii="宋体" w:hAnsi="宋体" w:cs="宋体" w:eastAsia="宋体" w:hint="default"/>
          <w:b/>
          <w:bCs/>
          <w:sz w:val="41"/>
          <w:szCs w:val="41"/>
        </w:rPr>
      </w:pPr>
    </w:p>
    <w:sdt>
      <w:sdtPr>
        <w:docPartObj>
          <w:docPartGallery w:val="Table of Contents"/>
          <w:docPartUnique/>
        </w:docPartObj>
      </w:sdtPr>
      <w:sdtEndPr/>
      <w:sdtContent>
        <w:p>
          <w:pPr>
            <w:pStyle w:val="TOC1"/>
            <w:tabs>
              <w:tab w:pos="9783"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t>第一节 重要提示、目录和释义</w:t>
            </w:r>
            <w:r>
              <w:rPr>
                <w:rFonts w:ascii="Times New Roman" w:hAnsi="Times New Roman" w:cs="Times New Roman" w:eastAsia="Times New Roman" w:hint="default"/>
              </w:rPr>
              <w:tab/>
              <w:t>2</w:t>
            </w:r>
          </w:hyperlink>
        </w:p>
        <w:p>
          <w:pPr>
            <w:pStyle w:val="TOC1"/>
            <w:tabs>
              <w:tab w:pos="9783" w:val="right" w:leader="dot"/>
            </w:tabs>
            <w:spacing w:line="240" w:lineRule="auto" w:before="160"/>
            <w:ind w:right="0"/>
            <w:jc w:val="left"/>
            <w:rPr>
              <w:rFonts w:ascii="Times New Roman" w:hAnsi="Times New Roman" w:cs="Times New Roman" w:eastAsia="Times New Roman" w:hint="default"/>
            </w:rPr>
          </w:pPr>
          <w:hyperlink w:history="true" w:anchor="_bookmark1">
            <w:r>
              <w:rPr/>
              <w:t>第二节 公司简介和主要财务指标</w:t>
            </w:r>
            <w:r>
              <w:rPr>
                <w:rFonts w:ascii="Times New Roman" w:hAnsi="Times New Roman" w:cs="Times New Roman" w:eastAsia="Times New Roman" w:hint="default"/>
              </w:rPr>
              <w:tab/>
              <w:t>5</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2">
            <w:r>
              <w:rPr/>
              <w:t>第三节 公司业务概要</w:t>
            </w:r>
            <w:r>
              <w:rPr>
                <w:rFonts w:ascii="Times New Roman" w:hAnsi="Times New Roman" w:cs="Times New Roman" w:eastAsia="Times New Roman" w:hint="default"/>
              </w:rPr>
              <w:tab/>
              <w:t>9</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3">
            <w:r>
              <w:rPr/>
              <w:t>第四节 经营情况讨论与分析</w:t>
            </w:r>
            <w:r>
              <w:rPr>
                <w:rFonts w:ascii="Times New Roman" w:hAnsi="Times New Roman" w:cs="Times New Roman" w:eastAsia="Times New Roman" w:hint="default"/>
              </w:rPr>
              <w:tab/>
              <w:t>25</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4">
            <w:r>
              <w:rPr/>
              <w:t>第五节 重要事项</w:t>
            </w:r>
            <w:r>
              <w:rPr>
                <w:rFonts w:ascii="Times New Roman" w:hAnsi="Times New Roman" w:cs="Times New Roman" w:eastAsia="Times New Roman" w:hint="default"/>
              </w:rPr>
              <w:tab/>
              <w:t>47</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5">
            <w:r>
              <w:rPr/>
              <w:t>第六节 股份变动及股东情况</w:t>
            </w:r>
            <w:r>
              <w:rPr>
                <w:rFonts w:ascii="Times New Roman" w:hAnsi="Times New Roman" w:cs="Times New Roman" w:eastAsia="Times New Roman" w:hint="default"/>
              </w:rPr>
              <w:tab/>
              <w:t>69</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6">
            <w:r>
              <w:rPr/>
              <w:t>第七节 优先股相关情况</w:t>
            </w:r>
            <w:r>
              <w:rPr>
                <w:rFonts w:ascii="Times New Roman" w:hAnsi="Times New Roman" w:cs="Times New Roman" w:eastAsia="Times New Roman" w:hint="default"/>
              </w:rPr>
              <w:tab/>
              <w:t>77</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7">
            <w:r>
              <w:rPr/>
              <w:t>第八节 可转换公司债券相关情况</w:t>
            </w:r>
            <w:r>
              <w:rPr>
                <w:rFonts w:ascii="Times New Roman" w:hAnsi="Times New Roman" w:cs="Times New Roman" w:eastAsia="Times New Roman" w:hint="default"/>
              </w:rPr>
              <w:tab/>
              <w:t>78</w:t>
            </w:r>
          </w:hyperlink>
        </w:p>
        <w:p>
          <w:pPr>
            <w:pStyle w:val="TOC1"/>
            <w:tabs>
              <w:tab w:pos="9783" w:val="right" w:leader="dot"/>
            </w:tabs>
            <w:spacing w:line="240" w:lineRule="auto" w:before="160"/>
            <w:ind w:right="0"/>
            <w:jc w:val="left"/>
            <w:rPr>
              <w:rFonts w:ascii="Times New Roman" w:hAnsi="Times New Roman" w:cs="Times New Roman" w:eastAsia="Times New Roman" w:hint="default"/>
            </w:rPr>
          </w:pPr>
          <w:hyperlink w:history="true" w:anchor="_bookmark8">
            <w:r>
              <w:rPr/>
              <w:t>第九节 董事、监事、高级管理人员和员工情况</w:t>
            </w:r>
            <w:r>
              <w:rPr>
                <w:rFonts w:ascii="Times New Roman" w:hAnsi="Times New Roman" w:cs="Times New Roman" w:eastAsia="Times New Roman" w:hint="default"/>
              </w:rPr>
              <w:tab/>
              <w:t>81</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9">
            <w:r>
              <w:rPr/>
              <w:t>第十节 公司治理</w:t>
            </w:r>
            <w:r>
              <w:rPr>
                <w:rFonts w:ascii="Times New Roman" w:hAnsi="Times New Roman" w:cs="Times New Roman" w:eastAsia="Times New Roman" w:hint="default"/>
              </w:rPr>
              <w:tab/>
              <w:t>90</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10">
            <w:r>
              <w:rPr/>
              <w:t>第十一节 公司债券相关情况</w:t>
            </w:r>
            <w:r>
              <w:rPr>
                <w:rFonts w:ascii="Times New Roman" w:hAnsi="Times New Roman" w:cs="Times New Roman" w:eastAsia="Times New Roman" w:hint="default"/>
              </w:rPr>
              <w:tab/>
              <w:t>96</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11">
            <w:r>
              <w:rPr/>
              <w:t>第十二节 财务报告</w:t>
            </w:r>
            <w:r>
              <w:rPr>
                <w:rFonts w:ascii="Times New Roman" w:hAnsi="Times New Roman" w:cs="Times New Roman" w:eastAsia="Times New Roman" w:hint="default"/>
              </w:rPr>
              <w:tab/>
              <w:t>97</w:t>
            </w:r>
          </w:hyperlink>
        </w:p>
        <w:p>
          <w:pPr>
            <w:pStyle w:val="TOC1"/>
            <w:tabs>
              <w:tab w:pos="9783" w:val="right" w:leader="dot"/>
            </w:tabs>
            <w:spacing w:line="240" w:lineRule="auto"/>
            <w:ind w:right="0"/>
            <w:jc w:val="left"/>
            <w:rPr>
              <w:rFonts w:ascii="Times New Roman" w:hAnsi="Times New Roman" w:cs="Times New Roman" w:eastAsia="Times New Roman" w:hint="default"/>
            </w:rPr>
          </w:pPr>
          <w:hyperlink w:history="true" w:anchor="_bookmark12">
            <w:r>
              <w:rPr/>
              <w:t>第十三节 备查文件目录</w:t>
            </w:r>
            <w:r>
              <w:rPr>
                <w:rFonts w:ascii="Times New Roman" w:hAnsi="Times New Roman" w:cs="Times New Roman" w:eastAsia="Times New Roman" w:hint="default"/>
              </w:rPr>
              <w:tab/>
              <w:t>226</w:t>
            </w:r>
          </w:hyperlink>
        </w:p>
        <w:p>
          <w:pPr/>
          <w:r>
            <w:fldChar w:fldCharType="end"/>
          </w:r>
        </w:p>
      </w:sdtContent>
    </w:sdt>
    <w:p>
      <w:pPr>
        <w:spacing w:after="0"/>
        <w:sectPr>
          <w:pgSz w:w="11910" w:h="16840"/>
          <w:pgMar w:header="745" w:footer="980" w:top="1060" w:bottom="1160" w:left="980" w:right="0"/>
        </w:sectPr>
      </w:pPr>
    </w:p>
    <w:p>
      <w:pPr>
        <w:spacing w:before="945"/>
        <w:ind w:left="0" w:right="978"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33"/>
        <w:gridCol w:w="259"/>
        <w:gridCol w:w="6179"/>
      </w:tblGrid>
      <w:tr>
        <w:trPr>
          <w:trHeight w:val="403" w:hRule="exact"/>
        </w:trPr>
        <w:tc>
          <w:tcPr>
            <w:tcW w:w="3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2"/>
              <w:jc w:val="center"/>
              <w:rPr>
                <w:rFonts w:ascii="宋体" w:hAnsi="宋体" w:cs="宋体" w:eastAsia="宋体" w:hint="default"/>
                <w:sz w:val="18"/>
                <w:szCs w:val="18"/>
              </w:rPr>
            </w:pPr>
            <w:r>
              <w:rPr>
                <w:rFonts w:ascii="宋体" w:hAnsi="宋体" w:cs="宋体" w:eastAsia="宋体" w:hint="default"/>
                <w:sz w:val="18"/>
                <w:szCs w:val="18"/>
              </w:rPr>
              <w:t>释义项</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1"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3"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万达信息、上市公司、公司、本公司</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万达信息股份有限公司</w:t>
            </w:r>
          </w:p>
        </w:tc>
      </w:tr>
      <w:tr>
        <w:trPr>
          <w:trHeight w:val="401"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中国人寿</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中国人寿股份有限公司</w:t>
            </w:r>
          </w:p>
        </w:tc>
      </w:tr>
      <w:tr>
        <w:trPr>
          <w:trHeight w:val="403"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万豪投资、原控股股东、原第一大股东</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上海万豪投资有限公司</w:t>
            </w:r>
          </w:p>
        </w:tc>
      </w:tr>
      <w:tr>
        <w:trPr>
          <w:trHeight w:val="401"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HRP</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Hospital Resource</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z w:val="18"/>
                <w:szCs w:val="18"/>
              </w:rPr>
              <w:t>Planning</w:t>
            </w:r>
            <w:r>
              <w:rPr>
                <w:rFonts w:ascii="宋体" w:hAnsi="宋体" w:cs="宋体" w:eastAsia="宋体" w:hint="default"/>
                <w:sz w:val="18"/>
                <w:szCs w:val="18"/>
              </w:rPr>
              <w:t>，即医院资源规划</w:t>
            </w:r>
          </w:p>
        </w:tc>
      </w:tr>
      <w:tr>
        <w:trPr>
          <w:trHeight w:val="403"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DRG</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Diagnosis Related</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Groups</w:t>
            </w:r>
            <w:r>
              <w:rPr>
                <w:rFonts w:ascii="宋体" w:hAnsi="宋体" w:cs="宋体" w:eastAsia="宋体" w:hint="default"/>
                <w:sz w:val="18"/>
                <w:szCs w:val="18"/>
              </w:rPr>
              <w:t>，即疾病诊断相关分组</w:t>
            </w:r>
          </w:p>
        </w:tc>
      </w:tr>
      <w:tr>
        <w:trPr>
          <w:trHeight w:val="401"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DRGS</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Diagnosis Related Groups</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System</w:t>
            </w:r>
            <w:r>
              <w:rPr>
                <w:rFonts w:ascii="宋体" w:hAnsi="宋体" w:cs="宋体" w:eastAsia="宋体" w:hint="default"/>
                <w:sz w:val="18"/>
                <w:szCs w:val="18"/>
              </w:rPr>
              <w:t>，即疾病诊断相关分组系统</w:t>
            </w:r>
          </w:p>
        </w:tc>
      </w:tr>
      <w:tr>
        <w:trPr>
          <w:trHeight w:val="403"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HIS</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Hospital Information</w:t>
            </w:r>
            <w:r>
              <w:rPr>
                <w:rFonts w:ascii="Times New Roman" w:hAnsi="Times New Roman" w:cs="Times New Roman" w:eastAsia="Times New Roman" w:hint="default"/>
                <w:spacing w:val="-9"/>
                <w:sz w:val="18"/>
                <w:szCs w:val="18"/>
              </w:rPr>
              <w:t> </w:t>
            </w:r>
            <w:r>
              <w:rPr>
                <w:rFonts w:ascii="Times New Roman" w:hAnsi="Times New Roman" w:cs="Times New Roman" w:eastAsia="Times New Roman" w:hint="default"/>
                <w:sz w:val="18"/>
                <w:szCs w:val="18"/>
              </w:rPr>
              <w:t>System</w:t>
            </w:r>
            <w:r>
              <w:rPr>
                <w:rFonts w:ascii="宋体" w:hAnsi="宋体" w:cs="宋体" w:eastAsia="宋体" w:hint="default"/>
                <w:sz w:val="18"/>
                <w:szCs w:val="18"/>
              </w:rPr>
              <w:t>，即医院信息系统</w:t>
            </w:r>
          </w:p>
        </w:tc>
      </w:tr>
      <w:tr>
        <w:trPr>
          <w:trHeight w:val="401"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WSSIP</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万达社会保障一体化平台（</w:t>
            </w:r>
            <w:r>
              <w:rPr>
                <w:rFonts w:ascii="Times New Roman" w:hAnsi="Times New Roman" w:cs="Times New Roman" w:eastAsia="Times New Roman" w:hint="default"/>
                <w:sz w:val="18"/>
                <w:szCs w:val="18"/>
              </w:rPr>
              <w:t>Wonders Social Security Integration</w:t>
            </w:r>
            <w:r>
              <w:rPr>
                <w:rFonts w:ascii="Times New Roman" w:hAnsi="Times New Roman" w:cs="Times New Roman" w:eastAsia="Times New Roman" w:hint="default"/>
                <w:spacing w:val="-25"/>
                <w:sz w:val="18"/>
                <w:szCs w:val="18"/>
              </w:rPr>
              <w:t> </w:t>
            </w:r>
            <w:r>
              <w:rPr>
                <w:rFonts w:ascii="Times New Roman" w:hAnsi="Times New Roman" w:cs="Times New Roman" w:eastAsia="Times New Roman" w:hint="default"/>
                <w:sz w:val="18"/>
                <w:szCs w:val="18"/>
              </w:rPr>
              <w:t>Platform</w:t>
            </w:r>
            <w:r>
              <w:rPr>
                <w:rFonts w:ascii="宋体" w:hAnsi="宋体" w:cs="宋体" w:eastAsia="宋体" w:hint="default"/>
                <w:sz w:val="18"/>
                <w:szCs w:val="18"/>
              </w:rPr>
              <w:t>）</w:t>
            </w:r>
          </w:p>
        </w:tc>
      </w:tr>
      <w:tr>
        <w:trPr>
          <w:trHeight w:val="403" w:hRule="exact"/>
        </w:trPr>
        <w:tc>
          <w:tcPr>
            <w:tcW w:w="3133"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LEAF</w:t>
            </w:r>
          </w:p>
        </w:tc>
        <w:tc>
          <w:tcPr>
            <w:tcW w:w="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Labor Enterprise Architecture</w:t>
            </w:r>
            <w:r>
              <w:rPr>
                <w:rFonts w:ascii="Times New Roman" w:hAnsi="Times New Roman" w:cs="Times New Roman" w:eastAsia="Times New Roman" w:hint="default"/>
                <w:spacing w:val="-19"/>
                <w:sz w:val="18"/>
                <w:szCs w:val="18"/>
              </w:rPr>
              <w:t> </w:t>
            </w:r>
            <w:r>
              <w:rPr>
                <w:rFonts w:ascii="Times New Roman" w:hAnsi="Times New Roman" w:cs="Times New Roman" w:eastAsia="Times New Roman" w:hint="default"/>
                <w:sz w:val="18"/>
                <w:szCs w:val="18"/>
              </w:rPr>
              <w:t>Framework</w:t>
            </w:r>
            <w:r>
              <w:rPr>
                <w:rFonts w:ascii="宋体" w:hAnsi="宋体" w:cs="宋体" w:eastAsia="宋体" w:hint="default"/>
                <w:sz w:val="18"/>
                <w:szCs w:val="18"/>
              </w:rPr>
              <w:t>，即劳动（保障）企业级应用支撑框架</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1"/>
        <w:spacing w:line="240" w:lineRule="auto"/>
        <w:ind w:left="2642" w:right="2602"/>
        <w:jc w:val="left"/>
        <w:rPr>
          <w:b w:val="0"/>
          <w:bCs w:val="0"/>
        </w:rPr>
      </w:pPr>
      <w:bookmarkStart w:name="第二节 公司简介和主要财务指标" w:id="3"/>
      <w:bookmarkEnd w:id="3"/>
      <w:r>
        <w:rPr>
          <w:b w:val="0"/>
          <w:bCs w:val="0"/>
        </w:rPr>
      </w:r>
      <w:bookmarkStart w:name="_bookmark1" w:id="4"/>
      <w:bookmarkEnd w:id="4"/>
      <w:r>
        <w:rPr>
          <w:b w:val="0"/>
          <w:bCs w:val="0"/>
        </w:rPr>
      </w:r>
      <w:r>
        <w:rPr/>
        <w:t>第二节</w:t>
      </w:r>
      <w:r>
        <w:rPr>
          <w:spacing w:val="-5"/>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2602"/>
        <w:jc w:val="left"/>
        <w:rPr>
          <w:b w:val="0"/>
          <w:bCs w:val="0"/>
        </w:rPr>
      </w:pPr>
      <w:r>
        <w:rPr/>
        <w:pict>
          <v:group style="position:absolute;margin-left:172.339996pt;margin-top:114.681595pt;width:361.55pt;height:19.75pt;mso-position-horizontal-relative:page;mso-position-vertical-relative:paragraph;z-index:-1334464" coordorigin="3447,2294" coordsize="7231,395">
            <v:shape style="position:absolute;left:3447;top:2294;width:7231;height:395" coordorigin="3447,2294" coordsize="7231,395" path="m3447,2688l10677,2688,10677,2294,3447,2294,3447,2688xe" filled="true" fillcolor="#ffffff" stroked="false">
              <v:path arrowok="t"/>
              <v:fill type="solid"/>
            </v:shape>
            <w10:wrap type="none"/>
          </v:group>
        </w:pict>
      </w: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2"/>
        <w:gridCol w:w="2966"/>
        <w:gridCol w:w="2154"/>
        <w:gridCol w:w="2177"/>
      </w:tblGrid>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万达信息</w:t>
            </w:r>
          </w:p>
        </w:tc>
        <w:tc>
          <w:tcPr>
            <w:tcW w:w="21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300168</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万达信息股份有限公司</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万达信息</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pacing w:val="-3"/>
                <w:sz w:val="18"/>
              </w:rPr>
              <w:t>Wonders </w:t>
            </w:r>
            <w:r>
              <w:rPr>
                <w:rFonts w:ascii="Times New Roman"/>
                <w:sz w:val="18"/>
              </w:rPr>
              <w:t>Information Co.,</w:t>
            </w:r>
            <w:r>
              <w:rPr>
                <w:rFonts w:ascii="Times New Roman"/>
                <w:spacing w:val="1"/>
                <w:sz w:val="18"/>
              </w:rPr>
              <w:t> </w:t>
            </w:r>
            <w:r>
              <w:rPr>
                <w:rFonts w:ascii="Times New Roman"/>
                <w:sz w:val="18"/>
              </w:rPr>
              <w:t>Ltd</w:t>
            </w:r>
          </w:p>
        </w:tc>
      </w:tr>
      <w:tr>
        <w:trPr>
          <w:trHeight w:val="404" w:hRule="exact"/>
        </w:trPr>
        <w:tc>
          <w:tcPr>
            <w:tcW w:w="2272"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49"/>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8"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pacing w:val="-3"/>
                <w:sz w:val="18"/>
              </w:rPr>
              <w:t>Wonders</w:t>
            </w:r>
            <w:r>
              <w:rPr>
                <w:rFonts w:ascii="Times New Roman"/>
                <w:spacing w:val="1"/>
                <w:sz w:val="18"/>
              </w:rPr>
              <w:t> </w:t>
            </w:r>
            <w:r>
              <w:rPr>
                <w:rFonts w:ascii="Times New Roman"/>
                <w:sz w:val="18"/>
              </w:rPr>
              <w:t>Information</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胡宏伟</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上海市桂平路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481 </w:t>
            </w:r>
            <w:r>
              <w:rPr>
                <w:rFonts w:ascii="宋体" w:hAnsi="宋体" w:cs="宋体" w:eastAsia="宋体" w:hint="default"/>
                <w:sz w:val="18"/>
                <w:szCs w:val="18"/>
              </w:rPr>
              <w:t>号</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200233</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上海市联航路</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1518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pacing w:val="-3"/>
                <w:sz w:val="18"/>
              </w:rPr>
              <w:t>201112</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9">
              <w:r>
                <w:rPr>
                  <w:rFonts w:ascii="Times New Roman"/>
                  <w:sz w:val="18"/>
                </w:rPr>
                <w:t>www.wondersgroup.com</w:t>
              </w:r>
            </w:hyperlink>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10">
              <w:r>
                <w:rPr>
                  <w:rFonts w:ascii="Times New Roman"/>
                  <w:sz w:val="18"/>
                </w:rPr>
                <w:t>invest@wondersgroup.com</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2602"/>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12"/>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姜锋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王雯钰</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上海市联航路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上海市联航路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15921621686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15921621686</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021-32140588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021-32140588</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invest@wondersgroup.com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invest@wondersgroup.com</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2602"/>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1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1"/>
        <w:gridCol w:w="5579"/>
      </w:tblGrid>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2"/>
                <w:sz w:val="18"/>
                <w:szCs w:val="18"/>
              </w:rPr>
              <w:t>》、</w:t>
            </w:r>
            <w:r>
              <w:rPr>
                <w:rFonts w:ascii="宋体" w:hAnsi="宋体" w:cs="宋体" w:eastAsia="宋体" w:hint="default"/>
                <w:sz w:val="18"/>
                <w:szCs w:val="18"/>
              </w:rPr>
              <w:t>《上海证券</w:t>
            </w:r>
            <w:r>
              <w:rPr>
                <w:rFonts w:ascii="宋体" w:hAnsi="宋体" w:cs="宋体" w:eastAsia="宋体" w:hint="default"/>
                <w:spacing w:val="2"/>
                <w:sz w:val="18"/>
                <w:szCs w:val="18"/>
              </w:rPr>
              <w:t>报</w:t>
            </w:r>
            <w:r>
              <w:rPr>
                <w:rFonts w:ascii="宋体" w:hAnsi="宋体" w:cs="宋体" w:eastAsia="宋体" w:hint="default"/>
                <w:spacing w:val="-89"/>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《证券时报</w:t>
            </w:r>
            <w:r>
              <w:rPr>
                <w:rFonts w:ascii="宋体" w:hAnsi="宋体" w:cs="宋体" w:eastAsia="宋体" w:hint="default"/>
                <w:spacing w:val="-89"/>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《证券日报》</w:t>
            </w:r>
          </w:p>
        </w:tc>
      </w:tr>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上海市南京西路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楼、深圳证券交易所</w:t>
            </w:r>
          </w:p>
        </w:tc>
      </w:tr>
    </w:tbl>
    <w:p>
      <w:pPr>
        <w:spacing w:line="240" w:lineRule="auto" w:before="1"/>
        <w:rPr>
          <w:rFonts w:ascii="宋体" w:hAnsi="宋体" w:cs="宋体" w:eastAsia="宋体" w:hint="default"/>
          <w:b/>
          <w:bCs/>
          <w:sz w:val="18"/>
          <w:szCs w:val="18"/>
        </w:rPr>
      </w:pPr>
    </w:p>
    <w:p>
      <w:pPr>
        <w:pStyle w:val="Heading2"/>
        <w:spacing w:line="240" w:lineRule="auto" w:before="26"/>
        <w:ind w:right="2602"/>
        <w:jc w:val="left"/>
        <w:rPr>
          <w:b w:val="0"/>
          <w:bCs w:val="0"/>
        </w:rPr>
      </w:pPr>
      <w:bookmarkStart w:name="四、其他有关资料" w:id="8"/>
      <w:bookmarkEnd w:id="8"/>
      <w:r>
        <w:rPr>
          <w:b w:val="0"/>
          <w:bCs w:val="0"/>
        </w:rPr>
      </w:r>
      <w:r>
        <w:rPr/>
        <w:t>四、其他有关资料</w:t>
      </w:r>
      <w:r>
        <w:rPr>
          <w:b w:val="0"/>
          <w:bCs w:val="0"/>
        </w:rPr>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b/>
          <w:bCs/>
          <w:sz w:val="25"/>
          <w:szCs w:val="25"/>
        </w:rPr>
      </w:pPr>
      <w:r>
        <w:rPr/>
        <w:pict>
          <v:group style="position:absolute;margin-left:198.770004pt;margin-top:456.009979pt;width:83.4pt;height:20.65pt;mso-position-horizontal-relative:page;mso-position-vertical-relative:page;z-index:-1334416" coordorigin="3975,9120" coordsize="1668,413">
            <v:group style="position:absolute;left:3986;top:9131;width:2;height:392" coordorigin="3986,9131" coordsize="2,392">
              <v:shape style="position:absolute;left:3986;top:9131;width:2;height:392" coordorigin="3986,9131" coordsize="0,392" path="m3986,9131l3986,9522e" filled="false" stroked="true" strokeweight="1.08pt" strokecolor="#ffffff">
                <v:path arrowok="t"/>
              </v:shape>
            </v:group>
            <v:group style="position:absolute;left:3997;top:9131;width:1647;height:392" coordorigin="3997,9131" coordsize="1647,392">
              <v:shape style="position:absolute;left:3997;top:9131;width:1647;height:392" coordorigin="3997,9131" coordsize="1647,392" path="m3997,9522l5643,9522,5643,9131,3997,9131,3997,9522xe" filled="true" fillcolor="#ffffff" stroked="false">
                <v:path arrowok="t"/>
                <v:fill type="solid"/>
              </v:shape>
            </v:group>
            <w10:wrap type="none"/>
          </v:group>
        </w:pict>
      </w:r>
    </w:p>
    <w:p>
      <w:pPr>
        <w:pStyle w:val="BodyText"/>
        <w:spacing w:line="240" w:lineRule="auto" w:before="44"/>
        <w:ind w:right="2602"/>
        <w:jc w:val="left"/>
      </w:pPr>
      <w:r>
        <w:rPr/>
        <w:t>公司聘请的会计师事务所</w:t>
      </w:r>
    </w:p>
    <w:p>
      <w:pPr>
        <w:spacing w:line="240" w:lineRule="auto" w:before="5"/>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1"/>
        <w:gridCol w:w="6908"/>
      </w:tblGrid>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上海市南京东路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黄晔、赵敏</w:t>
            </w:r>
          </w:p>
        </w:tc>
      </w:tr>
    </w:tbl>
    <w:p>
      <w:pPr>
        <w:pStyle w:val="BodyText"/>
        <w:spacing w:line="240" w:lineRule="auto" w:before="49"/>
        <w:ind w:right="2602"/>
        <w:jc w:val="left"/>
      </w:pPr>
      <w:r>
        <w:rPr/>
        <w:t>公司聘请的报告期内履行持续督导职责的保荐机构</w:t>
      </w:r>
    </w:p>
    <w:p>
      <w:pPr>
        <w:pStyle w:val="BodyText"/>
        <w:spacing w:line="240" w:lineRule="auto" w:before="117"/>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696"/>
        <w:gridCol w:w="2693"/>
        <w:gridCol w:w="1558"/>
        <w:gridCol w:w="2624"/>
      </w:tblGrid>
      <w:tr>
        <w:trPr>
          <w:trHeight w:val="403" w:hRule="exact"/>
        </w:trPr>
        <w:tc>
          <w:tcPr>
            <w:tcW w:w="2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02"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6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1"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4"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66"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3"/>
              <w:jc w:val="left"/>
              <w:rPr>
                <w:rFonts w:ascii="宋体" w:hAnsi="宋体" w:cs="宋体" w:eastAsia="宋体" w:hint="default"/>
                <w:sz w:val="18"/>
                <w:szCs w:val="18"/>
              </w:rPr>
            </w:pPr>
            <w:r>
              <w:rPr>
                <w:rFonts w:ascii="宋体" w:hAnsi="宋体" w:cs="宋体" w:eastAsia="宋体" w:hint="default"/>
                <w:spacing w:val="-5"/>
                <w:sz w:val="18"/>
                <w:szCs w:val="18"/>
              </w:rPr>
              <w:t>中信证券华南股份有限公司（原名</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8"/>
                <w:sz w:val="18"/>
                <w:szCs w:val="18"/>
              </w:rPr>
              <w:t>“广州证券股份有限公司”）</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137"/>
              <w:jc w:val="left"/>
              <w:rPr>
                <w:rFonts w:ascii="宋体" w:hAnsi="宋体" w:cs="宋体" w:eastAsia="宋体" w:hint="default"/>
                <w:sz w:val="18"/>
                <w:szCs w:val="18"/>
              </w:rPr>
            </w:pPr>
            <w:r>
              <w:rPr>
                <w:rFonts w:ascii="宋体" w:hAnsi="宋体" w:cs="宋体" w:eastAsia="宋体" w:hint="default"/>
                <w:sz w:val="18"/>
                <w:szCs w:val="18"/>
              </w:rPr>
              <w:t>广州市天河区珠江西路</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号广州 国际金融中心主塔</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层</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李孝君、石建华</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日</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r>
    </w:tbl>
    <w:p>
      <w:pPr>
        <w:pStyle w:val="BodyText"/>
        <w:spacing w:line="240" w:lineRule="auto" w:before="49"/>
        <w:ind w:right="2602"/>
        <w:jc w:val="left"/>
      </w:pPr>
      <w:r>
        <w:rPr/>
        <w:t>公司聘请的报告期内履行持续督导职责的财务顾问</w:t>
      </w:r>
    </w:p>
    <w:p>
      <w:pPr>
        <w:pStyle w:val="BodyText"/>
        <w:spacing w:line="240" w:lineRule="auto" w:before="118"/>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2602"/>
        <w:jc w:val="left"/>
        <w:rPr>
          <w:b w:val="0"/>
          <w:bCs w:val="0"/>
        </w:rPr>
      </w:pPr>
      <w:bookmarkStart w:name="五、主要会计数据和财务指标" w:id="9"/>
      <w:bookmarkEnd w:id="9"/>
      <w:r>
        <w:rPr>
          <w:b w:val="0"/>
          <w:bCs w:val="0"/>
        </w:rPr>
      </w:r>
      <w:r>
        <w:rPr/>
        <w:t>五、主要会计数据和财务指标</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t>公司是否需追溯调整或重述以前年度会计数据</w:t>
      </w:r>
    </w:p>
    <w:p>
      <w:pPr>
        <w:pStyle w:val="BodyText"/>
        <w:spacing w:line="240" w:lineRule="auto" w:before="117"/>
        <w:ind w:right="2602"/>
        <w:jc w:val="left"/>
      </w:pPr>
      <w:r>
        <w:rPr/>
        <w:pict>
          <v:group style="position:absolute;margin-left:198.770004pt;margin-top:63.221714pt;width:83.4pt;height:20.65pt;mso-position-horizontal-relative:page;mso-position-vertical-relative:paragraph;z-index:-1334440" coordorigin="3975,1264" coordsize="1668,413">
            <v:group style="position:absolute;left:3986;top:1275;width:2;height:392" coordorigin="3986,1275" coordsize="2,392">
              <v:shape style="position:absolute;left:3986;top:1275;width:2;height:392" coordorigin="3986,1275" coordsize="0,392" path="m3986,1275l3986,1666e" filled="false" stroked="true" strokeweight="1.08pt" strokecolor="#ffffff">
                <v:path arrowok="t"/>
              </v:shape>
            </v:group>
            <v:group style="position:absolute;left:3997;top:1275;width:1647;height:392" coordorigin="3997,1275" coordsize="1647,392">
              <v:shape style="position:absolute;left:3997;top:1275;width:1647;height:392" coordorigin="3997,1275" coordsize="1647,392" path="m3997,1666l5643,1666,5643,1275,3997,1275,3997,1666xe" filled="true" fillcolor="#ffffff" stroked="false">
                <v:path arrowok="t"/>
                <v:fill type="solid"/>
              </v:shape>
            </v:group>
            <w10:wrap type="none"/>
          </v:group>
        </w:pict>
      </w: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813"/>
        <w:gridCol w:w="218"/>
        <w:gridCol w:w="1495"/>
        <w:gridCol w:w="1702"/>
        <w:gridCol w:w="1702"/>
        <w:gridCol w:w="1630"/>
      </w:tblGrid>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1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5"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3"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1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411" w:right="0"/>
              <w:jc w:val="left"/>
              <w:rPr>
                <w:rFonts w:ascii="Times New Roman" w:hAnsi="Times New Roman" w:cs="Times New Roman" w:eastAsia="Times New Roman" w:hint="default"/>
                <w:sz w:val="18"/>
                <w:szCs w:val="18"/>
              </w:rPr>
            </w:pPr>
            <w:r>
              <w:rPr>
                <w:rFonts w:ascii="Times New Roman"/>
                <w:sz w:val="18"/>
              </w:rPr>
              <w:t>2,124,500,987.29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2,204,681,762.59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-3.64%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2,415,482,575.09</w:t>
            </w:r>
          </w:p>
        </w:tc>
      </w:tr>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218" w:type="dxa"/>
            <w:tcBorders>
              <w:top w:val="single" w:sz="4" w:space="0" w:color="000000"/>
              <w:left w:val="single" w:sz="10" w:space="0" w:color="D2D2D2"/>
              <w:bottom w:val="single" w:sz="4" w:space="0" w:color="000000"/>
              <w:right w:val="nil" w:sz="6" w:space="0" w:color="auto"/>
            </w:tcBorders>
          </w:tcPr>
          <w:p>
            <w:pPr>
              <w:pStyle w:val="TableParagraph"/>
              <w:spacing w:line="240" w:lineRule="auto" w:before="49"/>
              <w:ind w:left="-120" w:right="0"/>
              <w:jc w:val="left"/>
              <w:rPr>
                <w:rFonts w:ascii="宋体" w:hAnsi="宋体" w:cs="宋体" w:eastAsia="宋体" w:hint="default"/>
                <w:sz w:val="18"/>
                <w:szCs w:val="18"/>
              </w:rPr>
            </w:pPr>
            <w:r>
              <w:rPr>
                <w:rFonts w:ascii="宋体" w:hAnsi="宋体" w:cs="宋体" w:eastAsia="宋体" w:hint="default"/>
                <w:sz w:val="18"/>
                <w:szCs w:val="18"/>
              </w:rPr>
              <w:t>）</w:t>
            </w:r>
          </w:p>
        </w:tc>
        <w:tc>
          <w:tcPr>
            <w:tcW w:w="14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-1,397,325,377.07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231,999,258.41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-702.30%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326,506,950.26</w:t>
            </w:r>
          </w:p>
        </w:tc>
      </w:tr>
      <w:tr>
        <w:trPr>
          <w:trHeight w:val="716"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9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 性损益的净利润（元）</w:t>
            </w:r>
          </w:p>
        </w:tc>
        <w:tc>
          <w:tcPr>
            <w:tcW w:w="171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1" w:right="0"/>
              <w:jc w:val="left"/>
              <w:rPr>
                <w:rFonts w:ascii="Times New Roman" w:hAnsi="Times New Roman" w:cs="Times New Roman" w:eastAsia="Times New Roman" w:hint="default"/>
                <w:sz w:val="18"/>
                <w:szCs w:val="18"/>
              </w:rPr>
            </w:pPr>
            <w:r>
              <w:rPr>
                <w:rFonts w:ascii="Times New Roman"/>
                <w:sz w:val="18"/>
              </w:rPr>
              <w:t>-1,460,940,277.48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161,127,827.47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-1,006.70%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243,354,172.32</w:t>
            </w:r>
          </w:p>
        </w:tc>
      </w:tr>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218" w:type="dxa"/>
            <w:tcBorders>
              <w:top w:val="single" w:sz="4" w:space="0" w:color="000000"/>
              <w:left w:val="single" w:sz="10" w:space="0" w:color="D2D2D2"/>
              <w:bottom w:val="single" w:sz="4" w:space="0" w:color="000000"/>
              <w:right w:val="nil" w:sz="6" w:space="0" w:color="auto"/>
            </w:tcBorders>
          </w:tcPr>
          <w:p>
            <w:pPr>
              <w:pStyle w:val="TableParagraph"/>
              <w:spacing w:line="240" w:lineRule="auto" w:before="49"/>
              <w:ind w:left="-120" w:right="0"/>
              <w:jc w:val="left"/>
              <w:rPr>
                <w:rFonts w:ascii="宋体" w:hAnsi="宋体" w:cs="宋体" w:eastAsia="宋体" w:hint="default"/>
                <w:sz w:val="18"/>
                <w:szCs w:val="18"/>
              </w:rPr>
            </w:pPr>
            <w:r>
              <w:rPr>
                <w:rFonts w:ascii="宋体" w:hAnsi="宋体" w:cs="宋体" w:eastAsia="宋体" w:hint="default"/>
                <w:sz w:val="18"/>
                <w:szCs w:val="18"/>
              </w:rPr>
              <w:t>）</w:t>
            </w:r>
          </w:p>
        </w:tc>
        <w:tc>
          <w:tcPr>
            <w:tcW w:w="14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166,675,056.97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72,256,130.59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130.67%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-234,039,910.73</w:t>
            </w:r>
          </w:p>
        </w:tc>
      </w:tr>
      <w:tr>
        <w:trPr>
          <w:trHeight w:val="403"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1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117" w:right="0"/>
              <w:jc w:val="left"/>
              <w:rPr>
                <w:rFonts w:ascii="Times New Roman" w:hAnsi="Times New Roman" w:cs="Times New Roman" w:eastAsia="Times New Roman" w:hint="default"/>
                <w:sz w:val="18"/>
                <w:szCs w:val="18"/>
              </w:rPr>
            </w:pPr>
            <w:r>
              <w:rPr>
                <w:rFonts w:ascii="Times New Roman"/>
                <w:sz w:val="18"/>
              </w:rPr>
              <w:t>-1.2736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0.2189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-681.82%</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0.3167</w:t>
            </w:r>
          </w:p>
        </w:tc>
      </w:tr>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1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117" w:right="0"/>
              <w:jc w:val="left"/>
              <w:rPr>
                <w:rFonts w:ascii="Times New Roman" w:hAnsi="Times New Roman" w:cs="Times New Roman" w:eastAsia="Times New Roman" w:hint="default"/>
                <w:sz w:val="18"/>
                <w:szCs w:val="18"/>
              </w:rPr>
            </w:pPr>
            <w:r>
              <w:rPr>
                <w:rFonts w:ascii="Times New Roman"/>
                <w:sz w:val="18"/>
              </w:rPr>
              <w:t>-1.2736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0.2146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-693.48%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0.2969</w:t>
            </w:r>
          </w:p>
        </w:tc>
      </w:tr>
      <w:tr>
        <w:trPr>
          <w:trHeight w:val="403"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1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057" w:right="0"/>
              <w:jc w:val="left"/>
              <w:rPr>
                <w:rFonts w:ascii="Times New Roman" w:hAnsi="Times New Roman" w:cs="Times New Roman" w:eastAsia="Times New Roman" w:hint="default"/>
                <w:sz w:val="18"/>
                <w:szCs w:val="18"/>
              </w:rPr>
            </w:pPr>
            <w:r>
              <w:rPr>
                <w:rFonts w:ascii="Times New Roman"/>
                <w:sz w:val="18"/>
              </w:rPr>
              <w:t>-47.53%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7.37%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-54.90%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13.39%</w:t>
            </w:r>
          </w:p>
        </w:tc>
      </w:tr>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1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34"/>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r>
      <w:tr>
        <w:trPr>
          <w:trHeight w:val="403"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1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411" w:right="0"/>
              <w:jc w:val="left"/>
              <w:rPr>
                <w:rFonts w:ascii="Times New Roman" w:hAnsi="Times New Roman" w:cs="Times New Roman" w:eastAsia="Times New Roman" w:hint="default"/>
                <w:sz w:val="18"/>
                <w:szCs w:val="18"/>
              </w:rPr>
            </w:pPr>
            <w:r>
              <w:rPr>
                <w:rFonts w:ascii="Times New Roman"/>
                <w:sz w:val="18"/>
              </w:rPr>
              <w:t>7,614,024,078.87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7,820,192,006.25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-2.64%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8,003,876,625.67</w:t>
            </w:r>
          </w:p>
        </w:tc>
      </w:tr>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归属于上市公司股东的净资产（元</w:t>
            </w:r>
          </w:p>
        </w:tc>
        <w:tc>
          <w:tcPr>
            <w:tcW w:w="218" w:type="dxa"/>
            <w:tcBorders>
              <w:top w:val="single" w:sz="4" w:space="0" w:color="000000"/>
              <w:left w:val="single" w:sz="10" w:space="0" w:color="D2D2D2"/>
              <w:bottom w:val="single" w:sz="4" w:space="0" w:color="000000"/>
              <w:right w:val="nil" w:sz="6" w:space="0" w:color="auto"/>
            </w:tcBorders>
          </w:tcPr>
          <w:p>
            <w:pPr>
              <w:pStyle w:val="TableParagraph"/>
              <w:spacing w:line="240" w:lineRule="auto" w:before="49"/>
              <w:ind w:left="-120" w:right="0"/>
              <w:jc w:val="left"/>
              <w:rPr>
                <w:rFonts w:ascii="宋体" w:hAnsi="宋体" w:cs="宋体" w:eastAsia="宋体" w:hint="default"/>
                <w:sz w:val="18"/>
                <w:szCs w:val="18"/>
              </w:rPr>
            </w:pPr>
            <w:r>
              <w:rPr>
                <w:rFonts w:ascii="宋体" w:hAnsi="宋体" w:cs="宋体" w:eastAsia="宋体" w:hint="default"/>
                <w:sz w:val="18"/>
                <w:szCs w:val="18"/>
              </w:rPr>
              <w:t>）</w:t>
            </w:r>
          </w:p>
        </w:tc>
        <w:tc>
          <w:tcPr>
            <w:tcW w:w="14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2,891,613,904.95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3,632,726,941.60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-20.40%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2,752,502,872.43</w:t>
            </w:r>
          </w:p>
        </w:tc>
      </w:tr>
    </w:tbl>
    <w:p>
      <w:pPr>
        <w:spacing w:line="240" w:lineRule="auto" w:before="5"/>
        <w:rPr>
          <w:rFonts w:ascii="宋体" w:hAnsi="宋体" w:cs="宋体" w:eastAsia="宋体" w:hint="default"/>
          <w:sz w:val="27"/>
          <w:szCs w:val="27"/>
        </w:rPr>
      </w:pPr>
    </w:p>
    <w:p>
      <w:pPr>
        <w:pStyle w:val="BodyText"/>
        <w:spacing w:line="240" w:lineRule="auto" w:before="44"/>
        <w:ind w:right="2602"/>
        <w:jc w:val="left"/>
      </w:pPr>
      <w:r>
        <w:rPr/>
        <w:pict>
          <v:group style="position:absolute;margin-left:198.770004pt;margin-top:-38.498276pt;width:83.4pt;height:20.65pt;mso-position-horizontal-relative:page;mso-position-vertical-relative:paragraph;z-index:-1334392" coordorigin="3975,-770" coordsize="1668,413">
            <v:group style="position:absolute;left:3986;top:-759;width:2;height:392" coordorigin="3986,-759" coordsize="2,392">
              <v:shape style="position:absolute;left:3986;top:-759;width:2;height:392" coordorigin="3986,-759" coordsize="0,392" path="m3986,-759l3986,-368e" filled="false" stroked="true" strokeweight="1.08pt" strokecolor="#ffffff">
                <v:path arrowok="t"/>
              </v:shape>
            </v:group>
            <v:group style="position:absolute;left:3997;top:-759;width:1647;height:392" coordorigin="3997,-759" coordsize="1647,392">
              <v:shape style="position:absolute;left:3997;top:-759;width:1647;height:392" coordorigin="3997,-759" coordsize="1647,392" path="m3997,-368l5643,-368,5643,-759,3997,-759,3997,-368xe" filled="true" fillcolor="#ffffff" stroked="false">
                <v:path arrowok="t"/>
                <v:fill type="solid"/>
              </v:shape>
            </v:group>
            <w10:wrap type="none"/>
          </v:group>
        </w:pict>
      </w:r>
      <w:r>
        <w:rPr/>
        <w:t>截至披露前一交易日的公司总股本：</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524"/>
        <w:gridCol w:w="5046"/>
      </w:tblGrid>
      <w:tr>
        <w:trPr>
          <w:trHeight w:val="403" w:hRule="exact"/>
        </w:trPr>
        <w:tc>
          <w:tcPr>
            <w:tcW w:w="4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截至披露前一交易日的公司总股本（股）</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1,187,584,762</w:t>
            </w:r>
          </w:p>
        </w:tc>
      </w:tr>
    </w:tbl>
    <w:p>
      <w:pPr>
        <w:spacing w:line="240" w:lineRule="auto" w:before="2"/>
        <w:rPr>
          <w:rFonts w:ascii="宋体" w:hAnsi="宋体" w:cs="宋体" w:eastAsia="宋体" w:hint="default"/>
          <w:sz w:val="27"/>
          <w:szCs w:val="27"/>
        </w:rPr>
      </w:pPr>
    </w:p>
    <w:p>
      <w:pPr>
        <w:pStyle w:val="BodyText"/>
        <w:spacing w:line="316" w:lineRule="auto" w:before="44"/>
        <w:ind w:right="1119"/>
        <w:jc w:val="left"/>
      </w:pPr>
      <w:r>
        <w:rPr>
          <w:spacing w:val="-2"/>
        </w:rPr>
        <w:t>公司报告期末至年度报告披露日股本是否因发行新股、增发、配股、股权激励行权、回购等原因发生变化且影响所有者权益</w:t>
      </w:r>
      <w:r>
        <w:rPr>
          <w:spacing w:val="-66"/>
        </w:rPr>
        <w:t> </w:t>
      </w:r>
      <w:r>
        <w:rPr>
          <w:spacing w:val="-66"/>
        </w:rPr>
      </w:r>
      <w:r>
        <w:rPr/>
        <w:t>金额</w:t>
      </w:r>
    </w:p>
    <w:p>
      <w:pPr>
        <w:pStyle w:val="BodyText"/>
        <w:spacing w:line="240" w:lineRule="auto" w:before="59"/>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line="240" w:lineRule="auto" w:before="4"/>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524"/>
        <w:gridCol w:w="5046"/>
      </w:tblGrid>
      <w:tr>
        <w:trPr>
          <w:trHeight w:val="401" w:hRule="exact"/>
        </w:trPr>
        <w:tc>
          <w:tcPr>
            <w:tcW w:w="4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支付的优先股股利</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4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用最新股本计算的全面摊薄每股收益（元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-1.1766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六、分季度主要财务指标" w:id="10"/>
      <w:bookmarkEnd w:id="10"/>
      <w:r>
        <w:rPr>
          <w:b w:val="0"/>
          <w:bCs w:val="0"/>
        </w:rPr>
      </w:r>
      <w:r>
        <w:rPr/>
        <w:t>六、分季度主要财务指标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40"/>
        <w:gridCol w:w="1738"/>
        <w:gridCol w:w="1730"/>
      </w:tblGrid>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7"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380,394,842.03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762,928,728.40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515,244,316.37</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465,933,100.49</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18,017,292.13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19,478,704.98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5,482,554.48</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-1,440,303,928.66</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13,941,698.43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10,472,207.67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2,255,277.49</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-1,487,609,461.07</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-886,948,886.93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-37,301,106.32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-182,181,944.08</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1,273,106,994.30</w:t>
            </w:r>
          </w:p>
        </w:tc>
      </w:tr>
    </w:tbl>
    <w:p>
      <w:pPr>
        <w:pStyle w:val="BodyText"/>
        <w:spacing w:line="240" w:lineRule="auto" w:before="49"/>
        <w:ind w:right="2602"/>
        <w:jc w:val="left"/>
      </w:pPr>
      <w:r>
        <w:rPr/>
        <w:t>上述财务指标或其加总数是否与公司已披露季度报告、半年度报告相关财务指标存在重大差异</w:t>
      </w:r>
    </w:p>
    <w:p>
      <w:pPr>
        <w:pStyle w:val="BodyText"/>
        <w:spacing w:line="240" w:lineRule="auto" w:before="115"/>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3"/>
        <w:rPr>
          <w:rFonts w:ascii="宋体" w:hAnsi="宋体" w:cs="宋体" w:eastAsia="宋体" w:hint="default"/>
          <w:sz w:val="24"/>
          <w:szCs w:val="24"/>
        </w:rPr>
      </w:pPr>
    </w:p>
    <w:p>
      <w:pPr>
        <w:pStyle w:val="Heading2"/>
        <w:spacing w:line="240" w:lineRule="auto"/>
        <w:ind w:right="2602"/>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公司报告期不存在按照国际会计准则与按照中国会计准则披露的财务报告中净利润和净资产差异情况。</w:t>
      </w:r>
    </w:p>
    <w:p>
      <w:pPr>
        <w:spacing w:line="240" w:lineRule="auto" w:before="5"/>
        <w:rPr>
          <w:rFonts w:ascii="宋体" w:hAnsi="宋体" w:cs="宋体" w:eastAsia="宋体" w:hint="default"/>
          <w:sz w:val="21"/>
          <w:szCs w:val="21"/>
        </w:rPr>
      </w:pPr>
    </w:p>
    <w:p>
      <w:pPr>
        <w:pStyle w:val="Heading3"/>
        <w:spacing w:line="240" w:lineRule="auto"/>
        <w:ind w:right="0"/>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26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公司报告期不存在按照境外会计准则与按照中国会计准则披露的财务报告中净利润和净资产差异情况。</w:t>
      </w:r>
    </w:p>
    <w:p>
      <w:pPr>
        <w:spacing w:line="240" w:lineRule="auto" w:before="6"/>
        <w:rPr>
          <w:rFonts w:ascii="宋体" w:hAnsi="宋体" w:cs="宋体" w:eastAsia="宋体" w:hint="default"/>
          <w:sz w:val="19"/>
          <w:szCs w:val="19"/>
        </w:rPr>
      </w:pPr>
    </w:p>
    <w:p>
      <w:pPr>
        <w:pStyle w:val="Heading2"/>
        <w:spacing w:line="240" w:lineRule="auto"/>
        <w:ind w:right="2602"/>
        <w:jc w:val="left"/>
        <w:rPr>
          <w:b w:val="0"/>
          <w:bCs w:val="0"/>
        </w:rPr>
      </w:pPr>
      <w:bookmarkStart w:name="八、非经常性损益项目及金额" w:id="14"/>
      <w:bookmarkEnd w:id="14"/>
      <w:r>
        <w:rPr>
          <w:b w:val="0"/>
          <w:bCs w:val="0"/>
        </w:rPr>
      </w:r>
      <w:r>
        <w:rPr/>
        <w:t>八、非经常性损益项目及金额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100"/>
        <w:gridCol w:w="291"/>
        <w:gridCol w:w="1280"/>
        <w:gridCol w:w="1560"/>
        <w:gridCol w:w="1558"/>
        <w:gridCol w:w="780"/>
      </w:tblGrid>
      <w:tr>
        <w:trPr>
          <w:trHeight w:val="403"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宋体" w:hAnsi="宋体" w:cs="宋体" w:eastAsia="宋体" w:hint="default"/>
                <w:sz w:val="18"/>
                <w:szCs w:val="18"/>
              </w:rPr>
              <w:t>说明</w:t>
            </w:r>
          </w:p>
        </w:tc>
      </w:tr>
      <w:tr>
        <w:trPr>
          <w:trHeight w:val="713"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2" w:right="9"/>
              <w:jc w:val="left"/>
              <w:rPr>
                <w:rFonts w:ascii="宋体" w:hAnsi="宋体" w:cs="宋体" w:eastAsia="宋体" w:hint="default"/>
                <w:sz w:val="18"/>
                <w:szCs w:val="18"/>
              </w:rPr>
            </w:pPr>
            <w:r>
              <w:rPr>
                <w:rFonts w:ascii="宋体" w:hAnsi="宋体" w:cs="宋体" w:eastAsia="宋体" w:hint="default"/>
                <w:spacing w:val="-4"/>
                <w:sz w:val="18"/>
                <w:szCs w:val="18"/>
              </w:rPr>
              <w:t>非流动资产处置损益（包括已计提资产减值准备的冲</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销部分）</w:t>
            </w:r>
          </w:p>
        </w:tc>
        <w:tc>
          <w:tcPr>
            <w:tcW w:w="1571"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6" w:right="0"/>
              <w:jc w:val="left"/>
              <w:rPr>
                <w:rFonts w:ascii="Times New Roman" w:hAnsi="Times New Roman" w:cs="Times New Roman" w:eastAsia="Times New Roman" w:hint="default"/>
                <w:sz w:val="18"/>
                <w:szCs w:val="18"/>
              </w:rPr>
            </w:pPr>
            <w:r>
              <w:rPr>
                <w:rFonts w:ascii="Times New Roman"/>
                <w:sz w:val="18"/>
              </w:rPr>
              <w:t>-17,619.60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-26,616.58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-101,381.93</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12"/>
              <w:jc w:val="left"/>
              <w:rPr>
                <w:rFonts w:ascii="宋体" w:hAnsi="宋体" w:cs="宋体" w:eastAsia="宋体" w:hint="default"/>
                <w:sz w:val="18"/>
                <w:szCs w:val="18"/>
              </w:rPr>
            </w:pPr>
            <w:r>
              <w:rPr>
                <w:rFonts w:ascii="宋体" w:hAnsi="宋体" w:cs="宋体" w:eastAsia="宋体" w:hint="default"/>
                <w:spacing w:val="-4"/>
                <w:sz w:val="18"/>
                <w:szCs w:val="18"/>
              </w:rPr>
              <w:t>计入当期损益的政府补助（与企业业务密切相关，按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照国家统一标准定额或定量享受的政府补助除外）</w:t>
            </w:r>
          </w:p>
        </w:tc>
        <w:tc>
          <w:tcPr>
            <w:tcW w:w="1571"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91" w:right="0"/>
              <w:jc w:val="left"/>
              <w:rPr>
                <w:rFonts w:ascii="Times New Roman" w:hAnsi="Times New Roman" w:cs="Times New Roman" w:eastAsia="Times New Roman" w:hint="default"/>
                <w:sz w:val="18"/>
                <w:szCs w:val="18"/>
              </w:rPr>
            </w:pPr>
            <w:r>
              <w:rPr>
                <w:rFonts w:ascii="Times New Roman"/>
                <w:sz w:val="18"/>
              </w:rPr>
              <w:t>50,918,633.72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30,903,180.24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24,130,755.33</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649"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2"/>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 </w:t>
            </w:r>
            <w:r>
              <w:rPr>
                <w:rFonts w:ascii="宋体" w:hAnsi="宋体" w:cs="宋体" w:eastAsia="宋体" w:hint="default"/>
                <w:spacing w:val="-4"/>
                <w:sz w:val="18"/>
                <w:szCs w:val="18"/>
              </w:rPr>
              <w:t>持有交易性金融资产、衍生金融资产、交易性金融负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债、衍生金融负债产生的公允价值变动损益，以及处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置交易性金融资产、衍生金融资产、交易性金融负债</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衍生金融负债和其他债权投资取得的投资收益</w:t>
            </w:r>
          </w:p>
        </w:tc>
        <w:tc>
          <w:tcPr>
            <w:tcW w:w="291"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49"/>
              <w:ind w:left="-129"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w:t>
            </w:r>
          </w:p>
        </w:tc>
        <w:tc>
          <w:tcPr>
            <w:tcW w:w="128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16" w:right="0"/>
              <w:jc w:val="left"/>
              <w:rPr>
                <w:rFonts w:ascii="Times New Roman" w:hAnsi="Times New Roman" w:cs="Times New Roman" w:eastAsia="Times New Roman" w:hint="default"/>
                <w:sz w:val="18"/>
                <w:szCs w:val="18"/>
              </w:rPr>
            </w:pPr>
            <w:r>
              <w:rPr>
                <w:rFonts w:ascii="Times New Roman"/>
                <w:sz w:val="18"/>
              </w:rPr>
              <w:t>18,044,556.84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167,949.81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-26,410.29</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71"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655" w:right="0"/>
              <w:jc w:val="left"/>
              <w:rPr>
                <w:rFonts w:ascii="Times New Roman" w:hAnsi="Times New Roman" w:cs="Times New Roman" w:eastAsia="Times New Roman" w:hint="default"/>
                <w:sz w:val="18"/>
                <w:szCs w:val="18"/>
              </w:rPr>
            </w:pPr>
            <w:r>
              <w:rPr>
                <w:rFonts w:ascii="Times New Roman"/>
                <w:sz w:val="18"/>
              </w:rPr>
              <w:t>-833,845.66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-1,143,712.32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20,104,592.90</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股权处置收益</w:t>
            </w:r>
          </w:p>
        </w:tc>
        <w:tc>
          <w:tcPr>
            <w:tcW w:w="1571" w:type="dxa"/>
            <w:gridSpan w:val="2"/>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46,590,169.75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55,433,883.09</w:t>
            </w: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100"/>
        <w:gridCol w:w="1571"/>
        <w:gridCol w:w="1560"/>
        <w:gridCol w:w="1558"/>
        <w:gridCol w:w="780"/>
      </w:tblGrid>
      <w:tr>
        <w:trPr>
          <w:trHeight w:val="402"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7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3,898,966.73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5,369,934.13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15,204,332.54</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7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597,858.16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249,605.83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1,184,328.62</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7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63,614,900.41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70,871,430.94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83,152,777.94</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spacing w:val="-3"/>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0" w:lineRule="auto" w:before="63"/>
        <w:ind w:right="1119"/>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0"/>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pStyle w:val="BodyText"/>
        <w:spacing w:line="300" w:lineRule="auto" w:before="103"/>
        <w:ind w:right="1117"/>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spacing w:after="0" w:line="30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446" w:right="2602"/>
        <w:jc w:val="left"/>
        <w:rPr>
          <w:b w:val="0"/>
          <w:bCs w:val="0"/>
        </w:rPr>
      </w:pPr>
      <w:bookmarkStart w:name="第三节 公司业务概要" w:id="15"/>
      <w:bookmarkEnd w:id="15"/>
      <w:r>
        <w:rPr>
          <w:b w:val="0"/>
          <w:bCs w:val="0"/>
        </w:rPr>
      </w:r>
      <w:bookmarkStart w:name="_bookmark2" w:id="16"/>
      <w:bookmarkEnd w:id="16"/>
      <w:r>
        <w:rPr>
          <w:b w:val="0"/>
          <w:bCs w:val="0"/>
        </w:rPr>
      </w:r>
      <w:r>
        <w:rPr/>
        <w:t>第三节</w:t>
      </w:r>
      <w:r>
        <w:rPr>
          <w:spacing w:val="-6"/>
        </w:rPr>
        <w:t> </w:t>
      </w:r>
      <w:r>
        <w:rPr/>
        <w:t>公司业务概要</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0"/>
        <w:jc w:val="both"/>
        <w:rPr>
          <w:b w:val="0"/>
          <w:bCs w:val="0"/>
        </w:rPr>
      </w:pPr>
      <w:bookmarkStart w:name="一、报告期内公司从事的主要业务" w:id="17"/>
      <w:bookmarkEnd w:id="17"/>
      <w:r>
        <w:rPr>
          <w:b w:val="0"/>
          <w:bCs w:val="0"/>
        </w:rPr>
      </w:r>
      <w:r>
        <w:rPr/>
        <w:t>一、报告期内公司从事的主要业务</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p>
    <w:p>
      <w:pPr>
        <w:pStyle w:val="Heading5"/>
        <w:spacing w:line="240" w:lineRule="auto" w:before="129"/>
        <w:ind w:left="152" w:right="0"/>
        <w:jc w:val="both"/>
        <w:rPr>
          <w:b w:val="0"/>
          <w:bCs w:val="0"/>
        </w:rPr>
      </w:pPr>
      <w:bookmarkStart w:name="（一）公司的主要业务" w:id="18"/>
      <w:bookmarkEnd w:id="18"/>
      <w:r>
        <w:rPr>
          <w:b w:val="0"/>
          <w:bCs w:val="0"/>
        </w:rPr>
      </w:r>
      <w:r>
        <w:rPr/>
        <w:t>（一）公司的主要业务</w:t>
      </w:r>
      <w:r>
        <w:rPr>
          <w:b w:val="0"/>
          <w:bCs w:val="0"/>
        </w:rPr>
      </w:r>
    </w:p>
    <w:p>
      <w:pPr>
        <w:spacing w:line="240" w:lineRule="auto" w:before="0"/>
        <w:rPr>
          <w:rFonts w:ascii="宋体" w:hAnsi="宋体" w:cs="宋体" w:eastAsia="宋体" w:hint="default"/>
          <w:b/>
          <w:bCs/>
          <w:sz w:val="18"/>
          <w:szCs w:val="18"/>
        </w:rPr>
      </w:pPr>
    </w:p>
    <w:p>
      <w:pPr>
        <w:spacing w:line="240" w:lineRule="auto" w:before="11"/>
        <w:rPr>
          <w:rFonts w:ascii="宋体" w:hAnsi="宋体" w:cs="宋体" w:eastAsia="宋体" w:hint="default"/>
          <w:b/>
          <w:bCs/>
          <w:sz w:val="16"/>
          <w:szCs w:val="16"/>
        </w:rPr>
      </w:pPr>
    </w:p>
    <w:p>
      <w:pPr>
        <w:pStyle w:val="BodyText"/>
        <w:spacing w:line="463" w:lineRule="auto"/>
        <w:ind w:right="1131"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年，公司紧紧围绕民生服务与智慧城市两大核心领域，不断强化在医疗健康、民生保障、政务管理与服务、城市 </w:t>
      </w:r>
      <w:r>
        <w:rPr>
          <w:spacing w:val="-2"/>
        </w:rPr>
        <w:t>安全等行业的核心优势，持续投入资源，巩固公司在云服务、大数据和人工智能等方面的竞争优势，以更好地促进政务信息</w:t>
      </w:r>
      <w:r>
        <w:rPr>
          <w:spacing w:val="-65"/>
        </w:rPr>
        <w:t> </w:t>
      </w:r>
      <w:r>
        <w:rPr>
          <w:spacing w:val="-65"/>
        </w:rPr>
      </w:r>
      <w:r>
        <w:rPr>
          <w:spacing w:val="-2"/>
        </w:rPr>
        <w:t>资源及民生服务资源共享互认，提高政府服务效率，不断完善服务民生的功能；深入参与推动“三医联动”、医共体、医联</w:t>
      </w:r>
      <w:r>
        <w:rPr>
          <w:spacing w:val="-63"/>
        </w:rPr>
        <w:t> </w:t>
      </w:r>
      <w:r>
        <w:rPr>
          <w:spacing w:val="-63"/>
        </w:rPr>
      </w:r>
      <w:r>
        <w:rPr/>
        <w:t>体等方面的建设，积极为智慧医疗、智慧医院作出贡献。</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年，公司不断拓展用户基础，优化业务结构，积极通过创新 业务推动收入来源的多元化。</w:t>
      </w:r>
    </w:p>
    <w:p>
      <w:pPr>
        <w:pStyle w:val="Heading5"/>
        <w:spacing w:line="240" w:lineRule="auto" w:before="103"/>
        <w:ind w:right="2602"/>
        <w:jc w:val="left"/>
        <w:rPr>
          <w:b w:val="0"/>
          <w:bCs w:val="0"/>
        </w:rPr>
      </w:pPr>
      <w:r>
        <w:rPr>
          <w:rFonts w:ascii="宋体" w:hAnsi="宋体" w:cs="宋体" w:eastAsia="宋体" w:hint="default"/>
        </w:rPr>
        <w:t>1</w:t>
      </w:r>
      <w:r>
        <w:rPr/>
        <w:t>、民生服务</w:t>
      </w:r>
      <w:r>
        <w:rPr>
          <w:b w:val="0"/>
          <w:bCs w:val="0"/>
        </w:rPr>
      </w:r>
    </w:p>
    <w:p>
      <w:pPr>
        <w:spacing w:line="240" w:lineRule="auto" w:before="11"/>
        <w:rPr>
          <w:rFonts w:ascii="宋体" w:hAnsi="宋体" w:cs="宋体" w:eastAsia="宋体" w:hint="default"/>
          <w:b/>
          <w:bCs/>
          <w:sz w:val="14"/>
          <w:szCs w:val="14"/>
        </w:rPr>
      </w:pPr>
    </w:p>
    <w:p>
      <w:pPr>
        <w:pStyle w:val="Heading5"/>
        <w:spacing w:line="240" w:lineRule="auto"/>
        <w:ind w:right="2602"/>
        <w:jc w:val="left"/>
        <w:rPr>
          <w:b w:val="0"/>
          <w:bCs w:val="0"/>
        </w:rPr>
      </w:pPr>
      <w:r>
        <w:rPr/>
        <w:t>（</w:t>
      </w:r>
      <w:r>
        <w:rPr>
          <w:rFonts w:ascii="宋体" w:hAnsi="宋体" w:cs="宋体" w:eastAsia="宋体" w:hint="default"/>
        </w:rPr>
        <w:t>1</w:t>
      </w:r>
      <w:r>
        <w:rPr/>
        <w:t>）医疗健康</w:t>
      </w:r>
      <w:r>
        <w:rPr>
          <w:b w:val="0"/>
          <w:bCs w:val="0"/>
        </w:rPr>
      </w:r>
    </w:p>
    <w:p>
      <w:pPr>
        <w:spacing w:line="240" w:lineRule="auto" w:before="3"/>
        <w:rPr>
          <w:rFonts w:ascii="宋体" w:hAnsi="宋体" w:cs="宋体" w:eastAsia="宋体" w:hint="default"/>
          <w:b/>
          <w:bCs/>
          <w:sz w:val="10"/>
          <w:szCs w:val="10"/>
        </w:rPr>
      </w:pPr>
    </w:p>
    <w:p>
      <w:pPr>
        <w:spacing w:line="3686" w:lineRule="exact"/>
        <w:ind w:left="726" w:right="0" w:firstLine="0"/>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5393623" cy="2340864"/>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2" cstate="print"/>
                    <a:stretch>
                      <a:fillRect/>
                    </a:stretch>
                  </pic:blipFill>
                  <pic:spPr>
                    <a:xfrm>
                      <a:off x="0" y="0"/>
                      <a:ext cx="5393623" cy="2340864"/>
                    </a:xfrm>
                    <a:prstGeom prst="rect">
                      <a:avLst/>
                    </a:prstGeom>
                  </pic:spPr>
                </pic:pic>
              </a:graphicData>
            </a:graphic>
          </wp:inline>
        </w:drawing>
      </w:r>
      <w:r>
        <w:rPr>
          <w:rFonts w:ascii="宋体" w:hAnsi="宋体" w:cs="宋体" w:eastAsia="宋体" w:hint="default"/>
          <w:position w:val="-73"/>
          <w:sz w:val="20"/>
          <w:szCs w:val="20"/>
        </w:rPr>
      </w:r>
    </w:p>
    <w:p>
      <w:pPr>
        <w:pStyle w:val="BodyText"/>
        <w:spacing w:line="240" w:lineRule="auto" w:before="159"/>
        <w:ind w:left="513" w:right="0"/>
        <w:jc w:val="left"/>
      </w:pPr>
      <w:r>
        <w:rPr/>
        <w:t>公司自</w:t>
      </w:r>
      <w:r>
        <w:rPr>
          <w:spacing w:val="-45"/>
        </w:rPr>
        <w:t> </w:t>
      </w:r>
      <w:r>
        <w:rPr>
          <w:rFonts w:ascii="Times New Roman" w:hAnsi="Times New Roman" w:cs="Times New Roman" w:eastAsia="Times New Roman" w:hint="default"/>
        </w:rPr>
        <w:t>1997</w:t>
      </w:r>
      <w:r>
        <w:rPr>
          <w:rFonts w:ascii="Times New Roman" w:hAnsi="Times New Roman" w:cs="Times New Roman" w:eastAsia="Times New Roman" w:hint="default"/>
          <w:spacing w:val="2"/>
        </w:rPr>
        <w:t> </w:t>
      </w:r>
      <w:r>
        <w:rPr/>
        <w:t>年进入医疗卫生领域以来，经过</w:t>
      </w:r>
      <w:r>
        <w:rPr>
          <w:spacing w:val="-44"/>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spacing w:val="-3"/>
        </w:rPr>
        <w:t>多年的发展和积累，已在“医疗、医保、医药”三医领域建立了全方位</w:t>
      </w:r>
    </w:p>
    <w:p>
      <w:pPr>
        <w:spacing w:line="240" w:lineRule="auto" w:before="9"/>
        <w:rPr>
          <w:rFonts w:ascii="宋体" w:hAnsi="宋体" w:cs="宋体" w:eastAsia="宋体" w:hint="default"/>
          <w:sz w:val="16"/>
          <w:szCs w:val="16"/>
        </w:rPr>
      </w:pPr>
    </w:p>
    <w:p>
      <w:pPr>
        <w:pStyle w:val="BodyText"/>
        <w:spacing w:line="458" w:lineRule="auto"/>
        <w:ind w:right="1129"/>
        <w:jc w:val="both"/>
      </w:pPr>
      <w:r>
        <w:rPr>
          <w:spacing w:val="-3"/>
        </w:rPr>
        <w:t>的软件和数据平台服务能力，奠定了坚实的用户基础，为</w:t>
      </w:r>
      <w:r>
        <w:rPr>
          <w:spacing w:val="-47"/>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t>亿多人提供医疗健康和医保服务。万达信息医疗健康行业的解决 </w:t>
      </w:r>
      <w:r>
        <w:rPr>
          <w:spacing w:val="-2"/>
        </w:rPr>
        <w:t>方案定位于构建政府、医疗卫生机构和市场相互协调发展的生态圈，应用云计算、互联网、大数据、区块链、物联网和人工</w:t>
      </w:r>
      <w:r>
        <w:rPr>
          <w:spacing w:val="-68"/>
        </w:rPr>
        <w:t> </w:t>
      </w:r>
      <w:r>
        <w:rPr>
          <w:spacing w:val="-68"/>
        </w:rPr>
      </w:r>
      <w:r>
        <w:rPr/>
        <w:t>智能等创新技术手段，实现惠民、助医和辅政。</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年，根据国家部委颁布的《关于推进紧密型县域医疗卫生共同体建设 </w:t>
      </w:r>
      <w:r>
        <w:rPr>
          <w:spacing w:val="-11"/>
        </w:rPr>
        <w:t>的通知》、《国务院办公厅关于加强三级公立医院绩效考核工作的意见》、《关于加强二级公立医院绩效考核工作的通知》、《国</w:t>
      </w:r>
      <w:r>
        <w:rPr>
          <w:spacing w:val="-87"/>
        </w:rPr>
        <w:t> </w:t>
      </w:r>
      <w:r>
        <w:rPr>
          <w:spacing w:val="-87"/>
        </w:rPr>
      </w:r>
      <w:r>
        <w:rPr>
          <w:spacing w:val="-4"/>
        </w:rPr>
        <w:t>家医疗保障局关于完善“互联网</w:t>
      </w:r>
      <w:r>
        <w:rPr>
          <w:rFonts w:ascii="Times New Roman" w:hAnsi="Times New Roman" w:cs="Times New Roman" w:eastAsia="Times New Roman" w:hint="default"/>
          <w:spacing w:val="-4"/>
        </w:rPr>
        <w:t>+</w:t>
      </w:r>
      <w:r>
        <w:rPr>
          <w:spacing w:val="-4"/>
        </w:rPr>
        <w:t>”医疗服务价格和医保支付政策的指导意见》以及《互联网医院管理办法》、《互联网诊疗</w:t>
      </w:r>
      <w:r>
        <w:rPr>
          <w:spacing w:val="-56"/>
        </w:rPr>
        <w:t> </w:t>
      </w:r>
      <w:r>
        <w:rPr>
          <w:spacing w:val="-56"/>
        </w:rPr>
      </w:r>
      <w:r>
        <w:rPr>
          <w:spacing w:val="-7"/>
          <w:w w:val="99"/>
        </w:rPr>
        <w:t>管理办法》、《远程医疗服务管理规范》等一系列行业指导文件，公司继续加大在“三医联动”、“互联网</w:t>
      </w:r>
      <w:r>
        <w:rPr>
          <w:rFonts w:ascii="Times New Roman" w:hAnsi="Times New Roman" w:cs="Times New Roman" w:eastAsia="Times New Roman" w:hint="default"/>
          <w:spacing w:val="-7"/>
          <w:w w:val="99"/>
        </w:rPr>
        <w:t>+</w:t>
      </w:r>
      <w:r>
        <w:rPr>
          <w:spacing w:val="-7"/>
          <w:w w:val="99"/>
        </w:rPr>
        <w:t>医疗健康”、</w:t>
      </w:r>
      <w:r>
        <w:rPr>
          <w:rFonts w:ascii="Times New Roman" w:hAnsi="Times New Roman" w:cs="Times New Roman" w:eastAsia="Times New Roman" w:hint="default"/>
          <w:spacing w:val="-7"/>
          <w:w w:val="99"/>
        </w:rPr>
        <w:t>DRG</w:t>
      </w:r>
      <w:r>
        <w:rPr>
          <w:rFonts w:ascii="Times New Roman" w:hAnsi="Times New Roman" w:cs="Times New Roman" w:eastAsia="Times New Roman" w:hint="default"/>
          <w:spacing w:val="-38"/>
          <w:w w:val="99"/>
        </w:rPr>
        <w:t> </w:t>
      </w:r>
      <w:r>
        <w:rPr>
          <w:rFonts w:ascii="Times New Roman" w:hAnsi="Times New Roman" w:cs="Times New Roman" w:eastAsia="Times New Roman" w:hint="default"/>
          <w:spacing w:val="-38"/>
          <w:w w:val="99"/>
        </w:rPr>
      </w:r>
      <w:r>
        <w:rPr/>
        <w:t>支付和基于大数据的病种分值付费、医保在线支付等方面的产品与服务投入和市场开拓力度。</w:t>
      </w:r>
    </w:p>
    <w:p>
      <w:pPr>
        <w:spacing w:after="0" w:line="458"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5"/>
        <w:spacing w:line="240" w:lineRule="auto"/>
        <w:ind w:right="2602"/>
        <w:jc w:val="left"/>
        <w:rPr>
          <w:b w:val="0"/>
          <w:bCs w:val="0"/>
        </w:rPr>
      </w:pPr>
      <w:r>
        <w:rPr>
          <w:rFonts w:ascii="宋体" w:hAnsi="宋体" w:cs="宋体" w:eastAsia="宋体" w:hint="default"/>
        </w:rPr>
        <w:t>A.</w:t>
      </w:r>
      <w:r>
        <w:rPr>
          <w:rFonts w:ascii="宋体" w:hAnsi="宋体" w:cs="宋体" w:eastAsia="宋体" w:hint="default"/>
          <w:spacing w:val="-3"/>
        </w:rPr>
        <w:t> </w:t>
      </w:r>
      <w:r>
        <w:rPr/>
        <w:t>三医领域</w:t>
      </w:r>
      <w:r>
        <w:rPr>
          <w:b w:val="0"/>
          <w:bCs w:val="0"/>
        </w:rPr>
      </w:r>
    </w:p>
    <w:p>
      <w:pPr>
        <w:spacing w:line="240" w:lineRule="auto" w:before="9"/>
        <w:rPr>
          <w:rFonts w:ascii="宋体" w:hAnsi="宋体" w:cs="宋体" w:eastAsia="宋体" w:hint="default"/>
          <w:b/>
          <w:bCs/>
          <w:sz w:val="18"/>
          <w:szCs w:val="18"/>
        </w:rPr>
      </w:pPr>
    </w:p>
    <w:p>
      <w:pPr>
        <w:spacing w:line="3938" w:lineRule="exact"/>
        <w:ind w:left="262" w:right="0" w:firstLine="0"/>
        <w:rPr>
          <w:rFonts w:ascii="宋体" w:hAnsi="宋体" w:cs="宋体" w:eastAsia="宋体" w:hint="default"/>
          <w:sz w:val="20"/>
          <w:szCs w:val="20"/>
        </w:rPr>
      </w:pPr>
      <w:r>
        <w:rPr>
          <w:rFonts w:ascii="宋体" w:hAnsi="宋体" w:cs="宋体" w:eastAsia="宋体" w:hint="default"/>
          <w:position w:val="-78"/>
          <w:sz w:val="20"/>
          <w:szCs w:val="20"/>
        </w:rPr>
        <w:drawing>
          <wp:inline distT="0" distB="0" distL="0" distR="0">
            <wp:extent cx="5976970" cy="2500883"/>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3" cstate="print"/>
                    <a:stretch>
                      <a:fillRect/>
                    </a:stretch>
                  </pic:blipFill>
                  <pic:spPr>
                    <a:xfrm>
                      <a:off x="0" y="0"/>
                      <a:ext cx="5976970" cy="2500883"/>
                    </a:xfrm>
                    <a:prstGeom prst="rect">
                      <a:avLst/>
                    </a:prstGeom>
                  </pic:spPr>
                </pic:pic>
              </a:graphicData>
            </a:graphic>
          </wp:inline>
        </w:drawing>
      </w:r>
      <w:r>
        <w:rPr>
          <w:rFonts w:ascii="宋体" w:hAnsi="宋体" w:cs="宋体" w:eastAsia="宋体" w:hint="default"/>
          <w:position w:val="-78"/>
          <w:sz w:val="20"/>
          <w:szCs w:val="20"/>
        </w:rPr>
      </w:r>
    </w:p>
    <w:p>
      <w:pPr>
        <w:spacing w:line="240" w:lineRule="auto" w:before="3"/>
        <w:rPr>
          <w:rFonts w:ascii="宋体" w:hAnsi="宋体" w:cs="宋体" w:eastAsia="宋体" w:hint="default"/>
          <w:b/>
          <w:bCs/>
          <w:sz w:val="14"/>
          <w:szCs w:val="14"/>
        </w:rPr>
      </w:pPr>
    </w:p>
    <w:p>
      <w:pPr>
        <w:pStyle w:val="BodyText"/>
        <w:spacing w:line="477" w:lineRule="auto"/>
        <w:ind w:right="1132" w:firstLine="360"/>
        <w:jc w:val="both"/>
      </w:pPr>
      <w:r>
        <w:rPr>
          <w:spacing w:val="-2"/>
        </w:rPr>
        <w:t>根据国家卫健委、国家医保局等部门的管理需求和重点工作部署，公司充分发挥在医疗、医保和医药领域长期扎实积累</w:t>
      </w:r>
      <w:r>
        <w:rPr/>
        <w:t> </w:t>
      </w:r>
      <w:r>
        <w:rPr>
          <w:spacing w:val="-2"/>
        </w:rPr>
        <w:t>的优势，不断通过新技术的应用和产品创新，深度参与“三医联动”、分级诊疗、医共体和医联体等方面的改革。</w:t>
      </w:r>
    </w:p>
    <w:p>
      <w:pPr>
        <w:pStyle w:val="BodyText"/>
        <w:spacing w:line="470" w:lineRule="auto" w:before="95"/>
        <w:ind w:right="1034" w:firstLine="360"/>
        <w:jc w:val="left"/>
      </w:pPr>
      <w:r>
        <w:rPr>
          <w:spacing w:val="-2"/>
        </w:rPr>
        <w:t>在医疗领域，区域卫生以全国行业市场占有率第一的全民人口健康信息平台为核心，在进一步做深做实区域互联互通和</w:t>
      </w:r>
      <w:r>
        <w:rPr/>
        <w:t> 业务协同的基础上，深度应用大数据和人工智能技术，在健康大脑与数据智能、互联网</w:t>
      </w:r>
      <w:r>
        <w:rPr>
          <w:rFonts w:ascii="Times New Roman" w:hAnsi="Times New Roman" w:cs="Times New Roman" w:eastAsia="Times New Roman" w:hint="default"/>
        </w:rPr>
        <w:t>+</w:t>
      </w:r>
      <w:r>
        <w:rPr/>
        <w:t>监管、公立医院绩效考核、支撑公 司互联网医院和“健康云”业务、赋能保险等方面持续发力扩大市场；公共卫生方面，在分级诊疗（家庭医生签约、转诊、</w:t>
      </w:r>
      <w:r>
        <w:rPr>
          <w:spacing w:val="-81"/>
        </w:rPr>
        <w:t> </w:t>
      </w:r>
      <w:r>
        <w:rPr>
          <w:spacing w:val="-81"/>
        </w:rPr>
      </w:r>
      <w:r>
        <w:rPr>
          <w:spacing w:val="-2"/>
        </w:rPr>
        <w:t>随访等）、传染病全流程管控、慢性病一体化管理、智慧卫监等领域继续深化市场开拓；根据《关于推进紧密型县域医疗卫</w:t>
      </w:r>
      <w:r>
        <w:rPr>
          <w:spacing w:val="-64"/>
        </w:rPr>
        <w:t> </w:t>
      </w:r>
      <w:r>
        <w:rPr>
          <w:spacing w:val="-64"/>
        </w:rPr>
      </w:r>
      <w:r>
        <w:rPr>
          <w:spacing w:val="-3"/>
        </w:rPr>
        <w:t>生共同体建设的通知》，公司升级推出县域医共体产品，面向国家首批</w:t>
      </w:r>
      <w:r>
        <w:rPr/>
        <w:t> </w:t>
      </w:r>
      <w:r>
        <w:rPr>
          <w:rFonts w:ascii="Times New Roman" w:hAnsi="Times New Roman" w:cs="Times New Roman" w:eastAsia="Times New Roman" w:hint="default"/>
        </w:rPr>
        <w:t>567</w:t>
      </w:r>
      <w:r>
        <w:rPr>
          <w:rFonts w:ascii="Times New Roman" w:hAnsi="Times New Roman" w:cs="Times New Roman" w:eastAsia="Times New Roman" w:hint="default"/>
          <w:spacing w:val="-14"/>
        </w:rPr>
        <w:t> </w:t>
      </w:r>
      <w:r>
        <w:rPr>
          <w:spacing w:val="-1"/>
        </w:rPr>
        <w:t>个试点县以及全国的县域推广；另外，公司传统</w:t>
      </w:r>
    </w:p>
    <w:p>
      <w:pPr>
        <w:pStyle w:val="BodyText"/>
        <w:spacing w:line="240" w:lineRule="auto" w:before="27"/>
        <w:ind w:right="0"/>
        <w:jc w:val="both"/>
      </w:pPr>
      <w:r>
        <w:rPr>
          <w:spacing w:val="-2"/>
        </w:rPr>
        <w:t>医院核心系统、基层卫生系统、远程诊疗系统等持续升级和开拓。公司是区域卫生领域的领导者，服务全国</w:t>
      </w:r>
      <w:r>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spacing w:val="-4"/>
        </w:rPr>
        <w:t>亿人群，业务</w:t>
      </w:r>
    </w:p>
    <w:p>
      <w:pPr>
        <w:spacing w:line="240" w:lineRule="auto" w:before="9"/>
        <w:rPr>
          <w:rFonts w:ascii="宋体" w:hAnsi="宋体" w:cs="宋体" w:eastAsia="宋体" w:hint="default"/>
          <w:sz w:val="16"/>
          <w:szCs w:val="16"/>
        </w:rPr>
      </w:pPr>
    </w:p>
    <w:p>
      <w:pPr>
        <w:pStyle w:val="BodyText"/>
        <w:spacing w:line="451" w:lineRule="auto"/>
        <w:ind w:right="1128"/>
        <w:jc w:val="both"/>
      </w:pPr>
      <w:r>
        <w:rPr/>
        <w:t>遍布全国</w:t>
      </w:r>
      <w:r>
        <w:rPr>
          <w:spacing w:val="-45"/>
        </w:rPr>
        <w:t> </w:t>
      </w:r>
      <w:r>
        <w:rPr>
          <w:rFonts w:ascii="Times New Roman" w:hAnsi="Times New Roman" w:cs="Times New Roman" w:eastAsia="Times New Roman" w:hint="default"/>
        </w:rPr>
        <w:t>23 </w:t>
      </w:r>
      <w:r>
        <w:rPr/>
        <w:t>个省</w:t>
      </w:r>
      <w:r>
        <w:rPr>
          <w:rFonts w:ascii="Times New Roman" w:hAnsi="Times New Roman" w:cs="Times New Roman" w:eastAsia="Times New Roman" w:hint="default"/>
        </w:rPr>
        <w:t>/</w:t>
      </w:r>
      <w:r>
        <w:rPr/>
        <w:t>直辖市、近</w:t>
      </w:r>
      <w:r>
        <w:rPr>
          <w:spacing w:val="-48"/>
        </w:rPr>
        <w:t> </w:t>
      </w:r>
      <w:r>
        <w:rPr>
          <w:rFonts w:ascii="Times New Roman" w:hAnsi="Times New Roman" w:cs="Times New Roman" w:eastAsia="Times New Roman" w:hint="default"/>
        </w:rPr>
        <w:t>200</w:t>
      </w:r>
      <w:r>
        <w:rPr>
          <w:rFonts w:ascii="Times New Roman" w:hAnsi="Times New Roman" w:cs="Times New Roman" w:eastAsia="Times New Roman" w:hint="default"/>
          <w:spacing w:val="1"/>
        </w:rPr>
        <w:t> </w:t>
      </w:r>
      <w:r>
        <w:rPr/>
        <w:t>余个地市、</w:t>
      </w:r>
      <w:r>
        <w:rPr>
          <w:rFonts w:ascii="Times New Roman" w:hAnsi="Times New Roman" w:cs="Times New Roman" w:eastAsia="Times New Roman" w:hint="default"/>
        </w:rPr>
        <w:t>1000</w:t>
      </w:r>
      <w:r>
        <w:rPr>
          <w:rFonts w:ascii="Times New Roman" w:hAnsi="Times New Roman" w:cs="Times New Roman" w:eastAsia="Times New Roman" w:hint="default"/>
          <w:spacing w:val="1"/>
        </w:rPr>
        <w:t> </w:t>
      </w:r>
      <w:r>
        <w:rPr/>
        <w:t>余个区县；公司是医疗市场的领先者，公司承建的医院系统覆盖了</w:t>
      </w:r>
      <w:r>
        <w:rPr>
          <w:spacing w:val="-45"/>
        </w:rPr>
        <w:t> </w:t>
      </w:r>
      <w:r>
        <w:rPr>
          <w:rFonts w:ascii="Times New Roman" w:hAnsi="Times New Roman" w:cs="Times New Roman" w:eastAsia="Times New Roman" w:hint="default"/>
        </w:rPr>
        <w:t>50 </w:t>
      </w:r>
      <w:r>
        <w:rPr/>
        <w:t>余 家三级医院、近百家二级医院、</w:t>
      </w:r>
      <w:r>
        <w:rPr>
          <w:rFonts w:ascii="Times New Roman" w:hAnsi="Times New Roman" w:cs="Times New Roman" w:eastAsia="Times New Roman" w:hint="default"/>
        </w:rPr>
        <w:t>1500</w:t>
      </w:r>
      <w:r>
        <w:rPr>
          <w:rFonts w:ascii="Times New Roman" w:hAnsi="Times New Roman" w:cs="Times New Roman" w:eastAsia="Times New Roman" w:hint="default"/>
          <w:spacing w:val="12"/>
        </w:rPr>
        <w:t> </w:t>
      </w:r>
      <w:r>
        <w:rPr>
          <w:spacing w:val="-5"/>
        </w:rPr>
        <w:t>余家社区（及乡镇卫生院、养老院）、近万家社区卫生服务站（村卫生室）；公司是公</w:t>
      </w:r>
      <w:r>
        <w:rPr/>
        <w:t> 共卫生市场的创新者，创新的公共卫生服务模式服务覆盖国家级、省级、地市级、区县级客户，客户数量超过</w:t>
      </w:r>
      <w:r>
        <w:rPr>
          <w:spacing w:val="-43"/>
        </w:rPr>
        <w:t> </w:t>
      </w:r>
      <w:r>
        <w:rPr>
          <w:rFonts w:ascii="Times New Roman" w:hAnsi="Times New Roman" w:cs="Times New Roman" w:eastAsia="Times New Roman" w:hint="default"/>
        </w:rPr>
        <w:t>1200</w:t>
      </w:r>
      <w:r>
        <w:rPr>
          <w:rFonts w:ascii="Times New Roman" w:hAnsi="Times New Roman" w:cs="Times New Roman" w:eastAsia="Times New Roman" w:hint="default"/>
          <w:spacing w:val="2"/>
        </w:rPr>
        <w:t> </w:t>
      </w:r>
      <w:r>
        <w:rPr/>
        <w:t>个。</w:t>
      </w:r>
    </w:p>
    <w:p>
      <w:pPr>
        <w:pStyle w:val="BodyText"/>
        <w:spacing w:line="451" w:lineRule="auto" w:before="84"/>
        <w:ind w:right="1134" w:firstLine="360"/>
        <w:jc w:val="both"/>
      </w:pPr>
      <w:r>
        <w:rPr/>
        <w:t>公司不断投入核心资源，持续开发建设新一代医院信息系统并开始启动试点，系统覆盖医院信息平台、平台化</w:t>
      </w:r>
      <w:r>
        <w:rPr>
          <w:spacing w:val="-74"/>
        </w:rPr>
        <w:t> </w:t>
      </w:r>
      <w:r>
        <w:rPr>
          <w:rFonts w:ascii="Times New Roman" w:hAnsi="Times New Roman" w:cs="Times New Roman" w:eastAsia="Times New Roman" w:hint="default"/>
          <w:spacing w:val="-6"/>
        </w:rPr>
        <w:t>HIS</w:t>
      </w:r>
      <w:r>
        <w:rPr>
          <w:spacing w:val="-6"/>
        </w:rPr>
        <w:t>、结</w:t>
      </w:r>
      <w:r>
        <w:rPr>
          <w:spacing w:val="-15"/>
        </w:rPr>
        <w:t> </w:t>
      </w:r>
      <w:r>
        <w:rPr/>
        <w:t>构化电子病历、平台化</w:t>
      </w:r>
      <w:r>
        <w:rPr>
          <w:spacing w:val="13"/>
        </w:rPr>
        <w:t> </w:t>
      </w:r>
      <w:r>
        <w:rPr>
          <w:rFonts w:ascii="Times New Roman" w:hAnsi="Times New Roman" w:cs="Times New Roman" w:eastAsia="Times New Roman" w:hint="default"/>
        </w:rPr>
        <w:t>HRP</w:t>
      </w:r>
      <w:r>
        <w:rPr/>
        <w:t>、多院区管理的数据中心、统一的知识和权限管理以及医疗大数据分析等应用，以支持分级诊 </w:t>
      </w:r>
      <w:r>
        <w:rPr>
          <w:spacing w:val="-12"/>
        </w:rPr>
        <w:t>疗、“三医联动”、“互联网</w:t>
      </w:r>
      <w:r>
        <w:rPr>
          <w:rFonts w:ascii="Times New Roman" w:hAnsi="Times New Roman" w:cs="Times New Roman" w:eastAsia="Times New Roman" w:hint="default"/>
          <w:spacing w:val="-12"/>
        </w:rPr>
        <w:t>+</w:t>
      </w:r>
      <w:r>
        <w:rPr>
          <w:spacing w:val="-12"/>
        </w:rPr>
        <w:t>医疗健康”、互联网医院等稳定扩展。</w:t>
      </w:r>
    </w:p>
    <w:p>
      <w:pPr>
        <w:pStyle w:val="BodyText"/>
        <w:spacing w:line="470" w:lineRule="auto" w:before="82"/>
        <w:ind w:right="1130" w:firstLine="360"/>
        <w:jc w:val="both"/>
      </w:pPr>
      <w:r>
        <w:rPr/>
        <w:t>在医保领域，</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年，随着国家医疗保障局统一医保信息平台的整体规划和设计要求发布，公司结合自身二十多年的 </w:t>
      </w:r>
      <w:r>
        <w:rPr>
          <w:spacing w:val="-2"/>
        </w:rPr>
        <w:t>深厚积累，在基金监管、支付改革、医药招采、互联网医疗以及标准化信息化等五个领域全面对接国家医保信息体系。在基</w:t>
      </w:r>
      <w:r>
        <w:rPr>
          <w:spacing w:val="-67"/>
        </w:rPr>
        <w:t> </w:t>
      </w:r>
      <w:r>
        <w:rPr>
          <w:spacing w:val="-67"/>
        </w:rPr>
      </w:r>
      <w:r>
        <w:rPr>
          <w:spacing w:val="-2"/>
        </w:rPr>
        <w:t>金监管领域，公司在上海、广东、浙江、山西等区域实现了战略突破，依托“两试点一示范”的指示，开展全闭环的智能基</w:t>
      </w:r>
      <w:r>
        <w:rPr>
          <w:spacing w:val="-65"/>
        </w:rPr>
        <w:t> </w:t>
      </w:r>
      <w:r>
        <w:rPr>
          <w:spacing w:val="-65"/>
        </w:rPr>
      </w:r>
      <w:r>
        <w:rPr>
          <w:spacing w:val="-2"/>
        </w:rPr>
        <w:t>金监管平台建设，同时，还从信息化和医学监管两个方面全力支持了国家级的飞行检查工作。公司还先后在广州、深圳、河</w:t>
      </w:r>
      <w:r>
        <w:rPr>
          <w:spacing w:val="-67"/>
        </w:rPr>
        <w:t> </w:t>
      </w:r>
      <w:r>
        <w:rPr>
          <w:spacing w:val="-67"/>
        </w:rPr>
      </w:r>
      <w:r>
        <w:rPr/>
        <w:t>南、山东、上海等地利用</w:t>
      </w:r>
      <w:r>
        <w:rPr>
          <w:spacing w:val="-52"/>
        </w:rPr>
        <w:t> </w:t>
      </w:r>
      <w:r>
        <w:rPr>
          <w:rFonts w:ascii="Times New Roman" w:hAnsi="Times New Roman" w:cs="Times New Roman" w:eastAsia="Times New Roman" w:hint="default"/>
        </w:rPr>
        <w:t>DRG</w:t>
      </w:r>
      <w:r>
        <w:rPr>
          <w:rFonts w:ascii="Times New Roman" w:hAnsi="Times New Roman" w:cs="Times New Roman" w:eastAsia="Times New Roman" w:hint="default"/>
          <w:spacing w:val="-9"/>
        </w:rPr>
        <w:t> </w:t>
      </w:r>
      <w:r>
        <w:rPr/>
        <w:t>和大数据等分组工具，落地支持医保基金的支付改革，并梳理开发了自主知识产权的分组引</w:t>
      </w:r>
    </w:p>
    <w:p>
      <w:pPr>
        <w:spacing w:after="0" w:line="470"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2" w:lineRule="auto"/>
        <w:ind w:right="1130"/>
        <w:jc w:val="both"/>
      </w:pPr>
      <w:r>
        <w:rPr>
          <w:spacing w:val="-2"/>
        </w:rPr>
        <w:t>擎、权重分配、支付标准的一整套产品体系，可基于全国不同地域的病例给出与之匹配的支付改革结果。互联网医疗随着国</w:t>
      </w:r>
      <w:r>
        <w:rPr>
          <w:spacing w:val="-63"/>
        </w:rPr>
        <w:t> </w:t>
      </w:r>
      <w:r>
        <w:rPr>
          <w:spacing w:val="-63"/>
        </w:rPr>
      </w:r>
      <w:r>
        <w:rPr>
          <w:spacing w:val="-2"/>
        </w:rPr>
        <w:t>家局发布全新的医保电子凭证技术规范后，公司全力打造支持医疗费用线上线下一体支付产品，并在上海、浙江等地部分实</w:t>
      </w:r>
      <w:r>
        <w:rPr>
          <w:spacing w:val="-66"/>
        </w:rPr>
        <w:t> </w:t>
      </w:r>
      <w:r>
        <w:rPr>
          <w:spacing w:val="-66"/>
        </w:rPr>
      </w:r>
      <w:r>
        <w:rPr>
          <w:spacing w:val="-2"/>
        </w:rPr>
        <w:t>现了医保支付模式的改造，方便老百姓就医，减少支付排队。围绕国家局统一的标准化信息平台建设目标，公司全力参与国</w:t>
      </w:r>
      <w:r>
        <w:rPr>
          <w:spacing w:val="-65"/>
        </w:rPr>
        <w:t> </w:t>
      </w:r>
      <w:r>
        <w:rPr>
          <w:spacing w:val="-65"/>
        </w:rPr>
      </w:r>
      <w:r>
        <w:rPr>
          <w:spacing w:val="-3"/>
        </w:rPr>
        <w:t>家局信息系统和规划在各省的落地建设，其中</w:t>
      </w:r>
      <w:r>
        <w:rPr>
          <w:spacing w:val="-5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月完成了上海市医保信息平台的整体迁移和升级，一揽子解决了历 </w:t>
      </w:r>
      <w:r>
        <w:rPr>
          <w:spacing w:val="-2"/>
        </w:rPr>
        <w:t>史遗留的隐患和架构对标。此外，在飞行检查、基金监管、政商一体、长护险等诸多业务领域，与中国人寿进行了紧密的业</w:t>
      </w:r>
      <w:r>
        <w:rPr>
          <w:spacing w:val="-68"/>
        </w:rPr>
        <w:t> </w:t>
      </w:r>
      <w:r>
        <w:rPr>
          <w:spacing w:val="-68"/>
        </w:rPr>
      </w:r>
      <w:r>
        <w:rPr>
          <w:spacing w:val="-2"/>
        </w:rPr>
        <w:t>务对接，打通医疗保障部门、商业保险公司、信息技术公司之间技术壁垒，为打造服务参保人的一体化医疗保障解决方案提</w:t>
      </w:r>
      <w:r>
        <w:rPr>
          <w:spacing w:val="-64"/>
        </w:rPr>
        <w:t> </w:t>
      </w:r>
      <w:r>
        <w:rPr>
          <w:spacing w:val="-64"/>
        </w:rPr>
      </w:r>
      <w:r>
        <w:rPr/>
        <w:t>供了先进的技术保障。</w:t>
      </w:r>
    </w:p>
    <w:p>
      <w:pPr>
        <w:pStyle w:val="BodyText"/>
        <w:spacing w:line="451" w:lineRule="auto" w:before="98"/>
        <w:ind w:right="1131" w:firstLine="360"/>
        <w:jc w:val="both"/>
      </w:pPr>
      <w:r>
        <w:rPr>
          <w:spacing w:val="-1"/>
        </w:rPr>
        <w:t>在医药领域，公司承建了全国级的全国药品临床试验管理平台，以及省级核心平台上海市招采配用一体化平台（</w:t>
      </w:r>
      <w:r>
        <w:rPr>
          <w:rFonts w:ascii="Times New Roman" w:hAnsi="Times New Roman" w:cs="Times New Roman" w:eastAsia="Times New Roman" w:hint="default"/>
          <w:spacing w:val="-1"/>
        </w:rPr>
        <w:t>4+7</w:t>
      </w:r>
      <w:r>
        <w:rPr>
          <w:rFonts w:ascii="Times New Roman" w:hAnsi="Times New Roman" w:cs="Times New Roman" w:eastAsia="Times New Roman" w:hint="default"/>
          <w:spacing w:val="2"/>
        </w:rPr>
        <w:t> </w:t>
      </w:r>
      <w:r>
        <w:rPr/>
        <w:t>带 </w:t>
      </w:r>
      <w:r>
        <w:rPr>
          <w:spacing w:val="-4"/>
        </w:rPr>
        <w:t>量采购平台）。上海市的阳光采购平台，对接了全国近</w:t>
      </w:r>
      <w:r>
        <w:rPr>
          <w:spacing w:val="-35"/>
        </w:rPr>
        <w:t> </w:t>
      </w:r>
      <w:r>
        <w:rPr>
          <w:rFonts w:ascii="Times New Roman" w:hAnsi="Times New Roman" w:cs="Times New Roman" w:eastAsia="Times New Roman" w:hint="default"/>
          <w:spacing w:val="-1"/>
        </w:rPr>
        <w:t>6500</w:t>
      </w:r>
      <w:r>
        <w:rPr>
          <w:rFonts w:ascii="Times New Roman" w:hAnsi="Times New Roman" w:cs="Times New Roman" w:eastAsia="Times New Roman" w:hint="default"/>
          <w:spacing w:val="10"/>
        </w:rPr>
        <w:t> </w:t>
      </w:r>
      <w:r>
        <w:rPr>
          <w:spacing w:val="-1"/>
        </w:rPr>
        <w:t>家医药企业、上海本地</w:t>
      </w:r>
      <w:r>
        <w:rPr>
          <w:spacing w:val="-36"/>
        </w:rPr>
        <w:t> </w:t>
      </w:r>
      <w:r>
        <w:rPr>
          <w:rFonts w:ascii="Times New Roman" w:hAnsi="Times New Roman" w:cs="Times New Roman" w:eastAsia="Times New Roman" w:hint="default"/>
          <w:spacing w:val="-1"/>
        </w:rPr>
        <w:t>1500</w:t>
      </w:r>
      <w:r>
        <w:rPr>
          <w:rFonts w:ascii="Times New Roman" w:hAnsi="Times New Roman" w:cs="Times New Roman" w:eastAsia="Times New Roman" w:hint="default"/>
          <w:spacing w:val="10"/>
        </w:rPr>
        <w:t> </w:t>
      </w:r>
      <w:r>
        <w:rPr>
          <w:spacing w:val="-1"/>
        </w:rPr>
        <w:t>余家医疗机构，真正实现了药品采</w:t>
      </w:r>
    </w:p>
    <w:p>
      <w:pPr>
        <w:pStyle w:val="BodyText"/>
        <w:spacing w:line="465" w:lineRule="auto" w:before="43"/>
        <w:ind w:right="1129"/>
        <w:jc w:val="both"/>
      </w:pPr>
      <w:r>
        <w:rPr/>
        <w:t>购的两票制，减少了中间流通环节，目前采购平台月均交易额超过</w:t>
      </w:r>
      <w:r>
        <w:rPr>
          <w:spacing w:val="-41"/>
        </w:rPr>
        <w:t> </w:t>
      </w:r>
      <w:r>
        <w:rPr>
          <w:rFonts w:ascii="Times New Roman" w:hAnsi="Times New Roman" w:cs="Times New Roman" w:eastAsia="Times New Roman" w:hint="default"/>
        </w:rPr>
        <w:t>50</w:t>
      </w:r>
      <w:r>
        <w:rPr>
          <w:rFonts w:ascii="Times New Roman" w:hAnsi="Times New Roman" w:cs="Times New Roman" w:eastAsia="Times New Roman" w:hint="default"/>
          <w:spacing w:val="4"/>
        </w:rPr>
        <w:t> </w:t>
      </w:r>
      <w:r>
        <w:rPr/>
        <w:t>亿元，取得了良好的经济和社会效益。结合上海药采 </w:t>
      </w:r>
      <w:r>
        <w:rPr>
          <w:spacing w:val="-2"/>
        </w:rPr>
        <w:t>的成功经验，先后在河北、江苏等地成功中标国家级和省级的医药招采试点项目，支持和推动了国家级医药集采各省落地的</w:t>
      </w:r>
      <w:r>
        <w:rPr>
          <w:spacing w:val="-65"/>
        </w:rPr>
        <w:t> </w:t>
      </w:r>
      <w:r>
        <w:rPr>
          <w:spacing w:val="-65"/>
        </w:rPr>
      </w:r>
      <w:r>
        <w:rPr/>
        <w:t>进程。同时，公司在全国重点区域与大型医药公司达成医药</w:t>
      </w:r>
      <w:r>
        <w:rPr>
          <w:spacing w:val="-36"/>
        </w:rPr>
        <w:t> </w:t>
      </w:r>
      <w:r>
        <w:rPr>
          <w:rFonts w:ascii="Times New Roman" w:hAnsi="Times New Roman" w:cs="Times New Roman" w:eastAsia="Times New Roman" w:hint="default"/>
        </w:rPr>
        <w:t>O2O</w:t>
      </w:r>
      <w:r>
        <w:rPr>
          <w:rFonts w:ascii="Times New Roman" w:hAnsi="Times New Roman" w:cs="Times New Roman" w:eastAsia="Times New Roman" w:hint="default"/>
          <w:spacing w:val="7"/>
        </w:rPr>
        <w:t> </w:t>
      </w:r>
      <w:r>
        <w:rPr/>
        <w:t>供应协议，并引入商保直付及临床试验平台，为全面实施 </w:t>
      </w:r>
      <w:r>
        <w:rPr>
          <w:spacing w:val="-2"/>
        </w:rPr>
        <w:t>医药分开、处方共享和药品外配打下坚实的基础。公司积极实施向公众服务的医药云平台，链接医院、药店和患者，优化患</w:t>
      </w:r>
      <w:r>
        <w:rPr>
          <w:spacing w:val="-65"/>
        </w:rPr>
        <w:t> </w:t>
      </w:r>
      <w:r>
        <w:rPr>
          <w:spacing w:val="-65"/>
        </w:rPr>
      </w:r>
      <w:r>
        <w:rPr>
          <w:spacing w:val="-2"/>
        </w:rPr>
        <w:t>者购药流程，实现处方外配、网上购药、线上比价、聚合支付、药品追溯等功能，在为医院、药店、患者提供智慧互联服务</w:t>
      </w:r>
      <w:r>
        <w:rPr>
          <w:spacing w:val="-65"/>
        </w:rPr>
        <w:t> </w:t>
      </w:r>
      <w:r>
        <w:rPr>
          <w:spacing w:val="-65"/>
        </w:rPr>
      </w:r>
      <w:r>
        <w:rPr/>
        <w:t>的同时，有助于公司拓展用户和优化收入结构。</w:t>
      </w:r>
    </w:p>
    <w:p>
      <w:pPr>
        <w:pStyle w:val="Heading5"/>
        <w:spacing w:line="240" w:lineRule="auto" w:before="101"/>
        <w:ind w:right="2602"/>
        <w:jc w:val="left"/>
        <w:rPr>
          <w:b w:val="0"/>
          <w:bCs w:val="0"/>
        </w:rPr>
      </w:pPr>
      <w:r>
        <w:rPr>
          <w:rFonts w:ascii="宋体" w:hAnsi="宋体" w:cs="宋体" w:eastAsia="宋体" w:hint="default"/>
        </w:rPr>
        <w:t>B.</w:t>
      </w:r>
      <w:r>
        <w:rPr>
          <w:rFonts w:ascii="宋体" w:hAnsi="宋体" w:cs="宋体" w:eastAsia="宋体" w:hint="default"/>
          <w:spacing w:val="-6"/>
        </w:rPr>
        <w:t> </w:t>
      </w:r>
      <w:r>
        <w:rPr/>
        <w:t>健康云</w:t>
      </w:r>
      <w:r>
        <w:rPr>
          <w:rFonts w:ascii="宋体" w:hAnsi="宋体" w:cs="宋体" w:eastAsia="宋体" w:hint="default"/>
        </w:rPr>
        <w:t>-</w:t>
      </w:r>
      <w:r>
        <w:rPr/>
        <w:t>城市级“互联网</w:t>
      </w:r>
      <w:r>
        <w:rPr>
          <w:rFonts w:ascii="宋体" w:hAnsi="宋体" w:cs="宋体" w:eastAsia="宋体" w:hint="default"/>
        </w:rPr>
        <w:t>+</w:t>
      </w:r>
      <w:r>
        <w:rPr/>
        <w:t>医疗健康”服务平台</w:t>
      </w:r>
      <w:r>
        <w:rPr>
          <w:b w:val="0"/>
          <w:bCs w:val="0"/>
        </w:rPr>
      </w:r>
    </w:p>
    <w:p>
      <w:pPr>
        <w:spacing w:line="240" w:lineRule="auto" w:before="7"/>
        <w:rPr>
          <w:rFonts w:ascii="宋体" w:hAnsi="宋体" w:cs="宋体" w:eastAsia="宋体" w:hint="default"/>
          <w:b/>
          <w:bCs/>
          <w:sz w:val="14"/>
          <w:szCs w:val="14"/>
        </w:rPr>
      </w:pPr>
    </w:p>
    <w:p>
      <w:pPr>
        <w:spacing w:line="4992" w:lineRule="exact"/>
        <w:ind w:left="1738" w:right="0" w:firstLine="0"/>
        <w:rPr>
          <w:rFonts w:ascii="宋体" w:hAnsi="宋体" w:cs="宋体" w:eastAsia="宋体" w:hint="default"/>
          <w:sz w:val="20"/>
          <w:szCs w:val="20"/>
        </w:rPr>
      </w:pPr>
      <w:r>
        <w:rPr>
          <w:rFonts w:ascii="宋体" w:hAnsi="宋体" w:cs="宋体" w:eastAsia="宋体" w:hint="default"/>
          <w:position w:val="-99"/>
          <w:sz w:val="20"/>
          <w:szCs w:val="20"/>
        </w:rPr>
        <w:drawing>
          <wp:inline distT="0" distB="0" distL="0" distR="0">
            <wp:extent cx="4130378" cy="3170396"/>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4" cstate="print"/>
                    <a:stretch>
                      <a:fillRect/>
                    </a:stretch>
                  </pic:blipFill>
                  <pic:spPr>
                    <a:xfrm>
                      <a:off x="0" y="0"/>
                      <a:ext cx="4130378" cy="3170396"/>
                    </a:xfrm>
                    <a:prstGeom prst="rect">
                      <a:avLst/>
                    </a:prstGeom>
                  </pic:spPr>
                </pic:pic>
              </a:graphicData>
            </a:graphic>
          </wp:inline>
        </w:drawing>
      </w:r>
      <w:r>
        <w:rPr>
          <w:rFonts w:ascii="宋体" w:hAnsi="宋体" w:cs="宋体" w:eastAsia="宋体" w:hint="default"/>
          <w:position w:val="-99"/>
          <w:sz w:val="20"/>
          <w:szCs w:val="20"/>
        </w:rPr>
      </w:r>
    </w:p>
    <w:p>
      <w:pPr>
        <w:pStyle w:val="BodyText"/>
        <w:spacing w:line="451" w:lineRule="auto" w:before="83"/>
        <w:ind w:right="1128" w:firstLine="360"/>
        <w:jc w:val="both"/>
      </w:pPr>
      <w:r>
        <w:rPr/>
        <w:t>根据公司提出“互联网</w:t>
      </w:r>
      <w:r>
        <w:rPr>
          <w:rFonts w:ascii="Times New Roman" w:hAnsi="Times New Roman" w:cs="Times New Roman" w:eastAsia="Times New Roman" w:hint="default"/>
        </w:rPr>
        <w:t>+</w:t>
      </w:r>
      <w:r>
        <w:rPr/>
        <w:t>产业”发展战略，经过 </w:t>
      </w:r>
      <w:r>
        <w:rPr>
          <w:rFonts w:ascii="Times New Roman" w:hAnsi="Times New Roman" w:cs="Times New Roman" w:eastAsia="Times New Roman" w:hint="default"/>
        </w:rPr>
        <w:t>4 </w:t>
      </w:r>
      <w:r>
        <w:rPr/>
        <w:t>年的持续研发投入，</w:t>
      </w:r>
      <w:r>
        <w:rPr>
          <w:rFonts w:ascii="Times New Roman" w:hAnsi="Times New Roman" w:cs="Times New Roman" w:eastAsia="Times New Roman" w:hint="default"/>
        </w:rPr>
        <w:t>2015</w:t>
      </w:r>
      <w:r>
        <w:rPr>
          <w:rFonts w:ascii="Times New Roman" w:hAnsi="Times New Roman" w:cs="Times New Roman" w:eastAsia="Times New Roman" w:hint="default"/>
          <w:spacing w:val="-22"/>
        </w:rPr>
        <w:t> </w:t>
      </w:r>
      <w:r>
        <w:rPr/>
        <w:t>年底公司的“互联网</w:t>
      </w:r>
      <w:r>
        <w:rPr>
          <w:rFonts w:ascii="Times New Roman" w:hAnsi="Times New Roman" w:cs="Times New Roman" w:eastAsia="Times New Roman" w:hint="default"/>
        </w:rPr>
        <w:t>+</w:t>
      </w:r>
      <w:r>
        <w:rPr/>
        <w:t>医疗健康”服务平台 “健康云”正式落地启动城市运营。平台目前已经建设成为政府提供公共卫生服务、医疗健康管理服务等“互联网</w:t>
      </w:r>
      <w:r>
        <w:rPr>
          <w:rFonts w:ascii="Times New Roman" w:hAnsi="Times New Roman" w:cs="Times New Roman" w:eastAsia="Times New Roman" w:hint="default"/>
        </w:rPr>
        <w:t>+</w:t>
      </w:r>
      <w:r>
        <w:rPr/>
        <w:t>医疗健 </w:t>
      </w:r>
      <w:r>
        <w:rPr>
          <w:spacing w:val="-2"/>
        </w:rPr>
        <w:t>康”公共服务的统一应用入口，成为有效链接服务对象（居民）和服务提供者（社区医生、医疗机构、公共卫生机构等），</w:t>
      </w:r>
    </w:p>
    <w:p>
      <w:pPr>
        <w:spacing w:after="0" w:line="451"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0"/>
        <w:jc w:val="left"/>
      </w:pPr>
      <w:r>
        <w:rPr>
          <w:spacing w:val="-2"/>
        </w:rPr>
        <w:t>支撑公众开展自我健康管理的线上服务管理工具，成为政府整合卫生、教育、体育、环保等各相关部门社区健康服务以及优</w:t>
      </w:r>
      <w:r>
        <w:rPr>
          <w:spacing w:val="-66"/>
        </w:rPr>
        <w:t> </w:t>
      </w:r>
      <w:r>
        <w:rPr>
          <w:spacing w:val="-66"/>
        </w:rPr>
      </w:r>
      <w:r>
        <w:rPr/>
        <w:t>质社会健康服务资源的转介</w:t>
      </w:r>
      <w:r>
        <w:rPr>
          <w:rFonts w:ascii="Times New Roman" w:hAnsi="Times New Roman" w:cs="Times New Roman" w:eastAsia="Times New Roman" w:hint="default"/>
        </w:rPr>
        <w:t>/</w:t>
      </w:r>
      <w:r>
        <w:rPr/>
        <w:t>链接、应用和管理平台。</w:t>
      </w:r>
    </w:p>
    <w:p>
      <w:pPr>
        <w:spacing w:line="240" w:lineRule="auto" w:before="10"/>
        <w:rPr>
          <w:rFonts w:ascii="宋体" w:hAnsi="宋体" w:cs="宋体" w:eastAsia="宋体" w:hint="default"/>
          <w:sz w:val="8"/>
          <w:szCs w:val="8"/>
        </w:rPr>
      </w:pPr>
    </w:p>
    <w:p>
      <w:pPr>
        <w:spacing w:line="4716" w:lineRule="exact"/>
        <w:ind w:left="1597" w:right="0" w:firstLine="0"/>
        <w:rPr>
          <w:rFonts w:ascii="宋体" w:hAnsi="宋体" w:cs="宋体" w:eastAsia="宋体" w:hint="default"/>
          <w:sz w:val="20"/>
          <w:szCs w:val="20"/>
        </w:rPr>
      </w:pPr>
      <w:r>
        <w:rPr>
          <w:rFonts w:ascii="宋体" w:hAnsi="宋体" w:cs="宋体" w:eastAsia="宋体" w:hint="default"/>
          <w:position w:val="-93"/>
          <w:sz w:val="20"/>
          <w:szCs w:val="20"/>
        </w:rPr>
        <w:drawing>
          <wp:inline distT="0" distB="0" distL="0" distR="0">
            <wp:extent cx="4517802" cy="2994660"/>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4517802" cy="2994660"/>
                    </a:xfrm>
                    <a:prstGeom prst="rect">
                      <a:avLst/>
                    </a:prstGeom>
                  </pic:spPr>
                </pic:pic>
              </a:graphicData>
            </a:graphic>
          </wp:inline>
        </w:drawing>
      </w:r>
      <w:r>
        <w:rPr>
          <w:rFonts w:ascii="宋体" w:hAnsi="宋体" w:cs="宋体" w:eastAsia="宋体" w:hint="default"/>
          <w:position w:val="-93"/>
          <w:sz w:val="20"/>
          <w:szCs w:val="20"/>
        </w:rPr>
      </w:r>
    </w:p>
    <w:p>
      <w:pPr>
        <w:spacing w:line="240" w:lineRule="auto" w:before="2"/>
        <w:rPr>
          <w:rFonts w:ascii="宋体" w:hAnsi="宋体" w:cs="宋体" w:eastAsia="宋体" w:hint="default"/>
          <w:sz w:val="17"/>
          <w:szCs w:val="17"/>
        </w:rPr>
      </w:pPr>
    </w:p>
    <w:p>
      <w:pPr>
        <w:pStyle w:val="BodyText"/>
        <w:spacing w:line="468" w:lineRule="auto"/>
        <w:ind w:right="1128" w:firstLine="360"/>
        <w:jc w:val="both"/>
      </w:pPr>
      <w:r>
        <w:rPr/>
        <w:t>作为城市级医疗健康服务的互联网总入口，健康云平台连接三医核心业务，基于公司云平台，逐步打造了互联网</w:t>
      </w:r>
      <w:r>
        <w:rPr>
          <w:rFonts w:ascii="Times New Roman" w:hAnsi="Times New Roman" w:cs="Times New Roman" w:eastAsia="Times New Roman" w:hint="default"/>
        </w:rPr>
        <w:t>+</w:t>
      </w:r>
      <w:r>
        <w:rPr/>
        <w:t>医疗 健康</w:t>
      </w:r>
      <w:r>
        <w:rPr>
          <w:rFonts w:ascii="Times New Roman" w:hAnsi="Times New Roman" w:cs="Times New Roman" w:eastAsia="Times New Roman" w:hint="default"/>
        </w:rPr>
        <w:t>&amp;</w:t>
      </w:r>
      <w:r>
        <w:rPr/>
        <w:t>大数据服务平台，在公共健康管理领域，通过逐步丰富互联网</w:t>
      </w:r>
      <w:r>
        <w:rPr>
          <w:rFonts w:ascii="Times New Roman" w:hAnsi="Times New Roman" w:cs="Times New Roman" w:eastAsia="Times New Roman" w:hint="default"/>
        </w:rPr>
        <w:t>+</w:t>
      </w:r>
      <w:r>
        <w:rPr/>
        <w:t>医疗服务、公共卫生服务和健康管理服务，包括家医</w:t>
      </w:r>
      <w:r>
        <w:rPr>
          <w:spacing w:val="-58"/>
        </w:rPr>
        <w:t> </w:t>
      </w:r>
      <w:r>
        <w:rPr>
          <w:spacing w:val="-58"/>
        </w:rPr>
      </w:r>
      <w:r>
        <w:rPr>
          <w:spacing w:val="-2"/>
        </w:rPr>
        <w:t>移动签约、家庭病床、慢病管理、远程会诊、电子处方、药品配送等内容，面向所有人群提供覆盖全面的公共健康服务，在</w:t>
      </w:r>
      <w:r>
        <w:rPr>
          <w:spacing w:val="-73"/>
        </w:rPr>
        <w:t> </w:t>
      </w:r>
      <w:r>
        <w:rPr>
          <w:spacing w:val="-73"/>
        </w:rPr>
      </w:r>
      <w:r>
        <w:rPr>
          <w:spacing w:val="-2"/>
        </w:rPr>
        <w:t>全国各大省市中覆盖人群最广、服务功能最多；在智慧医疗服务领域，健康云平台实现了诊前、诊中、诊后以及慢病管理的</w:t>
      </w:r>
      <w:r>
        <w:rPr>
          <w:spacing w:val="-67"/>
        </w:rPr>
        <w:t> </w:t>
      </w:r>
      <w:r>
        <w:rPr>
          <w:spacing w:val="-67"/>
        </w:rPr>
      </w:r>
      <w:r>
        <w:rPr>
          <w:spacing w:val="-2"/>
        </w:rPr>
        <w:t>全流程服务，提供统一认证、统一支付、电子处方、网上商城、互联网医院等基本服务，在健康评估、疾病筛查、就医智能</w:t>
      </w:r>
      <w:r>
        <w:rPr>
          <w:spacing w:val="-65"/>
        </w:rPr>
        <w:t> </w:t>
      </w:r>
      <w:r>
        <w:rPr>
          <w:spacing w:val="-65"/>
        </w:rPr>
      </w:r>
      <w:r>
        <w:rPr/>
        <w:t>辅助等方面进一步发挥成效；在互联网</w:t>
      </w:r>
      <w:r>
        <w:rPr>
          <w:rFonts w:ascii="Times New Roman" w:hAnsi="Times New Roman" w:cs="Times New Roman" w:eastAsia="Times New Roman" w:hint="default"/>
        </w:rPr>
        <w:t>+</w:t>
      </w:r>
      <w:r>
        <w:rPr/>
        <w:t>健康社区领域，以智慧健康驿站建设为实施社区健康服务的重要载体，充分整合社 </w:t>
      </w:r>
      <w:r>
        <w:rPr>
          <w:spacing w:val="-2"/>
        </w:rPr>
        <w:t>区卫生服务中心健康自检设备、体质监测站、学校健康检测等各方资源，以街镇为单位设置的居民健康自检自评与自我管理</w:t>
      </w:r>
      <w:r>
        <w:rPr>
          <w:spacing w:val="-66"/>
        </w:rPr>
        <w:t> </w:t>
      </w:r>
      <w:r>
        <w:rPr>
          <w:spacing w:val="-66"/>
        </w:rPr>
      </w:r>
      <w:r>
        <w:rPr>
          <w:spacing w:val="-2"/>
        </w:rPr>
        <w:t>的场所，健全多种形态的智慧健康小屋（站）网络，逐步从居住社区延伸至学校、楼宇、企事业单位等功能社区，并通过智</w:t>
      </w:r>
      <w:r>
        <w:rPr>
          <w:spacing w:val="-73"/>
        </w:rPr>
        <w:t> </w:t>
      </w:r>
      <w:r>
        <w:rPr>
          <w:spacing w:val="-73"/>
        </w:rPr>
      </w:r>
      <w:r>
        <w:rPr>
          <w:spacing w:val="-2"/>
        </w:rPr>
        <w:t>慧健康设备延伸至居民家中。依托“健康云”平台，将居民健康信息纳入居民健康账户，从而实现居民健康自检、自评数据</w:t>
      </w:r>
      <w:r>
        <w:rPr>
          <w:spacing w:val="-69"/>
        </w:rPr>
        <w:t> </w:t>
      </w:r>
      <w:r>
        <w:rPr>
          <w:spacing w:val="-69"/>
        </w:rPr>
      </w:r>
      <w:r>
        <w:rPr>
          <w:spacing w:val="-2"/>
        </w:rPr>
        <w:t>与结果通过信息化自动采集，促进各类健康服务资源在社区的融合、贯通与精确供给。同时，健康云平台作为城市级健康大</w:t>
      </w:r>
      <w:r>
        <w:rPr>
          <w:spacing w:val="-62"/>
        </w:rPr>
        <w:t> </w:t>
      </w:r>
      <w:r>
        <w:rPr>
          <w:spacing w:val="-62"/>
        </w:rPr>
      </w:r>
      <w:r>
        <w:rPr/>
        <w:t>数据平台，向社会各界开放增值服务的接入，可接入包括直营和产业合作等互联网入口，为传统行业接入互联网赋能。</w:t>
      </w:r>
    </w:p>
    <w:p>
      <w:pPr>
        <w:pStyle w:val="BodyText"/>
        <w:spacing w:line="477" w:lineRule="auto" w:before="100"/>
        <w:ind w:right="1129" w:firstLine="360"/>
        <w:jc w:val="both"/>
      </w:pPr>
      <w:r>
        <w:rPr>
          <w:spacing w:val="-2"/>
        </w:rPr>
        <w:t>当前，随着全国版本健康云落地部署，统一各地移动端产品的框架，统一服务接入方式，在各地个性化的同时，保持后</w:t>
      </w:r>
      <w:r>
        <w:rPr/>
        <w:t> </w:t>
      </w:r>
      <w:r>
        <w:rPr>
          <w:spacing w:val="-2"/>
        </w:rPr>
        <w:t>台管理和架构管理上的一致性，产品拓展至长三角核心示范区及湖南省、四川省、宁夏自治区、北京昌平区、天津市滨海新</w:t>
      </w:r>
      <w:r>
        <w:rPr>
          <w:spacing w:val="-67"/>
        </w:rPr>
        <w:t> </w:t>
      </w:r>
      <w:r>
        <w:rPr>
          <w:spacing w:val="-67"/>
        </w:rPr>
      </w:r>
      <w:r>
        <w:rPr>
          <w:spacing w:val="-2"/>
        </w:rPr>
        <w:t>区等省市及地区，全国复制性极大增强；公司正在将健康云平台的成功模式快速复制到全国其他区域，公司的用户结构和收</w:t>
      </w:r>
      <w:r>
        <w:rPr>
          <w:spacing w:val="-64"/>
        </w:rPr>
        <w:t> </w:t>
      </w:r>
      <w:r>
        <w:rPr>
          <w:spacing w:val="-64"/>
        </w:rPr>
      </w:r>
      <w:r>
        <w:rPr>
          <w:spacing w:val="-2"/>
        </w:rPr>
        <w:t>入结构也将随之更加多元化。通过政府和市场的协同合作，向我国其他地区进行经验分享，建立起覆盖全生命周期、内涵丰</w:t>
      </w:r>
      <w:r>
        <w:rPr>
          <w:spacing w:val="-62"/>
        </w:rPr>
        <w:t> </w:t>
      </w:r>
      <w:r>
        <w:rPr>
          <w:spacing w:val="-62"/>
        </w:rPr>
      </w:r>
      <w:r>
        <w:rPr/>
        <w:t>富、结构合理的健康服务业体系，打造一批知名品牌和良性循环的健康服务产业集群，满足广大人民群众健康服务需求。</w:t>
      </w:r>
    </w:p>
    <w:p>
      <w:pPr>
        <w:spacing w:after="0" w:line="477"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5"/>
        <w:spacing w:line="518" w:lineRule="auto"/>
        <w:ind w:right="9218"/>
        <w:jc w:val="left"/>
        <w:rPr>
          <w:b w:val="0"/>
          <w:bCs w:val="0"/>
        </w:rPr>
      </w:pPr>
      <w:r>
        <w:rPr/>
        <w:t>（</w:t>
      </w:r>
      <w:r>
        <w:rPr>
          <w:rFonts w:ascii="宋体" w:hAnsi="宋体" w:cs="宋体" w:eastAsia="宋体" w:hint="default"/>
        </w:rPr>
        <w:t>2</w:t>
      </w:r>
      <w:r>
        <w:rPr/>
        <w:t>）民生保障</w:t>
      </w:r>
      <w:r>
        <w:rPr>
          <w:w w:val="99"/>
        </w:rPr>
        <w:t> </w:t>
      </w:r>
      <w:r>
        <w:rPr>
          <w:rFonts w:ascii="宋体" w:hAnsi="宋体" w:cs="宋体" w:eastAsia="宋体" w:hint="default"/>
        </w:rPr>
        <w:t>A.</w:t>
      </w:r>
      <w:r>
        <w:rPr>
          <w:rFonts w:ascii="宋体" w:hAnsi="宋体" w:cs="宋体" w:eastAsia="宋体" w:hint="default"/>
          <w:spacing w:val="-4"/>
        </w:rPr>
        <w:t> </w:t>
      </w:r>
      <w:r>
        <w:rPr/>
        <w:t>民生工程</w:t>
      </w:r>
      <w:r>
        <w:rPr>
          <w:b w:val="0"/>
          <w:bCs w:val="0"/>
        </w:rPr>
      </w:r>
    </w:p>
    <w:p>
      <w:pPr>
        <w:pStyle w:val="BodyText"/>
        <w:spacing w:line="458" w:lineRule="auto" w:before="62"/>
        <w:ind w:right="1034" w:firstLine="360"/>
        <w:jc w:val="left"/>
      </w:pPr>
      <w:r>
        <w:rPr/>
        <w:t>紧紧围绕我国人力资源和民生保障事业的发展进程，万达信息所建立的民生工程信息化解决方案技术先进、部署灵活、 安全可靠，该解决方案以人社部平台框架为基础，以公司自主研发的人社一体化</w:t>
      </w:r>
      <w:r>
        <w:rPr>
          <w:spacing w:val="-58"/>
        </w:rPr>
        <w:t> </w:t>
      </w:r>
      <w:r>
        <w:rPr>
          <w:rFonts w:ascii="Times New Roman" w:hAnsi="Times New Roman" w:cs="Times New Roman" w:eastAsia="Times New Roman" w:hint="default"/>
        </w:rPr>
        <w:t>WSSIP</w:t>
      </w:r>
      <w:r>
        <w:rPr>
          <w:rFonts w:ascii="Times New Roman" w:hAnsi="Times New Roman" w:cs="Times New Roman" w:eastAsia="Times New Roman" w:hint="default"/>
          <w:spacing w:val="-11"/>
        </w:rPr>
        <w:t> </w:t>
      </w:r>
      <w:r>
        <w:rPr>
          <w:spacing w:val="-7"/>
        </w:rPr>
        <w:t>平台为支撑，坚持“一个（云计算）</w:t>
      </w:r>
      <w:r>
        <w:rPr/>
        <w:t> </w:t>
      </w:r>
      <w:r>
        <w:rPr>
          <w:spacing w:val="-3"/>
        </w:rPr>
        <w:t>中心、两个规范体系”，覆盖就业、社会保障、人才队伍建设、劳动关系等领域，公司全力构筑</w:t>
      </w:r>
      <w:r>
        <w:rPr/>
        <w:t> </w:t>
      </w:r>
      <w:r>
        <w:rPr>
          <w:rFonts w:ascii="Times New Roman" w:hAnsi="Times New Roman" w:cs="Times New Roman" w:eastAsia="Times New Roman" w:hint="default"/>
          <w:spacing w:val="-1"/>
          <w:w w:val="99"/>
        </w:rPr>
        <w:t>AI-SI</w:t>
      </w:r>
      <w:r>
        <w:rPr>
          <w:rFonts w:ascii="Times New Roman" w:hAnsi="Times New Roman" w:cs="Times New Roman" w:eastAsia="Times New Roman" w:hint="default"/>
          <w:w w:val="99"/>
        </w:rPr>
        <w:t> </w:t>
      </w:r>
      <w:r>
        <w:rPr/>
        <w:t>智慧民生服务体系，</w:t>
      </w:r>
      <w:r>
        <w:rPr>
          <w:spacing w:val="-47"/>
        </w:rPr>
        <w:t> </w:t>
      </w:r>
      <w:r>
        <w:rPr>
          <w:spacing w:val="-6"/>
          <w:w w:val="99"/>
        </w:rPr>
        <w:t>打造民生保障基础能力（</w:t>
      </w:r>
      <w:r>
        <w:rPr>
          <w:rFonts w:ascii="Times New Roman" w:hAnsi="Times New Roman" w:cs="Times New Roman" w:eastAsia="Times New Roman" w:hint="default"/>
          <w:spacing w:val="-6"/>
          <w:w w:val="99"/>
        </w:rPr>
        <w:t>Abllity</w:t>
      </w:r>
      <w:r>
        <w:rPr>
          <w:spacing w:val="-6"/>
          <w:w w:val="99"/>
        </w:rPr>
        <w:t>）、技术革新（</w:t>
      </w:r>
      <w:r>
        <w:rPr>
          <w:rFonts w:ascii="Times New Roman" w:hAnsi="Times New Roman" w:cs="Times New Roman" w:eastAsia="Times New Roman" w:hint="default"/>
          <w:spacing w:val="-6"/>
          <w:w w:val="99"/>
        </w:rPr>
        <w:t>Innovation</w:t>
      </w:r>
      <w:r>
        <w:rPr>
          <w:spacing w:val="-6"/>
          <w:w w:val="99"/>
        </w:rPr>
        <w:t>）、场景化服务（</w:t>
      </w:r>
      <w:r>
        <w:rPr>
          <w:rFonts w:ascii="Times New Roman" w:hAnsi="Times New Roman" w:cs="Times New Roman" w:eastAsia="Times New Roman" w:hint="default"/>
          <w:spacing w:val="-6"/>
          <w:w w:val="99"/>
        </w:rPr>
        <w:t>Scene</w:t>
      </w:r>
      <w:r>
        <w:rPr>
          <w:spacing w:val="-6"/>
          <w:w w:val="99"/>
        </w:rPr>
        <w:t>）以及智能物联（</w:t>
      </w:r>
      <w:r>
        <w:rPr>
          <w:rFonts w:ascii="Times New Roman" w:hAnsi="Times New Roman" w:cs="Times New Roman" w:eastAsia="Times New Roman" w:hint="default"/>
          <w:spacing w:val="-6"/>
          <w:w w:val="99"/>
        </w:rPr>
        <w:t>Iot</w:t>
      </w:r>
      <w:r>
        <w:rPr>
          <w:spacing w:val="-6"/>
          <w:w w:val="99"/>
        </w:rPr>
        <w:t>）四大系列产品和服务，</w:t>
      </w:r>
      <w:r>
        <w:rPr>
          <w:spacing w:val="-64"/>
          <w:w w:val="99"/>
        </w:rPr>
        <w:t> </w:t>
      </w:r>
      <w:r>
        <w:rPr>
          <w:spacing w:val="-64"/>
          <w:w w:val="99"/>
        </w:rPr>
      </w:r>
      <w:r>
        <w:rPr/>
        <w:t>推动民生保障服务升级，引领行业发展。</w:t>
      </w:r>
    </w:p>
    <w:p>
      <w:pPr>
        <w:spacing w:line="240" w:lineRule="auto" w:before="2"/>
        <w:rPr>
          <w:rFonts w:ascii="宋体" w:hAnsi="宋体" w:cs="宋体" w:eastAsia="宋体" w:hint="default"/>
          <w:sz w:val="12"/>
          <w:szCs w:val="12"/>
        </w:rPr>
      </w:pPr>
    </w:p>
    <w:p>
      <w:pPr>
        <w:spacing w:line="3804" w:lineRule="exact"/>
        <w:ind w:left="1603"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4545875" cy="2415921"/>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6" cstate="print"/>
                    <a:stretch>
                      <a:fillRect/>
                    </a:stretch>
                  </pic:blipFill>
                  <pic:spPr>
                    <a:xfrm>
                      <a:off x="0" y="0"/>
                      <a:ext cx="4545875" cy="2415921"/>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8"/>
        <w:rPr>
          <w:rFonts w:ascii="宋体" w:hAnsi="宋体" w:cs="宋体" w:eastAsia="宋体" w:hint="default"/>
          <w:sz w:val="18"/>
          <w:szCs w:val="18"/>
        </w:rPr>
      </w:pPr>
    </w:p>
    <w:p>
      <w:pPr>
        <w:pStyle w:val="BodyText"/>
        <w:spacing w:line="470" w:lineRule="auto"/>
        <w:ind w:right="1131" w:firstLine="360"/>
        <w:jc w:val="both"/>
      </w:pPr>
      <w:r>
        <w:rPr>
          <w:spacing w:val="-2"/>
        </w:rPr>
        <w:t>在报告期内，公司积极参与人社部和民政部等国家级平台建设，不断在四川、青海、山东、内蒙古等地拓展省级平台的</w:t>
      </w:r>
      <w:r>
        <w:rPr/>
        <w:t> </w:t>
      </w:r>
      <w:r>
        <w:rPr>
          <w:spacing w:val="-2"/>
        </w:rPr>
        <w:t>建设；公司充分发挥在大数据领域的技术优势，在镇江、温州等地大力推动大数据平台的建设与创新应用，以数据流不断促</w:t>
      </w:r>
      <w:r>
        <w:rPr>
          <w:spacing w:val="-64"/>
        </w:rPr>
        <w:t> </w:t>
      </w:r>
      <w:r>
        <w:rPr>
          <w:spacing w:val="-64"/>
        </w:rPr>
      </w:r>
      <w:r>
        <w:rPr>
          <w:spacing w:val="-5"/>
        </w:rPr>
        <w:t>进民生保障服务效率的提升；公司根据用户的需求，持续研发与大数据、云计算相关的产品及服务，通过承接在上海、青岛、</w:t>
      </w:r>
      <w:r>
        <w:rPr>
          <w:spacing w:val="-80"/>
        </w:rPr>
        <w:t> </w:t>
      </w:r>
      <w:r>
        <w:rPr>
          <w:spacing w:val="-80"/>
        </w:rPr>
      </w:r>
      <w:r>
        <w:rPr>
          <w:spacing w:val="-4"/>
        </w:rPr>
        <w:t>重庆、宁波等地的核心民生保障项目，通过在深圳成功上线的千万级</w:t>
      </w:r>
      <w:r>
        <w:rPr>
          <w:spacing w:val="-41"/>
        </w:rPr>
        <w:t> </w:t>
      </w:r>
      <w:r>
        <w:rPr>
          <w:rFonts w:ascii="Times New Roman" w:hAnsi="Times New Roman" w:cs="Times New Roman" w:eastAsia="Times New Roman" w:hint="default"/>
        </w:rPr>
        <w:t>LEAF6</w:t>
      </w:r>
      <w:r>
        <w:rPr>
          <w:rFonts w:ascii="Times New Roman" w:hAnsi="Times New Roman" w:cs="Times New Roman" w:eastAsia="Times New Roman" w:hint="default"/>
          <w:spacing w:val="4"/>
        </w:rPr>
        <w:t> </w:t>
      </w:r>
      <w:r>
        <w:rPr>
          <w:spacing w:val="-3"/>
        </w:rPr>
        <w:t>分布式社保系统，不断以基于新技术的新模式，</w:t>
      </w:r>
      <w:r>
        <w:rPr/>
        <w:t> 优化民生保障的管理与服务。</w:t>
      </w:r>
    </w:p>
    <w:p>
      <w:pPr>
        <w:pStyle w:val="BodyText"/>
        <w:spacing w:line="518" w:lineRule="auto" w:before="98"/>
        <w:ind w:left="513" w:right="1119"/>
        <w:jc w:val="left"/>
      </w:pPr>
      <w:r>
        <w:rPr>
          <w:rFonts w:ascii="宋体" w:hAnsi="宋体" w:cs="宋体" w:eastAsia="宋体" w:hint="default"/>
          <w:b/>
          <w:bCs/>
        </w:rPr>
        <w:t>B. </w:t>
      </w:r>
      <w:r>
        <w:rPr>
          <w:rFonts w:ascii="宋体" w:hAnsi="宋体" w:cs="宋体" w:eastAsia="宋体" w:hint="default"/>
          <w:b/>
          <w:bCs/>
        </w:rPr>
        <w:t>智慧养老</w:t>
      </w:r>
      <w:r>
        <w:rPr>
          <w:rFonts w:ascii="宋体" w:hAnsi="宋体" w:cs="宋体" w:eastAsia="宋体" w:hint="default"/>
          <w:b/>
          <w:bCs/>
          <w:w w:val="99"/>
        </w:rPr>
        <w:t> </w:t>
      </w:r>
      <w:r>
        <w:rPr>
          <w:spacing w:val="-2"/>
        </w:rPr>
        <w:t>当今，老年人消费市场增长强劲，老龄产业有望成为经济发展新的增长点。根据国务院《关于全面放开养老服务市场提</w:t>
      </w:r>
    </w:p>
    <w:p>
      <w:pPr>
        <w:pStyle w:val="BodyText"/>
        <w:spacing w:line="472" w:lineRule="auto" w:before="24"/>
        <w:ind w:right="1130"/>
        <w:jc w:val="both"/>
      </w:pPr>
      <w:r>
        <w:rPr>
          <w:spacing w:val="-1"/>
        </w:rPr>
        <w:t>升养老服务质量的若干意见》，公司利用在民生保障行业深耕的能力和经验，结合“互联网</w:t>
      </w:r>
      <w:r>
        <w:rPr>
          <w:rFonts w:ascii="Times New Roman" w:hAnsi="Times New Roman" w:cs="Times New Roman" w:eastAsia="Times New Roman" w:hint="default"/>
          <w:spacing w:val="-1"/>
        </w:rPr>
        <w:t>+</w:t>
      </w:r>
      <w:r>
        <w:rPr>
          <w:spacing w:val="-1"/>
        </w:rPr>
        <w:t>护理”的创新试点，公司建设</w:t>
      </w:r>
      <w:r>
        <w:rPr>
          <w:spacing w:val="-48"/>
        </w:rPr>
        <w:t> </w:t>
      </w:r>
      <w:r>
        <w:rPr>
          <w:spacing w:val="-48"/>
        </w:rPr>
      </w:r>
      <w:r>
        <w:rPr>
          <w:spacing w:val="-2"/>
        </w:rPr>
        <w:t>的养老云综合服务平台，专门从事智慧养老产品的研发和运营服务。该综合服务平台主要包括六大平台：面向政府管理机构</w:t>
      </w:r>
      <w:r>
        <w:rPr>
          <w:spacing w:val="-63"/>
        </w:rPr>
        <w:t> </w:t>
      </w:r>
      <w:r>
        <w:rPr>
          <w:spacing w:val="-63"/>
        </w:rPr>
      </w:r>
      <w:r>
        <w:rPr>
          <w:spacing w:val="-2"/>
        </w:rPr>
        <w:t>的医养结合管理云平台、面向政府管理机构与保险公司的长期护理保险综合信息管理云平台、面向地产养老企业的地产颐养</w:t>
      </w:r>
      <w:r>
        <w:rPr>
          <w:spacing w:val="-64"/>
        </w:rPr>
        <w:t> </w:t>
      </w:r>
      <w:r>
        <w:rPr>
          <w:spacing w:val="-64"/>
        </w:rPr>
      </w:r>
      <w:r>
        <w:rPr>
          <w:spacing w:val="-2"/>
        </w:rPr>
        <w:t>社区管理云平台、面向养老机构的养老机构管理云平台、面向政府管理机构及运营公司的社区综合为老服务云平台以及面向</w:t>
      </w:r>
      <w:r>
        <w:rPr>
          <w:spacing w:val="-64"/>
        </w:rPr>
        <w:t> </w:t>
      </w:r>
      <w:r>
        <w:rPr>
          <w:spacing w:val="-64"/>
        </w:rPr>
      </w:r>
      <w:r>
        <w:rPr>
          <w:spacing w:val="-2"/>
        </w:rPr>
        <w:t>护理服务机构的居家护理机构管理云平台。目前，“养老云”综合服务平台已覆盖上海、重庆、温州、烟台、义乌等多个省</w:t>
      </w:r>
      <w:r>
        <w:rPr>
          <w:spacing w:val="-65"/>
        </w:rPr>
        <w:t> </w:t>
      </w:r>
      <w:r>
        <w:rPr>
          <w:spacing w:val="-65"/>
        </w:rPr>
      </w:r>
      <w:r>
        <w:rPr/>
        <w:t>市政府管理部门以及多地养老机构。</w:t>
      </w:r>
    </w:p>
    <w:p>
      <w:pPr>
        <w:spacing w:after="0" w:line="472"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spacing w:line="6610" w:lineRule="exact"/>
        <w:ind w:left="1377" w:right="0" w:firstLine="0"/>
        <w:rPr>
          <w:rFonts w:ascii="宋体" w:hAnsi="宋体" w:cs="宋体" w:eastAsia="宋体" w:hint="default"/>
          <w:sz w:val="20"/>
          <w:szCs w:val="20"/>
        </w:rPr>
      </w:pPr>
      <w:r>
        <w:rPr>
          <w:rFonts w:ascii="宋体" w:hAnsi="宋体" w:cs="宋体" w:eastAsia="宋体" w:hint="default"/>
          <w:position w:val="-131"/>
          <w:sz w:val="20"/>
          <w:szCs w:val="20"/>
        </w:rPr>
        <w:drawing>
          <wp:inline distT="0" distB="0" distL="0" distR="0">
            <wp:extent cx="4804736" cy="4197953"/>
            <wp:effectExtent l="0" t="0" r="0" b="0"/>
            <wp:docPr id="13" name="image8.png" descr=""/>
            <wp:cNvGraphicFramePr>
              <a:graphicFrameLocks noChangeAspect="1"/>
            </wp:cNvGraphicFramePr>
            <a:graphic>
              <a:graphicData uri="http://schemas.openxmlformats.org/drawingml/2006/picture">
                <pic:pic>
                  <pic:nvPicPr>
                    <pic:cNvPr id="14" name="image8.png"/>
                    <pic:cNvPicPr/>
                  </pic:nvPicPr>
                  <pic:blipFill>
                    <a:blip r:embed="rId17" cstate="print"/>
                    <a:stretch>
                      <a:fillRect/>
                    </a:stretch>
                  </pic:blipFill>
                  <pic:spPr>
                    <a:xfrm>
                      <a:off x="0" y="0"/>
                      <a:ext cx="4804736" cy="4197953"/>
                    </a:xfrm>
                    <a:prstGeom prst="rect">
                      <a:avLst/>
                    </a:prstGeom>
                  </pic:spPr>
                </pic:pic>
              </a:graphicData>
            </a:graphic>
          </wp:inline>
        </w:drawing>
      </w:r>
      <w:r>
        <w:rPr>
          <w:rFonts w:ascii="宋体" w:hAnsi="宋体" w:cs="宋体" w:eastAsia="宋体" w:hint="default"/>
          <w:position w:val="-131"/>
          <w:sz w:val="20"/>
          <w:szCs w:val="20"/>
        </w:rPr>
      </w:r>
    </w:p>
    <w:p>
      <w:pPr>
        <w:spacing w:line="240" w:lineRule="auto" w:before="9"/>
        <w:rPr>
          <w:rFonts w:ascii="宋体" w:hAnsi="宋体" w:cs="宋体" w:eastAsia="宋体" w:hint="default"/>
          <w:sz w:val="12"/>
          <w:szCs w:val="12"/>
        </w:rPr>
      </w:pPr>
    </w:p>
    <w:p>
      <w:pPr>
        <w:pStyle w:val="BodyText"/>
        <w:spacing w:line="463" w:lineRule="auto" w:before="44"/>
        <w:ind w:right="1129" w:firstLine="360"/>
        <w:jc w:val="both"/>
      </w:pPr>
      <w:r>
        <w:rPr>
          <w:spacing w:val="-2"/>
        </w:rPr>
        <w:t>公司致力于通过在大数据、云计算和人工智能等领域的持续投入，以智能物联与智慧养老相融合，建立面向政府全过程</w:t>
      </w:r>
      <w:r>
        <w:rPr/>
        <w:t> </w:t>
      </w:r>
      <w:r>
        <w:rPr>
          <w:spacing w:val="-4"/>
        </w:rPr>
        <w:t>监督的监管平台、面向企业或社区的养老经营平台、以及面向老年人群的</w:t>
      </w:r>
      <w:r>
        <w:rPr>
          <w:spacing w:val="-33"/>
        </w:rPr>
        <w:t> </w:t>
      </w:r>
      <w:r>
        <w:rPr>
          <w:rFonts w:ascii="Times New Roman" w:hAnsi="Times New Roman" w:cs="Times New Roman" w:eastAsia="Times New Roman" w:hint="default"/>
        </w:rPr>
        <w:t>O2O</w:t>
      </w:r>
      <w:r>
        <w:rPr>
          <w:rFonts w:ascii="Times New Roman" w:hAnsi="Times New Roman" w:cs="Times New Roman" w:eastAsia="Times New Roman" w:hint="default"/>
          <w:spacing w:val="11"/>
        </w:rPr>
        <w:t> </w:t>
      </w:r>
      <w:r>
        <w:rPr>
          <w:spacing w:val="-3"/>
        </w:rPr>
        <w:t>平台，从而为老年人群的养老提供功能丰富、</w:t>
      </w:r>
      <w:r>
        <w:rPr>
          <w:spacing w:val="-88"/>
        </w:rPr>
        <w:t> </w:t>
      </w:r>
      <w:r>
        <w:rPr>
          <w:spacing w:val="-88"/>
        </w:rPr>
      </w:r>
      <w:r>
        <w:rPr/>
        <w:t>高效的智能监测、康复和看护等一站式的智慧养老服务。</w:t>
      </w:r>
    </w:p>
    <w:p>
      <w:pPr>
        <w:pStyle w:val="Heading5"/>
        <w:spacing w:line="240" w:lineRule="auto" w:before="106"/>
        <w:ind w:right="2602"/>
        <w:jc w:val="left"/>
        <w:rPr>
          <w:b w:val="0"/>
          <w:bCs w:val="0"/>
        </w:rPr>
      </w:pPr>
      <w:r>
        <w:rPr>
          <w:rFonts w:ascii="宋体" w:hAnsi="宋体" w:cs="宋体" w:eastAsia="宋体" w:hint="default"/>
        </w:rPr>
        <w:t>C.</w:t>
      </w:r>
      <w:r>
        <w:rPr>
          <w:rFonts w:ascii="宋体" w:hAnsi="宋体" w:cs="宋体" w:eastAsia="宋体" w:hint="default"/>
          <w:spacing w:val="-3"/>
        </w:rPr>
        <w:t> </w:t>
      </w:r>
      <w:r>
        <w:rPr/>
        <w:t>智慧教育</w:t>
      </w:r>
      <w:r>
        <w:rPr>
          <w:b w:val="0"/>
          <w:bCs w:val="0"/>
        </w:rPr>
      </w:r>
    </w:p>
    <w:p>
      <w:pPr>
        <w:spacing w:line="240" w:lineRule="auto" w:before="11"/>
        <w:rPr>
          <w:rFonts w:ascii="宋体" w:hAnsi="宋体" w:cs="宋体" w:eastAsia="宋体" w:hint="default"/>
          <w:b/>
          <w:bCs/>
          <w:sz w:val="16"/>
          <w:szCs w:val="16"/>
        </w:rPr>
      </w:pPr>
    </w:p>
    <w:p>
      <w:pPr>
        <w:spacing w:line="1166" w:lineRule="exact"/>
        <w:ind w:left="998" w:right="0" w:firstLine="0"/>
        <w:rPr>
          <w:rFonts w:ascii="宋体" w:hAnsi="宋体" w:cs="宋体" w:eastAsia="宋体" w:hint="default"/>
          <w:sz w:val="20"/>
          <w:szCs w:val="20"/>
        </w:rPr>
      </w:pPr>
      <w:r>
        <w:rPr>
          <w:rFonts w:ascii="宋体" w:hAnsi="宋体" w:cs="宋体" w:eastAsia="宋体" w:hint="default"/>
          <w:position w:val="-22"/>
          <w:sz w:val="20"/>
          <w:szCs w:val="20"/>
        </w:rPr>
        <w:drawing>
          <wp:inline distT="0" distB="0" distL="0" distR="0">
            <wp:extent cx="5249466" cy="740663"/>
            <wp:effectExtent l="0" t="0" r="0" b="0"/>
            <wp:docPr id="15" name="image9.png" descr=""/>
            <wp:cNvGraphicFramePr>
              <a:graphicFrameLocks noChangeAspect="1"/>
            </wp:cNvGraphicFramePr>
            <a:graphic>
              <a:graphicData uri="http://schemas.openxmlformats.org/drawingml/2006/picture">
                <pic:pic>
                  <pic:nvPicPr>
                    <pic:cNvPr id="16" name="image9.png"/>
                    <pic:cNvPicPr/>
                  </pic:nvPicPr>
                  <pic:blipFill>
                    <a:blip r:embed="rId18" cstate="print"/>
                    <a:stretch>
                      <a:fillRect/>
                    </a:stretch>
                  </pic:blipFill>
                  <pic:spPr>
                    <a:xfrm>
                      <a:off x="0" y="0"/>
                      <a:ext cx="5249466" cy="740663"/>
                    </a:xfrm>
                    <a:prstGeom prst="rect">
                      <a:avLst/>
                    </a:prstGeom>
                  </pic:spPr>
                </pic:pic>
              </a:graphicData>
            </a:graphic>
          </wp:inline>
        </w:drawing>
      </w:r>
      <w:r>
        <w:rPr>
          <w:rFonts w:ascii="宋体" w:hAnsi="宋体" w:cs="宋体" w:eastAsia="宋体" w:hint="default"/>
          <w:position w:val="-22"/>
          <w:sz w:val="20"/>
          <w:szCs w:val="20"/>
        </w:rPr>
      </w:r>
    </w:p>
    <w:p>
      <w:pPr>
        <w:spacing w:line="240" w:lineRule="auto" w:before="2"/>
        <w:rPr>
          <w:rFonts w:ascii="宋体" w:hAnsi="宋体" w:cs="宋体" w:eastAsia="宋体" w:hint="default"/>
          <w:b/>
          <w:bCs/>
          <w:sz w:val="11"/>
          <w:szCs w:val="11"/>
        </w:rPr>
      </w:pPr>
    </w:p>
    <w:p>
      <w:pPr>
        <w:spacing w:line="3515" w:lineRule="exact"/>
        <w:ind w:left="1732" w:right="0" w:firstLine="0"/>
        <w:rPr>
          <w:rFonts w:ascii="宋体" w:hAnsi="宋体" w:cs="宋体" w:eastAsia="宋体" w:hint="default"/>
          <w:sz w:val="20"/>
          <w:szCs w:val="20"/>
        </w:rPr>
      </w:pPr>
      <w:r>
        <w:rPr>
          <w:rFonts w:ascii="宋体" w:hAnsi="宋体" w:cs="宋体" w:eastAsia="宋体" w:hint="default"/>
          <w:position w:val="-69"/>
          <w:sz w:val="20"/>
          <w:szCs w:val="20"/>
        </w:rPr>
        <w:drawing>
          <wp:inline distT="0" distB="0" distL="0" distR="0">
            <wp:extent cx="4088816" cy="2232279"/>
            <wp:effectExtent l="0" t="0" r="0" b="0"/>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19" cstate="print"/>
                    <a:stretch>
                      <a:fillRect/>
                    </a:stretch>
                  </pic:blipFill>
                  <pic:spPr>
                    <a:xfrm>
                      <a:off x="0" y="0"/>
                      <a:ext cx="4088816" cy="2232279"/>
                    </a:xfrm>
                    <a:prstGeom prst="rect">
                      <a:avLst/>
                    </a:prstGeom>
                  </pic:spPr>
                </pic:pic>
              </a:graphicData>
            </a:graphic>
          </wp:inline>
        </w:drawing>
      </w:r>
      <w:r>
        <w:rPr>
          <w:rFonts w:ascii="宋体" w:hAnsi="宋体" w:cs="宋体" w:eastAsia="宋体" w:hint="default"/>
          <w:position w:val="-69"/>
          <w:sz w:val="20"/>
          <w:szCs w:val="20"/>
        </w:rPr>
      </w:r>
    </w:p>
    <w:p>
      <w:pPr>
        <w:spacing w:after="0" w:line="3515" w:lineRule="exact"/>
        <w:rPr>
          <w:rFonts w:ascii="宋体" w:hAnsi="宋体" w:cs="宋体" w:eastAsia="宋体" w:hint="default"/>
          <w:sz w:val="20"/>
          <w:szCs w:val="20"/>
        </w:rPr>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pStyle w:val="BodyText"/>
        <w:spacing w:line="458" w:lineRule="auto"/>
        <w:ind w:right="1130" w:firstLine="360"/>
        <w:jc w:val="both"/>
      </w:pPr>
      <w:r>
        <w:rPr/>
        <w:t>在智慧教育行业，随着教育信息化</w:t>
      </w:r>
      <w:r>
        <w:rPr>
          <w:spacing w:val="-63"/>
        </w:rPr>
        <w:t> </w:t>
      </w:r>
      <w:r>
        <w:rPr>
          <w:rFonts w:ascii="Times New Roman" w:hAnsi="Times New Roman" w:cs="Times New Roman" w:eastAsia="Times New Roman" w:hint="default"/>
        </w:rPr>
        <w:t>2.0</w:t>
      </w:r>
      <w:r>
        <w:rPr>
          <w:rFonts w:ascii="Times New Roman" w:hAnsi="Times New Roman" w:cs="Times New Roman" w:eastAsia="Times New Roman" w:hint="default"/>
          <w:spacing w:val="-18"/>
        </w:rPr>
        <w:t> </w:t>
      </w:r>
      <w:r>
        <w:rPr/>
        <w:t>到来，教育行业迎来新的机遇。万达信息依托已有的丰富教育科研资源，不断的 </w:t>
      </w:r>
      <w:r>
        <w:rPr>
          <w:spacing w:val="-2"/>
        </w:rPr>
        <w:t>拓展和发展业务，形成了包括上海大规模学习平台、学生体育素养大数据、智慧校园、区域教育业务等一系列产品及解决方</w:t>
      </w:r>
      <w:r>
        <w:rPr>
          <w:spacing w:val="-64"/>
        </w:rPr>
        <w:t> </w:t>
      </w:r>
      <w:r>
        <w:rPr>
          <w:spacing w:val="-64"/>
        </w:rPr>
      </w:r>
      <w:r>
        <w:rPr/>
        <w:t>案，万达信息将以“互联网</w:t>
      </w:r>
      <w:r>
        <w:rPr>
          <w:rFonts w:ascii="Times New Roman" w:hAnsi="Times New Roman" w:cs="Times New Roman" w:eastAsia="Times New Roman" w:hint="default"/>
        </w:rPr>
        <w:t>+</w:t>
      </w:r>
      <w:r>
        <w:rPr/>
        <w:t>教育”理念，致力于成为最专业、最优秀的教育信息化整体解决方案供应商，为教育改革提供 有力的支持和保障。</w:t>
      </w:r>
    </w:p>
    <w:p>
      <w:pPr>
        <w:pStyle w:val="Heading5"/>
        <w:spacing w:line="240" w:lineRule="auto" w:before="109"/>
        <w:ind w:right="2602"/>
        <w:jc w:val="left"/>
        <w:rPr>
          <w:b w:val="0"/>
          <w:bCs w:val="0"/>
        </w:rPr>
      </w:pPr>
      <w:r>
        <w:rPr>
          <w:rFonts w:ascii="宋体" w:hAnsi="宋体" w:cs="宋体" w:eastAsia="宋体" w:hint="default"/>
        </w:rPr>
        <w:t>D.</w:t>
      </w:r>
      <w:r>
        <w:rPr>
          <w:rFonts w:ascii="宋体" w:hAnsi="宋体" w:cs="宋体" w:eastAsia="宋体" w:hint="default"/>
          <w:spacing w:val="-3"/>
        </w:rPr>
        <w:t> </w:t>
      </w:r>
      <w:r>
        <w:rPr/>
        <w:t>智慧环保</w:t>
      </w:r>
      <w:r>
        <w:rPr>
          <w:b w:val="0"/>
          <w:bCs w:val="0"/>
        </w:rPr>
      </w:r>
    </w:p>
    <w:p>
      <w:pPr>
        <w:spacing w:line="240" w:lineRule="auto" w:before="9"/>
        <w:rPr>
          <w:rFonts w:ascii="宋体" w:hAnsi="宋体" w:cs="宋体" w:eastAsia="宋体" w:hint="default"/>
          <w:b/>
          <w:bCs/>
          <w:sz w:val="20"/>
          <w:szCs w:val="20"/>
        </w:rPr>
      </w:pPr>
    </w:p>
    <w:p>
      <w:pPr>
        <w:pStyle w:val="BodyText"/>
        <w:spacing w:line="477" w:lineRule="auto"/>
        <w:ind w:left="5983" w:right="1129" w:firstLine="451"/>
        <w:jc w:val="both"/>
      </w:pPr>
      <w:r>
        <w:rPr/>
        <w:pict>
          <v:shape style="position:absolute;margin-left:73.199997pt;margin-top:3.051716pt;width:240.09pt;height:278.4pt;mso-position-horizontal-relative:page;mso-position-vertical-relative:paragraph;z-index:1192" type="#_x0000_t75" stroked="false">
            <v:imagedata r:id="rId20" o:title=""/>
          </v:shape>
        </w:pict>
      </w:r>
      <w:r>
        <w:rPr>
          <w:spacing w:val="-4"/>
        </w:rPr>
        <w:t>在智慧环保行业，万达信息创新服务形式和</w:t>
      </w:r>
      <w:r>
        <w:rPr/>
        <w:t> 内容，依托环保综合云，整合环保业务、数据、</w:t>
      </w:r>
      <w:r>
        <w:rPr>
          <w:spacing w:val="-64"/>
        </w:rPr>
        <w:t> </w:t>
      </w:r>
      <w:r>
        <w:rPr>
          <w:spacing w:val="-64"/>
        </w:rPr>
      </w:r>
      <w:r>
        <w:rPr/>
        <w:t>流程和设备，形成以物联网和大数据应用为核心</w:t>
      </w:r>
      <w:r>
        <w:rPr>
          <w:spacing w:val="-65"/>
        </w:rPr>
        <w:t> </w:t>
      </w:r>
      <w:r>
        <w:rPr>
          <w:spacing w:val="-65"/>
        </w:rPr>
      </w:r>
      <w:r>
        <w:rPr/>
        <w:t>的“智慧环保”解决方案。面向政府提供精准的</w:t>
      </w:r>
      <w:r>
        <w:rPr>
          <w:spacing w:val="-65"/>
        </w:rPr>
        <w:t> </w:t>
      </w:r>
      <w:r>
        <w:rPr>
          <w:spacing w:val="-65"/>
        </w:rPr>
      </w:r>
      <w:r>
        <w:rPr/>
        <w:t>物联监测数据和多元的智慧监管手段，利用多模</w:t>
      </w:r>
      <w:r>
        <w:rPr>
          <w:spacing w:val="-63"/>
        </w:rPr>
        <w:t> </w:t>
      </w:r>
      <w:r>
        <w:rPr>
          <w:spacing w:val="-63"/>
        </w:rPr>
      </w:r>
      <w:r>
        <w:rPr/>
        <w:t>式环境质量评估模型以及大数据分析，科学决策</w:t>
      </w:r>
      <w:r>
        <w:rPr>
          <w:spacing w:val="-65"/>
        </w:rPr>
        <w:t> </w:t>
      </w:r>
      <w:r>
        <w:rPr>
          <w:spacing w:val="-65"/>
        </w:rPr>
      </w:r>
      <w:r>
        <w:rPr/>
        <w:t>污染管控方案，实现对污染源和大环境的精细化</w:t>
      </w:r>
      <w:r>
        <w:rPr>
          <w:spacing w:val="-65"/>
        </w:rPr>
        <w:t> </w:t>
      </w:r>
      <w:r>
        <w:rPr>
          <w:spacing w:val="-65"/>
        </w:rPr>
      </w:r>
      <w:r>
        <w:rPr/>
        <w:t>管理；面向企业提供污染排放管控监督、自行信</w:t>
      </w:r>
      <w:r>
        <w:rPr>
          <w:spacing w:val="-65"/>
        </w:rPr>
        <w:t> </w:t>
      </w:r>
      <w:r>
        <w:rPr>
          <w:spacing w:val="-65"/>
        </w:rPr>
      </w:r>
      <w:r>
        <w:rPr/>
        <w:t>息公开和环保行为信用评价服务；面向公众，提</w:t>
      </w:r>
      <w:r>
        <w:rPr>
          <w:spacing w:val="-65"/>
        </w:rPr>
        <w:t> </w:t>
      </w:r>
      <w:r>
        <w:rPr>
          <w:spacing w:val="-65"/>
        </w:rPr>
      </w:r>
      <w:r>
        <w:rPr/>
        <w:t>供对环境状况知情与监督服务，提升环境数据在</w:t>
      </w:r>
      <w:r>
        <w:rPr>
          <w:spacing w:val="-65"/>
        </w:rPr>
        <w:t> </w:t>
      </w:r>
      <w:r>
        <w:rPr>
          <w:spacing w:val="-65"/>
        </w:rPr>
      </w:r>
      <w:r>
        <w:rPr/>
        <w:t>公众服务领域的应用和共享价值。</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4"/>
          <w:szCs w:val="14"/>
        </w:rPr>
      </w:pPr>
    </w:p>
    <w:p>
      <w:pPr>
        <w:spacing w:line="518" w:lineRule="auto" w:before="0"/>
        <w:ind w:left="513" w:right="7460" w:firstLine="0"/>
        <w:jc w:val="left"/>
        <w:rPr>
          <w:rFonts w:ascii="宋体" w:hAnsi="宋体" w:cs="宋体" w:eastAsia="宋体" w:hint="default"/>
          <w:sz w:val="18"/>
          <w:szCs w:val="18"/>
        </w:rPr>
      </w:pPr>
      <w:r>
        <w:rPr/>
        <w:pict>
          <v:shape style="position:absolute;margin-left:221.889999pt;margin-top:-7.708296pt;width:352.41pt;height:235.86pt;mso-position-horizontal-relative:page;mso-position-vertical-relative:paragraph;z-index:1216" type="#_x0000_t75" stroked="false">
            <v:imagedata r:id="rId21" o:title=""/>
          </v:shape>
        </w:pict>
      </w:r>
      <w:r>
        <w:rPr>
          <w:rFonts w:ascii="宋体" w:hAnsi="宋体" w:cs="宋体" w:eastAsia="宋体" w:hint="default"/>
          <w:b/>
          <w:bCs/>
          <w:sz w:val="18"/>
          <w:szCs w:val="18"/>
        </w:rPr>
        <w:t>E. </w:t>
      </w:r>
      <w:r>
        <w:rPr>
          <w:rFonts w:ascii="宋体" w:hAnsi="宋体" w:cs="宋体" w:eastAsia="宋体" w:hint="default"/>
          <w:b/>
          <w:bCs/>
          <w:sz w:val="18"/>
          <w:szCs w:val="18"/>
        </w:rPr>
        <w:t>智慧文化</w:t>
      </w:r>
      <w:r>
        <w:rPr>
          <w:rFonts w:ascii="宋体" w:hAnsi="宋体" w:cs="宋体" w:eastAsia="宋体" w:hint="default"/>
          <w:b/>
          <w:bCs/>
          <w:w w:val="99"/>
          <w:sz w:val="18"/>
          <w:szCs w:val="18"/>
        </w:rPr>
        <w:t> </w:t>
      </w:r>
      <w:r>
        <w:rPr>
          <w:rFonts w:ascii="宋体" w:hAnsi="宋体" w:cs="宋体" w:eastAsia="宋体" w:hint="default"/>
          <w:spacing w:val="3"/>
          <w:sz w:val="18"/>
          <w:szCs w:val="18"/>
        </w:rPr>
        <w:t>在文化旅游行业，万达信息以智慧</w:t>
      </w:r>
      <w:r>
        <w:rPr>
          <w:rFonts w:ascii="宋体" w:hAnsi="宋体" w:cs="宋体" w:eastAsia="宋体" w:hint="default"/>
          <w:sz w:val="18"/>
          <w:szCs w:val="18"/>
        </w:rPr>
      </w:r>
    </w:p>
    <w:p>
      <w:pPr>
        <w:pStyle w:val="BodyText"/>
        <w:spacing w:line="477" w:lineRule="auto" w:before="23"/>
        <w:ind w:right="7460"/>
        <w:jc w:val="left"/>
      </w:pPr>
      <w:r>
        <w:rPr>
          <w:spacing w:val="-7"/>
        </w:rPr>
        <w:t>“文化云”技术为核心贯穿应用形成“智</w:t>
      </w:r>
      <w:r>
        <w:rPr>
          <w:spacing w:val="-84"/>
        </w:rPr>
        <w:t> </w:t>
      </w:r>
      <w:r>
        <w:rPr>
          <w:spacing w:val="-84"/>
        </w:rPr>
      </w:r>
      <w:r>
        <w:rPr>
          <w:spacing w:val="-3"/>
        </w:rPr>
        <w:t>慧文化”，在数字图书馆、数字化校园、</w:t>
      </w:r>
      <w:r>
        <w:rPr>
          <w:spacing w:val="-74"/>
        </w:rPr>
        <w:t> </w:t>
      </w:r>
      <w:r>
        <w:rPr>
          <w:spacing w:val="-74"/>
        </w:rPr>
      </w:r>
      <w:r>
        <w:rPr>
          <w:spacing w:val="3"/>
        </w:rPr>
        <w:t>数字博物馆、数字档案馆等领域形成智</w:t>
      </w:r>
      <w:r>
        <w:rPr>
          <w:spacing w:val="-88"/>
        </w:rPr>
        <w:t> </w:t>
      </w:r>
      <w:r>
        <w:rPr>
          <w:spacing w:val="-88"/>
        </w:rPr>
      </w:r>
      <w:r>
        <w:rPr>
          <w:spacing w:val="3"/>
        </w:rPr>
        <w:t>慧应用的核心竞争力，同时提供文化创</w:t>
      </w:r>
      <w:r>
        <w:rPr>
          <w:spacing w:val="-88"/>
        </w:rPr>
        <w:t> </w:t>
      </w:r>
      <w:r>
        <w:rPr>
          <w:spacing w:val="-88"/>
        </w:rPr>
      </w:r>
      <w:r>
        <w:rPr>
          <w:spacing w:val="3"/>
        </w:rPr>
        <w:t>意平台、展览展示设计施工、文化类项</w:t>
      </w:r>
      <w:r>
        <w:rPr>
          <w:spacing w:val="-88"/>
        </w:rPr>
        <w:t> </w:t>
      </w:r>
      <w:r>
        <w:rPr>
          <w:spacing w:val="-88"/>
        </w:rPr>
      </w:r>
      <w:r>
        <w:rPr>
          <w:spacing w:val="3"/>
        </w:rPr>
        <w:t>目咨询与运营服务等。结合智慧旅游，</w:t>
      </w:r>
      <w:r>
        <w:rPr>
          <w:spacing w:val="-88"/>
        </w:rPr>
        <w:t> </w:t>
      </w:r>
      <w:r>
        <w:rPr>
          <w:spacing w:val="-88"/>
        </w:rPr>
      </w:r>
      <w:r>
        <w:rPr>
          <w:spacing w:val="3"/>
        </w:rPr>
        <w:t>策划有文化创意的旅游产品和主题活动，</w:t>
      </w:r>
      <w:r>
        <w:rPr/>
        <w:t> </w:t>
      </w:r>
      <w:r>
        <w:rPr>
          <w:spacing w:val="3"/>
        </w:rPr>
        <w:t>提升用户体验，带动文化和旅游相关产</w:t>
      </w:r>
    </w:p>
    <w:p>
      <w:pPr>
        <w:pStyle w:val="BodyText"/>
        <w:spacing w:line="240" w:lineRule="auto" w:before="54"/>
        <w:ind w:right="2602"/>
        <w:jc w:val="left"/>
      </w:pPr>
      <w:r>
        <w:rPr/>
        <w:t>业发展，提升城市的品牌形象，在增加旅游经济效益的同时体现城市的人文魅力。</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5"/>
        <w:spacing w:line="240" w:lineRule="auto"/>
        <w:ind w:right="2602"/>
        <w:jc w:val="left"/>
        <w:rPr>
          <w:b w:val="0"/>
          <w:bCs w:val="0"/>
        </w:rPr>
      </w:pPr>
      <w:r>
        <w:rPr>
          <w:rFonts w:ascii="宋体" w:hAnsi="宋体" w:cs="宋体" w:eastAsia="宋体" w:hint="default"/>
        </w:rPr>
        <w:t>2</w:t>
      </w:r>
      <w:r>
        <w:rPr/>
        <w:t>、智慧城市</w:t>
      </w:r>
      <w:r>
        <w:rPr>
          <w:b w:val="0"/>
          <w:bCs w:val="0"/>
        </w:rPr>
      </w:r>
    </w:p>
    <w:p>
      <w:pPr>
        <w:spacing w:line="240" w:lineRule="auto" w:before="12"/>
        <w:rPr>
          <w:rFonts w:ascii="宋体" w:hAnsi="宋体" w:cs="宋体" w:eastAsia="宋体" w:hint="default"/>
          <w:b/>
          <w:bCs/>
          <w:sz w:val="20"/>
          <w:szCs w:val="20"/>
        </w:rPr>
      </w:pPr>
    </w:p>
    <w:p>
      <w:pPr>
        <w:pStyle w:val="BodyText"/>
        <w:spacing w:line="463" w:lineRule="auto"/>
        <w:ind w:right="1130" w:firstLine="36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15"/>
        </w:rPr>
        <w:t> </w:t>
      </w:r>
      <w:r>
        <w:rPr>
          <w:spacing w:val="-3"/>
        </w:rPr>
        <w:t>年，国家发布《智慧城市信息技术运营指南》，该指南有助于提升智慧城市信息化建设水平和建设质量，有助于规</w:t>
      </w:r>
      <w:r>
        <w:rPr/>
        <w:t> </w:t>
      </w:r>
      <w:r>
        <w:rPr>
          <w:spacing w:val="-2"/>
        </w:rPr>
        <w:t>范智慧城市市场。公司作为国内智慧城市领域的领军企业，充分抓住良好的发展机遇，全面巩固和夯实在智慧城市领域的优</w:t>
      </w:r>
      <w:r>
        <w:rPr>
          <w:spacing w:val="-63"/>
        </w:rPr>
        <w:t> </w:t>
      </w:r>
      <w:r>
        <w:rPr>
          <w:spacing w:val="-63"/>
        </w:rPr>
      </w:r>
      <w:r>
        <w:rPr/>
        <w:t>势地位。</w:t>
      </w:r>
    </w:p>
    <w:p>
      <w:pPr>
        <w:spacing w:line="240" w:lineRule="auto" w:before="5"/>
        <w:rPr>
          <w:rFonts w:ascii="宋体" w:hAnsi="宋体" w:cs="宋体" w:eastAsia="宋体" w:hint="default"/>
          <w:sz w:val="7"/>
          <w:szCs w:val="7"/>
        </w:rPr>
      </w:pPr>
    </w:p>
    <w:p>
      <w:pPr>
        <w:spacing w:line="5115" w:lineRule="exact"/>
        <w:ind w:left="1209" w:right="0" w:firstLine="0"/>
        <w:rPr>
          <w:rFonts w:ascii="宋体" w:hAnsi="宋体" w:cs="宋体" w:eastAsia="宋体" w:hint="default"/>
          <w:sz w:val="20"/>
          <w:szCs w:val="20"/>
        </w:rPr>
      </w:pPr>
      <w:r>
        <w:rPr>
          <w:rFonts w:ascii="宋体" w:hAnsi="宋体" w:cs="宋体" w:eastAsia="宋体" w:hint="default"/>
          <w:position w:val="-101"/>
          <w:sz w:val="20"/>
          <w:szCs w:val="20"/>
        </w:rPr>
        <w:drawing>
          <wp:inline distT="0" distB="0" distL="0" distR="0">
            <wp:extent cx="4785858" cy="3248025"/>
            <wp:effectExtent l="0" t="0" r="0" b="0"/>
            <wp:docPr id="19" name="image13.png" descr=""/>
            <wp:cNvGraphicFramePr>
              <a:graphicFrameLocks noChangeAspect="1"/>
            </wp:cNvGraphicFramePr>
            <a:graphic>
              <a:graphicData uri="http://schemas.openxmlformats.org/drawingml/2006/picture">
                <pic:pic>
                  <pic:nvPicPr>
                    <pic:cNvPr id="20" name="image13.png"/>
                    <pic:cNvPicPr/>
                  </pic:nvPicPr>
                  <pic:blipFill>
                    <a:blip r:embed="rId22" cstate="print"/>
                    <a:stretch>
                      <a:fillRect/>
                    </a:stretch>
                  </pic:blipFill>
                  <pic:spPr>
                    <a:xfrm>
                      <a:off x="0" y="0"/>
                      <a:ext cx="4785858" cy="3248025"/>
                    </a:xfrm>
                    <a:prstGeom prst="rect">
                      <a:avLst/>
                    </a:prstGeom>
                  </pic:spPr>
                </pic:pic>
              </a:graphicData>
            </a:graphic>
          </wp:inline>
        </w:drawing>
      </w:r>
      <w:r>
        <w:rPr>
          <w:rFonts w:ascii="宋体" w:hAnsi="宋体" w:cs="宋体" w:eastAsia="宋体" w:hint="default"/>
          <w:position w:val="-101"/>
          <w:sz w:val="20"/>
          <w:szCs w:val="20"/>
        </w:rPr>
      </w:r>
    </w:p>
    <w:p>
      <w:pPr>
        <w:spacing w:line="240" w:lineRule="auto" w:before="2"/>
        <w:rPr>
          <w:rFonts w:ascii="宋体" w:hAnsi="宋体" w:cs="宋体" w:eastAsia="宋体" w:hint="default"/>
          <w:sz w:val="18"/>
          <w:szCs w:val="18"/>
        </w:rPr>
      </w:pPr>
    </w:p>
    <w:p>
      <w:pPr>
        <w:pStyle w:val="BodyText"/>
        <w:spacing w:line="518" w:lineRule="auto"/>
        <w:ind w:left="513" w:right="0"/>
        <w:jc w:val="left"/>
      </w:pP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）政务管理和服务</w:t>
      </w:r>
      <w:r>
        <w:rPr>
          <w:rFonts w:ascii="宋体" w:hAnsi="宋体" w:cs="宋体" w:eastAsia="宋体" w:hint="default"/>
          <w:b/>
          <w:bCs/>
          <w:w w:val="99"/>
        </w:rPr>
        <w:t> </w:t>
      </w:r>
      <w:r>
        <w:rPr>
          <w:spacing w:val="-2"/>
        </w:rPr>
        <w:t>万达信息长期以来为政府相关部门提供信息化解决方案，以满足政府各职能部门不断提升的对管理和服务的要求，支持</w:t>
      </w:r>
    </w:p>
    <w:p>
      <w:pPr>
        <w:pStyle w:val="BodyText"/>
        <w:spacing w:line="477" w:lineRule="auto" w:before="23"/>
        <w:ind w:right="1119"/>
        <w:jc w:val="left"/>
      </w:pPr>
      <w:r>
        <w:rPr>
          <w:spacing w:val="-2"/>
        </w:rPr>
        <w:t>政务资源的梳理、架构政府信息资源目录体系，以实现政务资源共享与业务协同，以优化政务服务流程，提升政府管理决策</w:t>
      </w:r>
      <w:r>
        <w:rPr>
          <w:spacing w:val="-65"/>
        </w:rPr>
        <w:t> </w:t>
      </w:r>
      <w:r>
        <w:rPr>
          <w:spacing w:val="-65"/>
        </w:rPr>
      </w:r>
      <w:r>
        <w:rPr/>
        <w:t>效率。</w:t>
      </w:r>
    </w:p>
    <w:p>
      <w:pPr>
        <w:pStyle w:val="BodyText"/>
        <w:spacing w:line="472" w:lineRule="auto" w:before="92"/>
        <w:ind w:right="1131" w:firstLine="360"/>
        <w:jc w:val="both"/>
      </w:pPr>
      <w:r>
        <w:rPr>
          <w:spacing w:val="-2"/>
        </w:rPr>
        <w:t>公司建设的上海“一网通办”总门户通过整合各部门碎片化、条线化的政务服务事项前端受理功能，建设全市政务服务</w:t>
      </w:r>
      <w:r>
        <w:rPr/>
        <w:t> </w:t>
      </w:r>
      <w:r>
        <w:rPr>
          <w:spacing w:val="-2"/>
        </w:rPr>
        <w:t>统一受理平台。“一网通办”总门户构建了“横向到边，覆盖各委办局部门；纵向到底，拓展社区基层”的三级一体化对外</w:t>
      </w:r>
      <w:r>
        <w:rPr>
          <w:spacing w:val="-65"/>
        </w:rPr>
        <w:t> </w:t>
      </w:r>
      <w:r>
        <w:rPr>
          <w:spacing w:val="-65"/>
        </w:rPr>
      </w:r>
      <w:r>
        <w:rPr>
          <w:spacing w:val="-2"/>
        </w:rPr>
        <w:t>服务门户。通过与各区行政服务中心、社区事务受理中心现场服务系统的对接，实现了线上线下的一体化联动服务。政务服</w:t>
      </w:r>
      <w:r>
        <w:rPr>
          <w:spacing w:val="-65"/>
        </w:rPr>
        <w:t> </w:t>
      </w:r>
      <w:r>
        <w:rPr>
          <w:spacing w:val="-65"/>
        </w:rPr>
      </w:r>
      <w:r>
        <w:rPr>
          <w:spacing w:val="-5"/>
        </w:rPr>
        <w:t>务“一号通、一窗办、一次成”，让企业群众办事从“跑多个部门”变成“找一个窗口”，从“提交纸质材料”变为部门“采</w:t>
      </w:r>
      <w:r>
        <w:rPr>
          <w:spacing w:val="-87"/>
        </w:rPr>
        <w:t> </w:t>
      </w:r>
      <w:r>
        <w:rPr>
          <w:spacing w:val="-87"/>
        </w:rPr>
      </w:r>
      <w:r>
        <w:rPr>
          <w:spacing w:val="-7"/>
        </w:rPr>
        <w:t>信电子证照”，政务服务也由传统的</w:t>
      </w:r>
      <w:r>
        <w:rPr>
          <w:spacing w:val="-36"/>
        </w:rPr>
        <w:t> </w:t>
      </w:r>
      <w:r>
        <w:rPr>
          <w:rFonts w:ascii="Times New Roman" w:hAnsi="Times New Roman" w:cs="Times New Roman" w:eastAsia="Times New Roman" w:hint="default"/>
        </w:rPr>
        <w:t>8</w:t>
      </w:r>
      <w:r>
        <w:rPr>
          <w:rFonts w:ascii="Times New Roman" w:hAnsi="Times New Roman" w:cs="Times New Roman" w:eastAsia="Times New Roman" w:hint="default"/>
          <w:spacing w:val="9"/>
        </w:rPr>
        <w:t> </w:t>
      </w:r>
      <w:r>
        <w:rPr/>
        <w:t>小时拓展到</w:t>
      </w:r>
      <w:r>
        <w:rPr>
          <w:spacing w:val="-39"/>
        </w:rPr>
        <w:t> </w:t>
      </w:r>
      <w:r>
        <w:rPr>
          <w:rFonts w:ascii="Times New Roman" w:hAnsi="Times New Roman" w:cs="Times New Roman" w:eastAsia="Times New Roman" w:hint="default"/>
        </w:rPr>
        <w:t>24</w:t>
      </w:r>
      <w:r>
        <w:rPr>
          <w:rFonts w:ascii="Times New Roman" w:hAnsi="Times New Roman" w:cs="Times New Roman" w:eastAsia="Times New Roman" w:hint="default"/>
          <w:spacing w:val="9"/>
        </w:rPr>
        <w:t> </w:t>
      </w:r>
      <w:r>
        <w:rPr>
          <w:spacing w:val="-9"/>
        </w:rPr>
        <w:t>小时不打烊，“最多跑一次，不见面审批”得以实现。“一网通办”模式</w:t>
      </w:r>
      <w:r>
        <w:rPr>
          <w:spacing w:val="-87"/>
        </w:rPr>
        <w:t> </w:t>
      </w:r>
      <w:r>
        <w:rPr>
          <w:spacing w:val="-87"/>
        </w:rPr>
      </w:r>
      <w:r>
        <w:rPr/>
        <w:t>正成为国家主推的一体化在线政务服务模式。</w:t>
      </w:r>
    </w:p>
    <w:p>
      <w:pPr>
        <w:pStyle w:val="BodyText"/>
        <w:spacing w:line="463" w:lineRule="auto" w:before="98"/>
        <w:ind w:right="1127" w:firstLine="360"/>
        <w:jc w:val="both"/>
      </w:pPr>
      <w:r>
        <w:rPr>
          <w:spacing w:val="-4"/>
        </w:rPr>
        <w:t>上海“一网通办”，实现了线上线下的全面覆盖，已对接</w:t>
      </w:r>
      <w:r>
        <w:rPr/>
        <w:t> </w:t>
      </w:r>
      <w:r>
        <w:rPr>
          <w:rFonts w:ascii="Times New Roman" w:hAnsi="Times New Roman" w:cs="Times New Roman" w:eastAsia="Times New Roman" w:hint="default"/>
        </w:rPr>
        <w:t>42 </w:t>
      </w:r>
      <w:r>
        <w:rPr/>
        <w:t>个委办单位、</w:t>
      </w:r>
      <w:r>
        <w:rPr>
          <w:rFonts w:ascii="Times New Roman" w:hAnsi="Times New Roman" w:cs="Times New Roman" w:eastAsia="Times New Roman" w:hint="default"/>
        </w:rPr>
        <w:t>16 </w:t>
      </w:r>
      <w:r>
        <w:rPr>
          <w:spacing w:val="-1"/>
        </w:rPr>
        <w:t>个行政服务中心、</w:t>
      </w:r>
      <w:r>
        <w:rPr>
          <w:rFonts w:ascii="Times New Roman" w:hAnsi="Times New Roman" w:cs="Times New Roman" w:eastAsia="Times New Roman" w:hint="default"/>
          <w:spacing w:val="-1"/>
        </w:rPr>
        <w:t>220</w:t>
      </w:r>
      <w:r>
        <w:rPr>
          <w:rFonts w:ascii="Times New Roman" w:hAnsi="Times New Roman" w:cs="Times New Roman" w:eastAsia="Times New Roman" w:hint="default"/>
          <w:spacing w:val="-19"/>
        </w:rPr>
        <w:t> </w:t>
      </w:r>
      <w:r>
        <w:rPr/>
        <w:t>个街道社区、</w:t>
      </w:r>
      <w:r>
        <w:rPr>
          <w:rFonts w:ascii="Times New Roman" w:hAnsi="Times New Roman" w:cs="Times New Roman" w:eastAsia="Times New Roman" w:hint="default"/>
        </w:rPr>
        <w:t>2000 </w:t>
      </w:r>
      <w:r>
        <w:rPr>
          <w:spacing w:val="-2"/>
        </w:rPr>
        <w:t>余项服务事项。作为长三角“一网通办”的集成商，根据国务院《关于加快推进全国一体化在线政务服务平台建设的指导意</w:t>
      </w:r>
      <w:r>
        <w:rPr>
          <w:spacing w:val="-67"/>
        </w:rPr>
        <w:t> </w:t>
      </w:r>
      <w:r>
        <w:rPr>
          <w:spacing w:val="-67"/>
        </w:rPr>
      </w:r>
      <w:r>
        <w:rPr>
          <w:spacing w:val="-3"/>
        </w:rPr>
        <w:t>见》，公司将在长三角地区深入拓展示范区域，并继续在全国推广。</w:t>
      </w:r>
    </w:p>
    <w:p>
      <w:pPr>
        <w:spacing w:after="0" w:line="463"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spacing w:line="4501" w:lineRule="exact"/>
        <w:ind w:left="520" w:right="0" w:firstLine="0"/>
        <w:rPr>
          <w:rFonts w:ascii="宋体" w:hAnsi="宋体" w:cs="宋体" w:eastAsia="宋体" w:hint="default"/>
          <w:sz w:val="20"/>
          <w:szCs w:val="20"/>
        </w:rPr>
      </w:pPr>
      <w:r>
        <w:rPr>
          <w:rFonts w:ascii="宋体" w:hAnsi="宋体" w:cs="宋体" w:eastAsia="宋体" w:hint="default"/>
          <w:position w:val="-89"/>
          <w:sz w:val="20"/>
          <w:szCs w:val="20"/>
        </w:rPr>
        <w:drawing>
          <wp:inline distT="0" distB="0" distL="0" distR="0">
            <wp:extent cx="5669147" cy="2858261"/>
            <wp:effectExtent l="0" t="0" r="0" b="0"/>
            <wp:docPr id="21" name="image14.png" descr=""/>
            <wp:cNvGraphicFramePr>
              <a:graphicFrameLocks noChangeAspect="1"/>
            </wp:cNvGraphicFramePr>
            <a:graphic>
              <a:graphicData uri="http://schemas.openxmlformats.org/drawingml/2006/picture">
                <pic:pic>
                  <pic:nvPicPr>
                    <pic:cNvPr id="22" name="image14.png"/>
                    <pic:cNvPicPr/>
                  </pic:nvPicPr>
                  <pic:blipFill>
                    <a:blip r:embed="rId23" cstate="print"/>
                    <a:stretch>
                      <a:fillRect/>
                    </a:stretch>
                  </pic:blipFill>
                  <pic:spPr>
                    <a:xfrm>
                      <a:off x="0" y="0"/>
                      <a:ext cx="5669147" cy="2858261"/>
                    </a:xfrm>
                    <a:prstGeom prst="rect">
                      <a:avLst/>
                    </a:prstGeom>
                  </pic:spPr>
                </pic:pic>
              </a:graphicData>
            </a:graphic>
          </wp:inline>
        </w:drawing>
      </w:r>
      <w:r>
        <w:rPr>
          <w:rFonts w:ascii="宋体" w:hAnsi="宋体" w:cs="宋体" w:eastAsia="宋体" w:hint="default"/>
          <w:position w:val="-89"/>
          <w:sz w:val="20"/>
          <w:szCs w:val="20"/>
        </w:rPr>
      </w:r>
    </w:p>
    <w:p>
      <w:pPr>
        <w:spacing w:line="240" w:lineRule="auto" w:before="12"/>
        <w:rPr>
          <w:rFonts w:ascii="宋体" w:hAnsi="宋体" w:cs="宋体" w:eastAsia="宋体" w:hint="default"/>
          <w:sz w:val="12"/>
          <w:szCs w:val="12"/>
        </w:rPr>
      </w:pPr>
    </w:p>
    <w:p>
      <w:pPr>
        <w:pStyle w:val="BodyText"/>
        <w:spacing w:line="463" w:lineRule="auto" w:before="44"/>
        <w:ind w:right="0" w:firstLine="360"/>
        <w:jc w:val="left"/>
      </w:pPr>
      <w:r>
        <w:rPr>
          <w:spacing w:val="-4"/>
        </w:rPr>
        <w:t>公司作为城市级数据运营商，面对建设智慧城市和实施信息惠民的大好机遇，持续大力推进智慧城市核心业务系统建设，</w:t>
      </w:r>
      <w:r>
        <w:rPr/>
        <w:t> 提供“</w:t>
      </w:r>
      <w:r>
        <w:rPr>
          <w:rFonts w:ascii="Times New Roman" w:hAnsi="Times New Roman" w:cs="Times New Roman" w:eastAsia="Times New Roman" w:hint="default"/>
        </w:rPr>
        <w:t>3+1+N</w:t>
      </w:r>
      <w:r>
        <w:rPr/>
        <w:t>”为核心的城市一体化系统</w:t>
      </w:r>
      <w:r>
        <w:rPr>
          <w:spacing w:val="-10"/>
        </w:rPr>
        <w:t> </w:t>
      </w:r>
      <w:r>
        <w:rPr>
          <w:rFonts w:ascii="Times New Roman" w:hAnsi="Times New Roman" w:cs="Times New Roman" w:eastAsia="Times New Roman" w:hint="default"/>
        </w:rPr>
        <w:t>CRP</w:t>
      </w:r>
      <w:r>
        <w:rPr/>
        <w:t>（</w:t>
      </w:r>
      <w:r>
        <w:rPr>
          <w:rFonts w:ascii="Times New Roman" w:hAnsi="Times New Roman" w:cs="Times New Roman" w:eastAsia="Times New Roman" w:hint="default"/>
        </w:rPr>
        <w:t>CityResourcePlanning)</w:t>
      </w:r>
      <w:r>
        <w:rPr/>
        <w:t>整体解决方案，提升城市治理能力，并以此不断优化 收入结构和用户结构，发展新的商业模式，不断拓展现金流收入。</w:t>
      </w:r>
    </w:p>
    <w:p>
      <w:pPr>
        <w:pStyle w:val="Heading5"/>
        <w:spacing w:line="240" w:lineRule="auto" w:before="103"/>
        <w:ind w:right="2602"/>
        <w:jc w:val="left"/>
        <w:rPr>
          <w:b w:val="0"/>
          <w:bCs w:val="0"/>
        </w:rPr>
      </w:pPr>
      <w:r>
        <w:rPr/>
        <w:t>（</w:t>
      </w:r>
      <w:r>
        <w:rPr>
          <w:rFonts w:ascii="宋体" w:hAnsi="宋体" w:cs="宋体" w:eastAsia="宋体" w:hint="default"/>
        </w:rPr>
        <w:t>2</w:t>
      </w:r>
      <w:r>
        <w:rPr/>
        <w:t>）市场监管</w:t>
      </w:r>
      <w:r>
        <w:rPr>
          <w:b w:val="0"/>
          <w:bCs w:val="0"/>
        </w:rPr>
      </w:r>
    </w:p>
    <w:p>
      <w:pPr>
        <w:spacing w:line="240" w:lineRule="auto" w:before="12"/>
        <w:rPr>
          <w:rFonts w:ascii="宋体" w:hAnsi="宋体" w:cs="宋体" w:eastAsia="宋体" w:hint="default"/>
          <w:b/>
          <w:bCs/>
          <w:sz w:val="20"/>
          <w:szCs w:val="20"/>
        </w:rPr>
      </w:pPr>
    </w:p>
    <w:p>
      <w:pPr>
        <w:pStyle w:val="BodyText"/>
        <w:spacing w:line="468" w:lineRule="auto"/>
        <w:ind w:left="5179" w:right="1128" w:firstLine="360"/>
        <w:jc w:val="both"/>
      </w:pPr>
      <w:r>
        <w:rPr/>
        <w:pict>
          <v:shape style="position:absolute;margin-left:61.400002pt;margin-top:10.181733pt;width:237.5pt;height:161.8pt;mso-position-horizontal-relative:page;mso-position-vertical-relative:paragraph;z-index:-1334320" type="#_x0000_t75" stroked="false">
            <v:imagedata r:id="rId24" o:title=""/>
          </v:shape>
        </w:pict>
      </w:r>
      <w:r>
        <w:rPr>
          <w:spacing w:val="-3"/>
        </w:rPr>
        <w:t>万达信息凭借二十多年市场监管信息化成熟经验，提供</w:t>
      </w:r>
      <w:r>
        <w:rPr/>
        <w:t> </w:t>
      </w:r>
      <w:r>
        <w:rPr>
          <w:spacing w:val="-3"/>
        </w:rPr>
        <w:t>市场监管信息化整体解决方案。报告期内，万达信息以深化</w:t>
      </w:r>
      <w:r>
        <w:rPr>
          <w:spacing w:val="-80"/>
        </w:rPr>
        <w:t> </w:t>
      </w:r>
      <w:r>
        <w:rPr>
          <w:spacing w:val="-80"/>
        </w:rPr>
      </w:r>
      <w:r>
        <w:rPr/>
        <w:t>“放管服”改革为契机，以“互联网</w:t>
      </w:r>
      <w:r>
        <w:rPr>
          <w:rFonts w:ascii="Times New Roman" w:hAnsi="Times New Roman" w:cs="Times New Roman" w:eastAsia="Times New Roman" w:hint="default"/>
        </w:rPr>
        <w:t>+</w:t>
      </w:r>
      <w:r>
        <w:rPr/>
        <w:t>政务服务”为发展方</w:t>
      </w:r>
      <w:r>
        <w:rPr>
          <w:spacing w:val="-82"/>
        </w:rPr>
        <w:t> </w:t>
      </w:r>
      <w:r>
        <w:rPr>
          <w:spacing w:val="-82"/>
        </w:rPr>
      </w:r>
      <w:r>
        <w:rPr>
          <w:spacing w:val="-10"/>
        </w:rPr>
        <w:t>向，陆续推出“注销企业‘一窗通’网上服务平台”、“开办</w:t>
      </w:r>
      <w:r>
        <w:rPr>
          <w:spacing w:val="-68"/>
        </w:rPr>
        <w:t> </w:t>
      </w:r>
      <w:r>
        <w:rPr>
          <w:spacing w:val="-68"/>
        </w:rPr>
      </w:r>
      <w:r>
        <w:rPr>
          <w:spacing w:val="-2"/>
        </w:rPr>
        <w:t>企业‘一窗通’网上服务平台</w:t>
      </w:r>
      <w:r>
        <w:rPr>
          <w:spacing w:val="-31"/>
        </w:rPr>
        <w:t> </w:t>
      </w:r>
      <w:r>
        <w:rPr>
          <w:rFonts w:ascii="Times New Roman" w:hAnsi="Times New Roman" w:cs="Times New Roman" w:eastAsia="Times New Roman" w:hint="default"/>
          <w:spacing w:val="-13"/>
          <w:w w:val="99"/>
        </w:rPr>
        <w:t>V2.0</w:t>
      </w:r>
      <w:r>
        <w:rPr>
          <w:spacing w:val="-13"/>
          <w:w w:val="99"/>
        </w:rPr>
        <w:t>”、“互联网</w:t>
      </w:r>
      <w:r>
        <w:rPr>
          <w:rFonts w:ascii="Times New Roman" w:hAnsi="Times New Roman" w:cs="Times New Roman" w:eastAsia="Times New Roman" w:hint="default"/>
          <w:spacing w:val="-13"/>
          <w:w w:val="99"/>
        </w:rPr>
        <w:t>+</w:t>
      </w:r>
      <w:r>
        <w:rPr>
          <w:spacing w:val="-13"/>
          <w:w w:val="99"/>
        </w:rPr>
        <w:t>监管”等多</w:t>
      </w:r>
      <w:r>
        <w:rPr>
          <w:spacing w:val="-85"/>
          <w:w w:val="99"/>
        </w:rPr>
        <w:t> </w:t>
      </w:r>
      <w:r>
        <w:rPr>
          <w:spacing w:val="-85"/>
          <w:w w:val="99"/>
        </w:rPr>
      </w:r>
      <w:r>
        <w:rPr>
          <w:spacing w:val="-3"/>
        </w:rPr>
        <w:t>个应用，为商事登记制度改革、市场监管体制改革、自贸区</w:t>
      </w:r>
      <w:r>
        <w:rPr>
          <w:spacing w:val="-78"/>
        </w:rPr>
        <w:t> </w:t>
      </w:r>
      <w:r>
        <w:rPr>
          <w:spacing w:val="-78"/>
        </w:rPr>
      </w:r>
      <w:r>
        <w:rPr/>
        <w:t>改革、优化营商环境等各类改革业务提供创新产品服务。</w:t>
      </w:r>
    </w:p>
    <w:p>
      <w:pPr>
        <w:pStyle w:val="BodyText"/>
        <w:spacing w:line="463" w:lineRule="auto" w:before="102"/>
        <w:ind w:right="1129" w:firstLine="5387"/>
        <w:jc w:val="both"/>
      </w:pPr>
      <w:r>
        <w:rPr>
          <w:spacing w:val="4"/>
        </w:rPr>
        <w:t>万达信息的市场监管一体化核心用户包括国家市场监 </w:t>
      </w:r>
      <w:r>
        <w:rPr>
          <w:spacing w:val="-2"/>
        </w:rPr>
        <w:t>管总局及上海、四川、云南、湖南、福建、河北六大省级市场监管局，覆盖“总局</w:t>
      </w:r>
      <w:r>
        <w:rPr>
          <w:rFonts w:ascii="Times New Roman" w:hAnsi="Times New Roman" w:cs="Times New Roman" w:eastAsia="Times New Roman" w:hint="default"/>
          <w:spacing w:val="-2"/>
        </w:rPr>
        <w:t>-</w:t>
      </w:r>
      <w:r>
        <w:rPr>
          <w:spacing w:val="-2"/>
        </w:rPr>
        <w:t>省局</w:t>
      </w:r>
      <w:r>
        <w:rPr>
          <w:rFonts w:ascii="Times New Roman" w:hAnsi="Times New Roman" w:cs="Times New Roman" w:eastAsia="Times New Roman" w:hint="default"/>
          <w:spacing w:val="-2"/>
        </w:rPr>
        <w:t>-</w:t>
      </w:r>
      <w:r>
        <w:rPr>
          <w:spacing w:val="-2"/>
        </w:rPr>
        <w:t>地市局</w:t>
      </w:r>
      <w:r>
        <w:rPr>
          <w:rFonts w:ascii="Times New Roman" w:hAnsi="Times New Roman" w:cs="Times New Roman" w:eastAsia="Times New Roman" w:hint="default"/>
          <w:spacing w:val="-2"/>
        </w:rPr>
        <w:t>-</w:t>
      </w:r>
      <w:r>
        <w:rPr>
          <w:spacing w:val="-2"/>
        </w:rPr>
        <w:t>区县局（及自贸区）”各个</w:t>
      </w:r>
      <w:r>
        <w:rPr>
          <w:spacing w:val="-60"/>
        </w:rPr>
        <w:t> </w:t>
      </w:r>
      <w:r>
        <w:rPr>
          <w:spacing w:val="-60"/>
        </w:rPr>
      </w:r>
      <w:r>
        <w:rPr/>
        <w:t>层级，覆盖东部、中部、西部不同经济发展地区，覆盖全国</w:t>
      </w:r>
      <w:r>
        <w:rPr>
          <w:spacing w:val="-44"/>
        </w:rPr>
        <w:t> </w:t>
      </w:r>
      <w:r>
        <w:rPr>
          <w:rFonts w:ascii="Times New Roman" w:hAnsi="Times New Roman" w:cs="Times New Roman" w:eastAsia="Times New Roman" w:hint="default"/>
        </w:rPr>
        <w:t>20%</w:t>
      </w:r>
      <w:r>
        <w:rPr/>
        <w:t>以上的市场主体。</w:t>
      </w:r>
    </w:p>
    <w:p>
      <w:pPr>
        <w:pStyle w:val="Heading5"/>
        <w:spacing w:line="240" w:lineRule="auto" w:before="72"/>
        <w:ind w:right="2602"/>
        <w:jc w:val="left"/>
        <w:rPr>
          <w:b w:val="0"/>
          <w:bCs w:val="0"/>
        </w:rPr>
      </w:pPr>
      <w:r>
        <w:rPr/>
        <w:t>（</w:t>
      </w:r>
      <w:r>
        <w:rPr>
          <w:rFonts w:ascii="宋体" w:hAnsi="宋体" w:cs="宋体" w:eastAsia="宋体" w:hint="default"/>
        </w:rPr>
        <w:t>3</w:t>
      </w:r>
      <w:r>
        <w:rPr/>
        <w:t>）城市安全</w:t>
      </w:r>
      <w:r>
        <w:rPr>
          <w:b w:val="0"/>
          <w:bCs w:val="0"/>
        </w:rPr>
      </w:r>
    </w:p>
    <w:p>
      <w:pPr>
        <w:spacing w:line="240" w:lineRule="auto" w:before="12"/>
        <w:rPr>
          <w:rFonts w:ascii="宋体" w:hAnsi="宋体" w:cs="宋体" w:eastAsia="宋体" w:hint="default"/>
          <w:b/>
          <w:bCs/>
          <w:sz w:val="20"/>
          <w:szCs w:val="20"/>
        </w:rPr>
      </w:pPr>
    </w:p>
    <w:p>
      <w:pPr>
        <w:pStyle w:val="BodyText"/>
        <w:spacing w:line="458" w:lineRule="auto"/>
        <w:ind w:right="1130" w:firstLine="360"/>
        <w:jc w:val="both"/>
      </w:pPr>
      <w:r>
        <w:rPr/>
        <w:t>万达信息自</w:t>
      </w:r>
      <w:r>
        <w:rPr>
          <w:spacing w:val="-47"/>
        </w:rPr>
        <w:t> </w:t>
      </w:r>
      <w:r>
        <w:rPr>
          <w:rFonts w:ascii="Times New Roman" w:hAnsi="Times New Roman" w:cs="Times New Roman" w:eastAsia="Times New Roman" w:hint="default"/>
        </w:rPr>
        <w:t>2000 </w:t>
      </w:r>
      <w:r>
        <w:rPr/>
        <w:t>年进入城市安全信息化领域，经过</w:t>
      </w:r>
      <w:r>
        <w:rPr>
          <w:spacing w:val="-46"/>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spacing w:val="-3"/>
        </w:rPr>
        <w:t>年实践积累，已经拥有公共安全、司法保障、智慧交通与应急指</w:t>
      </w:r>
      <w:r>
        <w:rPr/>
        <w:t> </w:t>
      </w:r>
      <w:r>
        <w:rPr>
          <w:spacing w:val="-2"/>
        </w:rPr>
        <w:t>挥等系列平台核心技术，形成了政法综治、公安、检察、法院、司法行政（含矫正、监狱、戒毒）、交通、应急等系列行业</w:t>
      </w:r>
      <w:r>
        <w:rPr>
          <w:spacing w:val="-65"/>
        </w:rPr>
        <w:t> </w:t>
      </w:r>
      <w:r>
        <w:rPr>
          <w:spacing w:val="-65"/>
        </w:rPr>
      </w:r>
      <w:r>
        <w:rPr/>
        <w:t>解决方案，通过对物联网、移动互联网、云计算、大数据和</w:t>
      </w:r>
      <w:r>
        <w:rPr>
          <w:spacing w:val="-45"/>
        </w:rPr>
        <w:t> </w:t>
      </w:r>
      <w:r>
        <w:rPr>
          <w:rFonts w:ascii="Times New Roman" w:hAnsi="Times New Roman" w:cs="Times New Roman" w:eastAsia="Times New Roman" w:hint="default"/>
        </w:rPr>
        <w:t>AI</w:t>
      </w:r>
      <w:r>
        <w:rPr>
          <w:rFonts w:ascii="Times New Roman" w:hAnsi="Times New Roman" w:cs="Times New Roman" w:eastAsia="Times New Roman" w:hint="default"/>
          <w:spacing w:val="-1"/>
        </w:rPr>
        <w:t> </w:t>
      </w:r>
      <w:r>
        <w:rPr/>
        <w:t>等技术的综合应用，实现全方位的预防打击犯罪、治安综合 </w:t>
      </w:r>
      <w:r>
        <w:rPr>
          <w:spacing w:val="-2"/>
        </w:rPr>
        <w:t>治理、交通出行安全、城市安全监测预警、城市灾害应急处置等，协助各级政府应对城市安全、社会矛盾和突发公共事件的</w:t>
      </w:r>
    </w:p>
    <w:p>
      <w:pPr>
        <w:spacing w:after="0" w:line="458"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1034"/>
        <w:jc w:val="left"/>
      </w:pPr>
      <w:r>
        <w:rPr/>
        <w:t>管理与处置，实现城市安全常态化管理、监测和预警。同时，通过整合公司在政务服务、市民生活、卫生健康等业务能力，</w:t>
      </w:r>
      <w:r>
        <w:rPr>
          <w:spacing w:val="-83"/>
        </w:rPr>
        <w:t> </w:t>
      </w:r>
      <w:r>
        <w:rPr>
          <w:spacing w:val="-83"/>
        </w:rPr>
      </w:r>
      <w:r>
        <w:rPr>
          <w:spacing w:val="-2"/>
        </w:rPr>
        <w:t>把城市安全态势感知和预警防控融合到政府的每一次服务中、市民的每一个生活环节中，运用全域、全时、全面的城市安全</w:t>
      </w:r>
      <w:r>
        <w:rPr>
          <w:spacing w:val="-66"/>
        </w:rPr>
        <w:t> </w:t>
      </w:r>
      <w:r>
        <w:rPr>
          <w:spacing w:val="-66"/>
        </w:rPr>
      </w:r>
      <w:r>
        <w:rPr/>
        <w:t>管理模型，守护城市安全。</w:t>
      </w:r>
    </w:p>
    <w:p>
      <w:pPr>
        <w:spacing w:line="240" w:lineRule="auto" w:before="13"/>
        <w:rPr>
          <w:rFonts w:ascii="宋体" w:hAnsi="宋体" w:cs="宋体" w:eastAsia="宋体" w:hint="default"/>
          <w:sz w:val="8"/>
          <w:szCs w:val="8"/>
        </w:rPr>
      </w:pPr>
    </w:p>
    <w:p>
      <w:pPr>
        <w:spacing w:line="4147" w:lineRule="exact"/>
        <w:ind w:left="592"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5564754" cy="2633472"/>
            <wp:effectExtent l="0" t="0" r="0" b="0"/>
            <wp:docPr id="23" name="image16.png" descr=""/>
            <wp:cNvGraphicFramePr>
              <a:graphicFrameLocks noChangeAspect="1"/>
            </wp:cNvGraphicFramePr>
            <a:graphic>
              <a:graphicData uri="http://schemas.openxmlformats.org/drawingml/2006/picture">
                <pic:pic>
                  <pic:nvPicPr>
                    <pic:cNvPr id="24" name="image16.png"/>
                    <pic:cNvPicPr/>
                  </pic:nvPicPr>
                  <pic:blipFill>
                    <a:blip r:embed="rId25" cstate="print"/>
                    <a:stretch>
                      <a:fillRect/>
                    </a:stretch>
                  </pic:blipFill>
                  <pic:spPr>
                    <a:xfrm>
                      <a:off x="0" y="0"/>
                      <a:ext cx="5564754" cy="2633472"/>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2"/>
        <w:rPr>
          <w:rFonts w:ascii="宋体" w:hAnsi="宋体" w:cs="宋体" w:eastAsia="宋体" w:hint="default"/>
          <w:sz w:val="18"/>
          <w:szCs w:val="18"/>
        </w:rPr>
      </w:pPr>
    </w:p>
    <w:p>
      <w:pPr>
        <w:spacing w:line="518" w:lineRule="auto" w:before="0"/>
        <w:ind w:left="513" w:right="0" w:firstLine="0"/>
        <w:jc w:val="left"/>
        <w:rPr>
          <w:rFonts w:ascii="宋体" w:hAnsi="宋体" w:cs="宋体" w:eastAsia="宋体" w:hint="default"/>
          <w:sz w:val="18"/>
          <w:szCs w:val="18"/>
        </w:rPr>
      </w:pPr>
      <w:r>
        <w:rPr>
          <w:rFonts w:ascii="宋体" w:hAnsi="宋体" w:cs="宋体" w:eastAsia="宋体" w:hint="default"/>
          <w:b/>
          <w:bCs/>
          <w:spacing w:val="-3"/>
          <w:w w:val="99"/>
          <w:sz w:val="18"/>
          <w:szCs w:val="18"/>
        </w:rPr>
        <w:t>（</w:t>
      </w:r>
      <w:r>
        <w:rPr>
          <w:rFonts w:ascii="宋体" w:hAnsi="宋体" w:cs="宋体" w:eastAsia="宋体" w:hint="default"/>
          <w:b/>
          <w:bCs/>
          <w:spacing w:val="-3"/>
          <w:w w:val="99"/>
          <w:sz w:val="18"/>
          <w:szCs w:val="18"/>
        </w:rPr>
        <w:t>4</w:t>
      </w:r>
      <w:r>
        <w:rPr>
          <w:rFonts w:ascii="宋体" w:hAnsi="宋体" w:cs="宋体" w:eastAsia="宋体" w:hint="default"/>
          <w:b/>
          <w:bCs/>
          <w:spacing w:val="-3"/>
          <w:w w:val="99"/>
          <w:sz w:val="18"/>
          <w:szCs w:val="18"/>
        </w:rPr>
        <w:t>）市民云——城市智慧服务总入口、“一网通办”移动端</w:t>
      </w:r>
      <w:r>
        <w:rPr>
          <w:rFonts w:ascii="宋体" w:hAnsi="宋体" w:cs="宋体" w:eastAsia="宋体" w:hint="default"/>
          <w:b/>
          <w:bCs/>
          <w:spacing w:val="-85"/>
          <w:w w:val="99"/>
          <w:sz w:val="18"/>
          <w:szCs w:val="18"/>
        </w:rPr>
        <w:t> </w:t>
      </w:r>
      <w:r>
        <w:rPr>
          <w:rFonts w:ascii="宋体" w:hAnsi="宋体" w:cs="宋体" w:eastAsia="宋体" w:hint="default"/>
          <w:b/>
          <w:bCs/>
          <w:spacing w:val="-85"/>
          <w:w w:val="99"/>
          <w:sz w:val="18"/>
          <w:szCs w:val="18"/>
        </w:rPr>
      </w:r>
      <w:r>
        <w:rPr>
          <w:rFonts w:ascii="宋体" w:hAnsi="宋体" w:cs="宋体" w:eastAsia="宋体" w:hint="default"/>
          <w:spacing w:val="-2"/>
          <w:sz w:val="18"/>
          <w:szCs w:val="18"/>
        </w:rPr>
        <w:t>万达信息通过梳理分析城市服务现状和需求，引入移动互联、人工智能、大数据等技术，统筹建立以市民为主体的一站</w:t>
      </w:r>
    </w:p>
    <w:p>
      <w:pPr>
        <w:pStyle w:val="BodyText"/>
        <w:spacing w:line="451" w:lineRule="auto" w:before="23"/>
        <w:ind w:right="1036"/>
        <w:jc w:val="left"/>
      </w:pPr>
      <w:r>
        <w:rPr>
          <w:spacing w:val="-5"/>
        </w:rPr>
        <w:t>式“互联网</w:t>
      </w:r>
      <w:r>
        <w:rPr>
          <w:rFonts w:ascii="Times New Roman" w:hAnsi="Times New Roman" w:cs="Times New Roman" w:eastAsia="Times New Roman" w:hint="default"/>
          <w:spacing w:val="-5"/>
        </w:rPr>
        <w:t>+</w:t>
      </w:r>
      <w:r>
        <w:rPr>
          <w:spacing w:val="-5"/>
        </w:rPr>
        <w:t>城市服务”平台。“市民云</w:t>
      </w:r>
      <w:r>
        <w:rPr>
          <w:spacing w:val="40"/>
        </w:rPr>
        <w:t> </w:t>
      </w:r>
      <w:r>
        <w:rPr>
          <w:rFonts w:ascii="Times New Roman" w:hAnsi="Times New Roman" w:cs="Times New Roman" w:eastAsia="Times New Roman" w:hint="default"/>
          <w:spacing w:val="-3"/>
          <w:w w:val="99"/>
        </w:rPr>
        <w:t>APP</w:t>
      </w:r>
      <w:r>
        <w:rPr>
          <w:spacing w:val="-3"/>
          <w:w w:val="99"/>
        </w:rPr>
        <w:t>”是城市智慧服务的总入口、“一网通办”的移动端，是集成市民出生、教育、</w:t>
      </w:r>
      <w:r>
        <w:rPr>
          <w:spacing w:val="-86"/>
          <w:w w:val="99"/>
        </w:rPr>
        <w:t> </w:t>
      </w:r>
      <w:r>
        <w:rPr>
          <w:spacing w:val="-86"/>
          <w:w w:val="99"/>
        </w:rPr>
      </w:r>
      <w:r>
        <w:rPr/>
        <w:t>就业、就医、养老等全生命周期服务的超级 </w:t>
      </w:r>
      <w:r>
        <w:rPr>
          <w:rFonts w:ascii="Times New Roman" w:hAnsi="Times New Roman" w:cs="Times New Roman" w:eastAsia="Times New Roman" w:hint="default"/>
        </w:rPr>
        <w:t>APP</w:t>
      </w:r>
      <w:r>
        <w:rPr/>
        <w:t>，包括政务服务、生活服务及社区服务，让百姓享受城市服务像“网购”</w:t>
      </w:r>
      <w:r>
        <w:rPr>
          <w:spacing w:val="-58"/>
        </w:rPr>
        <w:t> </w:t>
      </w:r>
      <w:r>
        <w:rPr>
          <w:spacing w:val="-58"/>
        </w:rPr>
      </w:r>
      <w:r>
        <w:rPr/>
        <w:t>一样方便，提升百姓对智慧城市的获得感。</w:t>
      </w:r>
    </w:p>
    <w:p>
      <w:pPr>
        <w:pStyle w:val="BodyText"/>
        <w:spacing w:line="451" w:lineRule="auto" w:before="115"/>
        <w:ind w:right="1031" w:firstLine="36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spacing w:val="-3"/>
        </w:rPr>
        <w:t>年，“市民云”平台已在上海、海口、成都、长沙、柳州、扬州、驻马店、资阳、永州等城市相继落地运行，直接</w:t>
      </w:r>
      <w:r>
        <w:rPr/>
        <w:t> 覆盖人口达到 </w:t>
      </w:r>
      <w:r>
        <w:rPr>
          <w:rFonts w:ascii="Times New Roman" w:hAnsi="Times New Roman" w:cs="Times New Roman" w:eastAsia="Times New Roman" w:hint="default"/>
        </w:rPr>
        <w:t>8000 </w:t>
      </w:r>
      <w:r>
        <w:rPr/>
        <w:t>万，为促进政府转型，优化地区人居和营商环境，打造可持续发展的数字城市和智慧社会。</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年底， 上海“随申办市民云”注册用户已超过</w:t>
      </w:r>
      <w:r>
        <w:rPr>
          <w:spacing w:val="-43"/>
        </w:rPr>
        <w:t> </w:t>
      </w:r>
      <w:r>
        <w:rPr>
          <w:rFonts w:ascii="Times New Roman" w:hAnsi="Times New Roman" w:cs="Times New Roman" w:eastAsia="Times New Roman" w:hint="default"/>
        </w:rPr>
        <w:t>1600</w:t>
      </w:r>
      <w:r>
        <w:rPr>
          <w:rFonts w:ascii="Times New Roman" w:hAnsi="Times New Roman" w:cs="Times New Roman" w:eastAsia="Times New Roman" w:hint="default"/>
          <w:spacing w:val="3"/>
        </w:rPr>
        <w:t> </w:t>
      </w:r>
      <w:r>
        <w:rPr/>
        <w:t>万，是全国首个千万级用户的公共服务平台，并实现了长三角无感漫游，在区 域一体化和智慧城市群方面积累了成功经验。</w:t>
      </w:r>
    </w:p>
    <w:p>
      <w:pPr>
        <w:spacing w:line="240" w:lineRule="auto" w:before="8"/>
        <w:rPr>
          <w:rFonts w:ascii="宋体" w:hAnsi="宋体" w:cs="宋体" w:eastAsia="宋体" w:hint="default"/>
          <w:sz w:val="7"/>
          <w:szCs w:val="7"/>
        </w:rPr>
      </w:pPr>
    </w:p>
    <w:p>
      <w:pPr>
        <w:spacing w:line="3573" w:lineRule="exact"/>
        <w:ind w:left="996" w:right="0" w:firstLine="0"/>
        <w:rPr>
          <w:rFonts w:ascii="宋体" w:hAnsi="宋体" w:cs="宋体" w:eastAsia="宋体" w:hint="default"/>
          <w:sz w:val="20"/>
          <w:szCs w:val="20"/>
        </w:rPr>
      </w:pPr>
      <w:r>
        <w:rPr>
          <w:rFonts w:ascii="宋体" w:hAnsi="宋体" w:cs="宋体" w:eastAsia="宋体" w:hint="default"/>
          <w:position w:val="-70"/>
          <w:sz w:val="20"/>
          <w:szCs w:val="20"/>
        </w:rPr>
        <w:drawing>
          <wp:inline distT="0" distB="0" distL="0" distR="0">
            <wp:extent cx="5033155" cy="2268950"/>
            <wp:effectExtent l="0" t="0" r="0" b="0"/>
            <wp:docPr id="25" name="image17.png" descr=""/>
            <wp:cNvGraphicFramePr>
              <a:graphicFrameLocks noChangeAspect="1"/>
            </wp:cNvGraphicFramePr>
            <a:graphic>
              <a:graphicData uri="http://schemas.openxmlformats.org/drawingml/2006/picture">
                <pic:pic>
                  <pic:nvPicPr>
                    <pic:cNvPr id="26" name="image17.png"/>
                    <pic:cNvPicPr/>
                  </pic:nvPicPr>
                  <pic:blipFill>
                    <a:blip r:embed="rId26" cstate="print"/>
                    <a:stretch>
                      <a:fillRect/>
                    </a:stretch>
                  </pic:blipFill>
                  <pic:spPr>
                    <a:xfrm>
                      <a:off x="0" y="0"/>
                      <a:ext cx="5033155" cy="2268950"/>
                    </a:xfrm>
                    <a:prstGeom prst="rect">
                      <a:avLst/>
                    </a:prstGeom>
                  </pic:spPr>
                </pic:pic>
              </a:graphicData>
            </a:graphic>
          </wp:inline>
        </w:drawing>
      </w:r>
      <w:r>
        <w:rPr>
          <w:rFonts w:ascii="宋体" w:hAnsi="宋体" w:cs="宋体" w:eastAsia="宋体" w:hint="default"/>
          <w:position w:val="-70"/>
          <w:sz w:val="20"/>
          <w:szCs w:val="20"/>
        </w:rPr>
      </w:r>
    </w:p>
    <w:p>
      <w:pPr>
        <w:spacing w:after="0" w:line="3573" w:lineRule="exact"/>
        <w:rPr>
          <w:rFonts w:ascii="宋体" w:hAnsi="宋体" w:cs="宋体" w:eastAsia="宋体" w:hint="default"/>
          <w:sz w:val="20"/>
          <w:szCs w:val="20"/>
        </w:rPr>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518" w:lineRule="auto"/>
        <w:ind w:left="513" w:right="0"/>
        <w:jc w:val="left"/>
      </w:pPr>
      <w:r>
        <w:rPr>
          <w:rFonts w:ascii="宋体" w:hAnsi="宋体" w:cs="宋体" w:eastAsia="宋体" w:hint="default"/>
          <w:b/>
          <w:bCs/>
        </w:rPr>
        <w:t>（</w:t>
      </w:r>
      <w:r>
        <w:rPr>
          <w:rFonts w:ascii="宋体" w:hAnsi="宋体" w:cs="宋体" w:eastAsia="宋体" w:hint="default"/>
          <w:b/>
          <w:bCs/>
        </w:rPr>
        <w:t>5</w:t>
      </w:r>
      <w:r>
        <w:rPr>
          <w:rFonts w:ascii="宋体" w:hAnsi="宋体" w:cs="宋体" w:eastAsia="宋体" w:hint="default"/>
          <w:b/>
          <w:bCs/>
        </w:rPr>
        <w:t>）可信云服务</w:t>
      </w:r>
      <w:r>
        <w:rPr>
          <w:rFonts w:ascii="宋体" w:hAnsi="宋体" w:cs="宋体" w:eastAsia="宋体" w:hint="default"/>
          <w:b/>
          <w:bCs/>
          <w:w w:val="99"/>
        </w:rPr>
        <w:t> </w:t>
      </w:r>
      <w:r>
        <w:rPr>
          <w:spacing w:val="-2"/>
        </w:rPr>
        <w:t>万达信息在开展行业综合软件和系统服务等传统业务的同时，积极响应政府总体战略规划，顺应市场发展方向，努力转</w:t>
      </w:r>
    </w:p>
    <w:p>
      <w:pPr>
        <w:pStyle w:val="BodyText"/>
        <w:spacing w:line="477" w:lineRule="auto" w:before="23"/>
        <w:ind w:right="0"/>
        <w:jc w:val="left"/>
      </w:pPr>
      <w:r>
        <w:rPr>
          <w:spacing w:val="-2"/>
        </w:rPr>
        <w:t>变服务和创新模式，作为国内城市信息化行业领先的系统集成和应用软件开发商，已逐步从私有云向公有云服务转型，并且</w:t>
      </w:r>
      <w:r>
        <w:rPr>
          <w:spacing w:val="-63"/>
        </w:rPr>
        <w:t> </w:t>
      </w:r>
      <w:r>
        <w:rPr>
          <w:spacing w:val="-63"/>
        </w:rPr>
      </w:r>
      <w:r>
        <w:rPr/>
        <w:t>扩大了云计算服务规模，为用户提供更加优质高效的技术服务，保持和提升公司的技术竞争力。</w:t>
      </w:r>
    </w:p>
    <w:p>
      <w:pPr>
        <w:spacing w:line="240" w:lineRule="auto" w:before="12"/>
        <w:rPr>
          <w:rFonts w:ascii="宋体" w:hAnsi="宋体" w:cs="宋体" w:eastAsia="宋体" w:hint="default"/>
          <w:sz w:val="11"/>
          <w:szCs w:val="11"/>
        </w:rPr>
      </w:pPr>
    </w:p>
    <w:p>
      <w:pPr>
        <w:spacing w:line="5320" w:lineRule="exact"/>
        <w:ind w:left="847" w:right="0" w:firstLine="0"/>
        <w:rPr>
          <w:rFonts w:ascii="宋体" w:hAnsi="宋体" w:cs="宋体" w:eastAsia="宋体" w:hint="default"/>
          <w:sz w:val="20"/>
          <w:szCs w:val="20"/>
        </w:rPr>
      </w:pPr>
      <w:r>
        <w:rPr>
          <w:rFonts w:ascii="宋体" w:hAnsi="宋体" w:cs="宋体" w:eastAsia="宋体" w:hint="default"/>
          <w:position w:val="-105"/>
          <w:sz w:val="20"/>
          <w:szCs w:val="20"/>
        </w:rPr>
        <w:drawing>
          <wp:inline distT="0" distB="0" distL="0" distR="0">
            <wp:extent cx="5243242" cy="3378708"/>
            <wp:effectExtent l="0" t="0" r="0" b="0"/>
            <wp:docPr id="27" name="image18.png" descr=""/>
            <wp:cNvGraphicFramePr>
              <a:graphicFrameLocks noChangeAspect="1"/>
            </wp:cNvGraphicFramePr>
            <a:graphic>
              <a:graphicData uri="http://schemas.openxmlformats.org/drawingml/2006/picture">
                <pic:pic>
                  <pic:nvPicPr>
                    <pic:cNvPr id="28" name="image18.png"/>
                    <pic:cNvPicPr/>
                  </pic:nvPicPr>
                  <pic:blipFill>
                    <a:blip r:embed="rId27" cstate="print"/>
                    <a:stretch>
                      <a:fillRect/>
                    </a:stretch>
                  </pic:blipFill>
                  <pic:spPr>
                    <a:xfrm>
                      <a:off x="0" y="0"/>
                      <a:ext cx="5243242" cy="3378708"/>
                    </a:xfrm>
                    <a:prstGeom prst="rect">
                      <a:avLst/>
                    </a:prstGeom>
                  </pic:spPr>
                </pic:pic>
              </a:graphicData>
            </a:graphic>
          </wp:inline>
        </w:drawing>
      </w:r>
      <w:r>
        <w:rPr>
          <w:rFonts w:ascii="宋体" w:hAnsi="宋体" w:cs="宋体" w:eastAsia="宋体" w:hint="default"/>
          <w:position w:val="-105"/>
          <w:sz w:val="20"/>
          <w:szCs w:val="20"/>
        </w:rPr>
      </w:r>
    </w:p>
    <w:p>
      <w:pPr>
        <w:spacing w:line="240" w:lineRule="auto" w:before="12"/>
        <w:rPr>
          <w:rFonts w:ascii="宋体" w:hAnsi="宋体" w:cs="宋体" w:eastAsia="宋体" w:hint="default"/>
          <w:sz w:val="20"/>
          <w:szCs w:val="20"/>
        </w:rPr>
      </w:pPr>
    </w:p>
    <w:p>
      <w:pPr>
        <w:pStyle w:val="Heading5"/>
        <w:spacing w:line="240" w:lineRule="auto"/>
        <w:ind w:right="2602"/>
        <w:jc w:val="left"/>
        <w:rPr>
          <w:b w:val="0"/>
          <w:bCs w:val="0"/>
        </w:rPr>
      </w:pPr>
      <w:r>
        <w:rPr/>
        <w:t>（</w:t>
      </w:r>
      <w:r>
        <w:rPr>
          <w:rFonts w:ascii="宋体" w:hAnsi="宋体" w:cs="宋体" w:eastAsia="宋体" w:hint="default"/>
        </w:rPr>
        <w:t>6</w:t>
      </w:r>
      <w:r>
        <w:rPr/>
        <w:t>）</w:t>
      </w:r>
      <w:r>
        <w:rPr>
          <w:rFonts w:ascii="宋体" w:hAnsi="宋体" w:cs="宋体" w:eastAsia="宋体" w:hint="default"/>
        </w:rPr>
        <w:t>ICT</w:t>
      </w:r>
      <w:r>
        <w:rPr>
          <w:rFonts w:ascii="宋体" w:hAnsi="宋体" w:cs="宋体" w:eastAsia="宋体" w:hint="default"/>
          <w:spacing w:val="-47"/>
        </w:rPr>
        <w:t> </w:t>
      </w:r>
      <w:r>
        <w:rPr/>
        <w:t>业务</w:t>
      </w:r>
      <w:r>
        <w:rPr>
          <w:b w:val="0"/>
          <w:bCs w:val="0"/>
        </w:rPr>
      </w:r>
    </w:p>
    <w:p>
      <w:pPr>
        <w:spacing w:line="240" w:lineRule="auto" w:before="12"/>
        <w:rPr>
          <w:rFonts w:ascii="宋体" w:hAnsi="宋体" w:cs="宋体" w:eastAsia="宋体" w:hint="default"/>
          <w:b/>
          <w:bCs/>
          <w:sz w:val="20"/>
          <w:szCs w:val="20"/>
        </w:rPr>
      </w:pPr>
    </w:p>
    <w:p>
      <w:pPr>
        <w:pStyle w:val="BodyText"/>
        <w:spacing w:line="458" w:lineRule="auto"/>
        <w:ind w:right="1129" w:firstLine="360"/>
        <w:jc w:val="both"/>
      </w:pPr>
      <w:r>
        <w:rPr/>
        <w:t>万达信息</w:t>
      </w:r>
      <w:r>
        <w:rPr>
          <w:spacing w:val="-4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spacing w:val="-4"/>
        </w:rPr>
        <w:t>年布局信息技术应用创新、数字园区、信息安全、云计算服务四大板块能力提升，基于云计算、大数据、</w:t>
      </w:r>
      <w:r>
        <w:rPr/>
        <w:t> 物联网等新兴技术，加速向 </w:t>
      </w:r>
      <w:r>
        <w:rPr>
          <w:rFonts w:ascii="Times New Roman" w:hAnsi="Times New Roman" w:cs="Times New Roman" w:eastAsia="Times New Roman" w:hint="default"/>
        </w:rPr>
        <w:t>ICT </w:t>
      </w:r>
      <w:r>
        <w:rPr/>
        <w:t>综合解决方案提供商转型，孵化了基于新一代数字平台智慧园区解决方案、等保 </w:t>
      </w:r>
      <w:r>
        <w:rPr>
          <w:rFonts w:ascii="Times New Roman" w:hAnsi="Times New Roman" w:cs="Times New Roman" w:eastAsia="Times New Roman" w:hint="default"/>
        </w:rPr>
        <w:t>2.0</w:t>
      </w:r>
      <w:r>
        <w:rPr>
          <w:rFonts w:ascii="Times New Roman" w:hAnsi="Times New Roman" w:cs="Times New Roman" w:eastAsia="Times New Roman" w:hint="default"/>
          <w:spacing w:val="-11"/>
        </w:rPr>
        <w:t> </w:t>
      </w:r>
      <w:r>
        <w:rPr>
          <w:spacing w:val="-3"/>
        </w:rPr>
        <w:t>一体 </w:t>
      </w:r>
      <w:r>
        <w:rPr/>
        <w:t>化信息安全解决方案、智能化运维机器人解决方案、面向大型客户云计算服务解决方案等创新，助力 </w:t>
      </w:r>
      <w:r>
        <w:rPr>
          <w:rFonts w:ascii="Times New Roman" w:hAnsi="Times New Roman" w:cs="Times New Roman" w:eastAsia="Times New Roman" w:hint="default"/>
        </w:rPr>
        <w:t>ICT</w:t>
      </w:r>
      <w:r>
        <w:rPr>
          <w:rFonts w:ascii="Times New Roman" w:hAnsi="Times New Roman" w:cs="Times New Roman" w:eastAsia="Times New Roman" w:hint="default"/>
          <w:spacing w:val="33"/>
        </w:rPr>
        <w:t> </w:t>
      </w:r>
      <w:r>
        <w:rPr/>
        <w:t>业务落地，逐步 提升了 </w:t>
      </w:r>
      <w:r>
        <w:rPr>
          <w:rFonts w:ascii="Times New Roman" w:hAnsi="Times New Roman" w:cs="Times New Roman" w:eastAsia="Times New Roman" w:hint="default"/>
        </w:rPr>
        <w:t>ICT </w:t>
      </w:r>
      <w:r>
        <w:rPr/>
        <w:t>业务领域的核心竞争力，助力企业数字化转型。在信息技术应用创新方面，公司自 </w:t>
      </w:r>
      <w:r>
        <w:rPr>
          <w:rFonts w:ascii="Times New Roman" w:hAnsi="Times New Roman" w:cs="Times New Roman" w:eastAsia="Times New Roman" w:hint="default"/>
        </w:rPr>
        <w:t>2009</w:t>
      </w:r>
      <w:r>
        <w:rPr>
          <w:rFonts w:ascii="Times New Roman" w:hAnsi="Times New Roman" w:cs="Times New Roman" w:eastAsia="Times New Roman" w:hint="default"/>
          <w:spacing w:val="30"/>
        </w:rPr>
        <w:t> </w:t>
      </w:r>
      <w:r>
        <w:rPr/>
        <w:t>年起主持和参与了多 </w:t>
      </w:r>
      <w:r>
        <w:rPr>
          <w:spacing w:val="-2"/>
        </w:rPr>
        <w:t>项核高基课题，并以此为契机深度介入信创领域，成为公司重要发展战略。经过多年的技术研发攻关和市场耕耘，培养了专</w:t>
      </w:r>
      <w:r>
        <w:rPr>
          <w:spacing w:val="-65"/>
        </w:rPr>
        <w:t> </w:t>
      </w:r>
      <w:r>
        <w:rPr>
          <w:spacing w:val="-65"/>
        </w:rPr>
      </w:r>
      <w:r>
        <w:rPr>
          <w:spacing w:val="-2"/>
        </w:rPr>
        <w:t>业技术服务人才团队，构建了信创产品研发支撑体系、厂商协作体系和工程经验知识体系。在信创领域起步早、资质高、参</w:t>
      </w:r>
      <w:r>
        <w:rPr>
          <w:spacing w:val="-66"/>
        </w:rPr>
        <w:t> </w:t>
      </w:r>
      <w:r>
        <w:rPr>
          <w:spacing w:val="-66"/>
        </w:rPr>
      </w:r>
      <w:r>
        <w:rPr/>
        <w:t>与全面、积累扎实。在党政、医卫、民生等核心行业领域拥有较强的行业竞争优势。</w:t>
      </w:r>
    </w:p>
    <w:p>
      <w:pPr>
        <w:spacing w:line="240" w:lineRule="auto" w:before="2"/>
        <w:rPr>
          <w:rFonts w:ascii="宋体" w:hAnsi="宋体" w:cs="宋体" w:eastAsia="宋体" w:hint="default"/>
          <w:sz w:val="22"/>
          <w:szCs w:val="22"/>
        </w:rPr>
      </w:pPr>
    </w:p>
    <w:p>
      <w:pPr>
        <w:pStyle w:val="Heading5"/>
        <w:spacing w:line="240" w:lineRule="auto"/>
        <w:ind w:left="152" w:right="2602"/>
        <w:jc w:val="left"/>
        <w:rPr>
          <w:b w:val="0"/>
          <w:bCs w:val="0"/>
        </w:rPr>
      </w:pPr>
      <w:bookmarkStart w:name="（二）公司所处行业发展趋势及政策背景" w:id="19"/>
      <w:bookmarkEnd w:id="19"/>
      <w:r>
        <w:rPr>
          <w:b w:val="0"/>
          <w:bCs w:val="0"/>
        </w:rPr>
      </w:r>
      <w:r>
        <w:rPr/>
        <w:t>（二）公司所处行业发展趋势及政策背景</w:t>
      </w:r>
      <w:r>
        <w:rPr>
          <w:b w:val="0"/>
          <w:bCs w:val="0"/>
        </w:rPr>
      </w:r>
    </w:p>
    <w:p>
      <w:pPr>
        <w:spacing w:line="240" w:lineRule="auto" w:before="0"/>
        <w:rPr>
          <w:rFonts w:ascii="宋体" w:hAnsi="宋体" w:cs="宋体" w:eastAsia="宋体" w:hint="default"/>
          <w:b/>
          <w:bCs/>
          <w:sz w:val="18"/>
          <w:szCs w:val="18"/>
        </w:rPr>
      </w:pPr>
    </w:p>
    <w:p>
      <w:pPr>
        <w:spacing w:line="240" w:lineRule="auto" w:before="11"/>
        <w:rPr>
          <w:rFonts w:ascii="宋体" w:hAnsi="宋体" w:cs="宋体" w:eastAsia="宋体" w:hint="default"/>
          <w:b/>
          <w:bCs/>
          <w:sz w:val="16"/>
          <w:szCs w:val="16"/>
        </w:rPr>
      </w:pPr>
    </w:p>
    <w:p>
      <w:pPr>
        <w:pStyle w:val="Heading5"/>
        <w:spacing w:line="240" w:lineRule="auto"/>
        <w:ind w:right="2602"/>
        <w:jc w:val="left"/>
        <w:rPr>
          <w:b w:val="0"/>
          <w:bCs w:val="0"/>
        </w:rPr>
      </w:pPr>
      <w:r>
        <w:rPr>
          <w:rFonts w:ascii="Times New Roman" w:hAnsi="Times New Roman" w:cs="Times New Roman" w:eastAsia="Times New Roman" w:hint="default"/>
        </w:rPr>
        <w:t>1</w:t>
      </w:r>
      <w:r>
        <w:rPr/>
        <w:t>、宏观经济形势</w:t>
      </w:r>
      <w:r>
        <w:rPr>
          <w:b w:val="0"/>
          <w:bCs w:val="0"/>
        </w:rPr>
      </w:r>
    </w:p>
    <w:p>
      <w:pPr>
        <w:spacing w:line="240" w:lineRule="auto" w:before="11"/>
        <w:rPr>
          <w:rFonts w:ascii="宋体" w:hAnsi="宋体" w:cs="宋体" w:eastAsia="宋体" w:hint="default"/>
          <w:b/>
          <w:bCs/>
          <w:sz w:val="19"/>
          <w:szCs w:val="19"/>
        </w:rPr>
      </w:pPr>
    </w:p>
    <w:p>
      <w:pPr>
        <w:pStyle w:val="BodyText"/>
        <w:spacing w:line="451" w:lineRule="auto"/>
        <w:ind w:right="1037" w:firstLine="360"/>
        <w:jc w:val="both"/>
      </w:pPr>
      <w:r>
        <w:rPr>
          <w:rFonts w:ascii="Times New Roman" w:hAnsi="Times New Roman" w:cs="Times New Roman" w:eastAsia="Times New Roman" w:hint="default"/>
        </w:rPr>
        <w:t>2019 </w:t>
      </w:r>
      <w:r>
        <w:rPr/>
        <w:t>年以来中国经济运行韧性逐渐为市场认识，短期市场前期对经济前景过度悲观的预期得到修正。</w:t>
      </w:r>
      <w:r>
        <w:rPr>
          <w:rFonts w:ascii="Times New Roman" w:hAnsi="Times New Roman" w:cs="Times New Roman" w:eastAsia="Times New Roman" w:hint="default"/>
        </w:rPr>
        <w:t>2019 </w:t>
      </w:r>
      <w:r>
        <w:rPr/>
        <w:t>年 </w:t>
      </w:r>
      <w:r>
        <w:rPr>
          <w:rFonts w:ascii="Times New Roman" w:hAnsi="Times New Roman" w:cs="Times New Roman" w:eastAsia="Times New Roman" w:hint="default"/>
        </w:rPr>
        <w:t>1-12</w:t>
      </w:r>
      <w:r>
        <w:rPr>
          <w:rFonts w:ascii="Times New Roman" w:hAnsi="Times New Roman" w:cs="Times New Roman" w:eastAsia="Times New Roman" w:hint="default"/>
          <w:spacing w:val="-7"/>
        </w:rPr>
        <w:t> </w:t>
      </w:r>
      <w:r>
        <w:rPr/>
        <w:t>月， 全国固定资产投资增长</w:t>
      </w:r>
      <w:r>
        <w:rPr>
          <w:spacing w:val="-40"/>
        </w:rPr>
        <w:t> </w:t>
      </w:r>
      <w:r>
        <w:rPr>
          <w:rFonts w:ascii="Times New Roman" w:hAnsi="Times New Roman" w:cs="Times New Roman" w:eastAsia="Times New Roman" w:hint="default"/>
        </w:rPr>
        <w:t>5.4%</w:t>
      </w:r>
      <w:r>
        <w:rPr/>
        <w:t>，增速加快</w:t>
      </w:r>
      <w:r>
        <w:rPr>
          <w:spacing w:val="-39"/>
        </w:rPr>
        <w:t> </w:t>
      </w:r>
      <w:r>
        <w:rPr>
          <w:rFonts w:ascii="Times New Roman" w:hAnsi="Times New Roman" w:cs="Times New Roman" w:eastAsia="Times New Roman" w:hint="default"/>
        </w:rPr>
        <w:t>0.2</w:t>
      </w:r>
      <w:r>
        <w:rPr>
          <w:rFonts w:ascii="Times New Roman" w:hAnsi="Times New Roman" w:cs="Times New Roman" w:eastAsia="Times New Roman" w:hint="default"/>
          <w:spacing w:val="6"/>
        </w:rPr>
        <w:t> </w:t>
      </w:r>
      <w:r>
        <w:rPr/>
        <w:t>个百分点。制造业投资回升的同时带动民间投资同步回升。</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季度录得</w:t>
      </w:r>
      <w:r>
        <w:rPr>
          <w:spacing w:val="-38"/>
        </w:rPr>
        <w:t> </w:t>
      </w:r>
      <w:r>
        <w:rPr>
          <w:rFonts w:ascii="Times New Roman" w:hAnsi="Times New Roman" w:cs="Times New Roman" w:eastAsia="Times New Roman" w:hint="default"/>
        </w:rPr>
        <w:t>GDP</w:t>
      </w:r>
      <w:r>
        <w:rPr>
          <w:rFonts w:ascii="Times New Roman" w:hAnsi="Times New Roman" w:cs="Times New Roman" w:eastAsia="Times New Roman" w:hint="default"/>
          <w:spacing w:val="7"/>
        </w:rPr>
        <w:t> </w:t>
      </w:r>
      <w:r>
        <w:rPr/>
        <w:t>同</w:t>
      </w:r>
    </w:p>
    <w:p>
      <w:pPr>
        <w:spacing w:after="0" w:line="451"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2602"/>
        <w:jc w:val="left"/>
      </w:pPr>
      <w:r>
        <w:rPr/>
        <w:t>比增长</w:t>
      </w:r>
      <w:r>
        <w:rPr>
          <w:spacing w:val="-45"/>
        </w:rPr>
        <w:t> </w:t>
      </w:r>
      <w:r>
        <w:rPr>
          <w:rFonts w:ascii="Times New Roman" w:hAnsi="Times New Roman" w:cs="Times New Roman" w:eastAsia="Times New Roman" w:hint="default"/>
        </w:rPr>
        <w:t>6.0%</w:t>
      </w:r>
      <w:r>
        <w:rPr/>
        <w:t>，全年增长</w:t>
      </w:r>
      <w:r>
        <w:rPr>
          <w:spacing w:val="-48"/>
        </w:rPr>
        <w:t> </w:t>
      </w:r>
      <w:r>
        <w:rPr>
          <w:rFonts w:ascii="Times New Roman" w:hAnsi="Times New Roman" w:cs="Times New Roman" w:eastAsia="Times New Roman" w:hint="default"/>
        </w:rPr>
        <w:t>6.1%</w:t>
      </w:r>
      <w:r>
        <w:rPr/>
        <w:t>，总体来看</w:t>
      </w:r>
      <w:r>
        <w:rPr>
          <w:spacing w:val="-45"/>
        </w:rPr>
        <w:t> </w:t>
      </w:r>
      <w:r>
        <w:rPr>
          <w:rFonts w:ascii="Times New Roman" w:hAnsi="Times New Roman" w:cs="Times New Roman" w:eastAsia="Times New Roman" w:hint="default"/>
        </w:rPr>
        <w:t>2019 </w:t>
      </w:r>
      <w:r>
        <w:rPr/>
        <w:t>年以来经济下行压力依然较大。</w:t>
      </w:r>
    </w:p>
    <w:p>
      <w:pPr>
        <w:spacing w:line="240" w:lineRule="auto" w:before="11"/>
        <w:rPr>
          <w:rFonts w:ascii="宋体" w:hAnsi="宋体" w:cs="宋体" w:eastAsia="宋体" w:hint="default"/>
          <w:sz w:val="19"/>
          <w:szCs w:val="19"/>
        </w:rPr>
      </w:pPr>
    </w:p>
    <w:p>
      <w:pPr>
        <w:pStyle w:val="Heading5"/>
        <w:spacing w:line="240" w:lineRule="auto"/>
        <w:ind w:right="2602"/>
        <w:jc w:val="left"/>
        <w:rPr>
          <w:b w:val="0"/>
          <w:bCs w:val="0"/>
        </w:rPr>
      </w:pPr>
      <w:r>
        <w:rPr>
          <w:rFonts w:ascii="Times New Roman" w:hAnsi="Times New Roman" w:cs="Times New Roman" w:eastAsia="Times New Roman" w:hint="default"/>
        </w:rPr>
        <w:t>2</w:t>
      </w:r>
      <w:r>
        <w:rPr/>
        <w:t>、软件行业形势</w:t>
      </w:r>
      <w:r>
        <w:rPr>
          <w:b w:val="0"/>
          <w:bCs w:val="0"/>
        </w:rPr>
      </w:r>
    </w:p>
    <w:p>
      <w:pPr>
        <w:spacing w:line="240" w:lineRule="auto" w:before="9"/>
        <w:rPr>
          <w:rFonts w:ascii="宋体" w:hAnsi="宋体" w:cs="宋体" w:eastAsia="宋体" w:hint="default"/>
          <w:b/>
          <w:bCs/>
          <w:sz w:val="19"/>
          <w:szCs w:val="19"/>
        </w:rPr>
      </w:pPr>
    </w:p>
    <w:p>
      <w:pPr>
        <w:pStyle w:val="BodyText"/>
        <w:spacing w:line="460" w:lineRule="auto"/>
        <w:ind w:right="1128"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年，我国软件和信息技术服务业呈现平稳向好发展态势，收入和利润均保持较快增长，从业人数稳步增加；信息 </w:t>
      </w:r>
      <w:r>
        <w:rPr>
          <w:spacing w:val="-5"/>
        </w:rPr>
        <w:t>技术服务加快云化发展，软件应用服务化、平台化趋势明显；中部地区软件业增速较快，东部地区保持集聚和领先发展态势。</w:t>
      </w:r>
      <w:r>
        <w:rPr>
          <w:spacing w:val="-78"/>
        </w:rPr>
        <w:t> </w:t>
      </w:r>
      <w:r>
        <w:rPr>
          <w:spacing w:val="-78"/>
        </w:rPr>
      </w:r>
      <w:r>
        <w:rPr/>
        <w:t>软件业务收入保持较快增长。</w:t>
      </w:r>
      <w:r>
        <w:rPr>
          <w:rFonts w:ascii="Times New Roman" w:hAnsi="Times New Roman" w:cs="Times New Roman" w:eastAsia="Times New Roman" w:hint="default"/>
        </w:rPr>
        <w:t>2019</w:t>
      </w:r>
      <w:r>
        <w:rPr>
          <w:rFonts w:ascii="Times New Roman" w:hAnsi="Times New Roman" w:cs="Times New Roman" w:eastAsia="Times New Roman" w:hint="default"/>
          <w:spacing w:val="12"/>
        </w:rPr>
        <w:t> </w:t>
      </w:r>
      <w:r>
        <w:rPr/>
        <w:t>年全国软件和信息技术服务业规模以上企业超</w:t>
      </w:r>
      <w:r>
        <w:rPr>
          <w:spacing w:val="-35"/>
        </w:rPr>
        <w:t> </w:t>
      </w:r>
      <w:r>
        <w:rPr>
          <w:rFonts w:ascii="Times New Roman" w:hAnsi="Times New Roman" w:cs="Times New Roman" w:eastAsia="Times New Roman" w:hint="default"/>
        </w:rPr>
        <w:t>4</w:t>
      </w:r>
      <w:r>
        <w:rPr>
          <w:rFonts w:ascii="Times New Roman" w:hAnsi="Times New Roman" w:cs="Times New Roman" w:eastAsia="Times New Roman" w:hint="default"/>
          <w:spacing w:val="11"/>
        </w:rPr>
        <w:t> </w:t>
      </w:r>
      <w:r>
        <w:rPr/>
        <w:t>万家，累计完成软件业务收入</w:t>
      </w:r>
      <w:r>
        <w:rPr>
          <w:spacing w:val="-35"/>
        </w:rPr>
        <w:t> </w:t>
      </w:r>
      <w:r>
        <w:rPr>
          <w:rFonts w:ascii="Times New Roman" w:hAnsi="Times New Roman" w:cs="Times New Roman" w:eastAsia="Times New Roman" w:hint="default"/>
        </w:rPr>
        <w:t>71768</w:t>
      </w:r>
      <w:r>
        <w:rPr>
          <w:rFonts w:ascii="Times New Roman" w:hAnsi="Times New Roman" w:cs="Times New Roman" w:eastAsia="Times New Roman" w:hint="default"/>
          <w:spacing w:val="9"/>
        </w:rPr>
        <w:t> </w:t>
      </w:r>
      <w:r>
        <w:rPr/>
        <w:t>亿 元，同比增长</w:t>
      </w:r>
      <w:r>
        <w:rPr>
          <w:spacing w:val="-33"/>
        </w:rPr>
        <w:t> </w:t>
      </w:r>
      <w:r>
        <w:rPr>
          <w:rFonts w:ascii="Times New Roman" w:hAnsi="Times New Roman" w:cs="Times New Roman" w:eastAsia="Times New Roman" w:hint="default"/>
        </w:rPr>
        <w:t>15.4%</w:t>
      </w:r>
      <w:r>
        <w:rPr/>
        <w:t>。展望</w:t>
      </w:r>
      <w:r>
        <w:rPr>
          <w:spacing w:val="-34"/>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3"/>
        </w:rPr>
        <w:t> </w:t>
      </w:r>
      <w:r>
        <w:rPr/>
        <w:t>年，在全球软件业处在加速创新、快速迭代、群体突破的爆发期的背景下，随着国家创新 </w:t>
      </w:r>
      <w:r>
        <w:rPr>
          <w:spacing w:val="-2"/>
        </w:rPr>
        <w:t>驱动战略和供给侧结构性改革的深入，创新红利、数据红利、模式红利将进一步释放，软件将成为引领未来智能变革方向的</w:t>
      </w:r>
      <w:r>
        <w:rPr>
          <w:spacing w:val="-64"/>
        </w:rPr>
        <w:t> </w:t>
      </w:r>
      <w:r>
        <w:rPr>
          <w:spacing w:val="-64"/>
        </w:rPr>
      </w:r>
      <w:r>
        <w:rPr/>
        <w:t>重要力量，为经济社会发展提供坚实支撑。</w:t>
      </w:r>
    </w:p>
    <w:p>
      <w:pPr>
        <w:pStyle w:val="Heading5"/>
        <w:spacing w:line="240" w:lineRule="auto" w:before="108"/>
        <w:ind w:right="2602"/>
        <w:jc w:val="left"/>
        <w:rPr>
          <w:b w:val="0"/>
          <w:bCs w:val="0"/>
        </w:rPr>
      </w:pPr>
      <w:r>
        <w:rPr>
          <w:rFonts w:ascii="Times New Roman" w:hAnsi="Times New Roman" w:cs="Times New Roman" w:eastAsia="Times New Roman" w:hint="default"/>
        </w:rPr>
        <w:t>3</w:t>
      </w:r>
      <w:r>
        <w:rPr/>
        <w:t>、行业政策回顾</w:t>
      </w:r>
      <w:r>
        <w:rPr>
          <w:b w:val="0"/>
          <w:bCs w:val="0"/>
        </w:rPr>
      </w:r>
    </w:p>
    <w:p>
      <w:pPr>
        <w:spacing w:line="240" w:lineRule="auto" w:before="2"/>
        <w:rPr>
          <w:rFonts w:ascii="宋体" w:hAnsi="宋体" w:cs="宋体" w:eastAsia="宋体" w:hint="default"/>
          <w:b/>
          <w:bCs/>
          <w:sz w:val="13"/>
          <w:szCs w:val="13"/>
        </w:rPr>
      </w:pPr>
    </w:p>
    <w:tbl>
      <w:tblPr>
        <w:tblW w:w="0" w:type="auto"/>
        <w:jc w:val="left"/>
        <w:tblInd w:w="155" w:type="dxa"/>
        <w:tblLayout w:type="fixed"/>
        <w:tblCellMar>
          <w:top w:w="0" w:type="dxa"/>
          <w:left w:w="0" w:type="dxa"/>
          <w:bottom w:w="0" w:type="dxa"/>
          <w:right w:w="0" w:type="dxa"/>
        </w:tblCellMar>
        <w:tblLook w:val="01E0"/>
      </w:tblPr>
      <w:tblGrid>
        <w:gridCol w:w="579"/>
        <w:gridCol w:w="1476"/>
        <w:gridCol w:w="7571"/>
      </w:tblGrid>
      <w:tr>
        <w:trPr>
          <w:trHeight w:val="406" w:hRule="exact"/>
        </w:trPr>
        <w:tc>
          <w:tcPr>
            <w:tcW w:w="5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01"/>
              <w:jc w:val="right"/>
              <w:rPr>
                <w:rFonts w:ascii="宋体" w:hAnsi="宋体" w:cs="宋体" w:eastAsia="宋体" w:hint="default"/>
                <w:sz w:val="18"/>
                <w:szCs w:val="18"/>
              </w:rPr>
            </w:pPr>
            <w:r>
              <w:rPr>
                <w:rFonts w:ascii="宋体" w:hAnsi="宋体" w:cs="宋体" w:eastAsia="宋体" w:hint="default"/>
                <w:sz w:val="18"/>
                <w:szCs w:val="18"/>
              </w:rPr>
              <w:t>年份</w:t>
            </w:r>
          </w:p>
        </w:tc>
        <w:tc>
          <w:tcPr>
            <w:tcW w:w="14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颁布机构</w:t>
            </w:r>
          </w:p>
        </w:tc>
        <w:tc>
          <w:tcPr>
            <w:tcW w:w="75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国家行业政策</w:t>
            </w:r>
          </w:p>
        </w:tc>
      </w:tr>
      <w:tr>
        <w:trPr>
          <w:trHeight w:val="425" w:hRule="exact"/>
        </w:trPr>
        <w:tc>
          <w:tcPr>
            <w:tcW w:w="96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民生服务相关</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国务院办公厅</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《关于推进养老服务发展的意见》</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发改委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《普惠养老城企联动专项行动实施方案</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年修订版</w:t>
            </w:r>
            <w:r>
              <w:rPr>
                <w:rFonts w:ascii="宋体" w:hAnsi="宋体" w:cs="宋体" w:eastAsia="宋体" w:hint="default"/>
                <w:spacing w:val="-92"/>
                <w:sz w:val="18"/>
                <w:szCs w:val="18"/>
              </w:rPr>
              <w:t>）</w:t>
            </w:r>
            <w:r>
              <w:rPr>
                <w:rFonts w:ascii="宋体" w:hAnsi="宋体" w:cs="宋体" w:eastAsia="宋体" w:hint="default"/>
                <w:sz w:val="18"/>
                <w:szCs w:val="18"/>
              </w:rPr>
              <w:t>》</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卫健委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《关于建立完善老年健康服务体系的指导意见》</w:t>
            </w:r>
          </w:p>
        </w:tc>
      </w:tr>
      <w:tr>
        <w:trPr>
          <w:trHeight w:val="413"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民政部</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《关于进一步扩大养老服务供给、促进养老服务消费的实施意见》</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财政部</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《关于明确养老机构免征增值税等政策的通知》</w:t>
            </w:r>
          </w:p>
        </w:tc>
      </w:tr>
      <w:tr>
        <w:trPr>
          <w:trHeight w:val="411"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教育部办公厅</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年教育信息化和网络安全工作要点》</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卫健委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《关于推进紧密型县域医疗卫生共同体建设的通知》</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《关于实施健康中国行动的意见》</w:t>
            </w:r>
          </w:p>
        </w:tc>
      </w:tr>
      <w:tr>
        <w:trPr>
          <w:trHeight w:val="413"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《中央生态环境保护督察工作规定》</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发改委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《区域医疗中心建设试点工作方案》</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卫健委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《关于开展“互联网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护理服务”试点工作的通知》</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医保局</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《关于印发医疗保障标准化工作指导意见的通知》</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医保局</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《关于按疾病诊断相关分组付费国家试点城市名单的通知》</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医保局</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《关于完善“互联网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”医疗服务价格和医保支付政策的指导意见》</w:t>
            </w:r>
          </w:p>
        </w:tc>
      </w:tr>
      <w:tr>
        <w:trPr>
          <w:trHeight w:val="413"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医保局</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5" w:right="0"/>
              <w:jc w:val="left"/>
              <w:rPr>
                <w:rFonts w:ascii="宋体" w:hAnsi="宋体" w:cs="宋体" w:eastAsia="宋体" w:hint="default"/>
                <w:sz w:val="18"/>
                <w:szCs w:val="18"/>
              </w:rPr>
            </w:pPr>
            <w:r>
              <w:rPr>
                <w:rFonts w:ascii="宋体" w:hAnsi="宋体" w:cs="宋体" w:eastAsia="宋体" w:hint="default"/>
                <w:sz w:val="18"/>
                <w:szCs w:val="18"/>
              </w:rPr>
              <w:t>《关于印发疾病诊断相关分组（</w:t>
            </w:r>
            <w:r>
              <w:rPr>
                <w:rFonts w:ascii="Times New Roman" w:hAnsi="Times New Roman" w:cs="Times New Roman" w:eastAsia="Times New Roman" w:hint="default"/>
                <w:sz w:val="18"/>
                <w:szCs w:val="18"/>
              </w:rPr>
              <w:t>DRG</w:t>
            </w:r>
            <w:r>
              <w:rPr>
                <w:rFonts w:ascii="宋体" w:hAnsi="宋体" w:cs="宋体" w:eastAsia="宋体" w:hint="default"/>
                <w:sz w:val="18"/>
                <w:szCs w:val="18"/>
              </w:rPr>
              <w:t>）付费国家试点技术规范和分组方案的通知》</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2020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卫健委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《关于加强信息化支撑新型冠状病毒感染的肺炎疫情防控工作的通知》</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2020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卫健委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《关于在疫情防控中做好互联网诊疗咨询服务工作的通知》</w:t>
            </w:r>
          </w:p>
        </w:tc>
      </w:tr>
      <w:tr>
        <w:trPr>
          <w:trHeight w:val="410" w:hRule="exact"/>
        </w:trPr>
        <w:tc>
          <w:tcPr>
            <w:tcW w:w="96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智慧城市相关</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发改委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pacing w:val="-92"/>
                <w:sz w:val="18"/>
                <w:szCs w:val="18"/>
              </w:rPr>
              <w:t>《</w:t>
            </w:r>
            <w:r>
              <w:rPr>
                <w:rFonts w:ascii="宋体" w:hAnsi="宋体" w:cs="宋体" w:eastAsia="宋体" w:hint="default"/>
                <w:sz w:val="18"/>
                <w:szCs w:val="18"/>
              </w:rPr>
              <w:t>“十三五”国家政务信息化</w:t>
            </w:r>
            <w:r>
              <w:rPr>
                <w:rFonts w:ascii="宋体" w:hAnsi="宋体" w:cs="宋体" w:eastAsia="宋体" w:hint="default"/>
                <w:spacing w:val="2"/>
                <w:sz w:val="18"/>
                <w:szCs w:val="18"/>
              </w:rPr>
              <w:t>工</w:t>
            </w:r>
            <w:r>
              <w:rPr>
                <w:rFonts w:ascii="宋体" w:hAnsi="宋体" w:cs="宋体" w:eastAsia="宋体" w:hint="default"/>
                <w:sz w:val="18"/>
                <w:szCs w:val="18"/>
              </w:rPr>
              <w:t>程建设规划》</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2017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《新一代人工智能发展规划》</w:t>
            </w:r>
          </w:p>
        </w:tc>
      </w:tr>
      <w:tr>
        <w:trPr>
          <w:trHeight w:val="413"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2017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国务院办公厅</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pacing w:val="-92"/>
                <w:sz w:val="18"/>
                <w:szCs w:val="18"/>
              </w:rPr>
              <w:t>《</w:t>
            </w:r>
            <w:r>
              <w:rPr>
                <w:rFonts w:ascii="宋体" w:hAnsi="宋体" w:cs="宋体" w:eastAsia="宋体" w:hint="default"/>
                <w:sz w:val="18"/>
                <w:szCs w:val="18"/>
              </w:rPr>
              <w:t>“互联网</w:t>
            </w:r>
            <w:r>
              <w:rPr>
                <w:rFonts w:ascii="Times New Roman" w:hAnsi="Times New Roman" w:cs="Times New Roman" w:eastAsia="Times New Roman" w:hint="default"/>
                <w:spacing w:val="-1"/>
                <w:sz w:val="18"/>
                <w:szCs w:val="18"/>
              </w:rPr>
              <w:t>+</w:t>
            </w:r>
            <w:r>
              <w:rPr>
                <w:rFonts w:ascii="宋体" w:hAnsi="宋体" w:cs="宋体" w:eastAsia="宋体" w:hint="default"/>
                <w:sz w:val="18"/>
                <w:szCs w:val="18"/>
              </w:rPr>
              <w:t>政务服务”技术</w:t>
            </w:r>
            <w:r>
              <w:rPr>
                <w:rFonts w:ascii="宋体" w:hAnsi="宋体" w:cs="宋体" w:eastAsia="宋体" w:hint="default"/>
                <w:spacing w:val="2"/>
                <w:sz w:val="18"/>
                <w:szCs w:val="18"/>
              </w:rPr>
              <w:t>体</w:t>
            </w:r>
            <w:r>
              <w:rPr>
                <w:rFonts w:ascii="宋体" w:hAnsi="宋体" w:cs="宋体" w:eastAsia="宋体" w:hint="default"/>
                <w:sz w:val="18"/>
                <w:szCs w:val="18"/>
              </w:rPr>
              <w:t>系建设指南》</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55" w:type="dxa"/>
        <w:tblLayout w:type="fixed"/>
        <w:tblCellMar>
          <w:top w:w="0" w:type="dxa"/>
          <w:left w:w="0" w:type="dxa"/>
          <w:bottom w:w="0" w:type="dxa"/>
          <w:right w:w="0" w:type="dxa"/>
        </w:tblCellMar>
        <w:tblLook w:val="01E0"/>
      </w:tblPr>
      <w:tblGrid>
        <w:gridCol w:w="579"/>
        <w:gridCol w:w="1476"/>
        <w:gridCol w:w="7571"/>
      </w:tblGrid>
      <w:tr>
        <w:trPr>
          <w:trHeight w:val="411"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国务院办公厅</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《政务信息系统整合共享实施方案》</w:t>
            </w:r>
          </w:p>
        </w:tc>
      </w:tr>
      <w:tr>
        <w:trPr>
          <w:trHeight w:val="413"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《国务院关于加快推进全国一体化在线政务服务平台建设的指导意见》</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《加快推进全国一体化在线政务服务平台建设的指导意见》</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国务院办公厅</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pacing w:val="-2"/>
                <w:sz w:val="18"/>
                <w:szCs w:val="18"/>
              </w:rPr>
              <w:t>《进一步深化“互联网</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政务服务”推进政务服务“一网、一门、一次”改革实施方案的通知》</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年政务公开工作要点的通知》</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《中华人民共和国政府信息公开条例》</w:t>
            </w:r>
          </w:p>
        </w:tc>
      </w:tr>
      <w:tr>
        <w:trPr>
          <w:trHeight w:val="41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发改委</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年新型城镇化建设重点任务》</w:t>
            </w:r>
          </w:p>
        </w:tc>
      </w:tr>
      <w:tr>
        <w:trPr>
          <w:trHeight w:val="413"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自然资源部办厅</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《智慧城市时空大数据平台建设技术大纲</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版</w:t>
            </w:r>
            <w:r>
              <w:rPr>
                <w:rFonts w:ascii="宋体" w:hAnsi="宋体" w:cs="宋体" w:eastAsia="宋体" w:hint="default"/>
                <w:spacing w:val="-92"/>
                <w:sz w:val="18"/>
                <w:szCs w:val="18"/>
              </w:rPr>
              <w:t>）</w:t>
            </w:r>
            <w:r>
              <w:rPr>
                <w:rFonts w:ascii="宋体" w:hAnsi="宋体" w:cs="宋体" w:eastAsia="宋体" w:hint="default"/>
                <w:sz w:val="18"/>
                <w:szCs w:val="18"/>
              </w:rPr>
              <w:t>》</w:t>
            </w:r>
          </w:p>
        </w:tc>
      </w:tr>
      <w:tr>
        <w:trPr>
          <w:trHeight w:val="420" w:hRule="exact"/>
        </w:trPr>
        <w:tc>
          <w:tcPr>
            <w:tcW w:w="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2020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7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《国务院办公厅关于印发国家政务信息化项目建设管理办法的通知》</w:t>
            </w:r>
          </w:p>
        </w:tc>
      </w:tr>
    </w:tbl>
    <w:p>
      <w:pPr>
        <w:spacing w:line="240" w:lineRule="auto" w:before="6"/>
        <w:rPr>
          <w:rFonts w:ascii="宋体" w:hAnsi="宋体" w:cs="宋体" w:eastAsia="宋体" w:hint="default"/>
          <w:b/>
          <w:bCs/>
          <w:sz w:val="6"/>
          <w:szCs w:val="6"/>
        </w:rPr>
      </w:pPr>
    </w:p>
    <w:p>
      <w:pPr>
        <w:pStyle w:val="Heading5"/>
        <w:spacing w:line="240" w:lineRule="auto" w:before="44"/>
        <w:ind w:right="2602"/>
        <w:jc w:val="left"/>
        <w:rPr>
          <w:b w:val="0"/>
          <w:bCs w:val="0"/>
        </w:rPr>
      </w:pPr>
      <w:r>
        <w:rPr/>
        <w:t>（</w:t>
      </w:r>
      <w:r>
        <w:rPr>
          <w:rFonts w:ascii="Times New Roman" w:hAnsi="Times New Roman" w:cs="Times New Roman" w:eastAsia="Times New Roman" w:hint="default"/>
        </w:rPr>
        <w:t>1</w:t>
      </w:r>
      <w:r>
        <w:rPr/>
        <w:t>）政务信息化前景广阔</w:t>
      </w:r>
      <w:r>
        <w:rPr>
          <w:b w:val="0"/>
          <w:bCs w:val="0"/>
        </w:rPr>
      </w:r>
    </w:p>
    <w:p>
      <w:pPr>
        <w:spacing w:line="240" w:lineRule="auto" w:before="9"/>
        <w:rPr>
          <w:rFonts w:ascii="宋体" w:hAnsi="宋体" w:cs="宋体" w:eastAsia="宋体" w:hint="default"/>
          <w:b/>
          <w:bCs/>
          <w:sz w:val="19"/>
          <w:szCs w:val="19"/>
        </w:rPr>
      </w:pPr>
    </w:p>
    <w:p>
      <w:pPr>
        <w:pStyle w:val="BodyText"/>
        <w:spacing w:line="470" w:lineRule="auto"/>
        <w:ind w:right="1129" w:firstLine="360"/>
        <w:jc w:val="both"/>
      </w:pP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8</w:t>
      </w:r>
      <w:r>
        <w:rPr>
          <w:rFonts w:ascii="Times New Roman" w:hAnsi="Times New Roman" w:cs="Times New Roman" w:eastAsia="Times New Roman" w:hint="default"/>
          <w:spacing w:val="18"/>
        </w:rPr>
        <w:t> </w:t>
      </w:r>
      <w:r>
        <w:rPr>
          <w:spacing w:val="-4"/>
        </w:rPr>
        <w:t>月国家发展改革委印发《“十三五”国家政务信息化工程建设规划》，我国政务信息化工程将以推进国家治理</w:t>
      </w:r>
      <w:r>
        <w:rPr/>
        <w:t> </w:t>
      </w:r>
      <w:r>
        <w:rPr>
          <w:spacing w:val="-2"/>
        </w:rPr>
        <w:t>体系和治理能力现代化作为政务信息化工作的总目标，大力加强统筹整合和共享共用，统筹构建一体整合大平台、共享共用</w:t>
      </w:r>
      <w:r>
        <w:rPr>
          <w:spacing w:val="-63"/>
        </w:rPr>
        <w:t> </w:t>
      </w:r>
      <w:r>
        <w:rPr>
          <w:spacing w:val="-63"/>
        </w:rPr>
      </w:r>
      <w:r>
        <w:rPr>
          <w:spacing w:val="-2"/>
        </w:rPr>
        <w:t>大数据、协同联动大系统，推进解决互联互通难、信息共享难、业务协同难的问题，将大平台、大数据、大系统作为较长一</w:t>
      </w:r>
      <w:r>
        <w:rPr>
          <w:spacing w:val="-73"/>
        </w:rPr>
        <w:t> </w:t>
      </w:r>
      <w:r>
        <w:rPr>
          <w:spacing w:val="-73"/>
        </w:rPr>
      </w:r>
      <w:r>
        <w:rPr>
          <w:spacing w:val="-2"/>
        </w:rPr>
        <w:t>个时期指导我国政务信息化建设的发展蓝图，构建一体化政务治理体系，促进治理机制协调化和治理手段高效化，形成部门</w:t>
      </w:r>
      <w:r>
        <w:rPr>
          <w:spacing w:val="-63"/>
        </w:rPr>
        <w:t> </w:t>
      </w:r>
      <w:r>
        <w:rPr>
          <w:spacing w:val="-63"/>
        </w:rPr>
      </w:r>
      <w:r>
        <w:rPr/>
        <w:t>联动的协同治理新局面。</w:t>
      </w:r>
    </w:p>
    <w:p>
      <w:pPr>
        <w:pStyle w:val="BodyText"/>
        <w:spacing w:line="463" w:lineRule="auto" w:before="100"/>
        <w:ind w:right="1128" w:firstLine="36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7"/>
        </w:rPr>
        <w:t> </w:t>
      </w:r>
      <w:r>
        <w:rPr/>
        <w:t>年</w:t>
      </w:r>
      <w:r>
        <w:rPr>
          <w:spacing w:val="-42"/>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spacing w:val="-5"/>
        </w:rPr>
        <w:t>月国务院办公厅发布《关于加快推进全国一体化在线政务服务平台建设的指导意见》，</w:t>
      </w:r>
      <w:r>
        <w:rPr>
          <w:rFonts w:ascii="Times New Roman" w:hAnsi="Times New Roman" w:cs="Times New Roman" w:eastAsia="Times New Roman" w:hint="default"/>
          <w:spacing w:val="-5"/>
        </w:rPr>
        <w:t>2020</w:t>
      </w:r>
      <w:r>
        <w:rPr>
          <w:rFonts w:ascii="Times New Roman" w:hAnsi="Times New Roman" w:cs="Times New Roman" w:eastAsia="Times New Roman" w:hint="default"/>
          <w:spacing w:val="7"/>
        </w:rPr>
        <w:t> </w:t>
      </w:r>
      <w:r>
        <w:rPr/>
        <w:t>年</w:t>
      </w:r>
      <w:r>
        <w:rPr>
          <w:spacing w:val="-42"/>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t>月国务院办公 </w:t>
      </w:r>
      <w:r>
        <w:rPr>
          <w:spacing w:val="-2"/>
        </w:rPr>
        <w:t>厅发布《关于印发国家政务信息化项目建设管理办法的通知》，都从国家级政策角度进行对政务云进行指导，为政务云市场</w:t>
      </w:r>
      <w:r>
        <w:rPr>
          <w:spacing w:val="-64"/>
        </w:rPr>
        <w:t> </w:t>
      </w:r>
      <w:r>
        <w:rPr>
          <w:spacing w:val="-64"/>
        </w:rPr>
      </w:r>
      <w:r>
        <w:rPr/>
        <w:t>的发展提供政策保障和空间。</w:t>
      </w:r>
      <w:r>
        <w:rPr>
          <w:rFonts w:ascii="Times New Roman" w:hAnsi="Times New Roman" w:cs="Times New Roman" w:eastAsia="Times New Roman" w:hint="default"/>
        </w:rPr>
        <w:t>2017</w:t>
      </w:r>
      <w:r>
        <w:rPr>
          <w:rFonts w:ascii="Times New Roman" w:hAnsi="Times New Roman" w:cs="Times New Roman" w:eastAsia="Times New Roman" w:hint="default"/>
          <w:spacing w:val="7"/>
        </w:rPr>
        <w:t> </w:t>
      </w:r>
      <w:r>
        <w:rPr/>
        <w:t>年，我国政务云市场规模为</w:t>
      </w:r>
      <w:r>
        <w:rPr>
          <w:spacing w:val="-40"/>
        </w:rPr>
        <w:t> </w:t>
      </w:r>
      <w:r>
        <w:rPr>
          <w:rFonts w:ascii="Times New Roman" w:hAnsi="Times New Roman" w:cs="Times New Roman" w:eastAsia="Times New Roman" w:hint="default"/>
        </w:rPr>
        <w:t>292.6</w:t>
      </w:r>
      <w:r>
        <w:rPr>
          <w:rFonts w:ascii="Times New Roman" w:hAnsi="Times New Roman" w:cs="Times New Roman" w:eastAsia="Times New Roman" w:hint="default"/>
          <w:spacing w:val="7"/>
        </w:rPr>
        <w:t> </w:t>
      </w:r>
      <w:r>
        <w:rPr/>
        <w:t>亿元，预计到</w:t>
      </w:r>
      <w:r>
        <w:rPr>
          <w:spacing w:val="-42"/>
        </w:rPr>
        <w:t> </w:t>
      </w:r>
      <w:r>
        <w:rPr>
          <w:rFonts w:ascii="Times New Roman" w:hAnsi="Times New Roman" w:cs="Times New Roman" w:eastAsia="Times New Roman" w:hint="default"/>
        </w:rPr>
        <w:t>2021</w:t>
      </w:r>
      <w:r>
        <w:rPr>
          <w:rFonts w:ascii="Times New Roman" w:hAnsi="Times New Roman" w:cs="Times New Roman" w:eastAsia="Times New Roman" w:hint="default"/>
          <w:spacing w:val="7"/>
        </w:rPr>
        <w:t> </w:t>
      </w:r>
      <w:r>
        <w:rPr/>
        <w:t>年市场规模将达到</w:t>
      </w:r>
      <w:r>
        <w:rPr>
          <w:spacing w:val="-39"/>
        </w:rPr>
        <w:t> </w:t>
      </w:r>
      <w:r>
        <w:rPr>
          <w:rFonts w:ascii="Times New Roman" w:hAnsi="Times New Roman" w:cs="Times New Roman" w:eastAsia="Times New Roman" w:hint="default"/>
        </w:rPr>
        <w:t>813.2</w:t>
      </w:r>
      <w:r>
        <w:rPr>
          <w:rFonts w:ascii="Times New Roman" w:hAnsi="Times New Roman" w:cs="Times New Roman" w:eastAsia="Times New Roman" w:hint="default"/>
          <w:spacing w:val="7"/>
        </w:rPr>
        <w:t> </w:t>
      </w:r>
      <w:r>
        <w:rPr/>
        <w:t>亿元，并</w:t>
      </w:r>
    </w:p>
    <w:p>
      <w:pPr>
        <w:pStyle w:val="BodyText"/>
        <w:spacing w:line="240" w:lineRule="auto" w:before="33"/>
        <w:ind w:right="0"/>
        <w:jc w:val="both"/>
      </w:pPr>
      <w:r>
        <w:rPr/>
        <w:t>保持高速增长态势。覆盖率方面，在我国</w:t>
      </w:r>
      <w:r>
        <w:rPr>
          <w:spacing w:val="-41"/>
        </w:rPr>
        <w:t> </w:t>
      </w:r>
      <w:r>
        <w:rPr>
          <w:rFonts w:ascii="Times New Roman" w:hAnsi="Times New Roman" w:cs="Times New Roman" w:eastAsia="Times New Roman" w:hint="default"/>
          <w:spacing w:val="-2"/>
        </w:rPr>
        <w:t>3</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个省级行政区</w:t>
      </w:r>
      <w:r>
        <w:rPr>
          <w:spacing w:val="-3"/>
        </w:rPr>
        <w:t>中</w:t>
      </w:r>
      <w:r>
        <w:rPr/>
        <w:t>（不含港澳台</w:t>
      </w:r>
      <w:r>
        <w:rPr>
          <w:spacing w:val="-92"/>
        </w:rPr>
        <w:t>）</w:t>
      </w:r>
      <w:r>
        <w:rPr/>
        <w:t>，有</w:t>
      </w:r>
      <w:r>
        <w:rPr>
          <w:spacing w:val="-42"/>
        </w:rPr>
        <w:t> </w:t>
      </w:r>
      <w:r>
        <w:rPr>
          <w:rFonts w:ascii="Times New Roman" w:hAnsi="Times New Roman" w:cs="Times New Roman" w:eastAsia="Times New Roman" w:hint="default"/>
          <w:spacing w:val="1"/>
        </w:rPr>
        <w:t>3</w:t>
      </w:r>
      <w:r>
        <w:rPr>
          <w:rFonts w:ascii="Times New Roman" w:hAnsi="Times New Roman" w:cs="Times New Roman" w:eastAsia="Times New Roman" w:hint="default"/>
        </w:rPr>
        <w:t>0</w:t>
      </w:r>
      <w:r>
        <w:rPr>
          <w:rFonts w:ascii="Times New Roman" w:hAnsi="Times New Roman" w:cs="Times New Roman" w:eastAsia="Times New Roman" w:hint="default"/>
          <w:spacing w:val="4"/>
        </w:rPr>
        <w:t> </w:t>
      </w:r>
      <w:r>
        <w:rPr/>
        <w:t>个行</w:t>
      </w:r>
      <w:r>
        <w:rPr>
          <w:spacing w:val="-3"/>
        </w:rPr>
        <w:t>政</w:t>
      </w:r>
      <w:r>
        <w:rPr/>
        <w:t>区已经建有或正在建设（完成招</w:t>
      </w:r>
    </w:p>
    <w:p>
      <w:pPr>
        <w:spacing w:line="240" w:lineRule="auto" w:before="9"/>
        <w:rPr>
          <w:rFonts w:ascii="宋体" w:hAnsi="宋体" w:cs="宋体" w:eastAsia="宋体" w:hint="default"/>
          <w:sz w:val="16"/>
          <w:szCs w:val="16"/>
        </w:rPr>
      </w:pPr>
    </w:p>
    <w:p>
      <w:pPr>
        <w:pStyle w:val="BodyText"/>
        <w:spacing w:line="451" w:lineRule="auto"/>
        <w:ind w:right="1132"/>
        <w:jc w:val="both"/>
      </w:pPr>
      <w:r>
        <w:rPr>
          <w:spacing w:val="-4"/>
        </w:rPr>
        <w:t>标）政务云；在我国</w:t>
      </w:r>
      <w:r>
        <w:rPr>
          <w:spacing w:val="-58"/>
        </w:rPr>
        <w:t> </w:t>
      </w:r>
      <w:r>
        <w:rPr>
          <w:rFonts w:ascii="Times New Roman" w:hAnsi="Times New Roman" w:cs="Times New Roman" w:eastAsia="Times New Roman" w:hint="default"/>
        </w:rPr>
        <w:t>334</w:t>
      </w:r>
      <w:r>
        <w:rPr>
          <w:rFonts w:ascii="Times New Roman" w:hAnsi="Times New Roman" w:cs="Times New Roman" w:eastAsia="Times New Roman" w:hint="default"/>
          <w:spacing w:val="-13"/>
        </w:rPr>
        <w:t> </w:t>
      </w:r>
      <w:r>
        <w:rPr/>
        <w:t>个地级行政区中，有</w:t>
      </w:r>
      <w:r>
        <w:rPr>
          <w:spacing w:val="-58"/>
        </w:rPr>
        <w:t> </w:t>
      </w:r>
      <w:r>
        <w:rPr>
          <w:rFonts w:ascii="Times New Roman" w:hAnsi="Times New Roman" w:cs="Times New Roman" w:eastAsia="Times New Roman" w:hint="default"/>
        </w:rPr>
        <w:t>235</w:t>
      </w:r>
      <w:r>
        <w:rPr>
          <w:rFonts w:ascii="Times New Roman" w:hAnsi="Times New Roman" w:cs="Times New Roman" w:eastAsia="Times New Roman" w:hint="default"/>
          <w:spacing w:val="-13"/>
        </w:rPr>
        <w:t> </w:t>
      </w:r>
      <w:r>
        <w:rPr/>
        <w:t>个地级行政区已经建有或正在建设（完成招标）政务云。政务云覆盖率达 到</w:t>
      </w:r>
      <w:r>
        <w:rPr>
          <w:spacing w:val="-44"/>
        </w:rPr>
        <w:t> </w:t>
      </w:r>
      <w:r>
        <w:rPr>
          <w:rFonts w:ascii="Times New Roman" w:hAnsi="Times New Roman" w:cs="Times New Roman" w:eastAsia="Times New Roman" w:hint="default"/>
        </w:rPr>
        <w:t>70%</w:t>
      </w:r>
      <w:r>
        <w:rPr/>
        <w:t>以上。</w:t>
      </w:r>
    </w:p>
    <w:p>
      <w:pPr>
        <w:pStyle w:val="BodyText"/>
        <w:spacing w:line="489" w:lineRule="auto" w:before="82"/>
        <w:ind w:left="513" w:right="0"/>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）医疗信息化持续增长</w:t>
      </w:r>
      <w:r>
        <w:rPr>
          <w:rFonts w:ascii="宋体" w:hAnsi="宋体" w:cs="宋体" w:eastAsia="宋体" w:hint="default"/>
          <w:b/>
          <w:bCs/>
          <w:w w:val="99"/>
        </w:rPr>
        <w:t> </w:t>
      </w:r>
      <w:r>
        <w:rPr>
          <w:spacing w:val="-2"/>
        </w:rPr>
        <w:t>在传统医疗信息化业务方面，国务院、卫健委连续出台各项政策，明确医疗信息化建设的目标与任务有三点：一是明确</w:t>
      </w:r>
    </w:p>
    <w:p>
      <w:pPr>
        <w:pStyle w:val="BodyText"/>
        <w:spacing w:line="463" w:lineRule="auto" w:before="45"/>
        <w:ind w:right="1131"/>
        <w:jc w:val="both"/>
      </w:pPr>
      <w:r>
        <w:rPr/>
        <w:t>电子病历分级管理评价目</w:t>
      </w:r>
      <w:r>
        <w:rPr>
          <w:spacing w:val="-26"/>
        </w:rPr>
        <w:t>标</w:t>
      </w:r>
      <w:r>
        <w:rPr>
          <w:spacing w:val="-92"/>
        </w:rPr>
        <w:t>（</w:t>
      </w:r>
      <w:r>
        <w:rPr/>
        <w:t>《关于进一步推进以电子病历为核心的医疗机构信息化建设工作的通知</w:t>
      </w:r>
      <w:r>
        <w:rPr>
          <w:spacing w:val="-27"/>
        </w:rPr>
        <w:t>》</w:t>
      </w:r>
      <w:r>
        <w:rPr>
          <w:spacing w:val="1"/>
        </w:rPr>
        <w:t>等</w:t>
      </w:r>
      <w:r>
        <w:rPr>
          <w:spacing w:val="-92"/>
        </w:rPr>
        <w:t>）</w:t>
      </w:r>
      <w:r>
        <w:rPr>
          <w:spacing w:val="-27"/>
        </w:rPr>
        <w:t>；</w:t>
      </w:r>
      <w:r>
        <w:rPr/>
        <w:t>二是深化医保付</w:t>
      </w:r>
      <w:r>
        <w:rPr/>
        <w:t> 费改革，开展</w:t>
      </w:r>
      <w:r>
        <w:rPr>
          <w:spacing w:val="-42"/>
        </w:rPr>
        <w:t> </w:t>
      </w:r>
      <w:r>
        <w:rPr>
          <w:rFonts w:ascii="Times New Roman" w:hAnsi="Times New Roman" w:cs="Times New Roman" w:eastAsia="Times New Roman" w:hint="default"/>
          <w:w w:val="99"/>
        </w:rPr>
        <w:t>D</w:t>
      </w:r>
      <w:r>
        <w:rPr>
          <w:rFonts w:ascii="Times New Roman" w:hAnsi="Times New Roman" w:cs="Times New Roman" w:eastAsia="Times New Roman" w:hint="default"/>
          <w:spacing w:val="1"/>
          <w:w w:val="99"/>
        </w:rPr>
        <w:t>R</w:t>
      </w:r>
      <w:r>
        <w:rPr>
          <w:rFonts w:ascii="Times New Roman" w:hAnsi="Times New Roman" w:cs="Times New Roman" w:eastAsia="Times New Roman" w:hint="default"/>
          <w:spacing w:val="-3"/>
          <w:w w:val="99"/>
        </w:rPr>
        <w:t>G</w:t>
      </w:r>
      <w:r>
        <w:rPr>
          <w:rFonts w:ascii="Times New Roman" w:hAnsi="Times New Roman" w:cs="Times New Roman" w:eastAsia="Times New Roman" w:hint="default"/>
          <w:w w:val="99"/>
        </w:rPr>
        <w:t>s</w:t>
      </w:r>
      <w:r>
        <w:rPr>
          <w:rFonts w:ascii="Times New Roman" w:hAnsi="Times New Roman" w:cs="Times New Roman" w:eastAsia="Times New Roman" w:hint="default"/>
          <w:spacing w:val="2"/>
        </w:rPr>
        <w:t> </w:t>
      </w:r>
      <w:r>
        <w:rPr/>
        <w:t>付费试</w:t>
      </w:r>
      <w:r>
        <w:rPr>
          <w:spacing w:val="2"/>
        </w:rPr>
        <w:t>点</w:t>
      </w:r>
      <w:r>
        <w:rPr>
          <w:spacing w:val="-92"/>
        </w:rPr>
        <w:t>（</w:t>
      </w:r>
      <w:r>
        <w:rPr/>
        <w:t>《关于进一步深化基本医疗</w:t>
      </w:r>
      <w:r>
        <w:rPr>
          <w:spacing w:val="2"/>
        </w:rPr>
        <w:t>保</w:t>
      </w:r>
      <w:r>
        <w:rPr/>
        <w:t>险支付方式改革的指导意见</w:t>
      </w:r>
      <w:r>
        <w:rPr>
          <w:spacing w:val="-90"/>
        </w:rPr>
        <w:t>》</w:t>
      </w:r>
      <w:r>
        <w:rPr>
          <w:spacing w:val="-89"/>
        </w:rPr>
        <w:t>、</w:t>
      </w:r>
      <w:r>
        <w:rPr/>
        <w:t>《关于申报按疾病诊断相关分组</w:t>
      </w:r>
      <w:r>
        <w:rPr/>
        <w:t> 付费国家试点的通知</w:t>
      </w:r>
      <w:r>
        <w:rPr>
          <w:spacing w:val="-91"/>
        </w:rPr>
        <w:t>》</w:t>
      </w:r>
      <w:r>
        <w:rPr>
          <w:spacing w:val="-92"/>
        </w:rPr>
        <w:t>）</w:t>
      </w:r>
      <w:r>
        <w:rPr/>
        <w:t>；三</w:t>
      </w:r>
      <w:r>
        <w:rPr>
          <w:spacing w:val="2"/>
        </w:rPr>
        <w:t>是</w:t>
      </w:r>
      <w:r>
        <w:rPr/>
        <w:t>推动医联体建设，鼓励处方外流</w:t>
      </w:r>
      <w:r>
        <w:rPr>
          <w:spacing w:val="-92"/>
        </w:rPr>
        <w:t>（</w:t>
      </w:r>
      <w:r>
        <w:rPr/>
        <w:t>《关于促进医药产业健康</w:t>
      </w:r>
      <w:r>
        <w:rPr>
          <w:spacing w:val="2"/>
        </w:rPr>
        <w:t>发</w:t>
      </w:r>
      <w:r>
        <w:rPr/>
        <w:t>展的指导意见》</w:t>
      </w:r>
      <w:r>
        <w:rPr>
          <w:spacing w:val="1"/>
        </w:rPr>
        <w:t>等</w:t>
      </w:r>
      <w:r>
        <w:rPr>
          <w:spacing w:val="-92"/>
        </w:rPr>
        <w:t>）</w:t>
      </w:r>
      <w:r>
        <w:rPr/>
        <w:t>。</w:t>
      </w:r>
    </w:p>
    <w:p>
      <w:pPr>
        <w:pStyle w:val="BodyText"/>
        <w:spacing w:line="451" w:lineRule="auto" w:before="106"/>
        <w:ind w:right="1133" w:firstLine="360"/>
        <w:jc w:val="both"/>
      </w:pPr>
      <w:r>
        <w:rPr>
          <w:rFonts w:ascii="Times New Roman" w:hAnsi="Times New Roman" w:cs="Times New Roman" w:eastAsia="Times New Roman" w:hint="default"/>
        </w:rPr>
        <w:t>2011 </w:t>
      </w:r>
      <w:r>
        <w:rPr/>
        <w:t>年</w:t>
      </w:r>
      <w:r>
        <w:rPr>
          <w:rFonts w:ascii="Times New Roman" w:hAnsi="Times New Roman" w:cs="Times New Roman" w:eastAsia="Times New Roman" w:hint="default"/>
        </w:rPr>
        <w:t>-2018 </w:t>
      </w:r>
      <w:r>
        <w:rPr/>
        <w:t>年，我国医疗信息化行业市场规模逐年递增，且增速保持在 </w:t>
      </w:r>
      <w:r>
        <w:rPr>
          <w:rFonts w:ascii="Times New Roman" w:hAnsi="Times New Roman" w:cs="Times New Roman" w:eastAsia="Times New Roman" w:hint="default"/>
        </w:rPr>
        <w:t>10%</w:t>
      </w:r>
      <w:r>
        <w:rPr/>
        <w:t>以上的较高水平。根据 </w:t>
      </w:r>
      <w:r>
        <w:rPr>
          <w:rFonts w:ascii="Times New Roman" w:hAnsi="Times New Roman" w:cs="Times New Roman" w:eastAsia="Times New Roman" w:hint="default"/>
        </w:rPr>
        <w:t>IDC</w:t>
      </w:r>
      <w:r>
        <w:rPr>
          <w:rFonts w:ascii="Times New Roman" w:hAnsi="Times New Roman" w:cs="Times New Roman" w:eastAsia="Times New Roman" w:hint="default"/>
          <w:spacing w:val="-25"/>
        </w:rPr>
        <w:t> </w:t>
      </w:r>
      <w:r>
        <w:rPr/>
        <w:t>最新发布的 报告显示，</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年我国医疗行业信息化花费为</w:t>
      </w:r>
      <w:r>
        <w:rPr>
          <w:spacing w:val="-47"/>
        </w:rPr>
        <w:t> </w:t>
      </w:r>
      <w:r>
        <w:rPr>
          <w:rFonts w:ascii="Times New Roman" w:hAnsi="Times New Roman" w:cs="Times New Roman" w:eastAsia="Times New Roman" w:hint="default"/>
        </w:rPr>
        <w:t>491.8</w:t>
      </w:r>
      <w:r>
        <w:rPr>
          <w:rFonts w:ascii="Times New Roman" w:hAnsi="Times New Roman" w:cs="Times New Roman" w:eastAsia="Times New Roman" w:hint="default"/>
          <w:spacing w:val="-1"/>
        </w:rPr>
        <w:t> </w:t>
      </w:r>
      <w:r>
        <w:rPr/>
        <w:t>亿元，同比增长</w:t>
      </w:r>
      <w:r>
        <w:rPr>
          <w:spacing w:val="-48"/>
        </w:rPr>
        <w:t> </w:t>
      </w:r>
      <w:r>
        <w:rPr>
          <w:rFonts w:ascii="Times New Roman" w:hAnsi="Times New Roman" w:cs="Times New Roman" w:eastAsia="Times New Roman" w:hint="default"/>
        </w:rPr>
        <w:t>11.3%</w:t>
      </w:r>
      <w:r>
        <w:rPr/>
        <w:t>，预计</w:t>
      </w:r>
      <w:r>
        <w:rPr>
          <w:spacing w:val="-48"/>
        </w:rPr>
        <w:t> </w:t>
      </w:r>
      <w:r>
        <w:rPr>
          <w:rFonts w:ascii="Times New Roman" w:hAnsi="Times New Roman" w:cs="Times New Roman" w:eastAsia="Times New Roman" w:hint="default"/>
        </w:rPr>
        <w:t>2023</w:t>
      </w:r>
      <w:r>
        <w:rPr>
          <w:rFonts w:ascii="Times New Roman" w:hAnsi="Times New Roman" w:cs="Times New Roman" w:eastAsia="Times New Roman" w:hint="default"/>
          <w:spacing w:val="-1"/>
        </w:rPr>
        <w:t> </w:t>
      </w:r>
      <w:r>
        <w:rPr/>
        <w:t>年市场规模将超过</w:t>
      </w:r>
      <w:r>
        <w:rPr>
          <w:spacing w:val="-47"/>
        </w:rPr>
        <w:t> </w:t>
      </w:r>
      <w:r>
        <w:rPr>
          <w:rFonts w:ascii="Times New Roman" w:hAnsi="Times New Roman" w:cs="Times New Roman" w:eastAsia="Times New Roman" w:hint="default"/>
        </w:rPr>
        <w:t>800</w:t>
      </w:r>
      <w:r>
        <w:rPr>
          <w:rFonts w:ascii="Times New Roman" w:hAnsi="Times New Roman" w:cs="Times New Roman" w:eastAsia="Times New Roman" w:hint="default"/>
          <w:spacing w:val="-2"/>
        </w:rPr>
        <w:t> </w:t>
      </w:r>
      <w:r>
        <w:rPr/>
        <w:t>亿元。</w:t>
      </w:r>
    </w:p>
    <w:p>
      <w:pPr>
        <w:pStyle w:val="Heading5"/>
        <w:spacing w:line="240" w:lineRule="auto" w:before="82"/>
        <w:ind w:right="2602"/>
        <w:jc w:val="left"/>
        <w:rPr>
          <w:b w:val="0"/>
          <w:bCs w:val="0"/>
        </w:rPr>
      </w:pPr>
      <w:r>
        <w:rPr/>
        <w:t>（</w:t>
      </w:r>
      <w:r>
        <w:rPr>
          <w:rFonts w:ascii="Times New Roman" w:hAnsi="Times New Roman" w:cs="Times New Roman" w:eastAsia="Times New Roman" w:hint="default"/>
        </w:rPr>
        <w:t>3</w:t>
      </w:r>
      <w:r>
        <w:rPr/>
        <w:t>）互联网医疗领域得到政策保障</w:t>
      </w:r>
      <w:r>
        <w:rPr>
          <w:b w:val="0"/>
          <w:bCs w:val="0"/>
        </w:rPr>
      </w:r>
    </w:p>
    <w:p>
      <w:pPr>
        <w:spacing w:line="240" w:lineRule="auto" w:before="11"/>
        <w:rPr>
          <w:rFonts w:ascii="宋体" w:hAnsi="宋体" w:cs="宋体" w:eastAsia="宋体" w:hint="default"/>
          <w:b/>
          <w:bCs/>
          <w:sz w:val="19"/>
          <w:szCs w:val="19"/>
        </w:rPr>
      </w:pPr>
    </w:p>
    <w:p>
      <w:pPr>
        <w:pStyle w:val="BodyText"/>
        <w:spacing w:line="240" w:lineRule="auto"/>
        <w:ind w:left="513" w:right="0"/>
        <w:jc w:val="left"/>
      </w:pPr>
      <w:r>
        <w:rPr/>
        <w:t>从</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月国家陆续出</w:t>
      </w:r>
      <w:r>
        <w:rPr>
          <w:spacing w:val="-3"/>
        </w:rPr>
        <w:t>台《</w:t>
      </w:r>
      <w:r>
        <w:rPr/>
        <w:t>关于开展互联网</w:t>
      </w:r>
      <w:r>
        <w:rPr>
          <w:rFonts w:ascii="Times New Roman" w:hAnsi="Times New Roman" w:cs="Times New Roman" w:eastAsia="Times New Roman" w:hint="default"/>
          <w:spacing w:val="-1"/>
        </w:rPr>
        <w:t>+</w:t>
      </w:r>
      <w:r>
        <w:rPr/>
        <w:t>护理服务试点工作通知</w:t>
      </w:r>
      <w:r>
        <w:rPr>
          <w:spacing w:val="-92"/>
        </w:rPr>
        <w:t>》</w:t>
      </w:r>
      <w:r>
        <w:rPr>
          <w:spacing w:val="-94"/>
        </w:rPr>
        <w:t>、</w:t>
      </w:r>
      <w:r>
        <w:rPr/>
        <w:t>《深化医药卫生</w:t>
      </w:r>
      <w:r>
        <w:rPr>
          <w:spacing w:val="2"/>
        </w:rPr>
        <w:t>体</w:t>
      </w:r>
      <w:r>
        <w:rPr/>
        <w:t>制改革</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年重点工作任</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58" w:lineRule="auto"/>
        <w:ind w:right="1040"/>
        <w:jc w:val="left"/>
      </w:pPr>
      <w:r>
        <w:rPr>
          <w:spacing w:val="-6"/>
        </w:rPr>
        <w:t>务》、《关于完善互联网</w:t>
      </w:r>
      <w:r>
        <w:rPr>
          <w:rFonts w:ascii="Times New Roman" w:hAnsi="Times New Roman" w:cs="Times New Roman" w:eastAsia="Times New Roman" w:hint="default"/>
          <w:spacing w:val="-6"/>
        </w:rPr>
        <w:t>+</w:t>
      </w:r>
      <w:r>
        <w:rPr>
          <w:spacing w:val="-6"/>
        </w:rPr>
        <w:t>医疗服务价格和医保支付政策的指导意见》、《促进健康产业高质量发展行动纲要（</w:t>
      </w:r>
      <w:r>
        <w:rPr>
          <w:rFonts w:ascii="Times New Roman" w:hAnsi="Times New Roman" w:cs="Times New Roman" w:eastAsia="Times New Roman" w:hint="default"/>
          <w:spacing w:val="-6"/>
        </w:rPr>
        <w:t>2019-2022</w:t>
      </w:r>
      <w:r>
        <w:rPr>
          <w:rFonts w:ascii="Times New Roman" w:hAnsi="Times New Roman" w:cs="Times New Roman" w:eastAsia="Times New Roman" w:hint="default"/>
          <w:spacing w:val="11"/>
        </w:rPr>
        <w:t> </w:t>
      </w:r>
      <w:r>
        <w:rPr>
          <w:spacing w:val="-31"/>
        </w:rPr>
        <w:t>年）》</w:t>
      </w:r>
      <w:r>
        <w:rPr/>
        <w:t> 等一系列配套政策文件。在国家各政府部门推进下，甘肃、吉林、内蒙古等 </w:t>
      </w:r>
      <w:r>
        <w:rPr>
          <w:rFonts w:ascii="Times New Roman" w:hAnsi="Times New Roman" w:cs="Times New Roman" w:eastAsia="Times New Roman" w:hint="default"/>
        </w:rPr>
        <w:t>15</w:t>
      </w:r>
      <w:r>
        <w:rPr>
          <w:rFonts w:ascii="Times New Roman" w:hAnsi="Times New Roman" w:cs="Times New Roman" w:eastAsia="Times New Roman" w:hint="default"/>
          <w:spacing w:val="43"/>
        </w:rPr>
        <w:t> </w:t>
      </w:r>
      <w:r>
        <w:rPr/>
        <w:t>个省份陆续出台了《关于促进“互联网</w:t>
      </w:r>
      <w:r>
        <w:rPr>
          <w:rFonts w:ascii="Times New Roman" w:hAnsi="Times New Roman" w:cs="Times New Roman" w:eastAsia="Times New Roman" w:hint="default"/>
        </w:rPr>
        <w:t>+</w:t>
      </w:r>
      <w:r>
        <w:rPr/>
        <w:t>医 </w:t>
      </w:r>
      <w:r>
        <w:rPr>
          <w:spacing w:val="-2"/>
        </w:rPr>
        <w:t>疗健康”发展的实施意见》，政策明确支持，互联网医疗产业趋势已经形成。与此同时，上海正式出台全国首个省级中长期</w:t>
      </w:r>
      <w:r>
        <w:rPr>
          <w:spacing w:val="-65"/>
        </w:rPr>
        <w:t> </w:t>
      </w:r>
      <w:r>
        <w:rPr>
          <w:spacing w:val="-65"/>
        </w:rPr>
      </w:r>
      <w:r>
        <w:rPr/>
        <w:t>健康行动方案《健康上海行动（</w:t>
      </w:r>
      <w:r>
        <w:rPr>
          <w:rFonts w:ascii="Times New Roman" w:hAnsi="Times New Roman" w:cs="Times New Roman" w:eastAsia="Times New Roman" w:hint="default"/>
        </w:rPr>
        <w:t>2019-2030 </w:t>
      </w:r>
      <w:r>
        <w:rPr>
          <w:spacing w:val="-5"/>
        </w:rPr>
        <w:t>年）》，进一步明确“上海健康云”作为全市互联网</w:t>
      </w:r>
      <w:r>
        <w:rPr>
          <w:rFonts w:ascii="Times New Roman" w:hAnsi="Times New Roman" w:cs="Times New Roman" w:eastAsia="Times New Roman" w:hint="default"/>
          <w:spacing w:val="-5"/>
        </w:rPr>
        <w:t>+</w:t>
      </w:r>
      <w:r>
        <w:rPr>
          <w:spacing w:val="-5"/>
        </w:rPr>
        <w:t>医疗健康统一入口的定位，</w:t>
      </w:r>
      <w:r>
        <w:rPr>
          <w:spacing w:val="-69"/>
        </w:rPr>
        <w:t> </w:t>
      </w:r>
      <w:r>
        <w:rPr>
          <w:spacing w:val="-69"/>
        </w:rPr>
      </w:r>
      <w:r>
        <w:rPr/>
        <w:t>为互联网医疗及健康云业务发展奠定了政策机制保障。</w:t>
      </w:r>
    </w:p>
    <w:p>
      <w:pPr>
        <w:pStyle w:val="BodyText"/>
        <w:spacing w:line="487" w:lineRule="auto" w:before="109"/>
        <w:ind w:left="513" w:right="0"/>
        <w:jc w:val="left"/>
      </w:pPr>
      <w:r>
        <w:rPr>
          <w:rFonts w:ascii="宋体" w:hAnsi="宋体" w:cs="宋体" w:eastAsia="宋体" w:hint="default"/>
          <w:b/>
          <w:bCs/>
        </w:rPr>
        <w:t>（</w:t>
      </w:r>
      <w:r>
        <w:rPr>
          <w:rFonts w:ascii="Times New Roman" w:hAnsi="Times New Roman" w:cs="Times New Roman" w:eastAsia="Times New Roman" w:hint="default"/>
          <w:b/>
          <w:bCs/>
        </w:rPr>
        <w:t>4</w:t>
      </w:r>
      <w:r>
        <w:rPr>
          <w:rFonts w:ascii="宋体" w:hAnsi="宋体" w:cs="宋体" w:eastAsia="宋体" w:hint="default"/>
          <w:b/>
          <w:bCs/>
        </w:rPr>
        <w:t>）信息化投资需求</w:t>
      </w:r>
      <w:r>
        <w:rPr>
          <w:rFonts w:ascii="宋体" w:hAnsi="宋体" w:cs="宋体" w:eastAsia="宋体" w:hint="default"/>
          <w:b/>
          <w:bCs/>
          <w:w w:val="99"/>
        </w:rPr>
        <w:t> </w:t>
      </w:r>
      <w:r>
        <w:rPr>
          <w:spacing w:val="-2"/>
        </w:rPr>
        <w:t>未来几年将是中国智慧医疗建设飞速发展的时期，在新医改方案的指导下，各地方政府将会加大当地智慧医疗建设方面</w:t>
      </w:r>
    </w:p>
    <w:p>
      <w:pPr>
        <w:pStyle w:val="BodyText"/>
        <w:spacing w:line="472" w:lineRule="auto" w:before="47"/>
        <w:ind w:right="1129"/>
        <w:jc w:val="both"/>
      </w:pPr>
      <w:r>
        <w:rPr>
          <w:spacing w:val="-2"/>
        </w:rPr>
        <w:t>的投入，将会有更多的医疗机构参与到信息化建设中，一些信息化建设较好的医疗机构也将致力于建设更为先进的医院管理</w:t>
      </w:r>
      <w:r>
        <w:rPr>
          <w:spacing w:val="-62"/>
        </w:rPr>
        <w:t> </w:t>
      </w:r>
      <w:r>
        <w:rPr>
          <w:spacing w:val="-62"/>
        </w:rPr>
      </w:r>
      <w:r>
        <w:rPr>
          <w:spacing w:val="-2"/>
        </w:rPr>
        <w:t>系统，提升自身竞争力，给广大居民带来更好的医疗体验。从居民本身的健康需求层面，居民从单一的疾病治疗需求转变为</w:t>
      </w:r>
      <w:r>
        <w:rPr>
          <w:spacing w:val="-62"/>
        </w:rPr>
        <w:t> </w:t>
      </w:r>
      <w:r>
        <w:rPr>
          <w:spacing w:val="-62"/>
        </w:rPr>
      </w:r>
      <w:r>
        <w:rPr>
          <w:spacing w:val="-2"/>
        </w:rPr>
        <w:t>需要依托新技术支撑的智能监测、便捷服务、全程照护、专业咨询等的高阶健康需求，这也表明医疗健康信息化等智能技术</w:t>
      </w:r>
      <w:r>
        <w:rPr>
          <w:spacing w:val="-66"/>
        </w:rPr>
        <w:t> </w:t>
      </w:r>
      <w:r>
        <w:rPr>
          <w:spacing w:val="-66"/>
        </w:rPr>
      </w:r>
      <w:r>
        <w:rPr>
          <w:spacing w:val="-2"/>
        </w:rPr>
        <w:t>全面提升和发展的必要性；同时从政策层面，无论是深化医疗卫生体制改革、全面改善医疗服务计划、医疗联合体等医疗健</w:t>
      </w:r>
      <w:r>
        <w:rPr>
          <w:spacing w:val="-65"/>
        </w:rPr>
        <w:t> </w:t>
      </w:r>
      <w:r>
        <w:rPr>
          <w:spacing w:val="-65"/>
        </w:rPr>
      </w:r>
      <w:r>
        <w:rPr>
          <w:spacing w:val="-1"/>
        </w:rPr>
        <w:t>康行业政策，还是智慧医院、“互联网</w:t>
      </w:r>
      <w:r>
        <w:rPr>
          <w:rFonts w:ascii="Times New Roman" w:hAnsi="Times New Roman" w:cs="Times New Roman" w:eastAsia="Times New Roman" w:hint="default"/>
          <w:spacing w:val="-1"/>
        </w:rPr>
        <w:t>+</w:t>
      </w:r>
      <w:r>
        <w:rPr>
          <w:spacing w:val="-1"/>
        </w:rPr>
        <w:t>医疗健康”等明确围绕聚焦医疗健康信息化出台的政策都表明医疗健康行业对信息</w:t>
      </w:r>
      <w:r>
        <w:rPr>
          <w:spacing w:val="-52"/>
        </w:rPr>
        <w:t> </w:t>
      </w:r>
      <w:r>
        <w:rPr>
          <w:spacing w:val="-52"/>
        </w:rPr>
      </w:r>
      <w:r>
        <w:rPr/>
        <w:t>化的强劲需求。</w:t>
      </w:r>
    </w:p>
    <w:p>
      <w:pPr>
        <w:pStyle w:val="BodyText"/>
        <w:spacing w:line="451" w:lineRule="auto" w:before="98"/>
        <w:ind w:right="1132" w:firstLine="360"/>
        <w:jc w:val="both"/>
      </w:pPr>
      <w:r>
        <w:rPr/>
        <w:t>中国政府信息化整体水平稳步提升，数字政务指数同比增长</w:t>
      </w:r>
      <w:r>
        <w:rPr>
          <w:spacing w:val="27"/>
        </w:rPr>
        <w:t> </w:t>
      </w:r>
      <w:r>
        <w:rPr>
          <w:rFonts w:ascii="Times New Roman" w:hAnsi="Times New Roman" w:cs="Times New Roman" w:eastAsia="Times New Roman" w:hint="default"/>
        </w:rPr>
        <w:t>32%</w:t>
      </w:r>
      <w:r>
        <w:rPr/>
        <w:t>，数字政务服务对营商环境、区域经济的带动作用持 续显现；云计算在政府间的普及程度进一步加深，政府用云量同比增长</w:t>
      </w:r>
      <w:r>
        <w:rPr>
          <w:spacing w:val="-50"/>
        </w:rPr>
        <w:t> </w:t>
      </w:r>
      <w:r>
        <w:rPr>
          <w:rFonts w:ascii="Times New Roman" w:hAnsi="Times New Roman" w:cs="Times New Roman" w:eastAsia="Times New Roman" w:hint="default"/>
        </w:rPr>
        <w:t>404.7%</w:t>
      </w:r>
      <w:r>
        <w:rPr/>
        <w:t>，是用云量平均增速的</w:t>
      </w:r>
      <w:r>
        <w:rPr>
          <w:spacing w:val="-50"/>
        </w:rPr>
        <w:t> </w:t>
      </w:r>
      <w:r>
        <w:rPr>
          <w:rFonts w:ascii="Times New Roman" w:hAnsi="Times New Roman" w:cs="Times New Roman" w:eastAsia="Times New Roman" w:hint="default"/>
        </w:rPr>
        <w:t>1.86</w:t>
      </w:r>
      <w:r>
        <w:rPr>
          <w:rFonts w:ascii="Times New Roman" w:hAnsi="Times New Roman" w:cs="Times New Roman" w:eastAsia="Times New Roman" w:hint="default"/>
          <w:spacing w:val="-4"/>
        </w:rPr>
        <w:t> </w:t>
      </w:r>
      <w:r>
        <w:rPr/>
        <w:t>倍，远高于互联 网、金融等行业的增速。此外，数字政务与营商环境及</w:t>
      </w:r>
      <w:r>
        <w:rPr>
          <w:spacing w:val="-41"/>
        </w:rPr>
        <w:t> </w:t>
      </w:r>
      <w:r>
        <w:rPr>
          <w:rFonts w:ascii="Times New Roman" w:hAnsi="Times New Roman" w:cs="Times New Roman" w:eastAsia="Times New Roman" w:hint="default"/>
        </w:rPr>
        <w:t>GDP</w:t>
      </w:r>
      <w:r>
        <w:rPr>
          <w:rFonts w:ascii="Times New Roman" w:hAnsi="Times New Roman" w:cs="Times New Roman" w:eastAsia="Times New Roman" w:hint="default"/>
          <w:spacing w:val="4"/>
        </w:rPr>
        <w:t> </w:t>
      </w:r>
      <w:r>
        <w:rPr/>
        <w:t>呈强相关性，对后线城市更有意义。政务信息“上云”成为建 设智慧城市的必然趋势。未来随着国内云计算的不断普及和渗透，政务云有望成为带动云计算产业增长的新引擎。</w:t>
      </w:r>
    </w:p>
    <w:p>
      <w:pPr>
        <w:spacing w:line="487" w:lineRule="auto" w:before="115"/>
        <w:ind w:left="51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、公司所处行业的市场竞争形势</w:t>
      </w:r>
      <w:r>
        <w:rPr>
          <w:rFonts w:ascii="宋体" w:hAnsi="宋体" w:cs="宋体" w:eastAsia="宋体" w:hint="default"/>
          <w:b/>
          <w:bCs/>
          <w:w w:val="99"/>
          <w:sz w:val="18"/>
          <w:szCs w:val="18"/>
        </w:rPr>
        <w:t> </w:t>
      </w:r>
      <w:r>
        <w:rPr>
          <w:rFonts w:ascii="宋体" w:hAnsi="宋体" w:cs="宋体" w:eastAsia="宋体" w:hint="default"/>
          <w:spacing w:val="-2"/>
          <w:sz w:val="18"/>
          <w:szCs w:val="18"/>
        </w:rPr>
        <w:t>目前医疗信息行业内厂商众多，且区域分布较为明显，市场份额较为分散，根据全国医疗信息化联盟统计，我国医疗信</w:t>
      </w:r>
    </w:p>
    <w:p>
      <w:pPr>
        <w:pStyle w:val="BodyText"/>
        <w:spacing w:line="463" w:lineRule="auto" w:before="47"/>
        <w:ind w:right="1131"/>
        <w:jc w:val="both"/>
      </w:pPr>
      <w:r>
        <w:rPr/>
        <w:t>息化行业市场规模排名前七的企业占比合计</w:t>
      </w:r>
      <w:r>
        <w:rPr>
          <w:spacing w:val="-48"/>
        </w:rPr>
        <w:t> </w:t>
      </w:r>
      <w:r>
        <w:rPr>
          <w:rFonts w:ascii="Times New Roman" w:hAnsi="Times New Roman" w:cs="Times New Roman" w:eastAsia="Times New Roman" w:hint="default"/>
        </w:rPr>
        <w:t>28.8%</w:t>
      </w:r>
      <w:r>
        <w:rPr/>
        <w:t>，预计前十的规模占比仅在</w:t>
      </w:r>
      <w:r>
        <w:rPr>
          <w:spacing w:val="-49"/>
        </w:rPr>
        <w:t> </w:t>
      </w:r>
      <w:r>
        <w:rPr>
          <w:rFonts w:ascii="Times New Roman" w:hAnsi="Times New Roman" w:cs="Times New Roman" w:eastAsia="Times New Roman" w:hint="default"/>
          <w:spacing w:val="-3"/>
        </w:rPr>
        <w:t>30%</w:t>
      </w:r>
      <w:r>
        <w:rPr>
          <w:spacing w:val="-3"/>
        </w:rPr>
        <w:t>左右，呈现出较低的市场集中度。当下面</w:t>
      </w:r>
      <w:r>
        <w:rPr/>
        <w:t> </w:t>
      </w:r>
      <w:r>
        <w:rPr>
          <w:spacing w:val="-2"/>
        </w:rPr>
        <w:t>对不断增长的行业规模及不断深化的行业需求，行业大额订单比例正在不断增加，而行业中的头部公司依靠较强的综合服务</w:t>
      </w:r>
      <w:r>
        <w:rPr>
          <w:spacing w:val="-64"/>
        </w:rPr>
        <w:t> </w:t>
      </w:r>
      <w:r>
        <w:rPr>
          <w:spacing w:val="-64"/>
        </w:rPr>
      </w:r>
      <w:r>
        <w:rPr/>
        <w:t>能力拿单优势明显，将充分受益；因此整个行业的产业集中度势必将会进一步提升。</w:t>
      </w:r>
    </w:p>
    <w:p>
      <w:pPr>
        <w:pStyle w:val="BodyText"/>
        <w:spacing w:line="470" w:lineRule="auto" w:before="106"/>
        <w:ind w:right="1128" w:firstLine="360"/>
        <w:jc w:val="both"/>
      </w:pPr>
      <w:r>
        <w:rPr>
          <w:spacing w:val="-2"/>
        </w:rPr>
        <w:t>近年来各地政务上云十分活跃，正逐步实现政务信息跨地区、跨层级、跨部门互认共享，形成“用数据决策、用数据管</w:t>
      </w:r>
      <w:r>
        <w:rPr/>
        <w:t> </w:t>
      </w:r>
      <w:r>
        <w:rPr>
          <w:spacing w:val="-2"/>
        </w:rPr>
        <w:t>理、用数据服务”的公共管理与服务机制。在“新基建”背景下，拥有自研技术优势的国内云服务商将获得更多机会。各类</w:t>
      </w:r>
      <w:r>
        <w:rPr>
          <w:spacing w:val="-71"/>
        </w:rPr>
        <w:t> </w:t>
      </w:r>
      <w:r>
        <w:rPr>
          <w:spacing w:val="-71"/>
        </w:rPr>
      </w:r>
      <w:r>
        <w:rPr>
          <w:spacing w:val="-2"/>
        </w:rPr>
        <w:t>厂商加快在政务云领域的布局，不是单单关注单个项目的盈利情况，而是更多的考虑战略层面的价值。一方面是政务云持续</w:t>
      </w:r>
      <w:r>
        <w:rPr>
          <w:spacing w:val="-63"/>
        </w:rPr>
        <w:t> </w:t>
      </w:r>
      <w:r>
        <w:rPr>
          <w:spacing w:val="-63"/>
        </w:rPr>
      </w:r>
      <w:r>
        <w:rPr/>
        <w:t>的运营服务，包括自资源扩展、业务上云等本身具有的长期经济价值，另一方面也是更重要的是政务云是未来产业互联网</w:t>
      </w:r>
      <w:r>
        <w:rPr>
          <w:rFonts w:ascii="Times New Roman" w:hAnsi="Times New Roman" w:cs="Times New Roman" w:eastAsia="Times New Roman" w:hint="default"/>
        </w:rPr>
        <w:t>+ </w:t>
      </w:r>
      <w:r>
        <w:rPr/>
        <w:t>的切入点，基于政务云上承载的教育、医疗、公共事业等智慧城市应用与数据都具有巨大的发展空间。</w:t>
      </w:r>
    </w:p>
    <w:p>
      <w:pPr>
        <w:pStyle w:val="BodyText"/>
        <w:spacing w:line="451" w:lineRule="auto" w:before="100"/>
        <w:ind w:right="1128" w:firstLine="360"/>
        <w:jc w:val="both"/>
      </w:pPr>
      <w:r>
        <w:rPr/>
        <w:t>历经</w:t>
      </w:r>
      <w:r>
        <w:rPr>
          <w:spacing w:val="-42"/>
        </w:rPr>
        <w:t> </w:t>
      </w:r>
      <w:r>
        <w:rPr>
          <w:rFonts w:ascii="Times New Roman" w:hAnsi="Times New Roman" w:cs="Times New Roman" w:eastAsia="Times New Roman" w:hint="default"/>
        </w:rPr>
        <w:t>20</w:t>
      </w:r>
      <w:r>
        <w:rPr>
          <w:rFonts w:ascii="Times New Roman" w:hAnsi="Times New Roman" w:cs="Times New Roman" w:eastAsia="Times New Roman" w:hint="default"/>
          <w:spacing w:val="4"/>
        </w:rPr>
        <w:t> </w:t>
      </w:r>
      <w:r>
        <w:rPr/>
        <w:t>多年的发展，万达信息形成了最全面的智慧城市和智慧医疗行业覆盖，形成了突出的行业软件与服务优势。作 </w:t>
      </w:r>
      <w:r>
        <w:rPr>
          <w:spacing w:val="-4"/>
        </w:rPr>
        <w:t>为“国家规划布局内重点软件企业”，万达信息拥有国际一流的专业资质，是全国首家整体通过</w:t>
      </w:r>
      <w:r>
        <w:rPr>
          <w:spacing w:val="-27"/>
        </w:rPr>
        <w:t> </w:t>
      </w:r>
      <w:r>
        <w:rPr>
          <w:rFonts w:ascii="Times New Roman" w:hAnsi="Times New Roman" w:cs="Times New Roman" w:eastAsia="Times New Roman" w:hint="default"/>
          <w:spacing w:val="-2"/>
          <w:w w:val="99"/>
        </w:rPr>
        <w:t>CMMI5</w:t>
      </w:r>
      <w:r>
        <w:rPr>
          <w:spacing w:val="-2"/>
          <w:w w:val="99"/>
        </w:rPr>
        <w:t>（软件能力成熟度模</w:t>
      </w:r>
    </w:p>
    <w:p>
      <w:pPr>
        <w:spacing w:after="0" w:line="451"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0"/>
        <w:jc w:val="left"/>
      </w:pPr>
      <w:r>
        <w:rPr>
          <w:spacing w:val="-2"/>
        </w:rPr>
        <w:t>型最高等级）认证企业，承担了多个国家核高基专项课题，拥有各行业独立自主知识产权软件。凭借在丰富行业实践中形成</w:t>
      </w:r>
      <w:r>
        <w:rPr>
          <w:spacing w:val="-64"/>
        </w:rPr>
        <w:t> </w:t>
      </w:r>
      <w:r>
        <w:rPr>
          <w:spacing w:val="-64"/>
        </w:rPr>
      </w:r>
      <w:r>
        <w:rPr/>
        <w:t>的自主创新核心技术，为企业的可持续创新能力提供了坚强动力。</w:t>
      </w:r>
    </w:p>
    <w:p>
      <w:pPr>
        <w:spacing w:line="240" w:lineRule="auto" w:before="7"/>
        <w:rPr>
          <w:rFonts w:ascii="宋体" w:hAnsi="宋体" w:cs="宋体" w:eastAsia="宋体" w:hint="default"/>
          <w:sz w:val="17"/>
          <w:szCs w:val="17"/>
        </w:rPr>
      </w:pPr>
    </w:p>
    <w:p>
      <w:pPr>
        <w:pStyle w:val="Heading2"/>
        <w:spacing w:line="240" w:lineRule="auto"/>
        <w:ind w:right="2602"/>
        <w:jc w:val="left"/>
        <w:rPr>
          <w:b w:val="0"/>
          <w:bCs w:val="0"/>
        </w:rPr>
      </w:pPr>
      <w:bookmarkStart w:name="二、主要资产重大变化情况" w:id="20"/>
      <w:bookmarkEnd w:id="20"/>
      <w:r>
        <w:rPr>
          <w:b w:val="0"/>
          <w:bCs w:val="0"/>
        </w:rPr>
      </w:r>
      <w:r>
        <w:rPr/>
        <w:t>二、主要资产重大变化情况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主要资产重大变化情况" w:id="21"/>
      <w:bookmarkEnd w:id="21"/>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2127"/>
        <w:gridCol w:w="7444"/>
      </w:tblGrid>
      <w:tr>
        <w:trPr>
          <w:trHeight w:val="322" w:hRule="exact"/>
        </w:trPr>
        <w:tc>
          <w:tcPr>
            <w:tcW w:w="2127"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8"/>
              <w:ind w:left="698" w:right="0"/>
              <w:jc w:val="left"/>
              <w:rPr>
                <w:rFonts w:ascii="宋体" w:hAnsi="宋体" w:cs="宋体" w:eastAsia="宋体" w:hint="default"/>
                <w:sz w:val="18"/>
                <w:szCs w:val="18"/>
              </w:rPr>
            </w:pPr>
            <w:r>
              <w:rPr>
                <w:rFonts w:ascii="宋体" w:hAnsi="宋体" w:cs="宋体" w:eastAsia="宋体" w:hint="default"/>
                <w:sz w:val="18"/>
                <w:szCs w:val="18"/>
              </w:rPr>
              <w:t>主要资产</w:t>
            </w:r>
          </w:p>
        </w:tc>
        <w:tc>
          <w:tcPr>
            <w:tcW w:w="7444"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7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在建工程较年初减少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80.91%</w:t>
            </w:r>
            <w:r>
              <w:rPr>
                <w:rFonts w:ascii="宋体" w:hAnsi="宋体" w:cs="宋体" w:eastAsia="宋体" w:hint="default"/>
                <w:sz w:val="18"/>
                <w:szCs w:val="18"/>
              </w:rPr>
              <w:t>，主要是在建工程转长期待摊费用所致</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较年初增加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55.23%</w:t>
            </w:r>
            <w:r>
              <w:rPr>
                <w:rFonts w:ascii="宋体" w:hAnsi="宋体" w:cs="宋体" w:eastAsia="宋体" w:hint="default"/>
                <w:sz w:val="18"/>
                <w:szCs w:val="18"/>
              </w:rPr>
              <w:t>，主要是经营性现金流净增加以及发行可转债债券资金到位等增加所致</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较年初减少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53.15%</w:t>
            </w:r>
            <w:r>
              <w:rPr>
                <w:rFonts w:ascii="宋体" w:hAnsi="宋体" w:cs="宋体" w:eastAsia="宋体" w:hint="default"/>
                <w:sz w:val="18"/>
                <w:szCs w:val="18"/>
              </w:rPr>
              <w:t>，主要是计提存货跌价准备所致</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7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较年初增加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318.84%</w:t>
            </w:r>
            <w:r>
              <w:rPr>
                <w:rFonts w:ascii="宋体" w:hAnsi="宋体" w:cs="宋体" w:eastAsia="宋体" w:hint="default"/>
                <w:sz w:val="18"/>
                <w:szCs w:val="18"/>
              </w:rPr>
              <w:t>，主要是在建工程转入长期待摊费用所致</w:t>
            </w:r>
          </w:p>
        </w:tc>
      </w:tr>
    </w:tbl>
    <w:p>
      <w:pPr>
        <w:spacing w:line="240" w:lineRule="auto" w:before="3"/>
        <w:rPr>
          <w:rFonts w:ascii="宋体" w:hAnsi="宋体" w:cs="宋体" w:eastAsia="宋体" w:hint="default"/>
          <w:b/>
          <w:bCs/>
          <w:sz w:val="19"/>
          <w:szCs w:val="19"/>
        </w:rPr>
      </w:pPr>
    </w:p>
    <w:p>
      <w:pPr>
        <w:pStyle w:val="Heading3"/>
        <w:spacing w:line="240" w:lineRule="auto" w:before="36"/>
        <w:ind w:right="0"/>
        <w:jc w:val="both"/>
        <w:rPr>
          <w:b w:val="0"/>
          <w:bCs w:val="0"/>
        </w:rPr>
      </w:pPr>
      <w:bookmarkStart w:name="2、主要境外资产情况" w:id="22"/>
      <w:bookmarkEnd w:id="22"/>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0"/>
        <w:jc w:val="both"/>
        <w:rPr>
          <w:b w:val="0"/>
          <w:bCs w:val="0"/>
        </w:rPr>
      </w:pPr>
      <w:bookmarkStart w:name="三、核心竞争力分析" w:id="23"/>
      <w:bookmarkEnd w:id="23"/>
      <w:r>
        <w:rPr>
          <w:b w:val="0"/>
          <w:bCs w:val="0"/>
        </w:rPr>
      </w:r>
      <w:r>
        <w:rPr/>
        <w:t>三、核心竞争力分析</w:t>
      </w:r>
      <w:r>
        <w:rPr>
          <w:b w:val="0"/>
          <w:bCs w:val="0"/>
        </w:rPr>
      </w:r>
    </w:p>
    <w:p>
      <w:pPr>
        <w:spacing w:line="240" w:lineRule="auto" w:before="7"/>
        <w:rPr>
          <w:rFonts w:ascii="宋体" w:hAnsi="宋体" w:cs="宋体" w:eastAsia="宋体" w:hint="default"/>
          <w:b/>
          <w:bCs/>
          <w:sz w:val="32"/>
          <w:szCs w:val="32"/>
        </w:rPr>
      </w:pPr>
    </w:p>
    <w:p>
      <w:pPr>
        <w:pStyle w:val="BodyText"/>
        <w:spacing w:line="518" w:lineRule="auto"/>
        <w:ind w:left="513" w:right="0"/>
        <w:jc w:val="left"/>
      </w:pPr>
      <w:r>
        <w:rPr>
          <w:rFonts w:ascii="宋体" w:hAnsi="宋体" w:cs="宋体" w:eastAsia="宋体" w:hint="default"/>
          <w:b/>
          <w:bCs/>
        </w:rPr>
        <w:t>（一）行业优势</w:t>
      </w:r>
      <w:r>
        <w:rPr>
          <w:rFonts w:ascii="宋体" w:hAnsi="宋体" w:cs="宋体" w:eastAsia="宋体" w:hint="default"/>
          <w:b/>
          <w:bCs/>
          <w:w w:val="99"/>
        </w:rPr>
        <w:t> </w:t>
      </w:r>
      <w:r>
        <w:rPr>
          <w:spacing w:val="-2"/>
        </w:rPr>
        <w:t>作为国内领先的智慧城市领军企业，万达信息在医疗健康、民生保障、政务服务、平安城市等智慧城市的十多个关键行</w:t>
      </w:r>
    </w:p>
    <w:p>
      <w:pPr>
        <w:pStyle w:val="BodyText"/>
        <w:spacing w:line="451" w:lineRule="auto" w:before="23"/>
        <w:ind w:right="1134"/>
        <w:jc w:val="both"/>
      </w:pPr>
      <w:r>
        <w:rPr>
          <w:spacing w:val="-2"/>
        </w:rPr>
        <w:t>业积累了丰富经验，形成了突出的行业软件与服务优势。公司拥有最全面的智慧城市行业覆盖，依托万达信息“</w:t>
      </w:r>
      <w:r>
        <w:rPr>
          <w:rFonts w:ascii="Times New Roman" w:hAnsi="Times New Roman" w:cs="Times New Roman" w:eastAsia="Times New Roman" w:hint="default"/>
          <w:spacing w:val="-2"/>
        </w:rPr>
        <w:t>3+1+N</w:t>
      </w:r>
      <w:r>
        <w:rPr>
          <w:spacing w:val="-2"/>
        </w:rPr>
        <w:t>”的</w:t>
      </w:r>
      <w:r>
        <w:rPr>
          <w:spacing w:val="-49"/>
        </w:rPr>
        <w:t> </w:t>
      </w:r>
      <w:r>
        <w:rPr/>
        <w:t>新型智慧城市战略，包括卫生健康、民生保障、市民云等公司业务服务全国</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14"/>
        </w:rPr>
        <w:t> </w:t>
      </w:r>
      <w:r>
        <w:rPr>
          <w:spacing w:val="-3"/>
        </w:rPr>
        <w:t>亿人口，面向国家、省、市、县以及医疗机构</w:t>
      </w:r>
      <w:r>
        <w:rPr/>
        <w:t> 提供完整解决方案。</w:t>
      </w:r>
    </w:p>
    <w:p>
      <w:pPr>
        <w:pStyle w:val="Heading5"/>
        <w:spacing w:line="240" w:lineRule="auto" w:before="112"/>
        <w:ind w:right="2602"/>
        <w:jc w:val="left"/>
        <w:rPr>
          <w:b w:val="0"/>
          <w:bCs w:val="0"/>
        </w:rPr>
      </w:pPr>
      <w:r>
        <w:rPr/>
        <w:t>（二）技术优势</w:t>
      </w:r>
      <w:r>
        <w:rPr>
          <w:b w:val="0"/>
          <w:bCs w:val="0"/>
        </w:rPr>
      </w:r>
    </w:p>
    <w:p>
      <w:pPr>
        <w:spacing w:line="240" w:lineRule="auto" w:before="12"/>
        <w:rPr>
          <w:rFonts w:ascii="宋体" w:hAnsi="宋体" w:cs="宋体" w:eastAsia="宋体" w:hint="default"/>
          <w:b/>
          <w:bCs/>
          <w:sz w:val="20"/>
          <w:szCs w:val="20"/>
        </w:rPr>
      </w:pPr>
    </w:p>
    <w:p>
      <w:pPr>
        <w:pStyle w:val="BodyText"/>
        <w:spacing w:line="451" w:lineRule="auto"/>
        <w:ind w:right="1128" w:firstLine="360"/>
        <w:jc w:val="right"/>
      </w:pPr>
      <w:r>
        <w:rPr/>
        <w:t>公司建立了多个行业信息化标杆，目前已拥有 </w:t>
      </w:r>
      <w:r>
        <w:rPr>
          <w:rFonts w:ascii="Times New Roman" w:hAnsi="Times New Roman" w:cs="Times New Roman" w:eastAsia="Times New Roman" w:hint="default"/>
        </w:rPr>
        <w:t>600 </w:t>
      </w:r>
      <w:r>
        <w:rPr/>
        <w:t>余项具备自主知识产权的软件产品和软件著作权、</w:t>
      </w:r>
      <w:r>
        <w:rPr>
          <w:rFonts w:ascii="Times New Roman" w:hAnsi="Times New Roman" w:cs="Times New Roman" w:eastAsia="Times New Roman" w:hint="default"/>
        </w:rPr>
        <w:t>19</w:t>
      </w:r>
      <w:r>
        <w:rPr>
          <w:rFonts w:ascii="Times New Roman" w:hAnsi="Times New Roman" w:cs="Times New Roman" w:eastAsia="Times New Roman" w:hint="default"/>
          <w:spacing w:val="8"/>
        </w:rPr>
        <w:t> </w:t>
      </w:r>
      <w:r>
        <w:rPr/>
        <w:t>项国内外专利 </w:t>
      </w:r>
      <w:r>
        <w:rPr>
          <w:spacing w:val="-5"/>
        </w:rPr>
        <w:t>技术；承担着</w:t>
      </w:r>
      <w:r>
        <w:rPr>
          <w:spacing w:val="-49"/>
        </w:rPr>
        <w:t> </w:t>
      </w:r>
      <w:r>
        <w:rPr>
          <w:rFonts w:ascii="Times New Roman" w:hAnsi="Times New Roman" w:cs="Times New Roman" w:eastAsia="Times New Roman" w:hint="default"/>
        </w:rPr>
        <w:t>20</w:t>
      </w:r>
      <w:r>
        <w:rPr>
          <w:rFonts w:ascii="Times New Roman" w:hAnsi="Times New Roman" w:cs="Times New Roman" w:eastAsia="Times New Roman" w:hint="default"/>
          <w:spacing w:val="-4"/>
        </w:rPr>
        <w:t> </w:t>
      </w:r>
      <w:r>
        <w:rPr>
          <w:spacing w:val="-3"/>
        </w:rPr>
        <w:t>余项国家各类标准及指南、近</w:t>
      </w:r>
      <w:r>
        <w:rPr>
          <w:spacing w:val="-49"/>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项上海市及其他地方各类标准的制定工作；并先后获得</w:t>
      </w:r>
      <w:r>
        <w:rPr>
          <w:spacing w:val="-49"/>
        </w:rPr>
        <w:t>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t>项国家科技进步 </w:t>
      </w:r>
      <w:r>
        <w:rPr>
          <w:spacing w:val="-13"/>
        </w:rPr>
        <w:t>二等奖、</w:t>
      </w:r>
      <w:r>
        <w:rPr>
          <w:rFonts w:ascii="Times New Roman" w:hAnsi="Times New Roman" w:cs="Times New Roman" w:eastAsia="Times New Roman" w:hint="default"/>
          <w:spacing w:val="-13"/>
        </w:rPr>
        <w:t>1  </w:t>
      </w:r>
      <w:r>
        <w:rPr>
          <w:spacing w:val="-6"/>
        </w:rPr>
        <w:t>项教育部科技进步一等奖、</w:t>
      </w:r>
      <w:r>
        <w:rPr>
          <w:rFonts w:ascii="Times New Roman" w:hAnsi="Times New Roman" w:cs="Times New Roman" w:eastAsia="Times New Roman" w:hint="default"/>
          <w:spacing w:val="-6"/>
        </w:rPr>
        <w:t>5 </w:t>
      </w:r>
      <w:r>
        <w:rPr>
          <w:spacing w:val="-6"/>
        </w:rPr>
        <w:t>项上海市科技进步一等奖、</w:t>
      </w:r>
      <w:r>
        <w:rPr>
          <w:rFonts w:ascii="Times New Roman" w:hAnsi="Times New Roman" w:cs="Times New Roman" w:eastAsia="Times New Roman" w:hint="default"/>
          <w:spacing w:val="-6"/>
        </w:rPr>
        <w:t>7 </w:t>
      </w:r>
      <w:r>
        <w:rPr>
          <w:spacing w:val="-6"/>
        </w:rPr>
        <w:t>项上海市科技进步二等奖、</w:t>
      </w:r>
      <w:r>
        <w:rPr>
          <w:rFonts w:ascii="Times New Roman" w:hAnsi="Times New Roman" w:cs="Times New Roman" w:eastAsia="Times New Roman" w:hint="default"/>
          <w:spacing w:val="-6"/>
        </w:rPr>
        <w:t>2</w:t>
      </w:r>
      <w:r>
        <w:rPr>
          <w:rFonts w:ascii="Times New Roman" w:hAnsi="Times New Roman" w:cs="Times New Roman" w:eastAsia="Times New Roman" w:hint="default"/>
          <w:spacing w:val="27"/>
        </w:rPr>
        <w:t> </w:t>
      </w:r>
      <w:r>
        <w:rPr/>
        <w:t>项上海市科技进步三等奖。</w:t>
      </w:r>
    </w:p>
    <w:p>
      <w:pPr>
        <w:pStyle w:val="BodyText"/>
        <w:spacing w:line="451" w:lineRule="auto" w:before="84"/>
        <w:ind w:right="1129" w:firstLine="360"/>
        <w:jc w:val="both"/>
      </w:pPr>
      <w:r>
        <w:rPr>
          <w:rFonts w:ascii="Times New Roman" w:hAnsi="Times New Roman" w:cs="Times New Roman" w:eastAsia="Times New Roman" w:hint="default"/>
        </w:rPr>
        <w:t>2019 </w:t>
      </w:r>
      <w:r>
        <w:rPr>
          <w:spacing w:val="-3"/>
        </w:rPr>
        <w:t>年公司获得的荣誉还包括：</w:t>
      </w:r>
      <w:r>
        <w:rPr>
          <w:rFonts w:ascii="Times New Roman" w:hAnsi="Times New Roman" w:cs="Times New Roman" w:eastAsia="Times New Roman" w:hint="default"/>
          <w:spacing w:val="-3"/>
        </w:rPr>
        <w:t>2019 </w:t>
      </w:r>
      <w:r>
        <w:rPr>
          <w:spacing w:val="-3"/>
        </w:rPr>
        <w:t>年十强创新软件企业、</w:t>
      </w:r>
      <w:r>
        <w:rPr>
          <w:rFonts w:ascii="Times New Roman" w:hAnsi="Times New Roman" w:cs="Times New Roman" w:eastAsia="Times New Roman" w:hint="default"/>
          <w:spacing w:val="-3"/>
        </w:rPr>
        <w:t>2019 </w:t>
      </w:r>
      <w:r>
        <w:rPr>
          <w:spacing w:val="-3"/>
        </w:rPr>
        <w:t>智慧城市年度企业、</w:t>
      </w:r>
      <w:r>
        <w:rPr>
          <w:rFonts w:ascii="Times New Roman" w:hAnsi="Times New Roman" w:cs="Times New Roman" w:eastAsia="Times New Roman" w:hint="default"/>
          <w:spacing w:val="-3"/>
        </w:rPr>
        <w:t>2019</w:t>
      </w:r>
      <w:r>
        <w:rPr>
          <w:rFonts w:ascii="Times New Roman" w:hAnsi="Times New Roman" w:cs="Times New Roman" w:eastAsia="Times New Roman" w:hint="default"/>
          <w:spacing w:val="1"/>
        </w:rPr>
        <w:t> </w:t>
      </w:r>
      <w:r>
        <w:rPr/>
        <w:t>世界人工智能创新大赛医疗 </w:t>
      </w:r>
      <w:r>
        <w:rPr>
          <w:spacing w:val="-9"/>
        </w:rPr>
        <w:t>方向（第一名）、</w:t>
      </w:r>
      <w:r>
        <w:rPr>
          <w:rFonts w:ascii="Times New Roman" w:hAnsi="Times New Roman" w:cs="Times New Roman" w:eastAsia="Times New Roman" w:hint="default"/>
          <w:spacing w:val="-9"/>
        </w:rPr>
        <w:t>2019</w:t>
      </w:r>
      <w:r>
        <w:rPr>
          <w:rFonts w:ascii="Times New Roman" w:hAnsi="Times New Roman" w:cs="Times New Roman" w:eastAsia="Times New Roman" w:hint="default"/>
          <w:spacing w:val="6"/>
        </w:rPr>
        <w:t> </w:t>
      </w:r>
      <w:r>
        <w:rPr>
          <w:spacing w:val="-1"/>
        </w:rPr>
        <w:t>世界人工智能大会优秀人气奖、</w:t>
      </w:r>
      <w:r>
        <w:rPr>
          <w:rFonts w:ascii="Times New Roman" w:hAnsi="Times New Roman" w:cs="Times New Roman" w:eastAsia="Times New Roman" w:hint="default"/>
          <w:spacing w:val="-1"/>
        </w:rPr>
        <w:t>2019</w:t>
      </w:r>
      <w:r>
        <w:rPr>
          <w:rFonts w:ascii="Times New Roman" w:hAnsi="Times New Roman" w:cs="Times New Roman" w:eastAsia="Times New Roman" w:hint="default"/>
          <w:spacing w:val="3"/>
        </w:rPr>
        <w:t> </w:t>
      </w:r>
      <w:r>
        <w:rPr/>
        <w:t>卓越人工智能引领者奖</w:t>
      </w:r>
      <w:r>
        <w:rPr>
          <w:spacing w:val="-40"/>
        </w:rPr>
        <w:t> </w:t>
      </w:r>
      <w:r>
        <w:rPr>
          <w:rFonts w:ascii="Times New Roman" w:hAnsi="Times New Roman" w:cs="Times New Roman" w:eastAsia="Times New Roman" w:hint="default"/>
          <w:spacing w:val="-1"/>
          <w:w w:val="99"/>
        </w:rPr>
        <w:t>TOP30</w:t>
      </w:r>
      <w:r>
        <w:rPr>
          <w:rFonts w:ascii="Times New Roman" w:hAnsi="Times New Roman" w:cs="Times New Roman" w:eastAsia="Times New Roman" w:hint="default"/>
          <w:spacing w:val="3"/>
          <w:w w:val="99"/>
        </w:rPr>
        <w:t> </w:t>
      </w:r>
      <w:r>
        <w:rPr>
          <w:spacing w:val="-1"/>
        </w:rPr>
        <w:t>榜单项目、</w:t>
      </w:r>
      <w:r>
        <w:rPr>
          <w:rFonts w:ascii="Times New Roman" w:hAnsi="Times New Roman" w:cs="Times New Roman" w:eastAsia="Times New Roman" w:hint="default"/>
          <w:spacing w:val="-1"/>
        </w:rPr>
        <w:t>2019</w:t>
      </w:r>
      <w:r>
        <w:rPr>
          <w:rFonts w:ascii="Times New Roman" w:hAnsi="Times New Roman" w:cs="Times New Roman" w:eastAsia="Times New Roman" w:hint="default"/>
          <w:spacing w:val="6"/>
        </w:rPr>
        <w:t> </w:t>
      </w:r>
      <w:r>
        <w:rPr>
          <w:spacing w:val="-1"/>
        </w:rPr>
        <w:t>中国云计算技术</w:t>
      </w:r>
      <w:r>
        <w:rPr>
          <w:spacing w:val="-88"/>
        </w:rPr>
        <w:t> </w:t>
      </w:r>
      <w:r>
        <w:rPr>
          <w:spacing w:val="-88"/>
        </w:rPr>
      </w:r>
      <w:r>
        <w:rPr/>
        <w:t>应用创新</w:t>
      </w:r>
      <w:r>
        <w:rPr>
          <w:spacing w:val="-46"/>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t>强、</w:t>
      </w:r>
      <w:r>
        <w:rPr>
          <w:rFonts w:ascii="Times New Roman" w:hAnsi="Times New Roman" w:cs="Times New Roman" w:eastAsia="Times New Roman" w:hint="default"/>
        </w:rPr>
        <w:t>2019 </w:t>
      </w:r>
      <w:r>
        <w:rPr/>
        <w:t>中国智能运维</w:t>
      </w:r>
      <w:r>
        <w:rPr>
          <w:spacing w:val="-46"/>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t>强等等。</w:t>
      </w:r>
    </w:p>
    <w:p>
      <w:pPr>
        <w:pStyle w:val="BodyText"/>
        <w:spacing w:line="240" w:lineRule="auto" w:before="81"/>
        <w:ind w:left="0" w:right="1134"/>
        <w:jc w:val="right"/>
      </w:pPr>
      <w:r>
        <w:rPr>
          <w:spacing w:val="-2"/>
        </w:rPr>
        <w:t>这些技术积累为万达信息的可持续创新能力提供了坚强动力。公司一直注重大数据、云计算、移动互联网、物联网、区</w:t>
      </w:r>
    </w:p>
    <w:p>
      <w:pPr>
        <w:spacing w:after="0" w:line="240" w:lineRule="auto"/>
        <w:jc w:val="righ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0"/>
        <w:jc w:val="left"/>
      </w:pPr>
      <w:r>
        <w:rPr>
          <w:spacing w:val="-2"/>
        </w:rPr>
        <w:t>块链等新一代信息技术与各行业的深入融合，并研发形成云计算平台、大数据支撑平台、人工智能平台等基础平台，让行业</w:t>
      </w:r>
      <w:r>
        <w:rPr>
          <w:spacing w:val="-64"/>
        </w:rPr>
        <w:t> </w:t>
      </w:r>
      <w:r>
        <w:rPr>
          <w:spacing w:val="-64"/>
        </w:rPr>
      </w:r>
      <w:r>
        <w:rPr/>
        <w:t>更智能、服务更便捷。</w:t>
      </w:r>
    </w:p>
    <w:p>
      <w:pPr>
        <w:pStyle w:val="BodyText"/>
        <w:spacing w:line="516" w:lineRule="auto" w:before="95"/>
        <w:ind w:left="513" w:right="0"/>
        <w:jc w:val="left"/>
      </w:pPr>
      <w:r>
        <w:rPr>
          <w:rFonts w:ascii="宋体" w:hAnsi="宋体" w:cs="宋体" w:eastAsia="宋体" w:hint="default"/>
          <w:b/>
          <w:bCs/>
        </w:rPr>
        <w:t>（三）人才优势</w:t>
      </w:r>
      <w:r>
        <w:rPr>
          <w:rFonts w:ascii="宋体" w:hAnsi="宋体" w:cs="宋体" w:eastAsia="宋体" w:hint="default"/>
          <w:b/>
          <w:bCs/>
          <w:w w:val="99"/>
        </w:rPr>
        <w:t> </w:t>
      </w:r>
      <w:r>
        <w:rPr>
          <w:spacing w:val="-2"/>
        </w:rPr>
        <w:t>公司重视岗位培训与考核，形成了一支架构完备、有良好梯队配置的专业工作团队，无论是研发团队、销售团队还是服</w:t>
      </w:r>
    </w:p>
    <w:p>
      <w:pPr>
        <w:pStyle w:val="BodyText"/>
        <w:spacing w:line="518" w:lineRule="auto" w:before="25"/>
        <w:ind w:left="513" w:right="0" w:hanging="361"/>
        <w:jc w:val="left"/>
      </w:pPr>
      <w:r>
        <w:rPr/>
        <w:t>务团队都具备良好的知识水平、职业素养和服务精神，能够为客户提供专业周到的服务。 </w:t>
      </w:r>
      <w:r>
        <w:rPr>
          <w:spacing w:val="-2"/>
        </w:rPr>
        <w:t>公司制定了良好的人才激励机制，通过营造良好企业文化、合理制定薪酬方案、实施股权激励及员工持股计划等多种方</w:t>
      </w:r>
    </w:p>
    <w:p>
      <w:pPr>
        <w:pStyle w:val="BodyText"/>
        <w:spacing w:line="477" w:lineRule="auto" w:before="23"/>
        <w:ind w:right="0"/>
        <w:jc w:val="left"/>
      </w:pPr>
      <w:r>
        <w:rPr>
          <w:spacing w:val="-2"/>
        </w:rPr>
        <w:t>式激发员工的工作热情，增强团队凝聚力，形成了稳固的以关键技术带头人为核心的多层次技术人才梯队，极大地保障了公</w:t>
      </w:r>
      <w:r>
        <w:rPr>
          <w:spacing w:val="-63"/>
        </w:rPr>
        <w:t> </w:t>
      </w:r>
      <w:r>
        <w:rPr>
          <w:spacing w:val="-63"/>
        </w:rPr>
      </w:r>
      <w:r>
        <w:rPr/>
        <w:t>司研发能力的不断巩固和加强。</w:t>
      </w:r>
    </w:p>
    <w:p>
      <w:pPr>
        <w:spacing w:after="0" w:line="477"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964" w:right="2602"/>
        <w:jc w:val="left"/>
        <w:rPr>
          <w:b w:val="0"/>
          <w:bCs w:val="0"/>
        </w:rPr>
      </w:pPr>
      <w:bookmarkStart w:name="第四节 经营情况讨论与分析" w:id="24"/>
      <w:bookmarkEnd w:id="24"/>
      <w:r>
        <w:rPr>
          <w:b w:val="0"/>
          <w:bCs w:val="0"/>
        </w:rPr>
      </w:r>
      <w:bookmarkStart w:name="_bookmark3" w:id="25"/>
      <w:bookmarkEnd w:id="25"/>
      <w:r>
        <w:rPr>
          <w:b w:val="0"/>
          <w:bCs w:val="0"/>
        </w:rPr>
      </w:r>
      <w:r>
        <w:rPr/>
        <w:t>第四节</w:t>
      </w:r>
      <w:r>
        <w:rPr>
          <w:spacing w:val="-6"/>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2602"/>
        <w:jc w:val="left"/>
        <w:rPr>
          <w:b w:val="0"/>
          <w:bCs w:val="0"/>
        </w:rPr>
      </w:pPr>
      <w:bookmarkStart w:name="一、概述" w:id="26"/>
      <w:bookmarkEnd w:id="26"/>
      <w:r>
        <w:rPr>
          <w:b w:val="0"/>
          <w:bCs w:val="0"/>
        </w:rPr>
      </w:r>
      <w:r>
        <w:rPr/>
        <w:t>一、概述</w:t>
      </w:r>
      <w:r>
        <w:rPr>
          <w:b w:val="0"/>
          <w:bCs w:val="0"/>
        </w:rPr>
      </w:r>
    </w:p>
    <w:p>
      <w:pPr>
        <w:spacing w:line="240" w:lineRule="auto" w:before="4"/>
        <w:rPr>
          <w:rFonts w:ascii="宋体" w:hAnsi="宋体" w:cs="宋体" w:eastAsia="宋体" w:hint="default"/>
          <w:b/>
          <w:bCs/>
          <w:sz w:val="32"/>
          <w:szCs w:val="32"/>
        </w:rPr>
      </w:pPr>
    </w:p>
    <w:p>
      <w:pPr>
        <w:pStyle w:val="BodyText"/>
        <w:spacing w:line="463" w:lineRule="auto"/>
        <w:ind w:right="1129"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年，公司继续秉承“连接人与服务，促进社会进步”的宗旨，围绕“连接、融合、智能”三大关键词积极推进战 </w:t>
      </w:r>
      <w:r>
        <w:rPr>
          <w:spacing w:val="-2"/>
        </w:rPr>
        <w:t>略升级，相关主营业务稳步发展。公司在医疗卫生、民生保障、城市安全、智慧政务、市场监管、科技环保、教育等城市关</w:t>
      </w:r>
      <w:r>
        <w:rPr>
          <w:spacing w:val="-65"/>
        </w:rPr>
        <w:t> </w:t>
      </w:r>
      <w:r>
        <w:rPr>
          <w:spacing w:val="-65"/>
        </w:rPr>
      </w:r>
      <w:r>
        <w:rPr/>
        <w:t>键系统打造精品的基础上，进一步推动市民云、企业云、政务云和城市大数据中心等智慧城市综合平台的建设与运营。</w:t>
      </w:r>
    </w:p>
    <w:p>
      <w:pPr>
        <w:pStyle w:val="BodyText"/>
        <w:spacing w:line="240" w:lineRule="auto" w:before="106"/>
        <w:ind w:left="513" w:right="0"/>
        <w:jc w:val="left"/>
      </w:pP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w:t>
      </w:r>
      <w:r>
        <w:rPr>
          <w:spacing w:val="-8"/>
        </w:rPr>
        <w:t>，</w:t>
      </w:r>
      <w:r>
        <w:rPr/>
        <w:t>公司运用互联网</w:t>
      </w:r>
      <w:r>
        <w:rPr>
          <w:spacing w:val="-8"/>
        </w:rPr>
        <w:t>、</w:t>
      </w:r>
      <w:r>
        <w:rPr>
          <w:spacing w:val="-3"/>
        </w:rPr>
        <w:t>云</w:t>
      </w:r>
      <w:r>
        <w:rPr/>
        <w:t>计算</w:t>
      </w:r>
      <w:r>
        <w:rPr>
          <w:spacing w:val="-8"/>
        </w:rPr>
        <w:t>、</w:t>
      </w:r>
      <w:r>
        <w:rPr/>
        <w:t>大数据等新一代信息技术支持了许多国家级的重大改革创新事项</w:t>
      </w:r>
      <w:r>
        <w:rPr>
          <w:spacing w:val="-99"/>
        </w:rPr>
        <w:t>。</w:t>
      </w:r>
      <w:r>
        <w:rPr/>
        <w:t>“市民云</w:t>
      </w:r>
      <w:r>
        <w:rPr>
          <w:spacing w:val="-8"/>
        </w:rPr>
        <w:t>”</w:t>
      </w:r>
      <w:r>
        <w:rPr/>
        <w:t>大放</w:t>
      </w:r>
    </w:p>
    <w:p>
      <w:pPr>
        <w:spacing w:line="240" w:lineRule="auto" w:before="10"/>
        <w:rPr>
          <w:rFonts w:ascii="宋体" w:hAnsi="宋体" w:cs="宋体" w:eastAsia="宋体" w:hint="default"/>
          <w:sz w:val="16"/>
          <w:szCs w:val="16"/>
        </w:rPr>
      </w:pPr>
    </w:p>
    <w:p>
      <w:pPr>
        <w:pStyle w:val="BodyText"/>
        <w:spacing w:line="460" w:lineRule="auto"/>
        <w:ind w:right="1034"/>
        <w:jc w:val="left"/>
      </w:pPr>
      <w:r>
        <w:rPr>
          <w:spacing w:val="-5"/>
        </w:rPr>
        <w:t>异彩，运营能力全国领先，覆盖</w:t>
      </w:r>
      <w:r>
        <w:rPr>
          <w:spacing w:val="-41"/>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城</w:t>
      </w:r>
      <w:r>
        <w:rPr>
          <w:spacing w:val="-42"/>
        </w:rPr>
        <w:t> </w:t>
      </w:r>
      <w:r>
        <w:rPr>
          <w:rFonts w:ascii="Times New Roman" w:hAnsi="Times New Roman" w:cs="Times New Roman" w:eastAsia="Times New Roman" w:hint="default"/>
          <w:spacing w:val="-1"/>
        </w:rPr>
        <w:t>8600</w:t>
      </w:r>
      <w:r>
        <w:rPr>
          <w:rFonts w:ascii="Times New Roman" w:hAnsi="Times New Roman" w:cs="Times New Roman" w:eastAsia="Times New Roman" w:hint="default"/>
          <w:spacing w:val="5"/>
        </w:rPr>
        <w:t> </w:t>
      </w:r>
      <w:r>
        <w:rPr>
          <w:spacing w:val="-6"/>
        </w:rPr>
        <w:t>万人，获得习总书记、克强总理点赞；“健康云”全方位支撑医改工作落细落实，</w:t>
      </w:r>
      <w:r>
        <w:rPr>
          <w:spacing w:val="-83"/>
        </w:rPr>
        <w:t> </w:t>
      </w:r>
      <w:r>
        <w:rPr>
          <w:spacing w:val="-83"/>
        </w:rPr>
      </w:r>
      <w:r>
        <w:rPr>
          <w:spacing w:val="-7"/>
        </w:rPr>
        <w:t>守护了万千市民；公司打造了全国首例国家全民健康信息“长三角健康一体化”跨域互联互通平台，引爆行业；“一网通办”、</w:t>
      </w:r>
      <w:r>
        <w:rPr>
          <w:spacing w:val="-49"/>
        </w:rPr>
        <w:t> </w:t>
      </w:r>
      <w:r>
        <w:rPr>
          <w:spacing w:val="-49"/>
        </w:rPr>
      </w:r>
      <w:r>
        <w:rPr/>
        <w:t>“一窗通”面向全国拓展，助力“互联网</w:t>
      </w:r>
      <w:r>
        <w:rPr>
          <w:rFonts w:ascii="Times New Roman" w:hAnsi="Times New Roman" w:cs="Times New Roman" w:eastAsia="Times New Roman" w:hint="default"/>
        </w:rPr>
        <w:t>+</w:t>
      </w:r>
      <w:r>
        <w:rPr/>
        <w:t>政务服务”改革创新；上海市运转了近 </w:t>
      </w:r>
      <w:r>
        <w:rPr>
          <w:rFonts w:ascii="Times New Roman" w:hAnsi="Times New Roman" w:cs="Times New Roman" w:eastAsia="Times New Roman" w:hint="default"/>
        </w:rPr>
        <w:t>20</w:t>
      </w:r>
      <w:r>
        <w:rPr>
          <w:rFonts w:ascii="Times New Roman" w:hAnsi="Times New Roman" w:cs="Times New Roman" w:eastAsia="Times New Roman" w:hint="default"/>
          <w:spacing w:val="42"/>
        </w:rPr>
        <w:t> </w:t>
      </w:r>
      <w:r>
        <w:rPr/>
        <w:t>年的医保实时结算系统在不停机前提 </w:t>
      </w:r>
      <w:r>
        <w:rPr>
          <w:spacing w:val="-2"/>
        </w:rPr>
        <w:t>下实现了整体搬移切换，打造了行业典范。此外，公司在“互联网</w:t>
      </w:r>
      <w:r>
        <w:rPr>
          <w:rFonts w:ascii="Times New Roman" w:hAnsi="Times New Roman" w:cs="Times New Roman" w:eastAsia="Times New Roman" w:hint="default"/>
          <w:spacing w:val="-2"/>
        </w:rPr>
        <w:t>+</w:t>
      </w:r>
      <w:r>
        <w:rPr>
          <w:spacing w:val="-2"/>
        </w:rPr>
        <w:t>社保”、“互联网</w:t>
      </w:r>
      <w:r>
        <w:rPr>
          <w:rFonts w:ascii="Times New Roman" w:hAnsi="Times New Roman" w:cs="Times New Roman" w:eastAsia="Times New Roman" w:hint="default"/>
          <w:spacing w:val="-2"/>
        </w:rPr>
        <w:t>+</w:t>
      </w:r>
      <w:r>
        <w:rPr>
          <w:spacing w:val="-2"/>
        </w:rPr>
        <w:t>公检法”等领域都取得了新的突破。</w:t>
      </w:r>
      <w:r>
        <w:rPr/>
        <w:t> 同时，中国人寿战略性投资万达信息，成为第一大股东，双方面向“健康中国时代”和“智慧中国时代”的到来积极布局，</w:t>
      </w:r>
      <w:r>
        <w:rPr>
          <w:spacing w:val="-83"/>
        </w:rPr>
        <w:t> </w:t>
      </w:r>
      <w:r>
        <w:rPr>
          <w:spacing w:val="-83"/>
        </w:rPr>
      </w:r>
      <w:r>
        <w:rPr/>
        <w:t>致力打造“金融</w:t>
      </w:r>
      <w:r>
        <w:rPr>
          <w:rFonts w:ascii="Times New Roman" w:hAnsi="Times New Roman" w:cs="Times New Roman" w:eastAsia="Times New Roman" w:hint="default"/>
        </w:rPr>
        <w:t>+</w:t>
      </w:r>
      <w:r>
        <w:rPr/>
        <w:t>科技”的生态圈，开展了许许多多互惠共赢的合作。</w:t>
      </w:r>
    </w:p>
    <w:p>
      <w:pPr>
        <w:pStyle w:val="BodyText"/>
        <w:spacing w:line="477" w:lineRule="auto" w:before="74"/>
        <w:ind w:right="1133" w:firstLine="360"/>
        <w:jc w:val="both"/>
      </w:pPr>
      <w:r>
        <w:rPr>
          <w:spacing w:val="-2"/>
        </w:rPr>
        <w:t>报告期内，受国内经济增速下行，软件及信息技术行业竞争加剧，叠加公司内部出现非常规的经营风险，管理层频繁调</w:t>
      </w:r>
      <w:r>
        <w:rPr/>
        <w:t> </w:t>
      </w:r>
      <w:r>
        <w:rPr>
          <w:spacing w:val="3"/>
        </w:rPr>
        <w:t>整，原第一大股东资金占用，现金流阶段性紧张等因素综合影响，业绩出现较大幅度下滑。</w:t>
      </w:r>
      <w:r>
        <w:rPr>
          <w:rFonts w:ascii="Times New Roman" w:hAnsi="Times New Roman" w:cs="Times New Roman" w:eastAsia="Times New Roman" w:hint="default"/>
          <w:spacing w:val="3"/>
        </w:rPr>
        <w:t>2019 </w:t>
      </w:r>
      <w:r>
        <w:rPr>
          <w:rFonts w:ascii="Times New Roman" w:hAnsi="Times New Roman" w:cs="Times New Roman" w:eastAsia="Times New Roman" w:hint="default"/>
          <w:spacing w:val="8"/>
        </w:rPr>
        <w:t> </w:t>
      </w:r>
      <w:r>
        <w:rPr>
          <w:spacing w:val="2"/>
        </w:rPr>
        <w:t>年度公司实现营业收入</w:t>
      </w:r>
    </w:p>
    <w:p>
      <w:pPr>
        <w:pStyle w:val="BodyText"/>
        <w:spacing w:line="240" w:lineRule="auto" w:before="21"/>
        <w:ind w:right="0"/>
        <w:jc w:val="left"/>
      </w:pPr>
      <w:r>
        <w:rPr>
          <w:rFonts w:ascii="Times New Roman" w:hAnsi="Times New Roman" w:cs="Times New Roman" w:eastAsia="Times New Roman" w:hint="default"/>
        </w:rPr>
        <w:t>2,124,500,987.29 </w:t>
      </w:r>
      <w:r>
        <w:rPr>
          <w:rFonts w:ascii="Times New Roman" w:hAnsi="Times New Roman" w:cs="Times New Roman" w:eastAsia="Times New Roman" w:hint="default"/>
          <w:spacing w:val="21"/>
        </w:rPr>
        <w:t> </w:t>
      </w:r>
      <w:r>
        <w:rPr>
          <w:spacing w:val="8"/>
        </w:rPr>
        <w:t>元，</w:t>
      </w:r>
      <w:r>
        <w:rPr>
          <w:spacing w:val="-74"/>
        </w:rPr>
        <w:t> </w:t>
      </w:r>
      <w:r>
        <w:rPr>
          <w:spacing w:val="14"/>
        </w:rPr>
        <w:t>比上年同期下降</w:t>
      </w:r>
      <w:r>
        <w:rPr>
          <w:spacing w:val="20"/>
        </w:rPr>
        <w:t> </w:t>
      </w:r>
      <w:r>
        <w:rPr>
          <w:rFonts w:ascii="Times New Roman" w:hAnsi="Times New Roman" w:cs="Times New Roman" w:eastAsia="Times New Roman" w:hint="default"/>
          <w:spacing w:val="3"/>
        </w:rPr>
        <w:t>3.64%</w:t>
      </w:r>
      <w:r>
        <w:rPr>
          <w:spacing w:val="3"/>
        </w:rPr>
        <w:t>；</w:t>
      </w:r>
      <w:r>
        <w:rPr>
          <w:spacing w:val="-74"/>
        </w:rPr>
        <w:t> </w:t>
      </w:r>
      <w:r>
        <w:rPr>
          <w:spacing w:val="3"/>
        </w:rPr>
        <w:t>营业利润</w:t>
      </w:r>
      <w:r>
        <w:rPr>
          <w:rFonts w:ascii="Times New Roman" w:hAnsi="Times New Roman" w:cs="Times New Roman" w:eastAsia="Times New Roman" w:hint="default"/>
          <w:spacing w:val="3"/>
        </w:rPr>
        <w:t>-1,406,388,550.02 </w:t>
      </w:r>
      <w:r>
        <w:rPr>
          <w:rFonts w:ascii="Times New Roman" w:hAnsi="Times New Roman" w:cs="Times New Roman" w:eastAsia="Times New Roman" w:hint="default"/>
          <w:spacing w:val="18"/>
        </w:rPr>
        <w:t> </w:t>
      </w:r>
      <w:r>
        <w:rPr>
          <w:spacing w:val="8"/>
        </w:rPr>
        <w:t>元，</w:t>
      </w:r>
      <w:r>
        <w:rPr>
          <w:spacing w:val="-74"/>
        </w:rPr>
        <w:t> </w:t>
      </w:r>
      <w:r>
        <w:rPr>
          <w:spacing w:val="14"/>
        </w:rPr>
        <w:t>比上年同期下降</w:t>
      </w:r>
      <w:r>
        <w:rPr>
          <w:spacing w:val="20"/>
        </w:rPr>
        <w:t> </w:t>
      </w:r>
      <w:r>
        <w:rPr>
          <w:rFonts w:ascii="Times New Roman" w:hAnsi="Times New Roman" w:cs="Times New Roman" w:eastAsia="Times New Roman" w:hint="default"/>
          <w:spacing w:val="2"/>
        </w:rPr>
        <w:t>663.20%</w:t>
      </w:r>
      <w:r>
        <w:rPr>
          <w:spacing w:val="2"/>
        </w:rPr>
        <w:t>；</w:t>
      </w:r>
      <w:r>
        <w:rPr>
          <w:spacing w:val="-74"/>
        </w:rPr>
        <w:t> </w:t>
      </w:r>
      <w:r>
        <w:rPr>
          <w:spacing w:val="13"/>
        </w:rPr>
        <w:t>利润总额</w:t>
      </w:r>
    </w:p>
    <w:p>
      <w:pPr>
        <w:spacing w:line="240" w:lineRule="auto" w:before="9"/>
        <w:rPr>
          <w:rFonts w:ascii="宋体" w:hAnsi="宋体" w:cs="宋体" w:eastAsia="宋体" w:hint="default"/>
          <w:sz w:val="16"/>
          <w:szCs w:val="16"/>
        </w:rPr>
      </w:pPr>
    </w:p>
    <w:p>
      <w:pPr>
        <w:pStyle w:val="BodyText"/>
        <w:spacing w:line="240" w:lineRule="auto"/>
        <w:ind w:right="2602"/>
        <w:jc w:val="left"/>
      </w:pPr>
      <w:r>
        <w:rPr>
          <w:rFonts w:ascii="Times New Roman" w:hAnsi="Times New Roman" w:cs="Times New Roman" w:eastAsia="Times New Roman" w:hint="default"/>
        </w:rPr>
        <w:t>-1,390,635,391.58 </w:t>
      </w:r>
      <w:r>
        <w:rPr/>
        <w:t>元，比上年同期下降</w:t>
      </w:r>
      <w:r>
        <w:rPr>
          <w:spacing w:val="-53"/>
        </w:rPr>
        <w:t> </w:t>
      </w:r>
      <w:r>
        <w:rPr>
          <w:rFonts w:ascii="Times New Roman" w:hAnsi="Times New Roman" w:cs="Times New Roman" w:eastAsia="Times New Roman" w:hint="default"/>
        </w:rPr>
        <w:t>642.01%</w:t>
      </w:r>
      <w:r>
        <w:rPr/>
        <w:t>。</w:t>
      </w:r>
    </w:p>
    <w:p>
      <w:pPr>
        <w:spacing w:line="240" w:lineRule="auto" w:before="11"/>
        <w:rPr>
          <w:rFonts w:ascii="宋体" w:hAnsi="宋体" w:cs="宋体" w:eastAsia="宋体" w:hint="default"/>
          <w:sz w:val="19"/>
          <w:szCs w:val="19"/>
        </w:rPr>
      </w:pPr>
    </w:p>
    <w:p>
      <w:pPr>
        <w:pStyle w:val="Heading5"/>
        <w:spacing w:line="240" w:lineRule="auto"/>
        <w:ind w:right="2602"/>
        <w:jc w:val="left"/>
        <w:rPr>
          <w:b w:val="0"/>
          <w:bCs w:val="0"/>
        </w:rPr>
      </w:pPr>
      <w:r>
        <w:rPr>
          <w:rFonts w:ascii="Times New Roman" w:hAnsi="Times New Roman" w:cs="Times New Roman" w:eastAsia="Times New Roman" w:hint="default"/>
        </w:rPr>
        <w:t>1</w:t>
      </w:r>
      <w:r>
        <w:rPr/>
        <w:t>、盈利能力分析</w:t>
      </w:r>
      <w:r>
        <w:rPr>
          <w:b w:val="0"/>
          <w:bCs w:val="0"/>
        </w:rPr>
      </w:r>
    </w:p>
    <w:p>
      <w:pPr>
        <w:spacing w:line="240" w:lineRule="auto" w:before="11"/>
        <w:rPr>
          <w:rFonts w:ascii="宋体" w:hAnsi="宋体" w:cs="宋体" w:eastAsia="宋体" w:hint="default"/>
          <w:b/>
          <w:bCs/>
          <w:sz w:val="19"/>
          <w:szCs w:val="19"/>
        </w:rPr>
      </w:pPr>
    </w:p>
    <w:p>
      <w:pPr>
        <w:pStyle w:val="BodyText"/>
        <w:spacing w:line="451" w:lineRule="auto"/>
        <w:ind w:right="1128" w:firstLine="360"/>
        <w:jc w:val="both"/>
      </w:pPr>
      <w:r>
        <w:rPr/>
        <w:t>公司的基本每股收益为</w:t>
      </w:r>
      <w:r>
        <w:rPr>
          <w:rFonts w:ascii="Times New Roman" w:hAnsi="Times New Roman" w:cs="Times New Roman" w:eastAsia="Times New Roman" w:hint="default"/>
        </w:rPr>
        <w:t>-1.2736 </w:t>
      </w:r>
      <w:r>
        <w:rPr/>
        <w:t>元</w:t>
      </w:r>
      <w:r>
        <w:rPr>
          <w:rFonts w:ascii="Times New Roman" w:hAnsi="Times New Roman" w:cs="Times New Roman" w:eastAsia="Times New Roman" w:hint="default"/>
        </w:rPr>
        <w:t>/</w:t>
      </w:r>
      <w:r>
        <w:rPr/>
        <w:t>股，较去年下降 </w:t>
      </w:r>
      <w:r>
        <w:rPr>
          <w:rFonts w:ascii="Times New Roman" w:hAnsi="Times New Roman" w:cs="Times New Roman" w:eastAsia="Times New Roman" w:hint="default"/>
        </w:rPr>
        <w:t>681.82%</w:t>
      </w:r>
      <w:r>
        <w:rPr/>
        <w:t>；加权平均净资产收益率为</w:t>
      </w:r>
      <w:r>
        <w:rPr>
          <w:rFonts w:ascii="Times New Roman" w:hAnsi="Times New Roman" w:cs="Times New Roman" w:eastAsia="Times New Roman" w:hint="default"/>
        </w:rPr>
        <w:t>-47.53%</w:t>
      </w:r>
      <w:r>
        <w:rPr/>
        <w:t>，与去年下降</w:t>
      </w:r>
      <w:r>
        <w:rPr>
          <w:spacing w:val="-32"/>
        </w:rPr>
        <w:t> </w:t>
      </w:r>
      <w:r>
        <w:rPr>
          <w:rFonts w:ascii="Times New Roman" w:hAnsi="Times New Roman" w:cs="Times New Roman" w:eastAsia="Times New Roman" w:hint="default"/>
        </w:rPr>
        <w:t>54.90%</w:t>
      </w:r>
      <w:r>
        <w:rPr/>
        <w:t>， 主要是公司亏损增加所致。</w:t>
      </w:r>
    </w:p>
    <w:p>
      <w:pPr>
        <w:pStyle w:val="BodyText"/>
        <w:spacing w:line="460" w:lineRule="auto" w:before="112"/>
        <w:ind w:right="1129" w:firstLine="360"/>
        <w:jc w:val="both"/>
      </w:pPr>
      <w:r>
        <w:rPr/>
        <w:t>销售毛利率较去年下降</w:t>
      </w:r>
      <w:r>
        <w:rPr>
          <w:spacing w:val="-56"/>
        </w:rPr>
        <w:t> </w:t>
      </w:r>
      <w:r>
        <w:rPr>
          <w:rFonts w:ascii="Times New Roman" w:hAnsi="Times New Roman" w:cs="Times New Roman" w:eastAsia="Times New Roman" w:hint="default"/>
        </w:rPr>
        <w:t>21.64%</w:t>
      </w:r>
      <w:r>
        <w:rPr/>
        <w:t>，销售利润率较去年下降</w:t>
      </w:r>
      <w:r>
        <w:rPr>
          <w:spacing w:val="-56"/>
        </w:rPr>
        <w:t> </w:t>
      </w:r>
      <w:r>
        <w:rPr>
          <w:rFonts w:ascii="Times New Roman" w:hAnsi="Times New Roman" w:cs="Times New Roman" w:eastAsia="Times New Roman" w:hint="default"/>
        </w:rPr>
        <w:t>77.53%</w:t>
      </w:r>
      <w:r>
        <w:rPr/>
        <w:t>。一是由于行业竞争日趋激烈，行业的发展方向和格局 发生变化，公司未能有效应对，丢失部分高毛利的软件开发业务的市场份额；二是</w:t>
      </w:r>
      <w:r>
        <w:rPr>
          <w:spacing w:val="-4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年全国大力推进政务一体化，信息 </w:t>
      </w:r>
      <w:r>
        <w:rPr>
          <w:spacing w:val="-2"/>
        </w:rPr>
        <w:t>化模式发生较大变化，部分信息化建设项目需求当期暂时性停滞；三是人员成本明显上升，由于管理层调整影响，人员配置</w:t>
      </w:r>
      <w:r>
        <w:rPr>
          <w:spacing w:val="-64"/>
        </w:rPr>
        <w:t> </w:t>
      </w:r>
      <w:r>
        <w:rPr>
          <w:spacing w:val="-64"/>
        </w:rPr>
      </w:r>
      <w:r>
        <w:rPr/>
        <w:t>效率降低，成本增加，同时因战略转型人员的储备需要，持续加大了对技术人员的投入。</w:t>
      </w:r>
    </w:p>
    <w:p>
      <w:pPr>
        <w:pStyle w:val="BodyText"/>
        <w:spacing w:line="451" w:lineRule="auto" w:before="107"/>
        <w:ind w:right="1129" w:firstLine="360"/>
        <w:jc w:val="both"/>
      </w:pPr>
      <w:r>
        <w:rPr>
          <w:spacing w:val="-2"/>
        </w:rPr>
        <w:t>公司虽在报告期内出现阶段性经营亏损，但在政府及医卫机构的网格化智慧化管理需求、</w:t>
      </w:r>
      <w:r>
        <w:rPr>
          <w:rFonts w:ascii="Times New Roman" w:hAnsi="Times New Roman" w:cs="Times New Roman" w:eastAsia="Times New Roman" w:hint="default"/>
          <w:spacing w:val="-2"/>
        </w:rPr>
        <w:t>C</w:t>
      </w:r>
      <w:r>
        <w:rPr>
          <w:rFonts w:ascii="Times New Roman" w:hAnsi="Times New Roman" w:cs="Times New Roman" w:eastAsia="Times New Roman" w:hint="default"/>
          <w:spacing w:val="9"/>
        </w:rPr>
        <w:t> </w:t>
      </w:r>
      <w:r>
        <w:rPr/>
        <w:t>端客户的全生态精准化健康 </w:t>
      </w:r>
      <w:r>
        <w:rPr>
          <w:spacing w:val="-2"/>
        </w:rPr>
        <w:t>管理及线上无接触智能化商务需求、</w:t>
      </w:r>
      <w:r>
        <w:rPr>
          <w:rFonts w:ascii="Times New Roman" w:hAnsi="Times New Roman" w:cs="Times New Roman" w:eastAsia="Times New Roman" w:hint="default"/>
          <w:spacing w:val="-2"/>
        </w:rPr>
        <w:t>B</w:t>
      </w:r>
      <w:r>
        <w:rPr>
          <w:rFonts w:ascii="Times New Roman" w:hAnsi="Times New Roman" w:cs="Times New Roman" w:eastAsia="Times New Roman" w:hint="default"/>
          <w:spacing w:val="35"/>
        </w:rPr>
        <w:t> </w:t>
      </w:r>
      <w:r>
        <w:rPr>
          <w:spacing w:val="-2"/>
        </w:rPr>
        <w:t>端客户的平台化互联需求等快速增长的趋势下，公司将凭借行业领先优势，快速挖掘</w:t>
      </w:r>
      <w:r>
        <w:rPr>
          <w:spacing w:val="-83"/>
        </w:rPr>
        <w:t> </w:t>
      </w:r>
      <w:r>
        <w:rPr>
          <w:spacing w:val="-83"/>
        </w:rPr>
      </w:r>
      <w:r>
        <w:rPr/>
        <w:t>客户需求，抢占市场。中国人寿已成为公司第一大股东，目前公司已与中国人寿</w:t>
      </w:r>
      <w:r>
        <w:rPr>
          <w:spacing w:val="-41"/>
        </w:rPr>
        <w:t> </w:t>
      </w:r>
      <w:r>
        <w:rPr>
          <w:rFonts w:ascii="Times New Roman" w:hAnsi="Times New Roman" w:cs="Times New Roman" w:eastAsia="Times New Roman" w:hint="default"/>
        </w:rPr>
        <w:t>18</w:t>
      </w:r>
      <w:r>
        <w:rPr>
          <w:rFonts w:ascii="Times New Roman" w:hAnsi="Times New Roman" w:cs="Times New Roman" w:eastAsia="Times New Roman" w:hint="default"/>
          <w:spacing w:val="4"/>
        </w:rPr>
        <w:t> </w:t>
      </w:r>
      <w:r>
        <w:rPr/>
        <w:t>个省级分公司进行了对接，在医保智能 审核、长护险、医疗</w:t>
      </w:r>
      <w:r>
        <w:rPr>
          <w:spacing w:val="-46"/>
        </w:rPr>
        <w:t> </w:t>
      </w:r>
      <w:r>
        <w:rPr>
          <w:rFonts w:ascii="Times New Roman" w:hAnsi="Times New Roman" w:cs="Times New Roman" w:eastAsia="Times New Roman" w:hint="default"/>
        </w:rPr>
        <w:t>DRGS</w:t>
      </w:r>
      <w:r>
        <w:rPr>
          <w:rFonts w:ascii="Times New Roman" w:hAnsi="Times New Roman" w:cs="Times New Roman" w:eastAsia="Times New Roman" w:hint="default"/>
          <w:spacing w:val="-1"/>
        </w:rPr>
        <w:t> </w:t>
      </w:r>
      <w:r>
        <w:rPr/>
        <w:t>控费、稽核内控等业务领域将开展全面合作，形成公司新的业务增长点。</w:t>
      </w:r>
    </w:p>
    <w:p>
      <w:pPr>
        <w:spacing w:after="0" w:line="451"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5"/>
        <w:spacing w:line="240" w:lineRule="auto"/>
        <w:ind w:right="2602"/>
        <w:jc w:val="left"/>
        <w:rPr>
          <w:b w:val="0"/>
          <w:bCs w:val="0"/>
        </w:rPr>
      </w:pPr>
      <w:r>
        <w:rPr>
          <w:rFonts w:ascii="Times New Roman" w:hAnsi="Times New Roman" w:cs="Times New Roman" w:eastAsia="Times New Roman" w:hint="default"/>
        </w:rPr>
        <w:t>2</w:t>
      </w:r>
      <w:r>
        <w:rPr/>
        <w:t>、偿债能力分析</w:t>
      </w:r>
      <w:r>
        <w:rPr>
          <w:b w:val="0"/>
          <w:bCs w:val="0"/>
        </w:rPr>
      </w:r>
    </w:p>
    <w:p>
      <w:pPr>
        <w:spacing w:line="240" w:lineRule="auto" w:before="11"/>
        <w:rPr>
          <w:rFonts w:ascii="宋体" w:hAnsi="宋体" w:cs="宋体" w:eastAsia="宋体" w:hint="default"/>
          <w:b/>
          <w:bCs/>
          <w:sz w:val="19"/>
          <w:szCs w:val="19"/>
        </w:rPr>
      </w:pPr>
    </w:p>
    <w:p>
      <w:pPr>
        <w:pStyle w:val="BodyText"/>
        <w:spacing w:line="451" w:lineRule="auto"/>
        <w:ind w:right="1126" w:firstLine="360"/>
        <w:jc w:val="both"/>
      </w:pPr>
      <w:r>
        <w:rPr/>
        <w:t>公司流动比率较去年下降</w:t>
      </w:r>
      <w:r>
        <w:rPr>
          <w:spacing w:val="-70"/>
        </w:rPr>
        <w:t> </w:t>
      </w:r>
      <w:r>
        <w:rPr>
          <w:rFonts w:ascii="Times New Roman" w:hAnsi="Times New Roman" w:cs="Times New Roman" w:eastAsia="Times New Roman" w:hint="default"/>
        </w:rPr>
        <w:t>13.93%</w:t>
      </w:r>
      <w:r>
        <w:rPr/>
        <w:t>，速动比率较去年增加</w:t>
      </w:r>
      <w:r>
        <w:rPr>
          <w:spacing w:val="-70"/>
        </w:rPr>
        <w:t> </w:t>
      </w:r>
      <w:r>
        <w:rPr>
          <w:rFonts w:ascii="Times New Roman" w:hAnsi="Times New Roman" w:cs="Times New Roman" w:eastAsia="Times New Roman" w:hint="default"/>
        </w:rPr>
        <w:t>2.47%</w:t>
      </w:r>
      <w:r>
        <w:rPr/>
        <w:t>，同时资产负债率较去年增加</w:t>
      </w:r>
      <w:r>
        <w:rPr>
          <w:spacing w:val="-70"/>
        </w:rPr>
        <w:t> </w:t>
      </w:r>
      <w:r>
        <w:rPr>
          <w:rFonts w:ascii="Times New Roman" w:hAnsi="Times New Roman" w:cs="Times New Roman" w:eastAsia="Times New Roman" w:hint="default"/>
        </w:rPr>
        <w:t>8.49%</w:t>
      </w:r>
      <w:r>
        <w:rPr/>
        <w:t>，公司短期偿债能力 有所增强。</w:t>
      </w:r>
    </w:p>
    <w:p>
      <w:pPr>
        <w:pStyle w:val="Heading5"/>
        <w:spacing w:line="240" w:lineRule="auto" w:before="112"/>
        <w:ind w:right="2602"/>
        <w:jc w:val="left"/>
        <w:rPr>
          <w:b w:val="0"/>
          <w:bCs w:val="0"/>
        </w:rPr>
      </w:pPr>
      <w:r>
        <w:rPr>
          <w:rFonts w:ascii="Times New Roman" w:hAnsi="Times New Roman" w:cs="Times New Roman" w:eastAsia="Times New Roman" w:hint="default"/>
        </w:rPr>
        <w:t>3</w:t>
      </w:r>
      <w:r>
        <w:rPr/>
        <w:t>、营运能力分析</w:t>
      </w:r>
      <w:r>
        <w:rPr>
          <w:b w:val="0"/>
          <w:bCs w:val="0"/>
        </w:rPr>
      </w:r>
    </w:p>
    <w:p>
      <w:pPr>
        <w:spacing w:line="240" w:lineRule="auto" w:before="11"/>
        <w:rPr>
          <w:rFonts w:ascii="宋体" w:hAnsi="宋体" w:cs="宋体" w:eastAsia="宋体" w:hint="default"/>
          <w:b/>
          <w:bCs/>
          <w:sz w:val="19"/>
          <w:szCs w:val="19"/>
        </w:rPr>
      </w:pPr>
    </w:p>
    <w:p>
      <w:pPr>
        <w:pStyle w:val="BodyText"/>
        <w:spacing w:line="451" w:lineRule="auto"/>
        <w:ind w:right="1131" w:firstLine="360"/>
        <w:jc w:val="both"/>
      </w:pPr>
      <w:r>
        <w:rPr/>
        <w:t>公司应收账款周转率为</w:t>
      </w:r>
      <w:r>
        <w:rPr>
          <w:spacing w:val="-30"/>
        </w:rPr>
        <w:t> </w:t>
      </w:r>
      <w:r>
        <w:rPr>
          <w:rFonts w:ascii="Times New Roman" w:hAnsi="Times New Roman" w:cs="Times New Roman" w:eastAsia="Times New Roman" w:hint="default"/>
        </w:rPr>
        <w:t>1.49</w:t>
      </w:r>
      <w:r>
        <w:rPr/>
        <w:t>，存货周转率为</w:t>
      </w:r>
      <w:r>
        <w:rPr>
          <w:spacing w:val="-30"/>
        </w:rPr>
        <w:t> </w:t>
      </w:r>
      <w:r>
        <w:rPr>
          <w:rFonts w:ascii="Times New Roman" w:hAnsi="Times New Roman" w:cs="Times New Roman" w:eastAsia="Times New Roman" w:hint="default"/>
        </w:rPr>
        <w:t>2.53</w:t>
      </w:r>
      <w:r>
        <w:rPr/>
        <w:t>，公司处于快速成长期，业务规模有所增长。</w:t>
      </w:r>
      <w:r>
        <w:rPr>
          <w:rFonts w:ascii="Times New Roman" w:hAnsi="Times New Roman" w:cs="Times New Roman" w:eastAsia="Times New Roman" w:hint="default"/>
        </w:rPr>
        <w:t>2020</w:t>
      </w:r>
      <w:r>
        <w:rPr>
          <w:rFonts w:ascii="Times New Roman" w:hAnsi="Times New Roman" w:cs="Times New Roman" w:eastAsia="Times New Roman" w:hint="default"/>
          <w:spacing w:val="16"/>
        </w:rPr>
        <w:t> </w:t>
      </w:r>
      <w:r>
        <w:rPr/>
        <w:t>年公司将继续提高 项目管理及产品交付，加强应收账款管理，不断提高资产运营效率和管理水平。</w:t>
      </w:r>
    </w:p>
    <w:p>
      <w:pPr>
        <w:spacing w:line="487" w:lineRule="auto" w:before="115"/>
        <w:ind w:left="513" w:right="6793"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、业务分析</w:t>
      </w:r>
      <w:r>
        <w:rPr>
          <w:rFonts w:ascii="宋体" w:hAnsi="宋体" w:cs="宋体" w:eastAsia="宋体" w:hint="default"/>
          <w:b/>
          <w:bCs/>
          <w:w w:val="99"/>
          <w:sz w:val="18"/>
          <w:szCs w:val="18"/>
        </w:rPr>
        <w:t> </w:t>
      </w:r>
      <w:r>
        <w:rPr>
          <w:rFonts w:ascii="宋体" w:hAnsi="宋体" w:cs="宋体" w:eastAsia="宋体" w:hint="default"/>
          <w:sz w:val="18"/>
          <w:szCs w:val="18"/>
        </w:rPr>
        <w:t>报告期内，公司相关主营业务增长态势良好。</w:t>
      </w:r>
    </w:p>
    <w:p>
      <w:pPr>
        <w:pStyle w:val="BodyText"/>
        <w:spacing w:line="463" w:lineRule="auto" w:before="88"/>
        <w:ind w:right="1126" w:firstLine="360"/>
        <w:jc w:val="both"/>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）三医联动：</w:t>
      </w:r>
      <w:r>
        <w:rPr/>
        <w:t>公司作为区域卫生领域的领导者，服务全国</w:t>
      </w:r>
      <w:r>
        <w:rPr>
          <w:spacing w:val="-38"/>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t>亿人群，业务遍布全国</w:t>
      </w:r>
      <w:r>
        <w:rPr>
          <w:spacing w:val="-41"/>
        </w:rPr>
        <w:t> </w:t>
      </w:r>
      <w:r>
        <w:rPr>
          <w:rFonts w:ascii="Times New Roman" w:hAnsi="Times New Roman" w:cs="Times New Roman" w:eastAsia="Times New Roman" w:hint="default"/>
        </w:rPr>
        <w:t>23</w:t>
      </w:r>
      <w:r>
        <w:rPr>
          <w:rFonts w:ascii="Times New Roman" w:hAnsi="Times New Roman" w:cs="Times New Roman" w:eastAsia="Times New Roman" w:hint="default"/>
          <w:spacing w:val="8"/>
        </w:rPr>
        <w:t> </w:t>
      </w:r>
      <w:r>
        <w:rPr/>
        <w:t>个省</w:t>
      </w:r>
      <w:r>
        <w:rPr>
          <w:rFonts w:ascii="Times New Roman" w:hAnsi="Times New Roman" w:cs="Times New Roman" w:eastAsia="Times New Roman" w:hint="default"/>
        </w:rPr>
        <w:t>/</w:t>
      </w:r>
      <w:r>
        <w:rPr/>
        <w:t>直辖市、近</w:t>
      </w:r>
      <w:r>
        <w:rPr>
          <w:spacing w:val="-39"/>
        </w:rPr>
        <w:t> </w:t>
      </w:r>
      <w:r>
        <w:rPr>
          <w:rFonts w:ascii="Times New Roman" w:hAnsi="Times New Roman" w:cs="Times New Roman" w:eastAsia="Times New Roman" w:hint="default"/>
        </w:rPr>
        <w:t>200</w:t>
      </w:r>
      <w:r>
        <w:rPr>
          <w:rFonts w:ascii="Times New Roman" w:hAnsi="Times New Roman" w:cs="Times New Roman" w:eastAsia="Times New Roman" w:hint="default"/>
          <w:spacing w:val="8"/>
        </w:rPr>
        <w:t> </w:t>
      </w:r>
      <w:r>
        <w:rPr/>
        <w:t>余个地 </w:t>
      </w:r>
      <w:r>
        <w:rPr>
          <w:spacing w:val="-3"/>
        </w:rPr>
        <w:t>市、</w:t>
      </w:r>
      <w:r>
        <w:rPr>
          <w:rFonts w:ascii="Times New Roman" w:hAnsi="Times New Roman" w:cs="Times New Roman" w:eastAsia="Times New Roman" w:hint="default"/>
          <w:spacing w:val="-3"/>
        </w:rPr>
        <w:t>1000</w:t>
      </w:r>
      <w:r>
        <w:rPr>
          <w:rFonts w:ascii="Times New Roman" w:hAnsi="Times New Roman" w:cs="Times New Roman" w:eastAsia="Times New Roman" w:hint="default"/>
          <w:spacing w:val="-15"/>
        </w:rPr>
        <w:t> </w:t>
      </w:r>
      <w:r>
        <w:rPr/>
        <w:t>余个区县；公司是医疗市场的领先者，公司承建的医院系统覆盖了</w:t>
      </w:r>
      <w:r>
        <w:rPr>
          <w:spacing w:val="-60"/>
        </w:rPr>
        <w:t> </w:t>
      </w:r>
      <w:r>
        <w:rPr>
          <w:rFonts w:ascii="Times New Roman" w:hAnsi="Times New Roman" w:cs="Times New Roman" w:eastAsia="Times New Roman" w:hint="default"/>
        </w:rPr>
        <w:t>50</w:t>
      </w:r>
      <w:r>
        <w:rPr>
          <w:rFonts w:ascii="Times New Roman" w:hAnsi="Times New Roman" w:cs="Times New Roman" w:eastAsia="Times New Roman" w:hint="default"/>
          <w:spacing w:val="-15"/>
        </w:rPr>
        <w:t> </w:t>
      </w:r>
      <w:r>
        <w:rPr/>
        <w:t>余家三级医院、近百家二级医院、</w:t>
      </w:r>
      <w:r>
        <w:rPr>
          <w:rFonts w:ascii="Times New Roman" w:hAnsi="Times New Roman" w:cs="Times New Roman" w:eastAsia="Times New Roman" w:hint="default"/>
        </w:rPr>
        <w:t>1500</w:t>
      </w:r>
      <w:r>
        <w:rPr>
          <w:rFonts w:ascii="Times New Roman" w:hAnsi="Times New Roman" w:cs="Times New Roman" w:eastAsia="Times New Roman" w:hint="default"/>
          <w:spacing w:val="-15"/>
        </w:rPr>
        <w:t> </w:t>
      </w:r>
      <w:r>
        <w:rPr>
          <w:spacing w:val="-3"/>
        </w:rPr>
        <w:t>余家 </w:t>
      </w:r>
      <w:r>
        <w:rPr>
          <w:spacing w:val="-5"/>
        </w:rPr>
        <w:t>社区（及乡镇卫生院、养老院）、近万家社区卫生服务站（村卫生室）；公司是公共卫生市场的创新者，创新的公共卫生服务</w:t>
      </w:r>
      <w:r>
        <w:rPr>
          <w:spacing w:val="-82"/>
        </w:rPr>
        <w:t> </w:t>
      </w:r>
      <w:r>
        <w:rPr>
          <w:spacing w:val="-82"/>
        </w:rPr>
      </w:r>
      <w:r>
        <w:rPr/>
        <w:t>模式服务覆盖国家级、省级、地市级、区县级客户，客户数量超过</w:t>
      </w:r>
      <w:r>
        <w:rPr>
          <w:spacing w:val="-35"/>
        </w:rPr>
        <w:t> </w:t>
      </w:r>
      <w:r>
        <w:rPr>
          <w:rFonts w:ascii="Times New Roman" w:hAnsi="Times New Roman" w:cs="Times New Roman" w:eastAsia="Times New Roman" w:hint="default"/>
        </w:rPr>
        <w:t>1200</w:t>
      </w:r>
      <w:r>
        <w:rPr>
          <w:rFonts w:ascii="Times New Roman" w:hAnsi="Times New Roman" w:cs="Times New Roman" w:eastAsia="Times New Roman" w:hint="default"/>
          <w:spacing w:val="10"/>
        </w:rPr>
        <w:t> </w:t>
      </w:r>
      <w:r>
        <w:rPr/>
        <w:t>个。</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w:t>
      </w:r>
      <w:r>
        <w:rPr>
          <w:spacing w:val="-39"/>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月完成了上海市医保信息平台的整 </w:t>
      </w:r>
      <w:r>
        <w:rPr>
          <w:spacing w:val="-2"/>
        </w:rPr>
        <w:t>体迁移和升级，一揽子解决了历史遗留的隐患和架构对标。此外，在飞行检查、基金监管、政商一体、长护险等诸多业务领</w:t>
      </w:r>
      <w:r>
        <w:rPr>
          <w:spacing w:val="-67"/>
        </w:rPr>
        <w:t> </w:t>
      </w:r>
      <w:r>
        <w:rPr>
          <w:spacing w:val="-67"/>
        </w:rPr>
      </w:r>
      <w:r>
        <w:rPr>
          <w:spacing w:val="-2"/>
        </w:rPr>
        <w:t>域，与中国人寿进行了紧密的业务对接，打通医疗保障部门、商业保险公司、信息技术公司之间技术壁垒，为打造服务参保</w:t>
      </w:r>
      <w:r>
        <w:rPr>
          <w:spacing w:val="-67"/>
        </w:rPr>
        <w:t> </w:t>
      </w:r>
      <w:r>
        <w:rPr>
          <w:spacing w:val="-67"/>
        </w:rPr>
      </w:r>
      <w:r>
        <w:rPr>
          <w:spacing w:val="-1"/>
        </w:rPr>
        <w:t>人的一体化医疗保障解决方案提供了先进的技术保障。“医药云”是基于“互联网</w:t>
      </w:r>
      <w:r>
        <w:rPr>
          <w:rFonts w:ascii="Times New Roman" w:hAnsi="Times New Roman" w:cs="Times New Roman" w:eastAsia="Times New Roman" w:hint="default"/>
          <w:spacing w:val="-1"/>
        </w:rPr>
        <w:t>+</w:t>
      </w:r>
      <w:r>
        <w:rPr>
          <w:spacing w:val="-1"/>
        </w:rPr>
        <w:t>医疗健康”以及大数据服务平台的处方</w:t>
      </w:r>
      <w:r>
        <w:rPr>
          <w:spacing w:val="-49"/>
        </w:rPr>
        <w:t> </w:t>
      </w:r>
      <w:r>
        <w:rPr>
          <w:spacing w:val="-49"/>
        </w:rPr>
      </w:r>
      <w:r>
        <w:rPr>
          <w:spacing w:val="-2"/>
        </w:rPr>
        <w:t>信息共享平台和医药电商服务平台，以医院为核心连通了全国千余家医疗机构和上万家社会药房，基于合理用药、多源便民</w:t>
      </w:r>
      <w:r>
        <w:rPr>
          <w:spacing w:val="-66"/>
        </w:rPr>
        <w:t> </w:t>
      </w:r>
      <w:r>
        <w:rPr>
          <w:spacing w:val="-66"/>
        </w:rPr>
      </w:r>
      <w:r>
        <w:rPr/>
        <w:t>的原则，实现了药品到家闭环。</w:t>
      </w:r>
    </w:p>
    <w:p>
      <w:pPr>
        <w:pStyle w:val="BodyText"/>
        <w:spacing w:line="451" w:lineRule="auto" w:before="106"/>
        <w:ind w:right="1130" w:firstLine="360"/>
        <w:jc w:val="both"/>
      </w:pPr>
      <w:r>
        <w:rPr>
          <w:rFonts w:ascii="宋体" w:hAnsi="宋体" w:cs="宋体" w:eastAsia="宋体" w:hint="default"/>
          <w:b/>
          <w:bCs/>
          <w:spacing w:val="2"/>
          <w:w w:val="99"/>
        </w:rPr>
        <w:t>（</w:t>
      </w:r>
      <w:r>
        <w:rPr>
          <w:rFonts w:ascii="Times New Roman" w:hAnsi="Times New Roman" w:cs="Times New Roman" w:eastAsia="Times New Roman" w:hint="default"/>
          <w:b/>
          <w:bCs/>
          <w:spacing w:val="-2"/>
        </w:rPr>
        <w:t>2</w:t>
      </w:r>
      <w:r>
        <w:rPr>
          <w:rFonts w:ascii="宋体" w:hAnsi="宋体" w:cs="宋体" w:eastAsia="宋体" w:hint="default"/>
          <w:b/>
          <w:bCs/>
          <w:spacing w:val="-89"/>
          <w:w w:val="99"/>
        </w:rPr>
        <w:t>）</w:t>
      </w:r>
      <w:r>
        <w:rPr>
          <w:rFonts w:ascii="宋体" w:hAnsi="宋体" w:cs="宋体" w:eastAsia="宋体" w:hint="default"/>
          <w:b/>
          <w:bCs/>
          <w:spacing w:val="-1"/>
          <w:w w:val="99"/>
        </w:rPr>
        <w:t>“</w:t>
      </w:r>
      <w:r>
        <w:rPr>
          <w:rFonts w:ascii="宋体" w:hAnsi="宋体" w:cs="宋体" w:eastAsia="宋体" w:hint="default"/>
          <w:b/>
          <w:bCs/>
          <w:w w:val="99"/>
        </w:rPr>
        <w:t>健</w:t>
      </w:r>
      <w:r>
        <w:rPr>
          <w:rFonts w:ascii="宋体" w:hAnsi="宋体" w:cs="宋体" w:eastAsia="宋体" w:hint="default"/>
          <w:b/>
          <w:bCs/>
          <w:spacing w:val="2"/>
          <w:w w:val="99"/>
        </w:rPr>
        <w:t>康</w:t>
      </w:r>
      <w:r>
        <w:rPr>
          <w:rFonts w:ascii="宋体" w:hAnsi="宋体" w:cs="宋体" w:eastAsia="宋体" w:hint="default"/>
          <w:b/>
          <w:bCs/>
          <w:w w:val="99"/>
        </w:rPr>
        <w:t>云</w:t>
      </w:r>
      <w:r>
        <w:rPr>
          <w:rFonts w:ascii="宋体" w:hAnsi="宋体" w:cs="宋体" w:eastAsia="宋体" w:hint="default"/>
          <w:b/>
          <w:bCs/>
          <w:spacing w:val="-89"/>
          <w:w w:val="99"/>
        </w:rPr>
        <w:t>”</w:t>
      </w:r>
      <w:r>
        <w:rPr>
          <w:rFonts w:ascii="宋体" w:hAnsi="宋体" w:cs="宋体" w:eastAsia="宋体" w:hint="default"/>
          <w:b/>
          <w:bCs/>
          <w:spacing w:val="2"/>
          <w:w w:val="99"/>
        </w:rPr>
        <w:t>：</w:t>
      </w:r>
      <w:r>
        <w:rPr/>
        <w:t>推进“互联</w:t>
      </w:r>
      <w:r>
        <w:rPr>
          <w:spacing w:val="-2"/>
        </w:rPr>
        <w:t>网</w:t>
      </w:r>
      <w:r>
        <w:rPr>
          <w:rFonts w:ascii="Times New Roman" w:hAnsi="Times New Roman" w:cs="Times New Roman" w:eastAsia="Times New Roman" w:hint="default"/>
          <w:spacing w:val="-1"/>
        </w:rPr>
        <w:t>+</w:t>
      </w:r>
      <w:r>
        <w:rPr/>
        <w:t>医疗健康”的运营生态体系建设，进一步扩大市场覆盖面，用户数发展迅猛突破</w:t>
      </w:r>
      <w:r>
        <w:rPr>
          <w:spacing w:val="-8"/>
        </w:rPr>
        <w:t> </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5</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rPr>
        <w:t> </w:t>
      </w:r>
      <w:r>
        <w:rPr/>
        <w:t>万（上海健康云、台州、互联网总院、湖南</w:t>
      </w:r>
      <w:r>
        <w:rPr>
          <w:spacing w:val="-92"/>
        </w:rPr>
        <w:t>）</w:t>
      </w:r>
      <w:r>
        <w:rPr>
          <w:spacing w:val="1"/>
        </w:rPr>
        <w:t>，</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11"/>
        </w:rPr>
        <w:t> </w:t>
      </w:r>
      <w:r>
        <w:rPr/>
        <w:t>年同</w:t>
      </w:r>
      <w:r>
        <w:rPr>
          <w:spacing w:val="-3"/>
        </w:rPr>
        <w:t>比</w:t>
      </w:r>
      <w:r>
        <w:rPr/>
        <w:t>增幅</w:t>
      </w:r>
      <w:r>
        <w:rPr>
          <w:spacing w:val="-35"/>
        </w:rPr>
        <w:t> </w:t>
      </w:r>
      <w:r>
        <w:rPr>
          <w:rFonts w:ascii="Times New Roman" w:hAnsi="Times New Roman" w:cs="Times New Roman" w:eastAsia="Times New Roman" w:hint="default"/>
          <w:spacing w:val="1"/>
        </w:rPr>
        <w:t>56</w:t>
      </w:r>
      <w:r>
        <w:rPr>
          <w:rFonts w:ascii="Times New Roman" w:hAnsi="Times New Roman" w:cs="Times New Roman" w:eastAsia="Times New Roman" w:hint="default"/>
          <w:spacing w:val="-1"/>
        </w:rPr>
        <w:t>%</w:t>
      </w:r>
      <w:r>
        <w:rPr/>
        <w:t>，其中上海市互联</w:t>
      </w:r>
      <w:r>
        <w:rPr>
          <w:spacing w:val="-3"/>
        </w:rPr>
        <w:t>网</w:t>
      </w:r>
      <w:r>
        <w:rPr/>
        <w:t>医院服务人次超</w:t>
      </w:r>
      <w:r>
        <w:rPr>
          <w:spacing w:val="-35"/>
        </w:rPr>
        <w:t> </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90</w:t>
      </w:r>
      <w:r>
        <w:rPr>
          <w:rFonts w:ascii="Times New Roman" w:hAnsi="Times New Roman" w:cs="Times New Roman" w:eastAsia="Times New Roman" w:hint="default"/>
        </w:rPr>
        <w:t>0</w:t>
      </w:r>
      <w:r>
        <w:rPr>
          <w:rFonts w:ascii="Times New Roman" w:hAnsi="Times New Roman" w:cs="Times New Roman" w:eastAsia="Times New Roman" w:hint="default"/>
          <w:spacing w:val="11"/>
        </w:rPr>
        <w:t> </w:t>
      </w:r>
      <w:r>
        <w:rPr/>
        <w:t>万，服务人 数超</w:t>
      </w:r>
      <w:r>
        <w:rPr>
          <w:spacing w:val="-42"/>
        </w:rPr>
        <w:t> </w:t>
      </w:r>
      <w:r>
        <w:rPr>
          <w:rFonts w:ascii="Times New Roman" w:hAnsi="Times New Roman" w:cs="Times New Roman" w:eastAsia="Times New Roman" w:hint="default"/>
          <w:spacing w:val="1"/>
        </w:rPr>
        <w:t>90</w:t>
      </w:r>
      <w:r>
        <w:rPr>
          <w:rFonts w:ascii="Times New Roman" w:hAnsi="Times New Roman" w:cs="Times New Roman" w:eastAsia="Times New Roman" w:hint="default"/>
        </w:rPr>
        <w:t>0</w:t>
      </w:r>
      <w:r>
        <w:rPr>
          <w:rFonts w:ascii="Times New Roman" w:hAnsi="Times New Roman" w:cs="Times New Roman" w:eastAsia="Times New Roman" w:hint="default"/>
          <w:spacing w:val="4"/>
        </w:rPr>
        <w:t> </w:t>
      </w:r>
      <w:r>
        <w:rPr/>
        <w:t>万。覆盖地域拓展</w:t>
      </w:r>
      <w:r>
        <w:rPr>
          <w:spacing w:val="-3"/>
        </w:rPr>
        <w:t>至</w:t>
      </w:r>
      <w:r>
        <w:rPr/>
        <w:t>上海市（健康云、互联网总医院</w:t>
      </w:r>
      <w:r>
        <w:rPr>
          <w:spacing w:val="-92"/>
        </w:rPr>
        <w:t>）</w:t>
      </w:r>
      <w:r>
        <w:rPr/>
        <w:t>、湖南省、四川省、宁夏</w:t>
      </w:r>
      <w:r>
        <w:rPr>
          <w:spacing w:val="2"/>
        </w:rPr>
        <w:t>自</w:t>
      </w:r>
      <w:r>
        <w:rPr/>
        <w:t>治区、北京昌平区、天津市滨海</w:t>
      </w:r>
    </w:p>
    <w:p>
      <w:pPr>
        <w:pStyle w:val="BodyText"/>
        <w:spacing w:line="451" w:lineRule="auto" w:before="43"/>
        <w:ind w:right="1128"/>
        <w:jc w:val="both"/>
      </w:pPr>
      <w:r>
        <w:rPr/>
        <w:t>新区、浙江台州</w:t>
      </w:r>
      <w:r>
        <w:rPr>
          <w:rFonts w:ascii="Times New Roman" w:hAnsi="Times New Roman" w:cs="Times New Roman" w:eastAsia="Times New Roman" w:hint="default"/>
        </w:rPr>
        <w:t>&amp;</w:t>
      </w:r>
      <w:r>
        <w:rPr/>
        <w:t>嘉善等省市及地区。健康云实现入驻城市</w:t>
      </w:r>
      <w:r>
        <w:rPr>
          <w:spacing w:val="-32"/>
        </w:rPr>
        <w:t> </w:t>
      </w:r>
      <w:r>
        <w:rPr>
          <w:rFonts w:ascii="Times New Roman" w:hAnsi="Times New Roman" w:cs="Times New Roman" w:eastAsia="Times New Roman" w:hint="default"/>
        </w:rPr>
        <w:t>7</w:t>
      </w:r>
      <w:r>
        <w:rPr>
          <w:rFonts w:ascii="Times New Roman" w:hAnsi="Times New Roman" w:cs="Times New Roman" w:eastAsia="Times New Roman" w:hint="default"/>
          <w:spacing w:val="14"/>
        </w:rPr>
        <w:t> </w:t>
      </w:r>
      <w:r>
        <w:rPr/>
        <w:t>个、注册用户</w:t>
      </w:r>
      <w:r>
        <w:rPr>
          <w:spacing w:val="-32"/>
        </w:rPr>
        <w:t> </w:t>
      </w:r>
      <w:r>
        <w:rPr>
          <w:rFonts w:ascii="Times New Roman" w:hAnsi="Times New Roman" w:cs="Times New Roman" w:eastAsia="Times New Roman" w:hint="default"/>
        </w:rPr>
        <w:t>668</w:t>
      </w:r>
      <w:r>
        <w:rPr>
          <w:rFonts w:ascii="Times New Roman" w:hAnsi="Times New Roman" w:cs="Times New Roman" w:eastAsia="Times New Roman" w:hint="default"/>
          <w:spacing w:val="14"/>
        </w:rPr>
        <w:t> </w:t>
      </w:r>
      <w:r>
        <w:rPr/>
        <w:t>万、慢病患者数据</w:t>
      </w:r>
      <w:r>
        <w:rPr>
          <w:spacing w:val="-32"/>
        </w:rPr>
        <w:t> </w:t>
      </w:r>
      <w:r>
        <w:rPr>
          <w:rFonts w:ascii="Times New Roman" w:hAnsi="Times New Roman" w:cs="Times New Roman" w:eastAsia="Times New Roman" w:hint="default"/>
        </w:rPr>
        <w:t>102</w:t>
      </w:r>
      <w:r>
        <w:rPr>
          <w:rFonts w:ascii="Times New Roman" w:hAnsi="Times New Roman" w:cs="Times New Roman" w:eastAsia="Times New Roman" w:hint="default"/>
          <w:spacing w:val="14"/>
        </w:rPr>
        <w:t> </w:t>
      </w:r>
      <w:r>
        <w:rPr/>
        <w:t>万、入驻医生（名</w:t>
      </w:r>
      <w:r>
        <w:rPr>
          <w:rFonts w:ascii="Times New Roman" w:hAnsi="Times New Roman" w:cs="Times New Roman" w:eastAsia="Times New Roman" w:hint="default"/>
        </w:rPr>
        <w:t>/ </w:t>
      </w:r>
      <w:r>
        <w:rPr/>
        <w:t>副主任以上）</w:t>
      </w:r>
      <w:r>
        <w:rPr>
          <w:rFonts w:ascii="Times New Roman" w:hAnsi="Times New Roman" w:cs="Times New Roman" w:eastAsia="Times New Roman" w:hint="default"/>
        </w:rPr>
        <w:t>596</w:t>
      </w:r>
      <w:r>
        <w:rPr>
          <w:rFonts w:ascii="Times New Roman" w:hAnsi="Times New Roman" w:cs="Times New Roman" w:eastAsia="Times New Roman" w:hint="default"/>
          <w:spacing w:val="-10"/>
        </w:rPr>
        <w:t> </w:t>
      </w:r>
      <w:r>
        <w:rPr/>
        <w:t>人、入驻医生（名</w:t>
      </w:r>
      <w:r>
        <w:rPr>
          <w:rFonts w:ascii="Times New Roman" w:hAnsi="Times New Roman" w:cs="Times New Roman" w:eastAsia="Times New Roman" w:hint="default"/>
        </w:rPr>
        <w:t>/</w:t>
      </w:r>
      <w:r>
        <w:rPr/>
        <w:t>社区全科医生）</w:t>
      </w:r>
      <w:r>
        <w:rPr>
          <w:rFonts w:ascii="Times New Roman" w:hAnsi="Times New Roman" w:cs="Times New Roman" w:eastAsia="Times New Roman" w:hint="default"/>
        </w:rPr>
        <w:t>18417</w:t>
      </w:r>
      <w:r>
        <w:rPr>
          <w:rFonts w:ascii="Times New Roman" w:hAnsi="Times New Roman" w:cs="Times New Roman" w:eastAsia="Times New Roman" w:hint="default"/>
          <w:spacing w:val="-10"/>
        </w:rPr>
        <w:t> </w:t>
      </w:r>
      <w:r>
        <w:rPr/>
        <w:t>人的运营目标。台州健康实现</w:t>
      </w:r>
      <w:r>
        <w:rPr>
          <w:spacing w:val="-55"/>
        </w:rPr>
        <w:t> </w:t>
      </w:r>
      <w:r>
        <w:rPr>
          <w:rFonts w:ascii="Times New Roman" w:hAnsi="Times New Roman" w:cs="Times New Roman" w:eastAsia="Times New Roman" w:hint="default"/>
        </w:rPr>
        <w:t>APP</w:t>
      </w:r>
      <w:r>
        <w:rPr>
          <w:rFonts w:ascii="Times New Roman" w:hAnsi="Times New Roman" w:cs="Times New Roman" w:eastAsia="Times New Roman" w:hint="default"/>
          <w:spacing w:val="-10"/>
        </w:rPr>
        <w:t> </w:t>
      </w:r>
      <w:r>
        <w:rPr/>
        <w:t>注册用户数达到</w:t>
      </w:r>
      <w:r>
        <w:rPr>
          <w:spacing w:val="-55"/>
        </w:rPr>
        <w:t> </w:t>
      </w:r>
      <w:r>
        <w:rPr>
          <w:rFonts w:ascii="Times New Roman" w:hAnsi="Times New Roman" w:cs="Times New Roman" w:eastAsia="Times New Roman" w:hint="default"/>
        </w:rPr>
        <w:t>122</w:t>
      </w:r>
      <w:r>
        <w:rPr>
          <w:rFonts w:ascii="Times New Roman" w:hAnsi="Times New Roman" w:cs="Times New Roman" w:eastAsia="Times New Roman" w:hint="default"/>
          <w:spacing w:val="-10"/>
        </w:rPr>
        <w:t> </w:t>
      </w:r>
      <w:r>
        <w:rPr>
          <w:spacing w:val="-4"/>
        </w:rPr>
        <w:t>万、</w:t>
      </w:r>
      <w:r>
        <w:rPr>
          <w:rFonts w:ascii="Times New Roman" w:hAnsi="Times New Roman" w:cs="Times New Roman" w:eastAsia="Times New Roman" w:hint="default"/>
          <w:spacing w:val="-4"/>
        </w:rPr>
        <w:t>APP</w:t>
      </w:r>
      <w:r>
        <w:rPr>
          <w:rFonts w:ascii="Times New Roman" w:hAnsi="Times New Roman" w:cs="Times New Roman" w:eastAsia="Times New Roman" w:hint="default"/>
          <w:w w:val="99"/>
        </w:rPr>
        <w:t> </w:t>
      </w:r>
      <w:r>
        <w:rPr/>
        <w:t>实名用户数达到</w:t>
      </w:r>
      <w:r>
        <w:rPr>
          <w:spacing w:val="-42"/>
        </w:rPr>
        <w:t> </w:t>
      </w:r>
      <w:r>
        <w:rPr>
          <w:rFonts w:ascii="Times New Roman" w:hAnsi="Times New Roman" w:cs="Times New Roman" w:eastAsia="Times New Roman" w:hint="default"/>
        </w:rPr>
        <w:t>32</w:t>
      </w:r>
      <w:r>
        <w:rPr>
          <w:rFonts w:ascii="Times New Roman" w:hAnsi="Times New Roman" w:cs="Times New Roman" w:eastAsia="Times New Roman" w:hint="default"/>
          <w:spacing w:val="3"/>
        </w:rPr>
        <w:t> </w:t>
      </w:r>
      <w:r>
        <w:rPr>
          <w:spacing w:val="-5"/>
        </w:rPr>
        <w:t>万、电子健康卡实名发卡</w:t>
      </w:r>
      <w:r>
        <w:rPr>
          <w:spacing w:val="-42"/>
        </w:rPr>
        <w:t> </w:t>
      </w:r>
      <w:r>
        <w:rPr>
          <w:rFonts w:ascii="Times New Roman" w:hAnsi="Times New Roman" w:cs="Times New Roman" w:eastAsia="Times New Roman" w:hint="default"/>
        </w:rPr>
        <w:t>640</w:t>
      </w:r>
      <w:r>
        <w:rPr>
          <w:rFonts w:ascii="Times New Roman" w:hAnsi="Times New Roman" w:cs="Times New Roman" w:eastAsia="Times New Roman" w:hint="default"/>
          <w:spacing w:val="3"/>
        </w:rPr>
        <w:t> </w:t>
      </w:r>
      <w:r>
        <w:rPr>
          <w:spacing w:val="-3"/>
        </w:rPr>
        <w:t>万的运营目标。上海互联网总院累计总注册量</w:t>
      </w:r>
      <w:r>
        <w:rPr>
          <w:spacing w:val="-43"/>
        </w:rPr>
        <w:t> </w:t>
      </w:r>
      <w:r>
        <w:rPr>
          <w:rFonts w:ascii="Times New Roman" w:hAnsi="Times New Roman" w:cs="Times New Roman" w:eastAsia="Times New Roman" w:hint="default"/>
        </w:rPr>
        <w:t>613</w:t>
      </w:r>
      <w:r>
        <w:rPr>
          <w:rFonts w:ascii="Times New Roman" w:hAnsi="Times New Roman" w:cs="Times New Roman" w:eastAsia="Times New Roman" w:hint="default"/>
          <w:spacing w:val="4"/>
        </w:rPr>
        <w:t> </w:t>
      </w:r>
      <w:r>
        <w:rPr>
          <w:spacing w:val="-5"/>
        </w:rPr>
        <w:t>万、平台新增预约量</w:t>
      </w:r>
      <w:r>
        <w:rPr>
          <w:spacing w:val="-43"/>
        </w:rPr>
        <w:t> </w:t>
      </w:r>
      <w:r>
        <w:rPr>
          <w:rFonts w:ascii="Times New Roman" w:hAnsi="Times New Roman" w:cs="Times New Roman" w:eastAsia="Times New Roman" w:hint="default"/>
        </w:rPr>
        <w:t>372 </w:t>
      </w:r>
      <w:r>
        <w:rPr/>
        <w:t>万。湖南实现新增预约量</w:t>
      </w:r>
      <w:r>
        <w:rPr>
          <w:spacing w:val="-40"/>
        </w:rPr>
        <w:t> </w:t>
      </w:r>
      <w:r>
        <w:rPr>
          <w:rFonts w:ascii="Times New Roman" w:hAnsi="Times New Roman" w:cs="Times New Roman" w:eastAsia="Times New Roman" w:hint="default"/>
        </w:rPr>
        <w:t>26</w:t>
      </w:r>
      <w:r>
        <w:rPr>
          <w:rFonts w:ascii="Times New Roman" w:hAnsi="Times New Roman" w:cs="Times New Roman" w:eastAsia="Times New Roman" w:hint="default"/>
          <w:spacing w:val="6"/>
        </w:rPr>
        <w:t> </w:t>
      </w:r>
      <w:r>
        <w:rPr/>
        <w:t>万的运营目标。在上海，完成</w:t>
      </w:r>
      <w:r>
        <w:rPr>
          <w:spacing w:val="-40"/>
        </w:rPr>
        <w:t> </w:t>
      </w:r>
      <w:r>
        <w:rPr>
          <w:rFonts w:ascii="Times New Roman" w:hAnsi="Times New Roman" w:cs="Times New Roman" w:eastAsia="Times New Roman" w:hint="default"/>
        </w:rPr>
        <w:t>102</w:t>
      </w:r>
      <w:r>
        <w:rPr>
          <w:rFonts w:ascii="Times New Roman" w:hAnsi="Times New Roman" w:cs="Times New Roman" w:eastAsia="Times New Roman" w:hint="default"/>
          <w:spacing w:val="6"/>
        </w:rPr>
        <w:t> </w:t>
      </w:r>
      <w:r>
        <w:rPr/>
        <w:t>家市级版健康驿站建设并</w:t>
      </w:r>
      <w:r>
        <w:rPr>
          <w:spacing w:val="-40"/>
        </w:rPr>
        <w:t> </w:t>
      </w:r>
      <w:r>
        <w:rPr>
          <w:rFonts w:ascii="Times New Roman" w:hAnsi="Times New Roman" w:cs="Times New Roman" w:eastAsia="Times New Roman" w:hint="default"/>
        </w:rPr>
        <w:t>100%</w:t>
      </w:r>
      <w:r>
        <w:rPr/>
        <w:t>通过市级验收，</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年市政 府实事项目</w:t>
      </w:r>
      <w:r>
        <w:rPr>
          <w:spacing w:val="-39"/>
        </w:rPr>
        <w:t> </w:t>
      </w:r>
      <w:r>
        <w:rPr>
          <w:rFonts w:ascii="Times New Roman" w:hAnsi="Times New Roman" w:cs="Times New Roman" w:eastAsia="Times New Roman" w:hint="default"/>
        </w:rPr>
        <w:t>80</w:t>
      </w:r>
      <w:r>
        <w:rPr>
          <w:rFonts w:ascii="Times New Roman" w:hAnsi="Times New Roman" w:cs="Times New Roman" w:eastAsia="Times New Roman" w:hint="default"/>
          <w:spacing w:val="6"/>
        </w:rPr>
        <w:t> </w:t>
      </w:r>
      <w:r>
        <w:rPr/>
        <w:t>家智慧健康驿站完成</w:t>
      </w:r>
      <w:r>
        <w:rPr>
          <w:spacing w:val="-39"/>
        </w:rPr>
        <w:t> </w:t>
      </w:r>
      <w:r>
        <w:rPr>
          <w:rFonts w:ascii="Times New Roman" w:hAnsi="Times New Roman" w:cs="Times New Roman" w:eastAsia="Times New Roman" w:hint="default"/>
        </w:rPr>
        <w:t>76</w:t>
      </w:r>
      <w:r>
        <w:rPr>
          <w:rFonts w:ascii="Times New Roman" w:hAnsi="Times New Roman" w:cs="Times New Roman" w:eastAsia="Times New Roman" w:hint="default"/>
          <w:spacing w:val="6"/>
        </w:rPr>
        <w:t> </w:t>
      </w:r>
      <w:r>
        <w:rPr>
          <w:spacing w:val="-3"/>
        </w:rPr>
        <w:t>家。积极推进互联网医院布局，与华山、瑞金等三甲医联体达成合作，正式开启上海</w:t>
      </w:r>
      <w:r>
        <w:rPr/>
        <w:t> 市皮肤病互联网医院试点，拓展江西绿地远程医疗运营服务，布局互联网医院建设、服务与运营的闭环生态。</w:t>
      </w:r>
    </w:p>
    <w:p>
      <w:pPr>
        <w:pStyle w:val="BodyText"/>
        <w:spacing w:line="451" w:lineRule="auto" w:before="112"/>
        <w:ind w:right="1131" w:firstLine="360"/>
        <w:jc w:val="both"/>
      </w:pPr>
      <w:r>
        <w:rPr>
          <w:rFonts w:ascii="宋体" w:hAnsi="宋体" w:cs="宋体" w:eastAsia="宋体" w:hint="default"/>
          <w:b/>
          <w:bCs/>
          <w:spacing w:val="-7"/>
          <w:w w:val="99"/>
        </w:rPr>
        <w:t>（</w:t>
      </w:r>
      <w:r>
        <w:rPr>
          <w:rFonts w:ascii="Times New Roman" w:hAnsi="Times New Roman" w:cs="Times New Roman" w:eastAsia="Times New Roman" w:hint="default"/>
          <w:b/>
          <w:bCs/>
          <w:spacing w:val="-7"/>
          <w:w w:val="99"/>
        </w:rPr>
        <w:t>3</w:t>
      </w:r>
      <w:r>
        <w:rPr>
          <w:rFonts w:ascii="宋体" w:hAnsi="宋体" w:cs="宋体" w:eastAsia="宋体" w:hint="default"/>
          <w:b/>
          <w:bCs/>
          <w:spacing w:val="-7"/>
          <w:w w:val="99"/>
        </w:rPr>
        <w:t>）“一网通办”：</w:t>
      </w:r>
      <w:r>
        <w:rPr>
          <w:spacing w:val="-7"/>
          <w:w w:val="99"/>
        </w:rPr>
        <w:t>万达信息作为“一网通办”平台总集成、核心系统承建方和</w:t>
      </w:r>
      <w:r>
        <w:rPr>
          <w:w w:val="99"/>
        </w:rPr>
        <w:t> </w:t>
      </w:r>
      <w:r>
        <w:rPr>
          <w:rFonts w:ascii="Times New Roman" w:hAnsi="Times New Roman" w:cs="Times New Roman" w:eastAsia="Times New Roman" w:hint="default"/>
          <w:spacing w:val="-1"/>
          <w:w w:val="99"/>
        </w:rPr>
        <w:t>APP</w:t>
      </w:r>
      <w:r>
        <w:rPr>
          <w:rFonts w:ascii="Times New Roman" w:hAnsi="Times New Roman" w:cs="Times New Roman" w:eastAsia="Times New Roman" w:hint="default"/>
          <w:spacing w:val="-21"/>
          <w:w w:val="99"/>
        </w:rPr>
        <w:t> </w:t>
      </w:r>
      <w:r>
        <w:rPr>
          <w:spacing w:val="-1"/>
        </w:rPr>
        <w:t>运营方，帮助政府加快建设智慧政</w:t>
      </w:r>
      <w:r>
        <w:rPr/>
        <w:t> 府的进程。一年来，上海市“一网通办”总门户个人实名用户注册量已突破</w:t>
      </w:r>
      <w:r>
        <w:rPr>
          <w:spacing w:val="-45"/>
        </w:rPr>
        <w:t> </w:t>
      </w:r>
      <w:r>
        <w:rPr>
          <w:rFonts w:ascii="Times New Roman" w:hAnsi="Times New Roman" w:cs="Times New Roman" w:eastAsia="Times New Roman" w:hint="default"/>
        </w:rPr>
        <w:t>1008</w:t>
      </w:r>
      <w:r>
        <w:rPr>
          <w:rFonts w:ascii="Times New Roman" w:hAnsi="Times New Roman" w:cs="Times New Roman" w:eastAsia="Times New Roman" w:hint="default"/>
          <w:spacing w:val="1"/>
        </w:rPr>
        <w:t> </w:t>
      </w:r>
      <w:r>
        <w:rPr/>
        <w:t>万，其中户籍用户数量</w:t>
      </w:r>
      <w:r>
        <w:rPr>
          <w:spacing w:val="-45"/>
        </w:rPr>
        <w:t> </w:t>
      </w:r>
      <w:r>
        <w:rPr>
          <w:rFonts w:ascii="Times New Roman" w:hAnsi="Times New Roman" w:cs="Times New Roman" w:eastAsia="Times New Roman" w:hint="default"/>
        </w:rPr>
        <w:t>489</w:t>
      </w:r>
      <w:r>
        <w:rPr>
          <w:rFonts w:ascii="Times New Roman" w:hAnsi="Times New Roman" w:cs="Times New Roman" w:eastAsia="Times New Roman" w:hint="default"/>
          <w:spacing w:val="1"/>
        </w:rPr>
        <w:t> </w:t>
      </w:r>
      <w:r>
        <w:rPr/>
        <w:t>万，占上海市</w:t>
      </w:r>
    </w:p>
    <w:p>
      <w:pPr>
        <w:pStyle w:val="BodyText"/>
        <w:spacing w:line="240" w:lineRule="auto" w:before="43"/>
        <w:ind w:right="0"/>
        <w:jc w:val="both"/>
      </w:pPr>
      <w:r>
        <w:rPr/>
        <w:t>户籍人口总数的</w:t>
      </w:r>
      <w:r>
        <w:rPr>
          <w:spacing w:val="-42"/>
        </w:rPr>
        <w:t> </w:t>
      </w:r>
      <w:r>
        <w:rPr>
          <w:rFonts w:ascii="Times New Roman" w:hAnsi="Times New Roman" w:cs="Times New Roman" w:eastAsia="Times New Roman" w:hint="default"/>
        </w:rPr>
        <w:t>33.8%</w:t>
      </w:r>
      <w:r>
        <w:rPr/>
        <w:t>；平台累计办件量已超</w:t>
      </w:r>
      <w:r>
        <w:rPr>
          <w:spacing w:val="-42"/>
        </w:rPr>
        <w:t> </w:t>
      </w:r>
      <w:r>
        <w:rPr>
          <w:rFonts w:ascii="Times New Roman" w:hAnsi="Times New Roman" w:cs="Times New Roman" w:eastAsia="Times New Roman" w:hint="default"/>
        </w:rPr>
        <w:t>2489</w:t>
      </w:r>
      <w:r>
        <w:rPr>
          <w:rFonts w:ascii="Times New Roman" w:hAnsi="Times New Roman" w:cs="Times New Roman" w:eastAsia="Times New Roman" w:hint="default"/>
          <w:spacing w:val="3"/>
        </w:rPr>
        <w:t> </w:t>
      </w:r>
      <w:r>
        <w:rPr/>
        <w:t>万件。目前，已经开通</w:t>
      </w:r>
      <w:r>
        <w:rPr>
          <w:spacing w:val="-42"/>
        </w:rPr>
        <w:t> </w:t>
      </w:r>
      <w:r>
        <w:rPr>
          <w:rFonts w:ascii="Times New Roman" w:hAnsi="Times New Roman" w:cs="Times New Roman" w:eastAsia="Times New Roman" w:hint="default"/>
        </w:rPr>
        <w:t>18</w:t>
      </w:r>
      <w:r>
        <w:rPr>
          <w:rFonts w:ascii="Times New Roman" w:hAnsi="Times New Roman" w:cs="Times New Roman" w:eastAsia="Times New Roman" w:hint="default"/>
          <w:spacing w:val="3"/>
        </w:rPr>
        <w:t> </w:t>
      </w:r>
      <w:r>
        <w:rPr/>
        <w:t>个城市</w:t>
      </w:r>
      <w:r>
        <w:rPr>
          <w:spacing w:val="-44"/>
        </w:rPr>
        <w:t> </w:t>
      </w:r>
      <w:r>
        <w:rPr>
          <w:rFonts w:ascii="Times New Roman" w:hAnsi="Times New Roman" w:cs="Times New Roman" w:eastAsia="Times New Roman" w:hint="default"/>
        </w:rPr>
        <w:t>164</w:t>
      </w:r>
      <w:r>
        <w:rPr>
          <w:rFonts w:ascii="Times New Roman" w:hAnsi="Times New Roman" w:cs="Times New Roman" w:eastAsia="Times New Roman" w:hint="default"/>
          <w:spacing w:val="3"/>
        </w:rPr>
        <w:t> </w:t>
      </w:r>
      <w:r>
        <w:rPr/>
        <w:t>个线下专窗办理点，实现了</w:t>
      </w:r>
      <w:r>
        <w:rPr>
          <w:spacing w:val="-42"/>
        </w:rPr>
        <w:t> </w:t>
      </w:r>
      <w:r>
        <w:rPr>
          <w:rFonts w:ascii="Times New Roman" w:hAnsi="Times New Roman" w:cs="Times New Roman" w:eastAsia="Times New Roman" w:hint="default"/>
        </w:rPr>
        <w:t>51</w:t>
      </w:r>
      <w:r>
        <w:rPr>
          <w:rFonts w:ascii="Times New Roman" w:hAnsi="Times New Roman" w:cs="Times New Roman" w:eastAsia="Times New Roman" w:hint="default"/>
          <w:spacing w:val="3"/>
        </w:rPr>
        <w:t> </w:t>
      </w:r>
      <w:r>
        <w:rPr/>
        <w:t>个</w:t>
      </w:r>
    </w:p>
    <w:p>
      <w:pPr>
        <w:spacing w:after="0" w:line="240"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0"/>
        <w:jc w:val="left"/>
      </w:pPr>
      <w:r>
        <w:rPr/>
        <w:t>事项跨省办理。长三角全程网办总量为</w:t>
      </w:r>
      <w:r>
        <w:rPr>
          <w:spacing w:val="-46"/>
        </w:rPr>
        <w:t> </w:t>
      </w:r>
      <w:r>
        <w:rPr>
          <w:rFonts w:ascii="Times New Roman" w:hAnsi="Times New Roman" w:cs="Times New Roman" w:eastAsia="Times New Roman" w:hint="default"/>
        </w:rPr>
        <w:t>170</w:t>
      </w:r>
      <w:r>
        <w:rPr>
          <w:rFonts w:ascii="Times New Roman" w:hAnsi="Times New Roman" w:cs="Times New Roman" w:eastAsia="Times New Roman" w:hint="default"/>
          <w:spacing w:val="-1"/>
        </w:rPr>
        <w:t> </w:t>
      </w:r>
      <w:r>
        <w:rPr/>
        <w:t>万余件，线下专窗跨省办件</w:t>
      </w:r>
      <w:r>
        <w:rPr>
          <w:spacing w:val="-47"/>
        </w:rPr>
        <w:t> </w:t>
      </w:r>
      <w:r>
        <w:rPr>
          <w:rFonts w:ascii="Times New Roman" w:hAnsi="Times New Roman" w:cs="Times New Roman" w:eastAsia="Times New Roman" w:hint="default"/>
        </w:rPr>
        <w:t>729</w:t>
      </w:r>
      <w:r>
        <w:rPr>
          <w:rFonts w:ascii="Times New Roman" w:hAnsi="Times New Roman" w:cs="Times New Roman" w:eastAsia="Times New Roman" w:hint="default"/>
          <w:spacing w:val="-1"/>
        </w:rPr>
        <w:t> </w:t>
      </w:r>
      <w:r>
        <w:rPr/>
        <w:t>件，政务服务区域一体化效应逐步显现。</w:t>
      </w:r>
    </w:p>
    <w:p>
      <w:pPr>
        <w:spacing w:line="240" w:lineRule="auto" w:before="11"/>
        <w:rPr>
          <w:rFonts w:ascii="宋体" w:hAnsi="宋体" w:cs="宋体" w:eastAsia="宋体" w:hint="default"/>
          <w:sz w:val="19"/>
          <w:szCs w:val="19"/>
        </w:rPr>
      </w:pPr>
    </w:p>
    <w:p>
      <w:pPr>
        <w:pStyle w:val="BodyText"/>
        <w:spacing w:line="456" w:lineRule="auto"/>
        <w:ind w:right="1128" w:firstLine="360"/>
        <w:jc w:val="both"/>
      </w:pPr>
      <w:r>
        <w:rPr>
          <w:rFonts w:ascii="宋体" w:hAnsi="宋体" w:cs="宋体" w:eastAsia="宋体" w:hint="default"/>
          <w:b/>
          <w:bCs/>
          <w:spacing w:val="-14"/>
          <w:w w:val="99"/>
        </w:rPr>
        <w:t>（</w:t>
      </w:r>
      <w:r>
        <w:rPr>
          <w:rFonts w:ascii="Times New Roman" w:hAnsi="Times New Roman" w:cs="Times New Roman" w:eastAsia="Times New Roman" w:hint="default"/>
          <w:b/>
          <w:bCs/>
          <w:spacing w:val="-14"/>
          <w:w w:val="99"/>
        </w:rPr>
        <w:t>4</w:t>
      </w:r>
      <w:r>
        <w:rPr>
          <w:rFonts w:ascii="宋体" w:hAnsi="宋体" w:cs="宋体" w:eastAsia="宋体" w:hint="default"/>
          <w:b/>
          <w:bCs/>
          <w:spacing w:val="-14"/>
          <w:w w:val="99"/>
        </w:rPr>
        <w:t>）“市民云”：</w:t>
      </w:r>
      <w:r>
        <w:rPr>
          <w:rFonts w:ascii="Times New Roman" w:hAnsi="Times New Roman" w:cs="Times New Roman" w:eastAsia="Times New Roman" w:hint="default"/>
          <w:spacing w:val="-14"/>
          <w:w w:val="99"/>
        </w:rPr>
        <w:t>2019</w:t>
      </w:r>
      <w:r>
        <w:rPr>
          <w:rFonts w:ascii="Times New Roman" w:hAnsi="Times New Roman" w:cs="Times New Roman" w:eastAsia="Times New Roman" w:hint="default"/>
          <w:w w:val="99"/>
        </w:rPr>
        <w:t> </w:t>
      </w:r>
      <w:r>
        <w:rPr>
          <w:spacing w:val="-4"/>
        </w:rPr>
        <w:t>年，“市民云”运营成效显著，全国品牌影响力进一步增强。</w:t>
      </w:r>
      <w:r>
        <w:rPr>
          <w:rFonts w:ascii="Times New Roman" w:hAnsi="Times New Roman" w:cs="Times New Roman" w:eastAsia="Times New Roman" w:hint="default"/>
          <w:spacing w:val="-4"/>
        </w:rPr>
        <w:t>2019</w:t>
      </w:r>
      <w:r>
        <w:rPr>
          <w:rFonts w:ascii="Times New Roman" w:hAnsi="Times New Roman" w:cs="Times New Roman" w:eastAsia="Times New Roman" w:hint="default"/>
          <w:spacing w:val="40"/>
        </w:rPr>
        <w:t> </w:t>
      </w:r>
      <w:r>
        <w:rPr>
          <w:spacing w:val="-1"/>
        </w:rPr>
        <w:t>年“市民云”已服务上海、成</w:t>
      </w:r>
      <w:r>
        <w:rPr/>
        <w:t> </w:t>
      </w:r>
      <w:r>
        <w:rPr>
          <w:spacing w:val="-3"/>
        </w:rPr>
        <w:t>都、海口、柳州、扬州、长沙、驻马店、资阳、柳州等地，覆盖人口</w:t>
      </w:r>
      <w:r>
        <w:rPr>
          <w:spacing w:val="-40"/>
        </w:rPr>
        <w:t> </w:t>
      </w:r>
      <w:r>
        <w:rPr>
          <w:rFonts w:ascii="Times New Roman" w:hAnsi="Times New Roman" w:cs="Times New Roman" w:eastAsia="Times New Roman" w:hint="default"/>
        </w:rPr>
        <w:t>8000</w:t>
      </w:r>
      <w:r>
        <w:rPr>
          <w:rFonts w:ascii="Times New Roman" w:hAnsi="Times New Roman" w:cs="Times New Roman" w:eastAsia="Times New Roman" w:hint="default"/>
          <w:spacing w:val="5"/>
        </w:rPr>
        <w:t> </w:t>
      </w:r>
      <w:r>
        <w:rPr/>
        <w:t>余万，实名注册用户超过</w:t>
      </w:r>
      <w:r>
        <w:rPr>
          <w:spacing w:val="-41"/>
        </w:rPr>
        <w:t> </w:t>
      </w:r>
      <w:r>
        <w:rPr>
          <w:rFonts w:ascii="Times New Roman" w:hAnsi="Times New Roman" w:cs="Times New Roman" w:eastAsia="Times New Roman" w:hint="default"/>
        </w:rPr>
        <w:t>2100</w:t>
      </w:r>
      <w:r>
        <w:rPr>
          <w:rFonts w:ascii="Times New Roman" w:hAnsi="Times New Roman" w:cs="Times New Roman" w:eastAsia="Times New Roman" w:hint="default"/>
          <w:spacing w:val="5"/>
        </w:rPr>
        <w:t> </w:t>
      </w:r>
      <w:r>
        <w:rPr>
          <w:spacing w:val="-3"/>
        </w:rPr>
        <w:t>万。在上海、成都</w:t>
      </w:r>
      <w:r>
        <w:rPr/>
        <w:t> </w:t>
      </w:r>
      <w:r>
        <w:rPr>
          <w:spacing w:val="-2"/>
        </w:rPr>
        <w:t>等地实现了区市县的全面覆盖，实现了互联网服务和社区服务的深度融合。“随申办市民云”获得总理点赞，并且实现了长</w:t>
      </w:r>
      <w:r>
        <w:rPr>
          <w:spacing w:val="-64"/>
        </w:rPr>
        <w:t> </w:t>
      </w:r>
      <w:r>
        <w:rPr>
          <w:spacing w:val="-64"/>
        </w:rPr>
      </w:r>
      <w:r>
        <w:rPr/>
        <w:t>三角无感漫游。中国软件评测中心发布的 </w:t>
      </w:r>
      <w:r>
        <w:rPr>
          <w:rFonts w:ascii="Times New Roman" w:hAnsi="Times New Roman" w:cs="Times New Roman" w:eastAsia="Times New Roman" w:hint="default"/>
        </w:rPr>
        <w:t>2019 </w:t>
      </w:r>
      <w:r>
        <w:rPr>
          <w:spacing w:val="-4"/>
          <w:w w:val="99"/>
        </w:rPr>
        <w:t>年数字政府服务能力评估结果中，“随申办市民云”</w:t>
      </w:r>
      <w:r>
        <w:rPr>
          <w:rFonts w:ascii="Times New Roman" w:hAnsi="Times New Roman" w:cs="Times New Roman" w:eastAsia="Times New Roman" w:hint="default"/>
          <w:spacing w:val="-4"/>
          <w:w w:val="99"/>
        </w:rPr>
        <w:t>APP</w:t>
      </w:r>
      <w:r>
        <w:rPr>
          <w:rFonts w:ascii="Times New Roman" w:hAnsi="Times New Roman" w:cs="Times New Roman" w:eastAsia="Times New Roman" w:hint="default"/>
          <w:spacing w:val="13"/>
          <w:w w:val="99"/>
        </w:rPr>
        <w:t> </w:t>
      </w:r>
      <w:r>
        <w:rPr>
          <w:spacing w:val="-1"/>
        </w:rPr>
        <w:t>荣获省级政府优秀</w:t>
      </w:r>
      <w:r>
        <w:rPr/>
        <w:t> 政务</w:t>
      </w:r>
      <w:r>
        <w:rPr>
          <w:spacing w:val="-22"/>
        </w:rPr>
        <w:t> </w:t>
      </w:r>
      <w:r>
        <w:rPr>
          <w:rFonts w:ascii="Times New Roman" w:hAnsi="Times New Roman" w:cs="Times New Roman" w:eastAsia="Times New Roman" w:hint="default"/>
          <w:spacing w:val="-10"/>
          <w:w w:val="99"/>
        </w:rPr>
        <w:t>APP</w:t>
      </w:r>
      <w:r>
        <w:rPr>
          <w:spacing w:val="-10"/>
          <w:w w:val="99"/>
        </w:rPr>
        <w:t>，长沙市民云（“我的长沙”）</w:t>
      </w:r>
      <w:r>
        <w:rPr>
          <w:rFonts w:ascii="Times New Roman" w:hAnsi="Times New Roman" w:cs="Times New Roman" w:eastAsia="Times New Roman" w:hint="default"/>
          <w:spacing w:val="-10"/>
          <w:w w:val="99"/>
        </w:rPr>
        <w:t>APP</w:t>
      </w:r>
      <w:r>
        <w:rPr>
          <w:rFonts w:ascii="Times New Roman" w:hAnsi="Times New Roman" w:cs="Times New Roman" w:eastAsia="Times New Roman" w:hint="default"/>
          <w:spacing w:val="27"/>
          <w:w w:val="99"/>
        </w:rPr>
        <w:t> </w:t>
      </w:r>
      <w:r>
        <w:rPr>
          <w:spacing w:val="-1"/>
        </w:rPr>
        <w:t>荣获重点城市优秀政务</w:t>
      </w:r>
      <w:r>
        <w:rPr>
          <w:spacing w:val="-22"/>
        </w:rPr>
        <w:t> </w:t>
      </w:r>
      <w:r>
        <w:rPr>
          <w:rFonts w:ascii="Times New Roman" w:hAnsi="Times New Roman" w:cs="Times New Roman" w:eastAsia="Times New Roman" w:hint="default"/>
          <w:spacing w:val="-1"/>
          <w:w w:val="99"/>
        </w:rPr>
        <w:t>APP</w:t>
      </w:r>
      <w:r>
        <w:rPr>
          <w:rFonts w:ascii="Times New Roman" w:hAnsi="Times New Roman" w:cs="Times New Roman" w:eastAsia="Times New Roman" w:hint="default"/>
          <w:spacing w:val="27"/>
          <w:w w:val="99"/>
        </w:rPr>
        <w:t> </w:t>
      </w:r>
      <w:r>
        <w:rPr>
          <w:spacing w:val="-5"/>
          <w:w w:val="99"/>
        </w:rPr>
        <w:t>和市级十大优秀创新案例，“龙城市民云”</w:t>
      </w:r>
      <w:r>
        <w:rPr>
          <w:rFonts w:ascii="Times New Roman" w:hAnsi="Times New Roman" w:cs="Times New Roman" w:eastAsia="Times New Roman" w:hint="default"/>
          <w:spacing w:val="-5"/>
          <w:w w:val="99"/>
        </w:rPr>
        <w:t>APP</w:t>
      </w:r>
      <w:r>
        <w:rPr>
          <w:rFonts w:ascii="Times New Roman" w:hAnsi="Times New Roman" w:cs="Times New Roman" w:eastAsia="Times New Roman" w:hint="default"/>
          <w:spacing w:val="24"/>
          <w:w w:val="99"/>
        </w:rPr>
        <w:t> </w:t>
      </w:r>
      <w:r>
        <w:rPr/>
        <w:t>入</w:t>
      </w:r>
      <w:r>
        <w:rPr>
          <w:spacing w:val="-88"/>
        </w:rPr>
        <w:t> </w:t>
      </w:r>
      <w:r>
        <w:rPr>
          <w:spacing w:val="-6"/>
        </w:rPr>
        <w:t>选市级十大优秀创新案例。“天府市民云”上线</w:t>
      </w:r>
      <w:r>
        <w:rPr>
          <w:spacing w:val="-42"/>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年用户超过</w:t>
      </w:r>
      <w:r>
        <w:rPr>
          <w:spacing w:val="-44"/>
        </w:rPr>
        <w:t> </w:t>
      </w:r>
      <w:r>
        <w:rPr>
          <w:rFonts w:ascii="Times New Roman" w:hAnsi="Times New Roman" w:cs="Times New Roman" w:eastAsia="Times New Roman" w:hint="default"/>
          <w:spacing w:val="-1"/>
        </w:rPr>
        <w:t>300</w:t>
      </w:r>
      <w:r>
        <w:rPr>
          <w:rFonts w:ascii="Times New Roman" w:hAnsi="Times New Roman" w:cs="Times New Roman" w:eastAsia="Times New Roman" w:hint="default"/>
          <w:spacing w:val="4"/>
        </w:rPr>
        <w:t> </w:t>
      </w:r>
      <w:r>
        <w:rPr>
          <w:spacing w:val="-2"/>
        </w:rPr>
        <w:t>万，服务</w:t>
      </w:r>
      <w:r>
        <w:rPr>
          <w:spacing w:val="-44"/>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spacing w:val="-2"/>
        </w:rPr>
        <w:t>亿人次，荣获“</w:t>
      </w:r>
      <w:r>
        <w:rPr>
          <w:rFonts w:ascii="Times New Roman" w:hAnsi="Times New Roman" w:cs="Times New Roman" w:eastAsia="Times New Roman" w:hint="default"/>
          <w:spacing w:val="-2"/>
        </w:rPr>
        <w:t>2019</w:t>
      </w:r>
      <w:r>
        <w:rPr>
          <w:rFonts w:ascii="Times New Roman" w:hAnsi="Times New Roman" w:cs="Times New Roman" w:eastAsia="Times New Roman" w:hint="default"/>
          <w:spacing w:val="5"/>
        </w:rPr>
        <w:t> </w:t>
      </w:r>
      <w:r>
        <w:rPr/>
        <w:t>中国数字经济与智慧社会 </w:t>
      </w:r>
      <w:r>
        <w:rPr>
          <w:spacing w:val="-5"/>
        </w:rPr>
        <w:t>优秀服务奖”和“中国网络理政十大创新案例”。</w:t>
      </w:r>
    </w:p>
    <w:p>
      <w:pPr>
        <w:pStyle w:val="BodyText"/>
        <w:spacing w:line="460" w:lineRule="auto" w:before="109"/>
        <w:ind w:right="1034" w:firstLine="360"/>
        <w:jc w:val="left"/>
      </w:pPr>
      <w:r>
        <w:rPr>
          <w:rFonts w:ascii="宋体" w:hAnsi="宋体" w:cs="宋体" w:eastAsia="宋体" w:hint="default"/>
          <w:b/>
          <w:bCs/>
        </w:rPr>
        <w:t>（</w:t>
      </w:r>
      <w:r>
        <w:rPr>
          <w:rFonts w:ascii="Times New Roman" w:hAnsi="Times New Roman" w:cs="Times New Roman" w:eastAsia="Times New Roman" w:hint="default"/>
          <w:b/>
          <w:bCs/>
        </w:rPr>
        <w:t>5</w:t>
      </w:r>
      <w:r>
        <w:rPr>
          <w:rFonts w:ascii="宋体" w:hAnsi="宋体" w:cs="宋体" w:eastAsia="宋体" w:hint="default"/>
          <w:b/>
          <w:bCs/>
        </w:rPr>
        <w:t>）智慧民生：</w:t>
      </w:r>
      <w:r>
        <w:rPr/>
        <w:t>公司成为人社行业标准制定、实施</w:t>
      </w:r>
      <w:r>
        <w:rPr>
          <w:spacing w:val="-43"/>
        </w:rPr>
        <w:t> </w:t>
      </w:r>
      <w:r>
        <w:rPr/>
        <w:t>总集成单位，确立了行业引领位置。在事业群三大板块业务上，市</w:t>
      </w:r>
      <w:r>
        <w:rPr/>
        <w:t> 场取得积极进展，人社业务挺进雄安、安徽等新兴市场，布局更加完善，养老服务不断发展；民生创新业务取得积极进展，</w:t>
      </w:r>
      <w:r>
        <w:rPr>
          <w:spacing w:val="-83"/>
        </w:rPr>
        <w:t> </w:t>
      </w:r>
      <w:r>
        <w:rPr>
          <w:spacing w:val="-83"/>
        </w:rPr>
      </w:r>
      <w:r>
        <w:rPr>
          <w:spacing w:val="-2"/>
        </w:rPr>
        <w:t>智慧人社运营服务在河南、攀枝花等地落地，职业培训运营服务稳步推进，人力资源产品及运营积极开展；民生保障行业稳</w:t>
      </w:r>
      <w:r>
        <w:rPr>
          <w:spacing w:val="-65"/>
        </w:rPr>
        <w:t> </w:t>
      </w:r>
      <w:r>
        <w:rPr>
          <w:spacing w:val="-65"/>
        </w:rPr>
      </w:r>
      <w:r>
        <w:rPr/>
        <w:t>定发展，客户满意度不断提升，传统和创新业务同步进行。</w:t>
      </w:r>
      <w:r>
        <w:rPr>
          <w:rFonts w:ascii="Times New Roman" w:hAnsi="Times New Roman" w:cs="Times New Roman" w:eastAsia="Times New Roman" w:hint="default"/>
        </w:rPr>
        <w:t>2019 </w:t>
      </w:r>
      <w:r>
        <w:rPr/>
        <w:t>年，民生产品在基础产品能力和技术创新能力上进一步提</w:t>
      </w:r>
      <w:r>
        <w:rPr>
          <w:spacing w:val="-84"/>
        </w:rPr>
        <w:t> </w:t>
      </w:r>
      <w:r>
        <w:rPr>
          <w:spacing w:val="-84"/>
        </w:rPr>
      </w:r>
      <w:r>
        <w:rPr/>
        <w:t>升。公共服务产品领域，中标人社部</w:t>
      </w:r>
      <w:r>
        <w:rPr>
          <w:spacing w:val="-47"/>
        </w:rPr>
        <w:t> </w:t>
      </w:r>
      <w:r>
        <w:rPr>
          <w:rFonts w:ascii="Times New Roman" w:hAnsi="Times New Roman" w:cs="Times New Roman" w:eastAsia="Times New Roman" w:hint="default"/>
        </w:rPr>
        <w:t>12333</w:t>
      </w:r>
      <w:r>
        <w:rPr>
          <w:rFonts w:ascii="Times New Roman" w:hAnsi="Times New Roman" w:cs="Times New Roman" w:eastAsia="Times New Roman" w:hint="default"/>
          <w:spacing w:val="-1"/>
        </w:rPr>
        <w:t> </w:t>
      </w:r>
      <w:r>
        <w:rPr/>
        <w:t>电话咨询项目，四川互联网</w:t>
      </w:r>
      <w:r>
        <w:rPr>
          <w:rFonts w:ascii="Times New Roman" w:hAnsi="Times New Roman" w:cs="Times New Roman" w:eastAsia="Times New Roman" w:hint="default"/>
        </w:rPr>
        <w:t>+</w:t>
      </w:r>
      <w:r>
        <w:rPr/>
        <w:t>公共服务上线；基础平台产品领域，围绕民生一网 </w:t>
      </w:r>
      <w:r>
        <w:rPr>
          <w:spacing w:val="-2"/>
        </w:rPr>
        <w:t>通办业务取得积极进展，江西社保一网通办、青岛人社三化全面升级，镇江人社一网通办一期上线；大数据产品继续稳步推</w:t>
      </w:r>
      <w:r>
        <w:rPr>
          <w:spacing w:val="-64"/>
        </w:rPr>
        <w:t> </w:t>
      </w:r>
      <w:r>
        <w:rPr>
          <w:spacing w:val="-64"/>
        </w:rPr>
      </w:r>
      <w:r>
        <w:rPr/>
        <w:t>进“互联网</w:t>
      </w:r>
      <w:r>
        <w:rPr>
          <w:rFonts w:ascii="Times New Roman" w:hAnsi="Times New Roman" w:cs="Times New Roman" w:eastAsia="Times New Roman" w:hint="default"/>
        </w:rPr>
        <w:t>+</w:t>
      </w:r>
      <w:r>
        <w:rPr/>
        <w:t>人社</w:t>
      </w:r>
      <w:r>
        <w:rPr>
          <w:spacing w:val="-5"/>
        </w:rPr>
        <w:t> </w:t>
      </w:r>
      <w:r>
        <w:rPr>
          <w:rFonts w:ascii="Times New Roman" w:hAnsi="Times New Roman" w:cs="Times New Roman" w:eastAsia="Times New Roman" w:hint="default"/>
        </w:rPr>
        <w:t>20202</w:t>
      </w:r>
      <w:r>
        <w:rPr/>
        <w:t>”行动计划，中标青岛大数据、苏州大数据；技术创新方面，在产品智能化应用方面取得突破，终 端设备</w:t>
      </w:r>
      <w:r>
        <w:rPr>
          <w:spacing w:val="-33"/>
        </w:rPr>
        <w:t> </w:t>
      </w:r>
      <w:r>
        <w:rPr>
          <w:rFonts w:ascii="Times New Roman" w:hAnsi="Times New Roman" w:cs="Times New Roman" w:eastAsia="Times New Roman" w:hint="default"/>
        </w:rPr>
        <w:t>OCR</w:t>
      </w:r>
      <w:r>
        <w:rPr>
          <w:rFonts w:ascii="Times New Roman" w:hAnsi="Times New Roman" w:cs="Times New Roman" w:eastAsia="Times New Roman" w:hint="default"/>
          <w:spacing w:val="11"/>
        </w:rPr>
        <w:t> </w:t>
      </w:r>
      <w:r>
        <w:rPr/>
        <w:t>智能识别、语音识别等人工智能技术得到创新应用；智慧人社</w:t>
      </w:r>
      <w:r>
        <w:rPr>
          <w:spacing w:val="-33"/>
        </w:rPr>
        <w:t> </w:t>
      </w:r>
      <w:r>
        <w:rPr>
          <w:rFonts w:ascii="Times New Roman" w:hAnsi="Times New Roman" w:cs="Times New Roman" w:eastAsia="Times New Roman" w:hint="default"/>
        </w:rPr>
        <w:t>APP</w:t>
      </w:r>
      <w:r>
        <w:rPr>
          <w:rFonts w:ascii="Times New Roman" w:hAnsi="Times New Roman" w:cs="Times New Roman" w:eastAsia="Times New Roman" w:hint="default"/>
          <w:spacing w:val="14"/>
        </w:rPr>
        <w:t> </w:t>
      </w:r>
      <w:r>
        <w:rPr/>
        <w:t>产品集大数据、</w:t>
      </w:r>
      <w:r>
        <w:rPr>
          <w:rFonts w:ascii="Times New Roman" w:hAnsi="Times New Roman" w:cs="Times New Roman" w:eastAsia="Times New Roman" w:hint="default"/>
        </w:rPr>
        <w:t>AI</w:t>
      </w:r>
      <w:r>
        <w:rPr>
          <w:rFonts w:ascii="Times New Roman" w:hAnsi="Times New Roman" w:cs="Times New Roman" w:eastAsia="Times New Roman" w:hint="default"/>
          <w:spacing w:val="12"/>
        </w:rPr>
        <w:t> </w:t>
      </w:r>
      <w:r>
        <w:rPr/>
        <w:t>智能客服等一体化移动 智慧平台在河南智慧人社落单。</w:t>
      </w:r>
    </w:p>
    <w:p>
      <w:pPr>
        <w:pStyle w:val="BodyText"/>
        <w:spacing w:line="458" w:lineRule="auto" w:before="107"/>
        <w:ind w:right="1128" w:firstLine="360"/>
        <w:jc w:val="both"/>
      </w:pPr>
      <w:r>
        <w:rPr>
          <w:rFonts w:ascii="宋体" w:hAnsi="宋体" w:cs="宋体" w:eastAsia="宋体" w:hint="default"/>
          <w:b/>
          <w:bCs/>
          <w:spacing w:val="-6"/>
          <w:w w:val="99"/>
        </w:rPr>
        <w:t>（</w:t>
      </w:r>
      <w:r>
        <w:rPr>
          <w:rFonts w:ascii="Times New Roman" w:hAnsi="Times New Roman" w:cs="Times New Roman" w:eastAsia="Times New Roman" w:hint="default"/>
          <w:b/>
          <w:bCs/>
          <w:spacing w:val="-6"/>
          <w:w w:val="99"/>
        </w:rPr>
        <w:t>6</w:t>
      </w:r>
      <w:r>
        <w:rPr>
          <w:rFonts w:ascii="宋体" w:hAnsi="宋体" w:cs="宋体" w:eastAsia="宋体" w:hint="default"/>
          <w:b/>
          <w:bCs/>
          <w:spacing w:val="-6"/>
          <w:w w:val="99"/>
        </w:rPr>
        <w:t>）“养老云”：</w:t>
      </w:r>
      <w:r>
        <w:rPr>
          <w:spacing w:val="-6"/>
          <w:w w:val="99"/>
        </w:rPr>
        <w:t>公司在上海、重庆、温州、烟台、义乌等多个城市开展养老创新服务，基于养老云平台，已为</w:t>
      </w:r>
      <w:r>
        <w:rPr>
          <w:w w:val="99"/>
        </w:rPr>
        <w:t> </w:t>
      </w:r>
      <w:r>
        <w:rPr>
          <w:rFonts w:ascii="Times New Roman" w:hAnsi="Times New Roman" w:cs="Times New Roman" w:eastAsia="Times New Roman" w:hint="default"/>
        </w:rPr>
        <w:t>40</w:t>
      </w:r>
      <w:r>
        <w:rPr>
          <w:rFonts w:ascii="Times New Roman" w:hAnsi="Times New Roman" w:cs="Times New Roman" w:eastAsia="Times New Roman" w:hint="default"/>
          <w:spacing w:val="-19"/>
        </w:rPr>
        <w:t> </w:t>
      </w:r>
      <w:r>
        <w:rPr/>
        <w:t>多个 </w:t>
      </w:r>
      <w:r>
        <w:rPr>
          <w:spacing w:val="-2"/>
        </w:rPr>
        <w:t>养老机构提供智慧养老服务管理，累计注册用户近十万人，在支撑政府部门落实长护险、医养结合惠民举措、帮助政府部门</w:t>
      </w:r>
      <w:r>
        <w:rPr>
          <w:spacing w:val="-64"/>
        </w:rPr>
        <w:t> </w:t>
      </w:r>
      <w:r>
        <w:rPr>
          <w:spacing w:val="-64"/>
        </w:rPr>
      </w:r>
      <w:r>
        <w:rPr/>
        <w:t>对服务过程进行有效监管方面，发挥了重要作用。机构养护产品在</w:t>
      </w:r>
      <w:r>
        <w:rPr>
          <w:spacing w:val="-5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8"/>
        </w:rPr>
        <w:t> </w:t>
      </w:r>
      <w:r>
        <w:rPr/>
        <w:t>年完成了</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版本向</w:t>
      </w:r>
      <w:r>
        <w:rPr>
          <w:spacing w:val="-54"/>
        </w:rPr>
        <w:t> </w:t>
      </w:r>
      <w:r>
        <w:rPr>
          <w:rFonts w:ascii="Times New Roman" w:hAnsi="Times New Roman" w:cs="Times New Roman" w:eastAsia="Times New Roman" w:hint="default"/>
        </w:rPr>
        <w:t>2.0</w:t>
      </w:r>
      <w:r>
        <w:rPr>
          <w:rFonts w:ascii="Times New Roman" w:hAnsi="Times New Roman" w:cs="Times New Roman" w:eastAsia="Times New Roman" w:hint="default"/>
          <w:spacing w:val="-9"/>
        </w:rPr>
        <w:t> </w:t>
      </w:r>
      <w:r>
        <w:rPr>
          <w:spacing w:val="-3"/>
        </w:rPr>
        <w:t>版本的更新，进行了技术升</w:t>
      </w:r>
      <w:r>
        <w:rPr/>
        <w:t> 级，前后端分离，支持分布式事务等功能完善，并在青浦白鹤项目和龙湖地产养老运营平台项目完成了项目落地。</w:t>
      </w:r>
    </w:p>
    <w:p>
      <w:pPr>
        <w:pStyle w:val="BodyText"/>
        <w:spacing w:line="468" w:lineRule="auto" w:before="109"/>
        <w:ind w:right="1128" w:firstLine="360"/>
        <w:jc w:val="both"/>
      </w:pPr>
      <w:r>
        <w:rPr>
          <w:rFonts w:ascii="宋体" w:hAnsi="宋体" w:cs="宋体" w:eastAsia="宋体" w:hint="default"/>
          <w:b/>
          <w:bCs/>
        </w:rPr>
        <w:t>（</w:t>
      </w:r>
      <w:r>
        <w:rPr>
          <w:rFonts w:ascii="Times New Roman" w:hAnsi="Times New Roman" w:cs="Times New Roman" w:eastAsia="Times New Roman" w:hint="default"/>
          <w:b/>
          <w:bCs/>
        </w:rPr>
        <w:t>7</w:t>
      </w:r>
      <w:r>
        <w:rPr>
          <w:rFonts w:ascii="宋体" w:hAnsi="宋体" w:cs="宋体" w:eastAsia="宋体" w:hint="default"/>
          <w:b/>
          <w:bCs/>
        </w:rPr>
        <w:t>）城市安全：</w:t>
      </w:r>
      <w:r>
        <w:rPr/>
        <w:t>公司重点完成了公安大数据交换平台、公安综合执法业务平台、雪亮工程视频数据交换平台、天瞳布 </w:t>
      </w:r>
      <w:r>
        <w:rPr>
          <w:spacing w:val="-2"/>
        </w:rPr>
        <w:t>控系统、通航空管系统、地铁资产管理信息系统的开发；完成了移动安全管理、出入境大数据建模、智慧矫正综合业务平台</w:t>
      </w:r>
      <w:r>
        <w:rPr>
          <w:spacing w:val="-66"/>
        </w:rPr>
        <w:t> </w:t>
      </w:r>
      <w:r>
        <w:rPr>
          <w:spacing w:val="-66"/>
        </w:rPr>
      </w:r>
      <w:r>
        <w:rPr>
          <w:spacing w:val="-2"/>
        </w:rPr>
        <w:t>三个软件的产品化工作；信创领域，公司完成了智慧戒毒综合业务平台和智慧检务辅助办案系统的业务软件匹配工作。公司</w:t>
      </w:r>
      <w:r>
        <w:rPr>
          <w:spacing w:val="-61"/>
        </w:rPr>
        <w:t> </w:t>
      </w:r>
      <w:r>
        <w:rPr>
          <w:spacing w:val="-61"/>
        </w:rPr>
      </w:r>
      <w:r>
        <w:rPr/>
        <w:t>成立了行业和产品规划部，加强在行业专业能力和产品能力的提升。两个业务系统获得司法部二等奖。</w:t>
      </w:r>
    </w:p>
    <w:p>
      <w:pPr>
        <w:pStyle w:val="BodyText"/>
        <w:spacing w:line="458" w:lineRule="auto" w:before="100"/>
        <w:ind w:right="1130" w:firstLine="360"/>
        <w:jc w:val="both"/>
      </w:pPr>
      <w:r>
        <w:rPr>
          <w:rFonts w:ascii="宋体" w:hAnsi="宋体" w:cs="宋体" w:eastAsia="宋体" w:hint="default"/>
          <w:b/>
          <w:bCs/>
          <w:w w:val="99"/>
        </w:rPr>
        <w:t>（</w:t>
      </w:r>
      <w:r>
        <w:rPr>
          <w:rFonts w:ascii="Times New Roman" w:hAnsi="Times New Roman" w:cs="Times New Roman" w:eastAsia="Times New Roman" w:hint="default"/>
          <w:b/>
          <w:bCs/>
          <w:w w:val="99"/>
        </w:rPr>
        <w:t>8</w:t>
      </w:r>
      <w:r>
        <w:rPr>
          <w:rFonts w:ascii="宋体" w:hAnsi="宋体" w:cs="宋体" w:eastAsia="宋体" w:hint="default"/>
          <w:b/>
          <w:bCs/>
          <w:w w:val="99"/>
        </w:rPr>
        <w:t>）智慧教育：</w:t>
      </w:r>
      <w:r>
        <w:rPr>
          <w:rFonts w:ascii="Times New Roman" w:hAnsi="Times New Roman" w:cs="Times New Roman" w:eastAsia="Times New Roman" w:hint="default"/>
          <w:w w:val="99"/>
        </w:rPr>
        <w:t>2019</w:t>
      </w:r>
      <w:r>
        <w:rPr>
          <w:rFonts w:ascii="Times New Roman" w:hAnsi="Times New Roman" w:cs="Times New Roman" w:eastAsia="Times New Roman" w:hint="default"/>
          <w:spacing w:val="30"/>
          <w:w w:val="99"/>
        </w:rPr>
        <w:t> </w:t>
      </w:r>
      <w:r>
        <w:rPr>
          <w:spacing w:val="-3"/>
        </w:rPr>
        <w:t>年，公司继续承担上海大规模智慧学习平台（上海微校）建设及运营保障服务，“上海微校”将</w:t>
      </w:r>
      <w:r>
        <w:rPr/>
        <w:t> </w:t>
      </w:r>
      <w:r>
        <w:rPr>
          <w:spacing w:val="-2"/>
        </w:rPr>
        <w:t>为每个学习者创建终生学习档案和提供优质学习资源，同时构建上海智慧学习联盟。此外公司提供上海青少年体育素养大数</w:t>
      </w:r>
      <w:r>
        <w:rPr>
          <w:spacing w:val="-64"/>
        </w:rPr>
        <w:t> </w:t>
      </w:r>
      <w:r>
        <w:rPr>
          <w:spacing w:val="-64"/>
        </w:rPr>
      </w:r>
      <w:r>
        <w:rPr>
          <w:spacing w:val="-3"/>
        </w:rPr>
        <w:t>据平台，面向上海</w:t>
      </w:r>
      <w:r>
        <w:rPr>
          <w:spacing w:val="-73"/>
        </w:rPr>
        <w:t> </w:t>
      </w:r>
      <w:r>
        <w:rPr>
          <w:rFonts w:ascii="Times New Roman" w:hAnsi="Times New Roman" w:cs="Times New Roman" w:eastAsia="Times New Roman" w:hint="default"/>
        </w:rPr>
        <w:t>140</w:t>
      </w:r>
      <w:r>
        <w:rPr>
          <w:rFonts w:ascii="Times New Roman" w:hAnsi="Times New Roman" w:cs="Times New Roman" w:eastAsia="Times New Roman" w:hint="default"/>
          <w:spacing w:val="-27"/>
        </w:rPr>
        <w:t> </w:t>
      </w:r>
      <w:r>
        <w:rPr/>
        <w:t>万学生提供体育素养监测、分析及干预服务，已完成多个区试点，后续将不断扩展服务范围，实现全 </w:t>
      </w:r>
      <w:r>
        <w:rPr>
          <w:spacing w:val="-2"/>
        </w:rPr>
        <w:t>上海覆盖。在智慧校园方面，以打造智慧校园标杆为目标，成功推进万达信息在高校智慧校园项目落地，为后续业务拓展打</w:t>
      </w:r>
    </w:p>
    <w:p>
      <w:pPr>
        <w:spacing w:after="0" w:line="458"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2602"/>
        <w:jc w:val="left"/>
      </w:pPr>
      <w:r>
        <w:rPr/>
        <w:t>下基础。</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right="2602"/>
        <w:jc w:val="left"/>
        <w:rPr>
          <w:b w:val="0"/>
          <w:bCs w:val="0"/>
        </w:rPr>
      </w:pPr>
      <w:bookmarkStart w:name="二、主营业务分析" w:id="27"/>
      <w:bookmarkEnd w:id="27"/>
      <w:r>
        <w:rPr>
          <w:b w:val="0"/>
          <w:bCs w:val="0"/>
        </w:rPr>
      </w:r>
      <w:r>
        <w:rPr/>
        <w:t>二、主营业务分析</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概述" w:id="28"/>
      <w:bookmarkEnd w:id="28"/>
      <w:r>
        <w:rPr>
          <w:b w:val="0"/>
          <w:bCs w:val="0"/>
        </w:rPr>
      </w:r>
      <w:r>
        <w:rPr>
          <w:rFonts w:ascii="Times New Roman" w:hAnsi="Times New Roman" w:cs="Times New Roman" w:eastAsia="Times New Roman" w:hint="default"/>
        </w:rPr>
        <w:t>1</w:t>
      </w:r>
      <w:r>
        <w:rPr/>
        <w:t>、概述</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2602"/>
        <w:jc w:val="left"/>
      </w:pPr>
      <w:r>
        <w:rPr/>
        <w:t>参见“经营情况讨论与分析”中的“一、概述”相关内容。</w:t>
      </w:r>
    </w:p>
    <w:p>
      <w:pPr>
        <w:spacing w:line="240" w:lineRule="auto" w:before="0"/>
        <w:rPr>
          <w:rFonts w:ascii="宋体" w:hAnsi="宋体" w:cs="宋体" w:eastAsia="宋体" w:hint="default"/>
          <w:sz w:val="18"/>
          <w:szCs w:val="18"/>
        </w:rPr>
      </w:pPr>
    </w:p>
    <w:p>
      <w:pPr>
        <w:pStyle w:val="Heading3"/>
        <w:spacing w:line="240" w:lineRule="auto" w:before="120"/>
        <w:ind w:right="2602"/>
        <w:jc w:val="left"/>
        <w:rPr>
          <w:b w:val="0"/>
          <w:bCs w:val="0"/>
        </w:rPr>
      </w:pPr>
      <w:bookmarkStart w:name="2、收入与成本" w:id="29"/>
      <w:bookmarkEnd w:id="29"/>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营业收入构成" w:id="30"/>
      <w:bookmarkEnd w:id="30"/>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2602"/>
        <w:jc w:val="left"/>
      </w:pPr>
      <w:r>
        <w:rPr/>
        <w:t>营业收入整体情况</w:t>
      </w:r>
    </w:p>
    <w:p>
      <w:pPr>
        <w:pStyle w:val="BodyText"/>
        <w:spacing w:line="240" w:lineRule="auto" w:before="117"/>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1"/>
        <w:gridCol w:w="1599"/>
        <w:gridCol w:w="1588"/>
        <w:gridCol w:w="1597"/>
      </w:tblGrid>
      <w:tr>
        <w:trPr>
          <w:trHeight w:val="206" w:hRule="exact"/>
        </w:trPr>
        <w:tc>
          <w:tcPr>
            <w:tcW w:w="159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8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599" w:type="dxa"/>
            <w:vMerge w:val="restart"/>
            <w:tcBorders>
              <w:top w:val="nil" w:sz="6" w:space="0" w:color="auto"/>
              <w:left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3187" w:type="dxa"/>
            <w:gridSpan w:val="2"/>
            <w:vMerge/>
            <w:tcBorders>
              <w:left w:val="single" w:sz="4" w:space="0" w:color="000000"/>
              <w:bottom w:val="single" w:sz="4" w:space="0" w:color="000000"/>
              <w:right w:val="single" w:sz="4" w:space="0" w:color="000000"/>
            </w:tcBorders>
            <w:shd w:val="clear" w:color="auto" w:fill="D2D2D2"/>
          </w:tcPr>
          <w:p>
            <w:pPr/>
          </w:p>
        </w:tc>
        <w:tc>
          <w:tcPr>
            <w:tcW w:w="15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35"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202" w:hRule="exact"/>
        </w:trPr>
        <w:tc>
          <w:tcPr>
            <w:tcW w:w="1599"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4"/>
              <w:jc w:val="center"/>
              <w:rPr>
                <w:rFonts w:ascii="宋体" w:hAnsi="宋体" w:cs="宋体" w:eastAsia="宋体" w:hint="default"/>
                <w:sz w:val="18"/>
                <w:szCs w:val="18"/>
              </w:rPr>
            </w:pPr>
            <w:r>
              <w:rPr>
                <w:rFonts w:ascii="宋体" w:hAnsi="宋体" w:cs="宋体" w:eastAsia="宋体" w:hint="default"/>
                <w:sz w:val="18"/>
                <w:szCs w:val="18"/>
              </w:rPr>
              <w:t>金额</w:t>
            </w:r>
          </w:p>
        </w:tc>
        <w:tc>
          <w:tcPr>
            <w:tcW w:w="15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7" w:type="dxa"/>
            <w:vMerge/>
            <w:tcBorders>
              <w:left w:val="single" w:sz="4" w:space="0" w:color="000000"/>
              <w:bottom w:val="nil" w:sz="6" w:space="0" w:color="auto"/>
              <w:right w:val="single" w:sz="4" w:space="0" w:color="000000"/>
            </w:tcBorders>
            <w:shd w:val="clear" w:color="auto" w:fill="D2D2D2"/>
          </w:tcPr>
          <w:p>
            <w:pPr/>
          </w:p>
        </w:tc>
      </w:tr>
      <w:tr>
        <w:trPr>
          <w:trHeight w:val="204" w:hRule="exact"/>
        </w:trPr>
        <w:tc>
          <w:tcPr>
            <w:tcW w:w="15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1" w:type="dxa"/>
            <w:vMerge/>
            <w:tcBorders>
              <w:left w:val="single" w:sz="4" w:space="0" w:color="000000"/>
              <w:bottom w:val="single" w:sz="4" w:space="0" w:color="000000"/>
              <w:right w:val="single" w:sz="4" w:space="0" w:color="000000"/>
            </w:tcBorders>
            <w:shd w:val="clear" w:color="auto" w:fill="D2D2D2"/>
          </w:tcPr>
          <w:p>
            <w:pPr/>
          </w:p>
        </w:tc>
        <w:tc>
          <w:tcPr>
            <w:tcW w:w="1599"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59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8"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spacing w:val="-1"/>
                <w:sz w:val="18"/>
              </w:rPr>
              <w:t>2,124,500,987.29</w:t>
            </w:r>
          </w:p>
        </w:tc>
        <w:tc>
          <w:tcPr>
            <w:tcW w:w="15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5"/>
              <w:jc w:val="right"/>
              <w:rPr>
                <w:rFonts w:ascii="Times New Roman" w:hAnsi="Times New Roman" w:cs="Times New Roman" w:eastAsia="Times New Roman" w:hint="default"/>
                <w:sz w:val="18"/>
                <w:szCs w:val="18"/>
              </w:rPr>
            </w:pPr>
            <w:r>
              <w:rPr>
                <w:rFonts w:ascii="Times New Roman"/>
                <w:sz w:val="18"/>
              </w:rPr>
              <w:t>100%</w:t>
            </w:r>
          </w:p>
        </w:tc>
        <w:tc>
          <w:tcPr>
            <w:tcW w:w="1599"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2,204,681,762.59</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2"/>
              <w:jc w:val="right"/>
              <w:rPr>
                <w:rFonts w:ascii="Times New Roman" w:hAnsi="Times New Roman" w:cs="Times New Roman" w:eastAsia="Times New Roman" w:hint="default"/>
                <w:sz w:val="18"/>
                <w:szCs w:val="18"/>
              </w:rPr>
            </w:pPr>
            <w:r>
              <w:rPr>
                <w:rFonts w:ascii="Times New Roman"/>
                <w:sz w:val="18"/>
              </w:rPr>
              <w:t>100%</w:t>
            </w:r>
          </w:p>
        </w:tc>
        <w:tc>
          <w:tcPr>
            <w:tcW w:w="15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-3.64%</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民生服务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999,229,443.84</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47.03%</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5"/>
              <w:jc w:val="right"/>
              <w:rPr>
                <w:rFonts w:ascii="Times New Roman" w:hAnsi="Times New Roman" w:cs="Times New Roman" w:eastAsia="Times New Roman" w:hint="default"/>
                <w:sz w:val="18"/>
                <w:szCs w:val="18"/>
              </w:rPr>
            </w:pPr>
            <w:r>
              <w:rPr>
                <w:rFonts w:ascii="Times New Roman"/>
                <w:spacing w:val="-1"/>
                <w:sz w:val="18"/>
              </w:rPr>
              <w:t>824,930,911.12</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37.42%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21.13%</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智慧城市（其他）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1,125,271,543.45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52.97%</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1,379,750,851.47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62.58%</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-18.44%</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897,076,098.73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42.23%</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1,063,955,386.52</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48.26%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-15.68%</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运营服务收入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428,755,640.46</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20.18%</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5"/>
              <w:jc w:val="right"/>
              <w:rPr>
                <w:rFonts w:ascii="Times New Roman" w:hAnsi="Times New Roman" w:cs="Times New Roman" w:eastAsia="Times New Roman" w:hint="default"/>
                <w:sz w:val="18"/>
                <w:szCs w:val="18"/>
              </w:rPr>
            </w:pPr>
            <w:r>
              <w:rPr>
                <w:rFonts w:ascii="Times New Roman"/>
                <w:spacing w:val="-1"/>
                <w:sz w:val="18"/>
              </w:rPr>
              <w:t>462,705,640.29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20.99%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-7.34%</w:t>
            </w:r>
          </w:p>
        </w:tc>
      </w:tr>
      <w:tr>
        <w:trPr>
          <w:trHeight w:val="40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集成收入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798,669,248.10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37.59%</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678,020,735.78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30.75%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17.79%</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1"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2,124,296,345.53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99.99%</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2,204,681,762.59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-3.65%</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204,641.76</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0.01%</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0.00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2"/>
        <w:rPr>
          <w:rFonts w:ascii="宋体" w:hAnsi="宋体" w:cs="宋体" w:eastAsia="宋体" w:hint="default"/>
          <w:sz w:val="27"/>
          <w:szCs w:val="27"/>
        </w:rPr>
      </w:pPr>
    </w:p>
    <w:p>
      <w:pPr>
        <w:pStyle w:val="BodyText"/>
        <w:spacing w:line="240" w:lineRule="auto" w:before="44"/>
        <w:ind w:right="0"/>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pStyle w:val="BodyText"/>
        <w:spacing w:line="240" w:lineRule="auto" w:before="103"/>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60"/>
        <w:gridCol w:w="1002"/>
        <w:gridCol w:w="994"/>
        <w:gridCol w:w="991"/>
        <w:gridCol w:w="1277"/>
        <w:gridCol w:w="991"/>
        <w:gridCol w:w="994"/>
        <w:gridCol w:w="992"/>
        <w:gridCol w:w="991"/>
      </w:tblGrid>
      <w:tr>
        <w:trPr>
          <w:trHeight w:val="207" w:hRule="exact"/>
        </w:trPr>
        <w:tc>
          <w:tcPr>
            <w:tcW w:w="1360" w:type="dxa"/>
            <w:tcBorders>
              <w:top w:val="single" w:sz="4" w:space="0" w:color="000000"/>
              <w:left w:val="single" w:sz="4" w:space="0" w:color="000000"/>
              <w:bottom w:val="nil" w:sz="6" w:space="0" w:color="auto"/>
              <w:right w:val="single" w:sz="4" w:space="0" w:color="000000"/>
            </w:tcBorders>
            <w:shd w:val="clear" w:color="auto" w:fill="D2D2D2"/>
          </w:tcPr>
          <w:p>
            <w:pPr/>
          </w:p>
        </w:tc>
        <w:tc>
          <w:tcPr>
            <w:tcW w:w="4265"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3968"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190" w:hRule="exact"/>
        </w:trPr>
        <w:tc>
          <w:tcPr>
            <w:tcW w:w="1360" w:type="dxa"/>
            <w:vMerge w:val="restart"/>
            <w:tcBorders>
              <w:top w:val="nil" w:sz="6" w:space="0" w:color="auto"/>
              <w:left w:val="single" w:sz="4" w:space="0" w:color="000000"/>
              <w:right w:val="single" w:sz="4" w:space="0" w:color="000000"/>
            </w:tcBorders>
            <w:shd w:val="clear" w:color="auto" w:fill="D2D2D2"/>
          </w:tcPr>
          <w:p>
            <w:pPr/>
          </w:p>
        </w:tc>
        <w:tc>
          <w:tcPr>
            <w:tcW w:w="4265" w:type="dxa"/>
            <w:gridSpan w:val="4"/>
            <w:vMerge/>
            <w:tcBorders>
              <w:left w:val="single" w:sz="4" w:space="0" w:color="000000"/>
              <w:bottom w:val="single" w:sz="4" w:space="0" w:color="000000"/>
              <w:right w:val="single" w:sz="4" w:space="0" w:color="000000"/>
            </w:tcBorders>
            <w:shd w:val="clear" w:color="auto" w:fill="D2D2D2"/>
          </w:tcPr>
          <w:p>
            <w:pPr/>
          </w:p>
        </w:tc>
        <w:tc>
          <w:tcPr>
            <w:tcW w:w="3968" w:type="dxa"/>
            <w:gridSpan w:val="4"/>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360" w:type="dxa"/>
            <w:vMerge/>
            <w:tcBorders>
              <w:left w:val="single" w:sz="4" w:space="0" w:color="000000"/>
              <w:bottom w:val="nil" w:sz="6" w:space="0" w:color="auto"/>
              <w:right w:val="single" w:sz="4" w:space="0" w:color="000000"/>
            </w:tcBorders>
            <w:shd w:val="clear" w:color="auto" w:fill="D2D2D2"/>
          </w:tcPr>
          <w:p>
            <w:pPr/>
          </w:p>
        </w:tc>
        <w:tc>
          <w:tcPr>
            <w:tcW w:w="10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2"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2"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1"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1"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1"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9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2"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1"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206" w:hRule="exact"/>
        </w:trPr>
        <w:tc>
          <w:tcPr>
            <w:tcW w:w="1360"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2"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992"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360"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2"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380,394,842</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.03</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762,928,728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.40</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515,244,316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.37</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465,933,100.49</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308,212,981</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.93</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701,708,778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.49</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557,639,297</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.64</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637,120,704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.53</w:t>
            </w:r>
          </w:p>
        </w:tc>
      </w:tr>
      <w:tr>
        <w:trPr>
          <w:trHeight w:val="391" w:hRule="exact"/>
        </w:trPr>
        <w:tc>
          <w:tcPr>
            <w:tcW w:w="136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02" w:type="dxa"/>
            <w:vMerge/>
            <w:tcBorders>
              <w:left w:val="single" w:sz="9" w:space="0" w:color="D2D2D2"/>
              <w:right w:val="single" w:sz="4" w:space="0" w:color="000000"/>
            </w:tcBorders>
          </w:tcPr>
          <w:p>
            <w:pPr/>
          </w:p>
        </w:tc>
        <w:tc>
          <w:tcPr>
            <w:tcW w:w="994"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161" w:hRule="exact"/>
        </w:trPr>
        <w:tc>
          <w:tcPr>
            <w:tcW w:w="1360"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2" w:type="dxa"/>
            <w:vMerge/>
            <w:tcBorders>
              <w:left w:val="single" w:sz="9" w:space="0" w:color="D2D2D2"/>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r>
      <w:tr>
        <w:trPr>
          <w:trHeight w:val="715" w:hRule="exact"/>
        </w:trPr>
        <w:tc>
          <w:tcPr>
            <w:tcW w:w="13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76"/>
              <w:jc w:val="left"/>
              <w:rPr>
                <w:rFonts w:ascii="宋体" w:hAnsi="宋体" w:cs="宋体" w:eastAsia="宋体" w:hint="default"/>
                <w:sz w:val="18"/>
                <w:szCs w:val="18"/>
              </w:rPr>
            </w:pPr>
            <w:r>
              <w:rPr>
                <w:rFonts w:ascii="宋体" w:hAnsi="宋体" w:cs="宋体" w:eastAsia="宋体" w:hint="default"/>
                <w:sz w:val="18"/>
                <w:szCs w:val="18"/>
              </w:rPr>
              <w:t>归属于上市公司 股东的净利润</w:t>
            </w:r>
          </w:p>
        </w:tc>
        <w:tc>
          <w:tcPr>
            <w:tcW w:w="100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18,017,292.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19,478,704.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5,482,554.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-1,440,303,928.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4,907,737.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72,289,552.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74,799,397.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80,002,570.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2）占公司营业收入或营业利润10%以上的行业、产品或地区情况" w:id="31"/>
      <w:bookmarkEnd w:id="31"/>
      <w:r>
        <w:rPr>
          <w:b w:val="0"/>
          <w:bCs w:val="0"/>
        </w:rPr>
      </w:r>
      <w:r>
        <w:rPr/>
        <w:t>（</w:t>
      </w:r>
      <w:r>
        <w:rPr>
          <w:rFonts w:ascii="Times New Roman" w:hAnsi="Times New Roman" w:cs="Times New Roman" w:eastAsia="Times New Roman" w:hint="default"/>
        </w:rPr>
        <w:t>2</w:t>
      </w:r>
      <w:r>
        <w:rPr/>
        <w:t>）占公司营业收入或营业利润</w:t>
      </w:r>
      <w:r>
        <w:rPr>
          <w:spacing w:val="-53"/>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17"/>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right="-17"/>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left="-32" w:right="0"/>
        <w:jc w:val="left"/>
      </w:pPr>
      <w:r>
        <w:rPr/>
        <w:t>单位：元</w:t>
      </w:r>
    </w:p>
    <w:p>
      <w:pPr>
        <w:spacing w:after="0" w:line="240" w:lineRule="auto"/>
        <w:jc w:val="left"/>
        <w:sectPr>
          <w:type w:val="continuous"/>
          <w:pgSz w:w="11910" w:h="16840"/>
          <w:pgMar w:top="1060" w:bottom="1160" w:left="980" w:right="0"/>
          <w:cols w:num="2" w:equalWidth="0">
            <w:col w:w="9066" w:space="40"/>
            <w:col w:w="1824"/>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609"/>
        <w:gridCol w:w="1560"/>
        <w:gridCol w:w="932"/>
        <w:gridCol w:w="1478"/>
        <w:gridCol w:w="1419"/>
        <w:gridCol w:w="1207"/>
      </w:tblGrid>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4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374" w:right="101" w:hanging="269"/>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345" w:right="74"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40" w:right="55" w:hanging="180"/>
              <w:jc w:val="left"/>
              <w:rPr>
                <w:rFonts w:ascii="宋体" w:hAnsi="宋体" w:cs="宋体" w:eastAsia="宋体" w:hint="default"/>
                <w:sz w:val="18"/>
                <w:szCs w:val="18"/>
              </w:rPr>
            </w:pPr>
            <w:r>
              <w:rPr>
                <w:rFonts w:ascii="宋体" w:hAnsi="宋体" w:cs="宋体" w:eastAsia="宋体" w:hint="default"/>
                <w:sz w:val="18"/>
                <w:szCs w:val="18"/>
              </w:rPr>
              <w:t>毛利率比上年 同期增减</w:t>
            </w:r>
          </w:p>
        </w:tc>
      </w:tr>
      <w:tr>
        <w:trPr>
          <w:trHeight w:val="403"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民生服务</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999,229,443.84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757,766,236.65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24.16%</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21.13%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57.34%</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-17.45%</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智慧城市及其他</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1,125,271,543.45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881,025,663.29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21.71%</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-18.44%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18.72%</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-24.51%</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软件开发收入</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897,076,098.73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600,713,208.85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33.04%</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-15.68%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20.58%</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-20.14%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运营服务收入</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428,755,640.46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272,197,571.49</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36.51%</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24.73%</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-16.32%</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集成收入</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798,669,248.10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765,881,119.60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4.11%</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17.79%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50.98%</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-21.08%</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境内</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2,124,296,345.53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1,636,630,330.97</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22.96%</w:t>
            </w:r>
          </w:p>
        </w:tc>
        <w:tc>
          <w:tcPr>
            <w:tcW w:w="1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34.11%</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-21.66%</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204,641.76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2,161,568.97</w:t>
            </w:r>
          </w:p>
        </w:tc>
        <w:tc>
          <w:tcPr>
            <w:tcW w:w="932" w:type="dxa"/>
            <w:tcBorders>
              <w:top w:val="single" w:sz="4" w:space="0" w:color="000000"/>
              <w:left w:val="single" w:sz="4" w:space="0" w:color="000000"/>
              <w:bottom w:val="single" w:sz="4" w:space="0" w:color="000000"/>
              <w:right w:val="single" w:sz="4" w:space="0" w:color="000000"/>
            </w:tcBorders>
          </w:tcPr>
          <w:p>
            <w:pPr/>
          </w:p>
        </w:tc>
        <w:tc>
          <w:tcPr>
            <w:tcW w:w="1478"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-6.32%</w:t>
            </w:r>
          </w:p>
        </w:tc>
        <w:tc>
          <w:tcPr>
            <w:tcW w:w="120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年按报告期末口径调整后的主营业务数据</w:t>
      </w:r>
    </w:p>
    <w:p>
      <w:pPr>
        <w:pStyle w:val="BodyText"/>
        <w:spacing w:line="240" w:lineRule="auto" w:before="103"/>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3"/>
        <w:spacing w:line="240" w:lineRule="auto"/>
        <w:ind w:right="2602"/>
        <w:jc w:val="left"/>
        <w:rPr>
          <w:b w:val="0"/>
          <w:bCs w:val="0"/>
        </w:rPr>
      </w:pPr>
      <w:bookmarkStart w:name="（3）公司实物销售收入是否大于劳务收入" w:id="32"/>
      <w:bookmarkEnd w:id="32"/>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4）公司已签订的重大销售合同截至本报告期的履行情况" w:id="33"/>
      <w:bookmarkEnd w:id="33"/>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3"/>
        <w:spacing w:line="240" w:lineRule="auto"/>
        <w:ind w:right="2602"/>
        <w:jc w:val="left"/>
        <w:rPr>
          <w:b w:val="0"/>
          <w:bCs w:val="0"/>
        </w:rPr>
      </w:pPr>
      <w:bookmarkStart w:name="（5）营业成本构成" w:id="34"/>
      <w:bookmarkEnd w:id="34"/>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t>行业分类</w:t>
      </w:r>
    </w:p>
    <w:p>
      <w:pPr>
        <w:pStyle w:val="BodyText"/>
        <w:spacing w:line="240" w:lineRule="auto" w:before="118"/>
        <w:ind w:left="0" w:right="1131"/>
        <w:jc w:val="right"/>
      </w:pPr>
      <w:r>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民生服务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314,331,004.73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19.18%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240,259,665.11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19.63%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30.83%</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民生服务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人工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200,883,375.21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12.26%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130,195,698.91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54.29%</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民生服务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开发费用等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131,148,351.51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8.00%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2"/>
                <w:sz w:val="18"/>
              </w:rPr>
              <w:t>111,166,850.73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9.08%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17.97%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民生服务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646,362,731.46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39.44%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481,622,214.75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39.36%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34.21%</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37"/>
              <w:jc w:val="left"/>
              <w:rPr>
                <w:rFonts w:ascii="宋体" w:hAnsi="宋体" w:cs="宋体" w:eastAsia="宋体" w:hint="default"/>
                <w:sz w:val="18"/>
                <w:szCs w:val="18"/>
              </w:rPr>
            </w:pPr>
            <w:r>
              <w:rPr>
                <w:rFonts w:ascii="宋体" w:hAnsi="宋体" w:cs="宋体" w:eastAsia="宋体" w:hint="default"/>
                <w:spacing w:val="-9"/>
                <w:sz w:val="18"/>
                <w:szCs w:val="18"/>
              </w:rPr>
              <w:t>智慧城市（其他）</w:t>
            </w:r>
            <w:r>
              <w:rPr>
                <w:rFonts w:ascii="宋体" w:hAnsi="宋体" w:cs="宋体" w:eastAsia="宋体" w:hint="default"/>
                <w:sz w:val="18"/>
                <w:szCs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489,462,899.32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358,918,650.79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36.37%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37"/>
              <w:jc w:val="left"/>
              <w:rPr>
                <w:rFonts w:ascii="宋体" w:hAnsi="宋体" w:cs="宋体" w:eastAsia="宋体" w:hint="default"/>
                <w:sz w:val="18"/>
                <w:szCs w:val="18"/>
              </w:rPr>
            </w:pPr>
            <w:r>
              <w:rPr>
                <w:rFonts w:ascii="宋体" w:hAnsi="宋体" w:cs="宋体" w:eastAsia="宋体" w:hint="default"/>
                <w:spacing w:val="-9"/>
                <w:sz w:val="18"/>
                <w:szCs w:val="18"/>
              </w:rPr>
              <w:t>智慧城市（其他）</w:t>
            </w:r>
            <w:r>
              <w:rPr>
                <w:rFonts w:ascii="宋体" w:hAnsi="宋体" w:cs="宋体" w:eastAsia="宋体" w:hint="default"/>
                <w:sz w:val="18"/>
                <w:szCs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人工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427,309,078.48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26.07%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327,957,820.19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26.80%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30.29%</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37"/>
              <w:jc w:val="left"/>
              <w:rPr>
                <w:rFonts w:ascii="宋体" w:hAnsi="宋体" w:cs="宋体" w:eastAsia="宋体" w:hint="default"/>
                <w:sz w:val="18"/>
                <w:szCs w:val="18"/>
              </w:rPr>
            </w:pPr>
            <w:r>
              <w:rPr>
                <w:rFonts w:ascii="宋体" w:hAnsi="宋体" w:cs="宋体" w:eastAsia="宋体" w:hint="default"/>
                <w:spacing w:val="-9"/>
                <w:sz w:val="18"/>
                <w:szCs w:val="18"/>
              </w:rPr>
              <w:t>智慧城市（其他）</w:t>
            </w:r>
            <w:r>
              <w:rPr>
                <w:rFonts w:ascii="宋体" w:hAnsi="宋体" w:cs="宋体" w:eastAsia="宋体" w:hint="default"/>
                <w:sz w:val="18"/>
                <w:szCs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开发费用等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75,657,190.69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55,196,507.26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37.07%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37"/>
              <w:jc w:val="left"/>
              <w:rPr>
                <w:rFonts w:ascii="宋体" w:hAnsi="宋体" w:cs="宋体" w:eastAsia="宋体" w:hint="default"/>
                <w:sz w:val="18"/>
                <w:szCs w:val="18"/>
              </w:rPr>
            </w:pPr>
            <w:r>
              <w:rPr>
                <w:rFonts w:ascii="宋体" w:hAnsi="宋体" w:cs="宋体" w:eastAsia="宋体" w:hint="default"/>
                <w:spacing w:val="-9"/>
                <w:sz w:val="18"/>
                <w:szCs w:val="18"/>
              </w:rPr>
              <w:t>智慧城市（其他）</w:t>
            </w:r>
            <w:r>
              <w:rPr>
                <w:rFonts w:ascii="宋体" w:hAnsi="宋体" w:cs="宋体" w:eastAsia="宋体" w:hint="default"/>
                <w:sz w:val="18"/>
                <w:szCs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992,429,168.48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60.56%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742,072,978.24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60.64%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33.74%</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1,638,791,899.94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1,223,695,192.99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33.92%</w:t>
            </w:r>
          </w:p>
        </w:tc>
      </w:tr>
    </w:tbl>
    <w:p>
      <w:pPr>
        <w:spacing w:line="240" w:lineRule="auto" w:before="2"/>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745" w:footer="980" w:top="1060" w:bottom="1160" w:left="980" w:right="0"/>
        </w:sectPr>
      </w:pPr>
    </w:p>
    <w:p>
      <w:pPr>
        <w:pStyle w:val="BodyText"/>
        <w:spacing w:line="340" w:lineRule="auto" w:before="44"/>
        <w:ind w:right="-17"/>
        <w:jc w:val="left"/>
      </w:pPr>
      <w:r>
        <w:rPr/>
        <w:pict>
          <v:group style="position:absolute;margin-left:125.419998pt;margin-top:-118.928291pt;width:66.75pt;height:81.150pt;mso-position-horizontal-relative:page;mso-position-vertical-relative:paragraph;z-index:-1334296" coordorigin="2508,-2379" coordsize="1335,1623">
            <v:group style="position:absolute;left:2520;top:-2367;width:2;height:392" coordorigin="2520,-2367" coordsize="2,392">
              <v:shape style="position:absolute;left:2520;top:-2367;width:2;height:392" coordorigin="2520,-2367" coordsize="0,392" path="m2520,-2367l2520,-1975e" filled="false" stroked="true" strokeweight="1.2pt" strokecolor="#ffffff">
                <v:path arrowok="t"/>
              </v:shape>
            </v:group>
            <v:group style="position:absolute;left:2532;top:-2367;width:1311;height:392" coordorigin="2532,-2367" coordsize="1311,392">
              <v:shape style="position:absolute;left:2532;top:-2367;width:1311;height:392" coordorigin="2532,-2367" coordsize="1311,392" path="m2532,-1975l3843,-1975,3843,-2367,2532,-2367,2532,-1975xe" filled="true" fillcolor="#ffffff" stroked="false">
                <v:path arrowok="t"/>
                <v:fill type="solid"/>
              </v:shape>
            </v:group>
            <v:group style="position:absolute;left:2520;top:-1963;width:2;height:392" coordorigin="2520,-1963" coordsize="2,392">
              <v:shape style="position:absolute;left:2520;top:-1963;width:2;height:392" coordorigin="2520,-1963" coordsize="0,392" path="m2520,-1963l2520,-1572e" filled="false" stroked="true" strokeweight="1.2pt" strokecolor="#ffffff">
                <v:path arrowok="t"/>
              </v:shape>
            </v:group>
            <v:group style="position:absolute;left:2532;top:-1963;width:1311;height:392" coordorigin="2532,-1963" coordsize="1311,392">
              <v:shape style="position:absolute;left:2532;top:-1963;width:1311;height:392" coordorigin="2532,-1963" coordsize="1311,392" path="m2532,-1572l3843,-1572,3843,-1963,2532,-1963,2532,-1572xe" filled="true" fillcolor="#ffffff" stroked="false">
                <v:path arrowok="t"/>
                <v:fill type="solid"/>
              </v:shape>
            </v:group>
            <v:group style="position:absolute;left:2520;top:-1563;width:2;height:392" coordorigin="2520,-1563" coordsize="2,392">
              <v:shape style="position:absolute;left:2520;top:-1563;width:2;height:392" coordorigin="2520,-1563" coordsize="0,392" path="m2520,-1563l2520,-1171e" filled="false" stroked="true" strokeweight="1.2pt" strokecolor="#ffffff">
                <v:path arrowok="t"/>
              </v:shape>
            </v:group>
            <v:group style="position:absolute;left:2532;top:-1563;width:1311;height:392" coordorigin="2532,-1563" coordsize="1311,392">
              <v:shape style="position:absolute;left:2532;top:-1563;width:1311;height:392" coordorigin="2532,-1563" coordsize="1311,392" path="m2532,-1171l3843,-1171,3843,-1563,2532,-1563,2532,-1171xe" filled="true" fillcolor="#ffffff" stroked="false">
                <v:path arrowok="t"/>
                <v:fill type="solid"/>
              </v:shape>
            </v:group>
            <v:group style="position:absolute;left:2520;top:-1159;width:2;height:392" coordorigin="2520,-1159" coordsize="2,392">
              <v:shape style="position:absolute;left:2520;top:-1159;width:2;height:392" coordorigin="2520,-1159" coordsize="0,392" path="m2520,-1159l2520,-768e" filled="false" stroked="true" strokeweight="1.2pt" strokecolor="#ffffff">
                <v:path arrowok="t"/>
              </v:shape>
            </v:group>
            <v:group style="position:absolute;left:2532;top:-1159;width:1311;height:392" coordorigin="2532,-1159" coordsize="1311,392">
              <v:shape style="position:absolute;left:2532;top:-1159;width:1311;height:392" coordorigin="2532,-1159" coordsize="1311,392" path="m2532,-768l3843,-768,3843,-1159,2532,-1159,2532,-768xe" filled="true" fillcolor="#ffffff" stroked="false">
                <v:path arrowok="t"/>
                <v:fill type="solid"/>
              </v:shape>
            </v:group>
            <w10:wrap type="none"/>
          </v:group>
        </w:pict>
      </w: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 主营业务成本构成</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left="-32" w:right="0"/>
        <w:jc w:val="left"/>
      </w:pPr>
      <w:r>
        <w:rPr/>
        <w:t>单位：元</w:t>
      </w:r>
    </w:p>
    <w:p>
      <w:pPr>
        <w:spacing w:after="0" w:line="240" w:lineRule="auto"/>
        <w:jc w:val="left"/>
        <w:sectPr>
          <w:type w:val="continuous"/>
          <w:pgSz w:w="11910" w:h="16840"/>
          <w:pgMar w:top="1060" w:bottom="1160" w:left="980" w:right="0"/>
          <w:cols w:num="2" w:equalWidth="0">
            <w:col w:w="9066" w:space="40"/>
            <w:col w:w="1824"/>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803,793,904.05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49.05%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599,178,315.90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34.00%</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628,192,453.69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38.33%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458,153,519.10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37.44%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37.00%</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开发费用等</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206,805,542.20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12.62%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166,363,357.99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13.60%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24.00%</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1,638,791,899.94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1,223,695,192.99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6）报告期内合并范围是否发生变动" w:id="35"/>
      <w:bookmarkEnd w:id="35"/>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line="240" w:lineRule="auto" w:before="13"/>
        <w:rPr>
          <w:rFonts w:ascii="宋体" w:hAnsi="宋体" w:cs="宋体" w:eastAsia="宋体" w:hint="default"/>
          <w:sz w:val="13"/>
          <w:szCs w:val="13"/>
        </w:rPr>
      </w:pPr>
    </w:p>
    <w:p>
      <w:pPr>
        <w:pStyle w:val="BodyText"/>
        <w:spacing w:line="240" w:lineRule="auto"/>
        <w:ind w:left="513" w:right="0"/>
        <w:jc w:val="left"/>
      </w:pPr>
      <w:r>
        <w:rPr/>
        <w:t>本公司于</w:t>
      </w:r>
      <w:r>
        <w:rPr>
          <w:spacing w:val="-5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年</w:t>
      </w:r>
      <w:r>
        <w:rPr>
          <w:spacing w:val="-51"/>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t>月</w:t>
      </w:r>
      <w:r>
        <w:rPr>
          <w:spacing w:val="-51"/>
        </w:rPr>
        <w:t> </w:t>
      </w:r>
      <w:r>
        <w:rPr>
          <w:rFonts w:ascii="Times New Roman" w:hAnsi="Times New Roman" w:cs="Times New Roman" w:eastAsia="Times New Roman" w:hint="default"/>
        </w:rPr>
        <w:t>22</w:t>
      </w:r>
      <w:r>
        <w:rPr>
          <w:rFonts w:ascii="Times New Roman" w:hAnsi="Times New Roman" w:cs="Times New Roman" w:eastAsia="Times New Roman" w:hint="default"/>
          <w:spacing w:val="-5"/>
        </w:rPr>
        <w:t> </w:t>
      </w:r>
      <w:r>
        <w:rPr/>
        <w:t>日投</w:t>
      </w:r>
      <w:hyperlink r:id="rId28">
        <w:r>
          <w:rPr/>
          <w:t>资设立上海爱可及医疗科技有限公司</w:t>
        </w:r>
      </w:hyperlink>
      <w:r>
        <w:rPr/>
        <w:t>，注册资本人民币</w:t>
      </w:r>
      <w:r>
        <w:rPr>
          <w:spacing w:val="-51"/>
        </w:rPr>
        <w:t> </w:t>
      </w:r>
      <w:r>
        <w:rPr>
          <w:rFonts w:ascii="Times New Roman" w:hAnsi="Times New Roman" w:cs="Times New Roman" w:eastAsia="Times New Roman" w:hint="default"/>
        </w:rPr>
        <w:t>2,000.00</w:t>
      </w:r>
      <w:r>
        <w:rPr>
          <w:rFonts w:ascii="Times New Roman" w:hAnsi="Times New Roman" w:cs="Times New Roman" w:eastAsia="Times New Roman" w:hint="default"/>
          <w:spacing w:val="-4"/>
        </w:rPr>
        <w:t> </w:t>
      </w:r>
      <w:r>
        <w:rPr>
          <w:spacing w:val="-4"/>
        </w:rPr>
        <w:t>万元，本公司出资人民币</w:t>
      </w:r>
    </w:p>
    <w:p>
      <w:pPr>
        <w:pStyle w:val="BodyText"/>
        <w:spacing w:line="300" w:lineRule="auto" w:before="63"/>
        <w:ind w:right="1129"/>
        <w:jc w:val="left"/>
      </w:pPr>
      <w:r>
        <w:rPr>
          <w:rFonts w:ascii="Times New Roman" w:hAnsi="Times New Roman" w:cs="Times New Roman" w:eastAsia="Times New Roman" w:hint="default"/>
        </w:rPr>
        <w:t>1,200.00</w:t>
      </w:r>
      <w:r>
        <w:rPr>
          <w:rFonts w:ascii="Times New Roman" w:hAnsi="Times New Roman" w:cs="Times New Roman" w:eastAsia="Times New Roman" w:hint="default"/>
          <w:spacing w:val="-2"/>
        </w:rPr>
        <w:t> </w:t>
      </w:r>
      <w:r>
        <w:rPr>
          <w:spacing w:val="-4"/>
        </w:rPr>
        <w:t>万元，持股比例</w:t>
      </w:r>
      <w:r>
        <w:rPr>
          <w:spacing w:val="-50"/>
        </w:rPr>
        <w:t> </w:t>
      </w:r>
      <w:r>
        <w:rPr>
          <w:rFonts w:ascii="Times New Roman" w:hAnsi="Times New Roman" w:cs="Times New Roman" w:eastAsia="Times New Roman" w:hint="default"/>
        </w:rPr>
        <w:t>60%</w:t>
      </w:r>
      <w:r>
        <w:rPr/>
        <w:t>。</w:t>
      </w:r>
      <w:hyperlink r:id="rId28">
        <w:r>
          <w:rPr/>
          <w:t>上海爱可及医疗科技有限公司</w:t>
        </w:r>
      </w:hyperlink>
      <w:r>
        <w:rPr/>
        <w:t>已于</w:t>
      </w:r>
      <w:r>
        <w:rPr>
          <w:spacing w:val="-4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w:t>
      </w:r>
      <w:r>
        <w:rPr>
          <w:spacing w:val="-50"/>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月</w:t>
      </w:r>
      <w:r>
        <w:rPr>
          <w:spacing w:val="-50"/>
        </w:rPr>
        <w:t> </w:t>
      </w:r>
      <w:r>
        <w:rPr>
          <w:rFonts w:ascii="Times New Roman" w:hAnsi="Times New Roman" w:cs="Times New Roman" w:eastAsia="Times New Roman" w:hint="default"/>
        </w:rPr>
        <w:t>22</w:t>
      </w:r>
      <w:r>
        <w:rPr>
          <w:rFonts w:ascii="Times New Roman" w:hAnsi="Times New Roman" w:cs="Times New Roman" w:eastAsia="Times New Roman" w:hint="default"/>
          <w:spacing w:val="-4"/>
        </w:rPr>
        <w:t> </w:t>
      </w:r>
      <w:r>
        <w:rPr/>
        <w:t>日办妥工商登记手续并领取了统一社会信 用代码为</w:t>
      </w:r>
      <w:r>
        <w:rPr>
          <w:spacing w:val="-51"/>
        </w:rPr>
        <w:t> </w:t>
      </w:r>
      <w:r>
        <w:rPr>
          <w:rFonts w:ascii="Times New Roman" w:hAnsi="Times New Roman" w:cs="Times New Roman" w:eastAsia="Times New Roman" w:hint="default"/>
        </w:rPr>
        <w:t>91310115MA1K4AXJ1L</w:t>
      </w:r>
      <w:r>
        <w:rPr>
          <w:rFonts w:ascii="Times New Roman" w:hAnsi="Times New Roman" w:cs="Times New Roman" w:eastAsia="Times New Roman" w:hint="default"/>
          <w:spacing w:val="-6"/>
        </w:rPr>
        <w:t> </w:t>
      </w:r>
      <w:r>
        <w:rPr/>
        <w:t>号营业执照。</w:t>
      </w:r>
    </w:p>
    <w:p>
      <w:pPr>
        <w:pStyle w:val="BodyText"/>
        <w:spacing w:line="240" w:lineRule="auto" w:before="51"/>
        <w:ind w:left="513" w:right="0"/>
        <w:jc w:val="left"/>
      </w:pPr>
      <w:r>
        <w:rPr/>
        <w:t>本公司于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46"/>
        </w:rPr>
        <w:t> </w:t>
      </w:r>
      <w:r>
        <w:rPr>
          <w:rFonts w:ascii="Times New Roman" w:hAnsi="Times New Roman" w:cs="Times New Roman" w:eastAsia="Times New Roman" w:hint="default"/>
        </w:rPr>
        <w:t>31 </w:t>
      </w:r>
      <w:r>
        <w:rPr/>
        <w:t>日投资设立上海资哲企业管理有限责任公司，注册资本人民币</w:t>
      </w:r>
      <w:r>
        <w:rPr>
          <w:spacing w:val="-45"/>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2"/>
        </w:rPr>
        <w:t> </w:t>
      </w:r>
      <w:r>
        <w:rPr/>
        <w:t>万元，本公司出资人民</w:t>
      </w:r>
    </w:p>
    <w:p>
      <w:pPr>
        <w:pStyle w:val="BodyText"/>
        <w:spacing w:line="300" w:lineRule="auto" w:before="63"/>
        <w:ind w:right="1127"/>
        <w:jc w:val="left"/>
      </w:pPr>
      <w:r>
        <w:rPr/>
        <w:t>币</w:t>
      </w:r>
      <w:r>
        <w:rPr>
          <w:spacing w:val="-48"/>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2"/>
        </w:rPr>
        <w:t> </w:t>
      </w:r>
      <w:r>
        <w:rPr>
          <w:spacing w:val="-4"/>
        </w:rPr>
        <w:t>万元，持股比例</w:t>
      </w:r>
      <w:r>
        <w:rPr>
          <w:spacing w:val="-51"/>
        </w:rPr>
        <w:t> </w:t>
      </w:r>
      <w:r>
        <w:rPr>
          <w:rFonts w:ascii="Times New Roman" w:hAnsi="Times New Roman" w:cs="Times New Roman" w:eastAsia="Times New Roman" w:hint="default"/>
        </w:rPr>
        <w:t>100%</w:t>
      </w:r>
      <w:r>
        <w:rPr/>
        <w:t>。上海资哲企业管理有限责任公司已于</w:t>
      </w:r>
      <w:r>
        <w:rPr>
          <w:spacing w:val="-4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w:t>
      </w:r>
      <w:r>
        <w:rPr>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49"/>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日办妥工商登记手续并领取了统一社 会信用代码为</w:t>
      </w:r>
      <w:r>
        <w:rPr>
          <w:spacing w:val="-49"/>
        </w:rPr>
        <w:t> </w:t>
      </w:r>
      <w:r>
        <w:rPr>
          <w:rFonts w:ascii="Times New Roman" w:hAnsi="Times New Roman" w:cs="Times New Roman" w:eastAsia="Times New Roman" w:hint="default"/>
        </w:rPr>
        <w:t>91310104MA1FRHMG7L</w:t>
      </w:r>
      <w:r>
        <w:rPr>
          <w:rFonts w:ascii="Times New Roman" w:hAnsi="Times New Roman" w:cs="Times New Roman" w:eastAsia="Times New Roman" w:hint="default"/>
          <w:spacing w:val="-5"/>
        </w:rPr>
        <w:t> </w:t>
      </w:r>
      <w:r>
        <w:rPr/>
        <w:t>号营业执照。</w:t>
      </w:r>
    </w:p>
    <w:p>
      <w:pPr>
        <w:pStyle w:val="BodyText"/>
        <w:spacing w:line="240" w:lineRule="auto" w:before="53"/>
        <w:ind w:left="513" w:right="0"/>
        <w:jc w:val="left"/>
      </w:pPr>
      <w:r>
        <w:rPr/>
        <w:t>本公司于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rPr>
        <w:t>10 </w:t>
      </w:r>
      <w:r>
        <w:rPr/>
        <w:t>月</w:t>
      </w:r>
      <w:r>
        <w:rPr>
          <w:spacing w:val="-4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日投资设立上海蛮牛健康管理有限公司，注册资本人民币</w:t>
      </w:r>
      <w:r>
        <w:rPr>
          <w:spacing w:val="-45"/>
        </w:rPr>
        <w:t> </w:t>
      </w:r>
      <w:r>
        <w:rPr>
          <w:rFonts w:ascii="Times New Roman" w:hAnsi="Times New Roman" w:cs="Times New Roman" w:eastAsia="Times New Roman" w:hint="default"/>
        </w:rPr>
        <w:t>500.00</w:t>
      </w:r>
      <w:r>
        <w:rPr>
          <w:rFonts w:ascii="Times New Roman" w:hAnsi="Times New Roman" w:cs="Times New Roman" w:eastAsia="Times New Roman" w:hint="default"/>
          <w:spacing w:val="-1"/>
        </w:rPr>
        <w:t> </w:t>
      </w:r>
      <w:r>
        <w:rPr/>
        <w:t>万元，本公司出资人民币</w:t>
      </w:r>
    </w:p>
    <w:p>
      <w:pPr>
        <w:pStyle w:val="BodyText"/>
        <w:spacing w:line="300" w:lineRule="auto" w:before="63"/>
        <w:ind w:right="1119"/>
        <w:jc w:val="left"/>
      </w:pPr>
      <w:r>
        <w:rPr>
          <w:rFonts w:ascii="Times New Roman" w:hAnsi="Times New Roman" w:cs="Times New Roman" w:eastAsia="Times New Roman" w:hint="default"/>
        </w:rPr>
        <w:t>350.00 </w:t>
      </w:r>
      <w:r>
        <w:rPr/>
        <w:t>万元，持股比例</w:t>
      </w:r>
      <w:r>
        <w:rPr>
          <w:spacing w:val="-48"/>
        </w:rPr>
        <w:t> </w:t>
      </w:r>
      <w:r>
        <w:rPr>
          <w:rFonts w:ascii="Times New Roman" w:hAnsi="Times New Roman" w:cs="Times New Roman" w:eastAsia="Times New Roman" w:hint="default"/>
        </w:rPr>
        <w:t>70%</w:t>
      </w:r>
      <w:r>
        <w:rPr/>
        <w:t>。上海蛮牛健康管理有限公司已于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t>日办妥工商登记手续并领取了统一社会信用 代码为</w:t>
      </w:r>
      <w:r>
        <w:rPr>
          <w:spacing w:val="-48"/>
        </w:rPr>
        <w:t> </w:t>
      </w:r>
      <w:r>
        <w:rPr>
          <w:rFonts w:ascii="Times New Roman" w:hAnsi="Times New Roman" w:cs="Times New Roman" w:eastAsia="Times New Roman" w:hint="default"/>
        </w:rPr>
        <w:t>91310104MA1FRJBR2W</w:t>
      </w:r>
      <w:r>
        <w:rPr>
          <w:rFonts w:ascii="Times New Roman" w:hAnsi="Times New Roman" w:cs="Times New Roman" w:eastAsia="Times New Roman" w:hint="default"/>
          <w:spacing w:val="-4"/>
        </w:rPr>
        <w:t> </w:t>
      </w:r>
      <w:r>
        <w:rPr/>
        <w:t>号营业执照。</w:t>
      </w:r>
    </w:p>
    <w:p>
      <w:pPr>
        <w:pStyle w:val="BodyText"/>
        <w:spacing w:line="240" w:lineRule="auto" w:before="54"/>
        <w:ind w:left="513" w:right="0"/>
        <w:jc w:val="left"/>
      </w:pPr>
      <w:r>
        <w:rPr/>
        <w:t>本公司于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月</w:t>
      </w:r>
      <w:r>
        <w:rPr>
          <w:spacing w:val="-46"/>
        </w:rPr>
        <w:t> </w:t>
      </w:r>
      <w:r>
        <w:rPr>
          <w:rFonts w:ascii="Times New Roman" w:hAnsi="Times New Roman" w:cs="Times New Roman" w:eastAsia="Times New Roman" w:hint="default"/>
        </w:rPr>
        <w:t>15 </w:t>
      </w:r>
      <w:r>
        <w:rPr/>
        <w:t>日投资设立蛮牛健康管理服务有限公司，注册资本人民币</w:t>
      </w:r>
      <w:r>
        <w:rPr>
          <w:spacing w:val="-45"/>
        </w:rPr>
        <w:t> </w:t>
      </w:r>
      <w:r>
        <w:rPr>
          <w:rFonts w:ascii="Times New Roman" w:hAnsi="Times New Roman" w:cs="Times New Roman" w:eastAsia="Times New Roman" w:hint="default"/>
        </w:rPr>
        <w:t>5,000.00 </w:t>
      </w:r>
      <w:r>
        <w:rPr/>
        <w:t>万元，本公司出资人民币</w:t>
      </w:r>
    </w:p>
    <w:p>
      <w:pPr>
        <w:pStyle w:val="BodyText"/>
        <w:spacing w:line="300" w:lineRule="auto" w:before="63"/>
        <w:ind w:right="1119"/>
        <w:jc w:val="left"/>
      </w:pPr>
      <w:r>
        <w:rPr>
          <w:rFonts w:ascii="Times New Roman" w:hAnsi="Times New Roman" w:cs="Times New Roman" w:eastAsia="Times New Roman" w:hint="default"/>
        </w:rPr>
        <w:t>3,500.00</w:t>
      </w:r>
      <w:r>
        <w:rPr>
          <w:rFonts w:ascii="Times New Roman" w:hAnsi="Times New Roman" w:cs="Times New Roman" w:eastAsia="Times New Roman" w:hint="default"/>
          <w:spacing w:val="1"/>
        </w:rPr>
        <w:t> </w:t>
      </w:r>
      <w:r>
        <w:rPr/>
        <w:t>万元，持股比例</w:t>
      </w:r>
      <w:r>
        <w:rPr>
          <w:spacing w:val="-47"/>
        </w:rPr>
        <w:t> </w:t>
      </w:r>
      <w:r>
        <w:rPr>
          <w:rFonts w:ascii="Times New Roman" w:hAnsi="Times New Roman" w:cs="Times New Roman" w:eastAsia="Times New Roman" w:hint="default"/>
        </w:rPr>
        <w:t>70%</w:t>
      </w:r>
      <w:r>
        <w:rPr/>
        <w:t>。蛮牛健康管理服务有限公司已于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日办妥工商登记手续并领取了统一社会信 用代码为</w:t>
      </w:r>
      <w:r>
        <w:rPr>
          <w:spacing w:val="-48"/>
        </w:rPr>
        <w:t> </w:t>
      </w:r>
      <w:r>
        <w:rPr>
          <w:rFonts w:ascii="Times New Roman" w:hAnsi="Times New Roman" w:cs="Times New Roman" w:eastAsia="Times New Roman" w:hint="default"/>
        </w:rPr>
        <w:t>91310104MA1FRJMX1N</w:t>
      </w:r>
      <w:r>
        <w:rPr>
          <w:rFonts w:ascii="Times New Roman" w:hAnsi="Times New Roman" w:cs="Times New Roman" w:eastAsia="Times New Roman" w:hint="default"/>
          <w:spacing w:val="-2"/>
        </w:rPr>
        <w:t> </w:t>
      </w:r>
      <w:r>
        <w:rPr/>
        <w:t>号营业执照。</w:t>
      </w:r>
    </w:p>
    <w:p>
      <w:pPr>
        <w:spacing w:line="240" w:lineRule="auto" w:before="2"/>
        <w:rPr>
          <w:rFonts w:ascii="宋体" w:hAnsi="宋体" w:cs="宋体" w:eastAsia="宋体" w:hint="default"/>
          <w:sz w:val="22"/>
          <w:szCs w:val="22"/>
        </w:rPr>
      </w:pPr>
    </w:p>
    <w:p>
      <w:pPr>
        <w:pStyle w:val="Heading3"/>
        <w:spacing w:line="240" w:lineRule="auto"/>
        <w:ind w:right="2602"/>
        <w:jc w:val="left"/>
        <w:rPr>
          <w:b w:val="0"/>
          <w:bCs w:val="0"/>
        </w:rPr>
      </w:pPr>
      <w:bookmarkStart w:name="（7）公司报告期内业务、产品或服务发生重大变化或调整有关情况" w:id="36"/>
      <w:bookmarkEnd w:id="36"/>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8）主要销售客户和主要供应商情况" w:id="37"/>
      <w:bookmarkEnd w:id="37"/>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2602"/>
        <w:jc w:val="left"/>
      </w:pPr>
      <w:r>
        <w:rPr/>
        <w:t>公司主要销售客户情况</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6085"/>
        <w:gridCol w:w="3484"/>
      </w:tblGrid>
      <w:tr>
        <w:trPr>
          <w:trHeight w:val="403" w:hRule="exact"/>
        </w:trPr>
        <w:tc>
          <w:tcPr>
            <w:tcW w:w="60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348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300,623,941.57</w:t>
            </w:r>
          </w:p>
        </w:tc>
      </w:tr>
      <w:tr>
        <w:trPr>
          <w:trHeight w:val="401" w:hRule="exact"/>
        </w:trPr>
        <w:tc>
          <w:tcPr>
            <w:tcW w:w="60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348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14.15%</w:t>
            </w:r>
          </w:p>
        </w:tc>
      </w:tr>
      <w:tr>
        <w:trPr>
          <w:trHeight w:val="403" w:hRule="exact"/>
        </w:trPr>
        <w:tc>
          <w:tcPr>
            <w:tcW w:w="60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348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2602"/>
        <w:jc w:val="left"/>
      </w:pPr>
      <w:r>
        <w:rPr/>
        <w:t>公司前</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555"/>
        <w:gridCol w:w="5541"/>
        <w:gridCol w:w="1702"/>
        <w:gridCol w:w="1771"/>
      </w:tblGrid>
      <w:tr>
        <w:trPr>
          <w:trHeight w:val="403" w:hRule="exact"/>
        </w:trPr>
        <w:tc>
          <w:tcPr>
            <w:tcW w:w="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5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17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7"/>
              <w:jc w:val="righ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1" w:hRule="exact"/>
        </w:trPr>
        <w:tc>
          <w:tcPr>
            <w:tcW w:w="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1</w:t>
            </w:r>
          </w:p>
        </w:tc>
        <w:tc>
          <w:tcPr>
            <w:tcW w:w="554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上海市人力资源和社会保障局汇总</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124,803,939.87</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5.87%</w:t>
            </w:r>
          </w:p>
        </w:tc>
      </w:tr>
      <w:tr>
        <w:trPr>
          <w:trHeight w:val="403" w:hRule="exact"/>
        </w:trPr>
        <w:tc>
          <w:tcPr>
            <w:tcW w:w="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2</w:t>
            </w:r>
          </w:p>
        </w:tc>
        <w:tc>
          <w:tcPr>
            <w:tcW w:w="554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上海市大数据中心</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54,282,465.02</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2.56%</w:t>
            </w:r>
          </w:p>
        </w:tc>
      </w:tr>
      <w:tr>
        <w:trPr>
          <w:trHeight w:val="401" w:hRule="exact"/>
        </w:trPr>
        <w:tc>
          <w:tcPr>
            <w:tcW w:w="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3</w:t>
            </w:r>
          </w:p>
        </w:tc>
        <w:tc>
          <w:tcPr>
            <w:tcW w:w="554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上海市徐汇区教育局</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42,943,493.60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w:t>
            </w:r>
          </w:p>
        </w:tc>
      </w:tr>
      <w:tr>
        <w:trPr>
          <w:trHeight w:val="403" w:hRule="exact"/>
        </w:trPr>
        <w:tc>
          <w:tcPr>
            <w:tcW w:w="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4</w:t>
            </w:r>
          </w:p>
        </w:tc>
        <w:tc>
          <w:tcPr>
            <w:tcW w:w="554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国家税务总局上海市税务局</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40,908,103.36</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1.93%</w:t>
            </w:r>
          </w:p>
        </w:tc>
      </w:tr>
      <w:tr>
        <w:trPr>
          <w:trHeight w:val="401" w:hRule="exact"/>
        </w:trPr>
        <w:tc>
          <w:tcPr>
            <w:tcW w:w="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5</w:t>
            </w:r>
          </w:p>
        </w:tc>
        <w:tc>
          <w:tcPr>
            <w:tcW w:w="554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上海市徐汇区城市网格化综合管理中心（上海市徐汇区行政服务中心</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tabs>
                <w:tab w:pos="633" w:val="left" w:leader="none"/>
              </w:tabs>
              <w:spacing w:line="240" w:lineRule="auto" w:before="49"/>
              <w:ind w:left="-124"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37,685,939.72</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1.77%</w:t>
            </w:r>
          </w:p>
        </w:tc>
      </w:tr>
      <w:tr>
        <w:trPr>
          <w:trHeight w:val="403" w:hRule="exact"/>
        </w:trPr>
        <w:tc>
          <w:tcPr>
            <w:tcW w:w="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5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300,623,941.57</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14.15%</w:t>
            </w:r>
          </w:p>
        </w:tc>
      </w:tr>
    </w:tbl>
    <w:p>
      <w:pPr>
        <w:pStyle w:val="BodyText"/>
        <w:spacing w:line="240" w:lineRule="auto" w:before="49"/>
        <w:ind w:right="2602"/>
        <w:jc w:val="left"/>
      </w:pPr>
      <w:r>
        <w:rPr/>
        <w:pict>
          <v:group style="position:absolute;margin-left:361.869995pt;margin-top:-40.738281pt;width:83.45pt;height:20.65pt;mso-position-horizontal-relative:page;mso-position-vertical-relative:paragraph;z-index:-1334272" coordorigin="7237,-815" coordsize="1669,413">
            <v:group style="position:absolute;left:7248;top:-804;width:2;height:392" coordorigin="7248,-804" coordsize="2,392">
              <v:shape style="position:absolute;left:7248;top:-804;width:2;height:392" coordorigin="7248,-804" coordsize="0,392" path="m7248,-804l7248,-413e" filled="false" stroked="true" strokeweight="1.08pt" strokecolor="#ffffff">
                <v:path arrowok="t"/>
              </v:shape>
            </v:group>
            <v:group style="position:absolute;left:7259;top:-804;width:1647;height:392" coordorigin="7259,-804" coordsize="1647,392">
              <v:shape style="position:absolute;left:7259;top:-804;width:1647;height:392" coordorigin="7259,-804" coordsize="1647,392" path="m7259,-413l8906,-413,8906,-804,7259,-804,7259,-413xe" filled="true" fillcolor="#ffffff" stroked="false">
                <v:path arrowok="t"/>
                <v:fill type="solid"/>
              </v:shape>
            </v:group>
            <w10:wrap type="none"/>
          </v:group>
        </w:pict>
      </w:r>
      <w:r>
        <w:rPr/>
        <w:t>主要客户其他情况说明</w:t>
      </w:r>
    </w:p>
    <w:p>
      <w:pPr>
        <w:pStyle w:val="BodyText"/>
        <w:spacing w:line="340" w:lineRule="auto" w:before="115"/>
        <w:ind w:right="9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公司主要供应商情况</w:t>
      </w:r>
    </w:p>
    <w:p>
      <w:pPr>
        <w:spacing w:line="240" w:lineRule="auto" w:before="7"/>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6085"/>
        <w:gridCol w:w="3484"/>
      </w:tblGrid>
      <w:tr>
        <w:trPr>
          <w:trHeight w:val="401" w:hRule="exact"/>
        </w:trPr>
        <w:tc>
          <w:tcPr>
            <w:tcW w:w="60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348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132,979,998.44</w:t>
            </w:r>
          </w:p>
        </w:tc>
      </w:tr>
      <w:tr>
        <w:trPr>
          <w:trHeight w:val="403" w:hRule="exact"/>
        </w:trPr>
        <w:tc>
          <w:tcPr>
            <w:tcW w:w="60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348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12.45%</w:t>
            </w:r>
          </w:p>
        </w:tc>
      </w:tr>
      <w:tr>
        <w:trPr>
          <w:trHeight w:val="401" w:hRule="exact"/>
        </w:trPr>
        <w:tc>
          <w:tcPr>
            <w:tcW w:w="60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348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2602"/>
        <w:jc w:val="left"/>
      </w:pPr>
      <w:r>
        <w:rPr/>
        <w:t>公司前</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5173"/>
        <w:gridCol w:w="1702"/>
        <w:gridCol w:w="1771"/>
      </w:tblGrid>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5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17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7"/>
              <w:jc w:val="righ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1</w:t>
            </w:r>
          </w:p>
        </w:tc>
        <w:tc>
          <w:tcPr>
            <w:tcW w:w="517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上海黎阳信息科技有限公司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34,501,823.20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3.23%</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2</w:t>
            </w:r>
          </w:p>
        </w:tc>
        <w:tc>
          <w:tcPr>
            <w:tcW w:w="517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上海申皓多媒体网络技术有限公司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30,254,980.60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2.83%</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3</w:t>
            </w:r>
          </w:p>
        </w:tc>
        <w:tc>
          <w:tcPr>
            <w:tcW w:w="517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上海熙菱数据服务有限公司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26,161,940.92</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2.45%</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4</w:t>
            </w:r>
          </w:p>
        </w:tc>
        <w:tc>
          <w:tcPr>
            <w:tcW w:w="517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上海银怡信息技术有限公司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21,094,578.00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1.98%</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5</w:t>
            </w:r>
          </w:p>
        </w:tc>
        <w:tc>
          <w:tcPr>
            <w:tcW w:w="517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英迈电子商贸（上海）有限公司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20,966,675.72</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1.96%</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170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132,979,998.44</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12.45%</w:t>
            </w:r>
          </w:p>
        </w:tc>
      </w:tr>
    </w:tbl>
    <w:p>
      <w:pPr>
        <w:pStyle w:val="BodyText"/>
        <w:spacing w:line="240" w:lineRule="auto" w:before="49"/>
        <w:ind w:right="2602"/>
        <w:jc w:val="left"/>
      </w:pPr>
      <w:r>
        <w:rPr/>
        <w:t>主要供应商其他情况说明</w:t>
      </w:r>
    </w:p>
    <w:p>
      <w:pPr>
        <w:pStyle w:val="BodyText"/>
        <w:spacing w:line="240" w:lineRule="auto" w:before="117"/>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3"/>
        <w:spacing w:line="240" w:lineRule="auto"/>
        <w:ind w:right="2602"/>
        <w:jc w:val="left"/>
        <w:rPr>
          <w:b w:val="0"/>
          <w:bCs w:val="0"/>
        </w:rPr>
      </w:pPr>
      <w:bookmarkStart w:name="3、费用" w:id="38"/>
      <w:bookmarkEnd w:id="38"/>
      <w:r>
        <w:rPr>
          <w:b w:val="0"/>
          <w:bCs w:val="0"/>
        </w:rPr>
      </w:r>
      <w:r>
        <w:rPr>
          <w:rFonts w:ascii="Times New Roman" w:hAnsi="Times New Roman" w:cs="Times New Roman" w:eastAsia="Times New Roman" w:hint="default"/>
        </w:rPr>
        <w:t>3</w:t>
      </w:r>
      <w:r>
        <w:rPr/>
        <w:t>、费用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10"/>
        <w:rPr>
          <w:rFonts w:ascii="宋体" w:hAnsi="宋体" w:cs="宋体" w:eastAsia="宋体" w:hint="default"/>
          <w:sz w:val="11"/>
          <w:szCs w:val="11"/>
        </w:rPr>
      </w:pPr>
    </w:p>
    <w:tbl>
      <w:tblPr>
        <w:tblW w:w="0" w:type="auto"/>
        <w:jc w:val="left"/>
        <w:tblInd w:w="160" w:type="dxa"/>
        <w:tblLayout w:type="fixed"/>
        <w:tblCellMar>
          <w:top w:w="0" w:type="dxa"/>
          <w:left w:w="0" w:type="dxa"/>
          <w:bottom w:w="0" w:type="dxa"/>
          <w:right w:w="0" w:type="dxa"/>
        </w:tblCellMar>
        <w:tblLook w:val="01E0"/>
      </w:tblPr>
      <w:tblGrid>
        <w:gridCol w:w="982"/>
        <w:gridCol w:w="1416"/>
        <w:gridCol w:w="1419"/>
        <w:gridCol w:w="991"/>
        <w:gridCol w:w="4751"/>
      </w:tblGrid>
      <w:tr>
        <w:trPr>
          <w:trHeight w:val="492" w:hRule="exact"/>
        </w:trPr>
        <w:tc>
          <w:tcPr>
            <w:tcW w:w="98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4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4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32"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4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45" w:hRule="exact"/>
        </w:trPr>
        <w:tc>
          <w:tcPr>
            <w:tcW w:w="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6" w:type="dxa"/>
            <w:tcBorders>
              <w:top w:val="single" w:sz="39" w:space="0" w:color="D2D2D2"/>
              <w:left w:val="single" w:sz="12" w:space="0" w:color="D2D2D2"/>
              <w:bottom w:val="single" w:sz="4" w:space="0" w:color="000000"/>
              <w:right w:val="single" w:sz="4" w:space="0" w:color="000000"/>
            </w:tcBorders>
          </w:tcPr>
          <w:p>
            <w:pPr>
              <w:pStyle w:val="TableParagraph"/>
              <w:spacing w:line="240" w:lineRule="auto" w:before="91"/>
              <w:ind w:left="248" w:right="0"/>
              <w:jc w:val="left"/>
              <w:rPr>
                <w:rFonts w:ascii="Times New Roman" w:hAnsi="Times New Roman" w:cs="Times New Roman" w:eastAsia="Times New Roman" w:hint="default"/>
                <w:sz w:val="18"/>
                <w:szCs w:val="18"/>
              </w:rPr>
            </w:pPr>
            <w:r>
              <w:rPr>
                <w:rFonts w:ascii="Times New Roman"/>
                <w:sz w:val="18"/>
              </w:rPr>
              <w:t>139,834,642.83</w:t>
            </w:r>
          </w:p>
        </w:tc>
        <w:tc>
          <w:tcPr>
            <w:tcW w:w="1419" w:type="dxa"/>
            <w:tcBorders>
              <w:top w:val="single" w:sz="39" w:space="0" w:color="D2D2D2"/>
              <w:left w:val="single" w:sz="4" w:space="0" w:color="000000"/>
              <w:bottom w:val="single" w:sz="4" w:space="0" w:color="000000"/>
              <w:right w:val="single" w:sz="4" w:space="0" w:color="000000"/>
            </w:tcBorders>
          </w:tcPr>
          <w:p>
            <w:pPr>
              <w:pStyle w:val="TableParagraph"/>
              <w:spacing w:line="240" w:lineRule="auto" w:before="91"/>
              <w:ind w:left="262" w:right="0"/>
              <w:jc w:val="left"/>
              <w:rPr>
                <w:rFonts w:ascii="Times New Roman" w:hAnsi="Times New Roman" w:cs="Times New Roman" w:eastAsia="Times New Roman" w:hint="default"/>
                <w:sz w:val="18"/>
                <w:szCs w:val="18"/>
              </w:rPr>
            </w:pPr>
            <w:r>
              <w:rPr>
                <w:rFonts w:ascii="Times New Roman"/>
                <w:sz w:val="18"/>
              </w:rPr>
              <w:t>103,737,812.12</w:t>
            </w:r>
          </w:p>
        </w:tc>
        <w:tc>
          <w:tcPr>
            <w:tcW w:w="991" w:type="dxa"/>
            <w:tcBorders>
              <w:top w:val="single" w:sz="39" w:space="0" w:color="D2D2D2"/>
              <w:left w:val="single" w:sz="4" w:space="0" w:color="000000"/>
              <w:bottom w:val="single" w:sz="4" w:space="0" w:color="000000"/>
              <w:right w:val="single" w:sz="4" w:space="0" w:color="000000"/>
            </w:tcBorders>
          </w:tcPr>
          <w:p>
            <w:pPr>
              <w:pStyle w:val="TableParagraph"/>
              <w:spacing w:line="240" w:lineRule="auto" w:before="91"/>
              <w:ind w:left="405" w:right="0"/>
              <w:jc w:val="left"/>
              <w:rPr>
                <w:rFonts w:ascii="Times New Roman" w:hAnsi="Times New Roman" w:cs="Times New Roman" w:eastAsia="Times New Roman" w:hint="default"/>
                <w:sz w:val="18"/>
                <w:szCs w:val="18"/>
              </w:rPr>
            </w:pPr>
            <w:r>
              <w:rPr>
                <w:rFonts w:ascii="Times New Roman"/>
                <w:sz w:val="18"/>
              </w:rPr>
              <w:t>34.80%</w:t>
            </w:r>
          </w:p>
        </w:tc>
        <w:tc>
          <w:tcPr>
            <w:tcW w:w="4751" w:type="dxa"/>
            <w:tcBorders>
              <w:top w:val="single" w:sz="39" w:space="0" w:color="D2D2D2"/>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主要系销售人工费用增加所致</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1"/>
          <w:szCs w:val="11"/>
        </w:rPr>
      </w:pPr>
    </w:p>
    <w:tbl>
      <w:tblPr>
        <w:tblW w:w="0" w:type="auto"/>
        <w:jc w:val="left"/>
        <w:tblInd w:w="160" w:type="dxa"/>
        <w:tblLayout w:type="fixed"/>
        <w:tblCellMar>
          <w:top w:w="0" w:type="dxa"/>
          <w:left w:w="0" w:type="dxa"/>
          <w:bottom w:w="0" w:type="dxa"/>
          <w:right w:w="0" w:type="dxa"/>
        </w:tblCellMar>
        <w:tblLook w:val="01E0"/>
      </w:tblPr>
      <w:tblGrid>
        <w:gridCol w:w="971"/>
        <w:gridCol w:w="1427"/>
        <w:gridCol w:w="1419"/>
        <w:gridCol w:w="991"/>
        <w:gridCol w:w="4751"/>
      </w:tblGrid>
      <w:tr>
        <w:trPr>
          <w:trHeight w:val="492" w:hRule="exact"/>
        </w:trPr>
        <w:tc>
          <w:tcPr>
            <w:tcW w:w="97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4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4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32"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4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48" w:hRule="exact"/>
        </w:trPr>
        <w:tc>
          <w:tcPr>
            <w:tcW w:w="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27" w:type="dxa"/>
            <w:tcBorders>
              <w:top w:val="single" w:sz="39" w:space="0" w:color="D2D2D2"/>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343,062,783.01</w:t>
            </w:r>
          </w:p>
        </w:tc>
        <w:tc>
          <w:tcPr>
            <w:tcW w:w="1419" w:type="dxa"/>
            <w:tcBorders>
              <w:top w:val="single" w:sz="39" w:space="0" w:color="D2D2D2"/>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228,114,076.36</w:t>
            </w:r>
          </w:p>
        </w:tc>
        <w:tc>
          <w:tcPr>
            <w:tcW w:w="991" w:type="dxa"/>
            <w:tcBorders>
              <w:top w:val="single" w:sz="39" w:space="0" w:color="D2D2D2"/>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50.39%</w:t>
            </w:r>
          </w:p>
        </w:tc>
        <w:tc>
          <w:tcPr>
            <w:tcW w:w="4751" w:type="dxa"/>
            <w:tcBorders>
              <w:top w:val="single" w:sz="39" w:space="0" w:color="D2D2D2"/>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主要系折旧摊销以及先行实施项目费用增加等共同影响所致</w:t>
            </w:r>
          </w:p>
        </w:tc>
      </w:tr>
      <w:tr>
        <w:trPr>
          <w:trHeight w:val="401" w:hRule="exact"/>
        </w:trPr>
        <w:tc>
          <w:tcPr>
            <w:tcW w:w="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2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180,136,342.25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155,271,452.69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16.01%</w:t>
            </w:r>
          </w:p>
        </w:tc>
        <w:tc>
          <w:tcPr>
            <w:tcW w:w="4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403" w:hRule="exact"/>
        </w:trPr>
        <w:tc>
          <w:tcPr>
            <w:tcW w:w="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42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367,272,485.77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238,308,167.47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54.12%</w:t>
            </w:r>
          </w:p>
        </w:tc>
        <w:tc>
          <w:tcPr>
            <w:tcW w:w="4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主要是本期自主开发无形资产摊销增加及加大研发投入所致</w:t>
            </w:r>
          </w:p>
        </w:tc>
      </w:tr>
    </w:tbl>
    <w:p>
      <w:pPr>
        <w:spacing w:line="240" w:lineRule="auto" w:before="10"/>
        <w:rPr>
          <w:rFonts w:ascii="宋体" w:hAnsi="宋体" w:cs="宋体" w:eastAsia="宋体" w:hint="default"/>
          <w:sz w:val="23"/>
          <w:szCs w:val="23"/>
        </w:rPr>
      </w:pPr>
    </w:p>
    <w:p>
      <w:pPr>
        <w:pStyle w:val="Heading3"/>
        <w:spacing w:line="240" w:lineRule="auto" w:before="36"/>
        <w:ind w:right="0"/>
        <w:jc w:val="both"/>
        <w:rPr>
          <w:b w:val="0"/>
          <w:bCs w:val="0"/>
        </w:rPr>
      </w:pPr>
      <w:bookmarkStart w:name="4、研发投入" w:id="39"/>
      <w:bookmarkEnd w:id="39"/>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13"/>
          <w:szCs w:val="13"/>
        </w:rPr>
      </w:pPr>
    </w:p>
    <w:p>
      <w:pPr>
        <w:pStyle w:val="BodyText"/>
        <w:spacing w:line="300" w:lineRule="auto"/>
        <w:ind w:right="1125" w:firstLine="360"/>
        <w:jc w:val="left"/>
      </w:pPr>
      <w:r>
        <w:rPr/>
        <w:t>公司历来重视研究开发的投入，</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年度公司总研发投入</w:t>
      </w:r>
      <w:r>
        <w:rPr>
          <w:spacing w:val="-53"/>
        </w:rPr>
        <w:t> </w:t>
      </w:r>
      <w:r>
        <w:rPr>
          <w:rFonts w:ascii="Times New Roman" w:hAnsi="Times New Roman" w:cs="Times New Roman" w:eastAsia="Times New Roman" w:hint="default"/>
        </w:rPr>
        <w:t>539,883,207.65</w:t>
      </w:r>
      <w:r>
        <w:rPr>
          <w:rFonts w:ascii="Times New Roman" w:hAnsi="Times New Roman" w:cs="Times New Roman" w:eastAsia="Times New Roman" w:hint="default"/>
          <w:spacing w:val="-5"/>
        </w:rPr>
        <w:t> </w:t>
      </w:r>
      <w:r>
        <w:rPr>
          <w:spacing w:val="-7"/>
        </w:rPr>
        <w:t>元，占</w:t>
      </w:r>
      <w:r>
        <w:rPr>
          <w:spacing w:val="-5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年度营业收入的</w:t>
      </w:r>
      <w:r>
        <w:rPr>
          <w:spacing w:val="-52"/>
        </w:rPr>
        <w:t> </w:t>
      </w:r>
      <w:r>
        <w:rPr>
          <w:rFonts w:ascii="Times New Roman" w:hAnsi="Times New Roman" w:cs="Times New Roman" w:eastAsia="Times New Roman" w:hint="default"/>
        </w:rPr>
        <w:t>25.41%</w:t>
      </w:r>
      <w:r>
        <w:rPr/>
        <w:t>，其中募 集资金投入金额为</w:t>
      </w:r>
      <w:r>
        <w:rPr>
          <w:spacing w:val="-48"/>
        </w:rPr>
        <w:t> </w:t>
      </w:r>
      <w:r>
        <w:rPr>
          <w:rFonts w:ascii="Times New Roman" w:hAnsi="Times New Roman" w:cs="Times New Roman" w:eastAsia="Times New Roman" w:hint="default"/>
        </w:rPr>
        <w:t>365,100,052.69</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年度公司总研发投入</w:t>
      </w:r>
      <w:r>
        <w:rPr>
          <w:spacing w:val="-49"/>
        </w:rPr>
        <w:t> </w:t>
      </w:r>
      <w:r>
        <w:rPr>
          <w:rFonts w:ascii="Times New Roman" w:hAnsi="Times New Roman" w:cs="Times New Roman" w:eastAsia="Times New Roman" w:hint="default"/>
        </w:rPr>
        <w:t>583,361,495.62</w:t>
      </w:r>
      <w:r>
        <w:rPr>
          <w:rFonts w:ascii="Times New Roman" w:hAnsi="Times New Roman" w:cs="Times New Roman" w:eastAsia="Times New Roman" w:hint="default"/>
          <w:spacing w:val="-1"/>
        </w:rPr>
        <w:t> </w:t>
      </w:r>
      <w:r>
        <w:rPr/>
        <w:t>元，占</w:t>
      </w:r>
      <w:r>
        <w:rPr>
          <w:spacing w:val="-49"/>
        </w:rPr>
        <w:t> </w:t>
      </w:r>
      <w:r>
        <w:rPr>
          <w:rFonts w:ascii="Times New Roman" w:hAnsi="Times New Roman" w:cs="Times New Roman" w:eastAsia="Times New Roman" w:hint="default"/>
        </w:rPr>
        <w:t>2018</w:t>
      </w:r>
      <w:r>
        <w:rPr>
          <w:rFonts w:ascii="Times New Roman" w:hAnsi="Times New Roman" w:cs="Times New Roman" w:eastAsia="Times New Roman" w:hint="default"/>
          <w:spacing w:val="-5"/>
        </w:rPr>
        <w:t> </w:t>
      </w:r>
      <w:r>
        <w:rPr/>
        <w:t>年度营业收入的</w:t>
      </w:r>
      <w:r>
        <w:rPr>
          <w:spacing w:val="-48"/>
        </w:rPr>
        <w:t> </w:t>
      </w:r>
      <w:r>
        <w:rPr>
          <w:rFonts w:ascii="Times New Roman" w:hAnsi="Times New Roman" w:cs="Times New Roman" w:eastAsia="Times New Roman" w:hint="default"/>
        </w:rPr>
        <w:t>26.46%</w:t>
      </w:r>
      <w:r>
        <w:rPr/>
        <w:t>，其中</w:t>
      </w:r>
    </w:p>
    <w:p>
      <w:pPr>
        <w:pStyle w:val="BodyText"/>
        <w:spacing w:line="312" w:lineRule="auto" w:before="13"/>
        <w:ind w:right="1130"/>
        <w:jc w:val="both"/>
      </w:pPr>
      <w:r>
        <w:rPr/>
        <w:t>募集资金投入金额为</w:t>
      </w:r>
      <w:r>
        <w:rPr>
          <w:spacing w:val="-49"/>
        </w:rPr>
        <w:t> </w:t>
      </w:r>
      <w:r>
        <w:rPr>
          <w:rFonts w:ascii="Times New Roman" w:hAnsi="Times New Roman" w:cs="Times New Roman" w:eastAsia="Times New Roman" w:hint="default"/>
        </w:rPr>
        <w:t>448,420,537.25</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年度公司总研发投入</w:t>
      </w:r>
      <w:r>
        <w:rPr>
          <w:spacing w:val="-50"/>
        </w:rPr>
        <w:t> </w:t>
      </w:r>
      <w:r>
        <w:rPr>
          <w:rFonts w:ascii="Times New Roman" w:hAnsi="Times New Roman" w:cs="Times New Roman" w:eastAsia="Times New Roman" w:hint="default"/>
        </w:rPr>
        <w:t>303,982,600.99</w:t>
      </w:r>
      <w:r>
        <w:rPr>
          <w:rFonts w:ascii="Times New Roman" w:hAnsi="Times New Roman" w:cs="Times New Roman" w:eastAsia="Times New Roman" w:hint="default"/>
          <w:spacing w:val="-2"/>
        </w:rPr>
        <w:t> </w:t>
      </w:r>
      <w:r>
        <w:rPr/>
        <w:t>元，占</w:t>
      </w:r>
      <w:r>
        <w:rPr>
          <w:spacing w:val="-50"/>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年度营业收入的</w:t>
      </w:r>
      <w:r>
        <w:rPr>
          <w:spacing w:val="-49"/>
        </w:rPr>
        <w:t> </w:t>
      </w:r>
      <w:r>
        <w:rPr>
          <w:rFonts w:ascii="Times New Roman" w:hAnsi="Times New Roman" w:cs="Times New Roman" w:eastAsia="Times New Roman" w:hint="default"/>
        </w:rPr>
        <w:t>12.58%</w:t>
      </w:r>
      <w:r>
        <w:rPr/>
        <w:t>，均</w:t>
      </w:r>
      <w:r>
        <w:rPr>
          <w:spacing w:val="-5"/>
        </w:rPr>
        <w:t> </w:t>
      </w:r>
      <w:r>
        <w:rPr>
          <w:spacing w:val="-2"/>
        </w:rPr>
        <w:t>为公司自行投入的研发费用。公司继续保持了对核心行业产品的研发力度，为公司未来的业务扩展奠定扎实的基础。公司还</w:t>
      </w:r>
      <w:r>
        <w:rPr>
          <w:spacing w:val="-63"/>
        </w:rPr>
        <w:t> </w:t>
      </w:r>
      <w:r>
        <w:rPr>
          <w:spacing w:val="-63"/>
        </w:rPr>
      </w:r>
      <w:r>
        <w:rPr>
          <w:spacing w:val="-2"/>
        </w:rPr>
        <w:t>集中力量研究了基于物联网、移动互联网、大数据技术等的各类信息技术基础，探索了不少新业务，也积累了多项相关知识</w:t>
      </w:r>
      <w:r>
        <w:rPr>
          <w:spacing w:val="-65"/>
        </w:rPr>
        <w:t> </w:t>
      </w:r>
      <w:r>
        <w:rPr>
          <w:spacing w:val="-65"/>
        </w:rPr>
      </w:r>
      <w:r>
        <w:rPr/>
        <w:t>产权。</w:t>
      </w:r>
    </w:p>
    <w:p>
      <w:pPr>
        <w:spacing w:line="240" w:lineRule="auto" w:before="11"/>
        <w:rPr>
          <w:rFonts w:ascii="宋体" w:hAnsi="宋体" w:cs="宋体" w:eastAsia="宋体" w:hint="default"/>
          <w:sz w:val="19"/>
          <w:szCs w:val="19"/>
        </w:rPr>
      </w:pPr>
    </w:p>
    <w:p>
      <w:pPr>
        <w:pStyle w:val="BodyText"/>
        <w:spacing w:line="240" w:lineRule="auto"/>
        <w:ind w:right="0"/>
        <w:jc w:val="both"/>
      </w:pPr>
      <w:r>
        <w:rPr/>
        <w:t>近三年公司研发投入金额及占营业收入的比例</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40"/>
        <w:gridCol w:w="2138"/>
        <w:gridCol w:w="2124"/>
        <w:gridCol w:w="2057"/>
      </w:tblGrid>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1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4,245</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3,807</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3,605</w:t>
            </w: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1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68.32%</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67.64%</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68.42%</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1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539,883,207.65</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583,361,495.62</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303,982,600.99</w:t>
            </w:r>
          </w:p>
        </w:tc>
      </w:tr>
      <w:tr>
        <w:trPr>
          <w:trHeight w:val="404"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1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16"/>
              <w:jc w:val="right"/>
              <w:rPr>
                <w:rFonts w:ascii="Times New Roman" w:hAnsi="Times New Roman" w:cs="Times New Roman" w:eastAsia="Times New Roman" w:hint="default"/>
                <w:sz w:val="18"/>
                <w:szCs w:val="18"/>
              </w:rPr>
            </w:pPr>
            <w:r>
              <w:rPr>
                <w:rFonts w:ascii="Times New Roman"/>
                <w:sz w:val="18"/>
              </w:rPr>
              <w:t>25.41%</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4"/>
              <w:jc w:val="right"/>
              <w:rPr>
                <w:rFonts w:ascii="Times New Roman" w:hAnsi="Times New Roman" w:cs="Times New Roman" w:eastAsia="Times New Roman" w:hint="default"/>
                <w:sz w:val="18"/>
                <w:szCs w:val="18"/>
              </w:rPr>
            </w:pPr>
            <w:r>
              <w:rPr>
                <w:rFonts w:ascii="Times New Roman"/>
                <w:sz w:val="18"/>
              </w:rPr>
              <w:t>26.46%</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6"/>
              <w:jc w:val="right"/>
              <w:rPr>
                <w:rFonts w:ascii="Times New Roman" w:hAnsi="Times New Roman" w:cs="Times New Roman" w:eastAsia="Times New Roman" w:hint="default"/>
                <w:sz w:val="18"/>
                <w:szCs w:val="18"/>
              </w:rPr>
            </w:pPr>
            <w:r>
              <w:rPr>
                <w:rFonts w:ascii="Times New Roman"/>
                <w:sz w:val="18"/>
              </w:rPr>
              <w:t>12.58%</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1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389,794,012.17</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469,613,835.55</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168,858,139.58</w:t>
            </w: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资本化研发支出占研发投入的比例</w:t>
            </w:r>
          </w:p>
        </w:tc>
        <w:tc>
          <w:tcPr>
            <w:tcW w:w="21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72.20%</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sz w:val="18"/>
              </w:rPr>
              <w:t>80.50%</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55.55%</w:t>
            </w: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资本化研发支出占当期净利润的比重</w:t>
            </w:r>
          </w:p>
        </w:tc>
        <w:tc>
          <w:tcPr>
            <w:tcW w:w="21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27.79%</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208.49%</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52.01%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pStyle w:val="BodyText"/>
        <w:spacing w:line="240" w:lineRule="auto" w:before="49"/>
        <w:ind w:right="-17"/>
        <w:jc w:val="left"/>
      </w:pPr>
      <w:r>
        <w:rPr/>
        <w:t>研发投入总额占营业收入的比重较上年发生显著变化的原因</w:t>
      </w:r>
    </w:p>
    <w:p>
      <w:pPr>
        <w:pStyle w:val="BodyText"/>
        <w:spacing w:line="340" w:lineRule="auto" w:before="115"/>
        <w:ind w:right="49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研发投入资本化率大幅变动的原因及其合理性说明</w:t>
      </w:r>
    </w:p>
    <w:p>
      <w:pPr>
        <w:pStyle w:val="BodyText"/>
        <w:spacing w:line="240" w:lineRule="auto" w:before="39"/>
        <w:ind w:right="-17"/>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pStyle w:val="BodyText"/>
        <w:spacing w:line="240" w:lineRule="auto" w:before="103"/>
        <w:ind w:right="-17"/>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9"/>
        <w:ind w:left="-32" w:right="0"/>
        <w:jc w:val="left"/>
      </w:pPr>
      <w:r>
        <w:rPr/>
        <w:t>单位：元</w:t>
      </w:r>
    </w:p>
    <w:p>
      <w:pPr>
        <w:spacing w:after="0" w:line="240" w:lineRule="auto"/>
        <w:jc w:val="left"/>
        <w:sectPr>
          <w:type w:val="continuous"/>
          <w:pgSz w:w="11910" w:h="16840"/>
          <w:pgMar w:top="1060" w:bottom="1160" w:left="980" w:right="0"/>
          <w:cols w:num="2" w:equalWidth="0">
            <w:col w:w="9066" w:space="40"/>
            <w:col w:w="1824"/>
          </w:cols>
        </w:sectPr>
      </w:pP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112"/>
        <w:gridCol w:w="2127"/>
        <w:gridCol w:w="1985"/>
        <w:gridCol w:w="1346"/>
      </w:tblGrid>
      <w:tr>
        <w:trPr>
          <w:trHeight w:val="403"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9" w:right="0"/>
              <w:jc w:val="left"/>
              <w:rPr>
                <w:rFonts w:ascii="宋体" w:hAnsi="宋体" w:cs="宋体" w:eastAsia="宋体" w:hint="default"/>
                <w:sz w:val="18"/>
                <w:szCs w:val="18"/>
              </w:rPr>
            </w:pPr>
            <w:r>
              <w:rPr>
                <w:rFonts w:ascii="宋体" w:hAnsi="宋体" w:cs="宋体" w:eastAsia="宋体" w:hint="default"/>
                <w:sz w:val="18"/>
                <w:szCs w:val="18"/>
              </w:rPr>
              <w:t>研发资本化金额</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相关项目的基本情况</w:t>
            </w:r>
          </w:p>
        </w:tc>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实施进度</w:t>
            </w:r>
          </w:p>
        </w:tc>
      </w:tr>
      <w:tr>
        <w:trPr>
          <w:trHeight w:val="40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新一代智慧城市一体化平台及应用系统建设项目</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163,964,251.43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功能实施阶段</w:t>
            </w:r>
          </w:p>
        </w:tc>
      </w:tr>
      <w:tr>
        <w:trPr>
          <w:trHeight w:val="403"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新一代智慧医疗一体化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HIS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服务平台及应用系统</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118,877,303.22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功能开发阶段</w:t>
            </w:r>
          </w:p>
        </w:tc>
      </w:tr>
      <w:tr>
        <w:trPr>
          <w:trHeight w:val="40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智慧养老综合服务平台及其智能物联云平台</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82,258,498.04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功能开发阶段</w:t>
            </w:r>
          </w:p>
        </w:tc>
      </w:tr>
    </w:tbl>
    <w:p>
      <w:pPr>
        <w:spacing w:line="240" w:lineRule="auto" w:before="10"/>
        <w:rPr>
          <w:rFonts w:ascii="宋体" w:hAnsi="宋体" w:cs="宋体" w:eastAsia="宋体" w:hint="default"/>
          <w:sz w:val="24"/>
          <w:szCs w:val="24"/>
        </w:rPr>
      </w:pPr>
    </w:p>
    <w:p>
      <w:pPr>
        <w:pStyle w:val="BodyText"/>
        <w:spacing w:line="340" w:lineRule="auto" w:before="44"/>
        <w:ind w:left="513" w:right="0" w:hanging="361"/>
        <w:jc w:val="left"/>
      </w:pPr>
      <w:r>
        <w:rPr/>
        <w:t>注</w:t>
      </w:r>
      <w:r>
        <w:rPr>
          <w:spacing w:val="-44"/>
        </w:rPr>
        <w:t> </w:t>
      </w:r>
      <w:r>
        <w:rPr>
          <w:rFonts w:ascii="Times New Roman" w:hAnsi="Times New Roman" w:cs="Times New Roman" w:eastAsia="Times New Roman" w:hint="default"/>
        </w:rPr>
        <w:t>1</w:t>
      </w:r>
      <w:r>
        <w:rPr/>
        <w:t>：新一代智慧城市一体化平台及应用系统建设项目情况说明 </w:t>
      </w:r>
      <w:r>
        <w:rPr>
          <w:spacing w:val="-2"/>
        </w:rPr>
        <w:t>本项目建设内容为：（一）基于智慧城市总体解决方案，研发新一代智慧城市一体化平台及应用系统，重点包括城市一</w:t>
      </w:r>
    </w:p>
    <w:p>
      <w:pPr>
        <w:pStyle w:val="BodyText"/>
        <w:spacing w:line="240" w:lineRule="auto" w:before="1"/>
        <w:ind w:right="0"/>
        <w:jc w:val="left"/>
      </w:pPr>
      <w:r>
        <w:rPr/>
        <w:t>体化信息平</w:t>
      </w:r>
      <w:r>
        <w:rPr>
          <w:spacing w:val="-3"/>
        </w:rPr>
        <w:t>台</w:t>
      </w:r>
      <w:r>
        <w:rPr/>
        <w:t>（</w:t>
      </w:r>
      <w:r>
        <w:rPr>
          <w:rFonts w:ascii="Times New Roman" w:hAnsi="Times New Roman" w:cs="Times New Roman" w:eastAsia="Times New Roman" w:hint="default"/>
        </w:rPr>
        <w:t>iG</w:t>
      </w:r>
      <w:r>
        <w:rPr>
          <w:rFonts w:ascii="Times New Roman" w:hAnsi="Times New Roman" w:cs="Times New Roman" w:eastAsia="Times New Roman" w:hint="default"/>
          <w:spacing w:val="-2"/>
        </w:rPr>
        <w:t>W</w:t>
      </w:r>
      <w:r>
        <w:rPr>
          <w:rFonts w:ascii="Times New Roman" w:hAnsi="Times New Roman" w:cs="Times New Roman" w:eastAsia="Times New Roman" w:hint="default"/>
          <w:w w:val="99"/>
        </w:rPr>
        <w:t>IM</w:t>
      </w:r>
      <w:r>
        <w:rPr>
          <w:spacing w:val="-89"/>
        </w:rPr>
        <w:t>）</w:t>
      </w:r>
      <w:r>
        <w:rPr>
          <w:spacing w:val="-3"/>
        </w:rPr>
        <w:t>、</w:t>
      </w:r>
      <w:r>
        <w:rPr>
          <w:spacing w:val="2"/>
        </w:rPr>
        <w:t>智</w:t>
      </w:r>
      <w:r>
        <w:rPr/>
        <w:t>慧城市云平</w:t>
      </w:r>
      <w:r>
        <w:rPr>
          <w:spacing w:val="-3"/>
        </w:rPr>
        <w:t>台</w:t>
      </w:r>
      <w:r>
        <w:rPr/>
        <w:t>（</w:t>
      </w:r>
      <w:r>
        <w:rPr>
          <w:rFonts w:ascii="Times New Roman" w:hAnsi="Times New Roman" w:cs="Times New Roman" w:eastAsia="Times New Roman" w:hint="default"/>
          <w:w w:val="99"/>
        </w:rPr>
        <w:t>iC</w:t>
      </w:r>
      <w:r>
        <w:rPr>
          <w:rFonts w:ascii="Times New Roman" w:hAnsi="Times New Roman" w:cs="Times New Roman" w:eastAsia="Times New Roman" w:hint="default"/>
          <w:spacing w:val="3"/>
          <w:w w:val="99"/>
        </w:rPr>
        <w:t>P</w:t>
      </w:r>
      <w:r>
        <w:rPr>
          <w:spacing w:val="-92"/>
        </w:rPr>
        <w:t>）</w:t>
      </w:r>
      <w:r>
        <w:rPr>
          <w:spacing w:val="-3"/>
        </w:rPr>
        <w:t>、</w:t>
      </w:r>
      <w:r>
        <w:rPr/>
        <w:t>智慧城市大数据平</w:t>
      </w:r>
      <w:r>
        <w:rPr>
          <w:spacing w:val="-3"/>
        </w:rPr>
        <w:t>台</w:t>
      </w:r>
      <w:r>
        <w:rPr/>
        <w:t>（</w:t>
      </w:r>
      <w:r>
        <w:rPr>
          <w:rFonts w:ascii="Times New Roman" w:hAnsi="Times New Roman" w:cs="Times New Roman" w:eastAsia="Times New Roman" w:hint="default"/>
          <w:w w:val="99"/>
        </w:rPr>
        <w:t>iBD</w:t>
      </w:r>
      <w:r>
        <w:rPr>
          <w:rFonts w:ascii="Times New Roman" w:hAnsi="Times New Roman" w:cs="Times New Roman" w:eastAsia="Times New Roman" w:hint="default"/>
          <w:spacing w:val="3"/>
          <w:w w:val="99"/>
        </w:rPr>
        <w:t>P</w:t>
      </w:r>
      <w:r>
        <w:rPr>
          <w:spacing w:val="-92"/>
        </w:rPr>
        <w:t>）</w:t>
      </w:r>
      <w:r>
        <w:rPr>
          <w:spacing w:val="-3"/>
        </w:rPr>
        <w:t>、</w:t>
      </w:r>
      <w:r>
        <w:rPr/>
        <w:t>城市智能运行中心系</w:t>
      </w:r>
      <w:r>
        <w:rPr>
          <w:spacing w:val="-3"/>
        </w:rPr>
        <w:t>统</w:t>
      </w:r>
      <w:r>
        <w:rPr/>
        <w:t>（</w:t>
      </w:r>
      <w:r>
        <w:rPr>
          <w:rFonts w:ascii="Times New Roman" w:hAnsi="Times New Roman" w:cs="Times New Roman" w:eastAsia="Times New Roman" w:hint="default"/>
          <w:w w:val="99"/>
        </w:rPr>
        <w:t>IO</w:t>
      </w:r>
      <w:r>
        <w:rPr>
          <w:rFonts w:ascii="Times New Roman" w:hAnsi="Times New Roman" w:cs="Times New Roman" w:eastAsia="Times New Roman" w:hint="default"/>
          <w:spacing w:val="-1"/>
          <w:w w:val="99"/>
        </w:rPr>
        <w:t>C</w:t>
      </w:r>
      <w:r>
        <w:rPr>
          <w:spacing w:val="-92"/>
        </w:rPr>
        <w:t>）</w:t>
      </w:r>
      <w:r>
        <w:rPr>
          <w:spacing w:val="-3"/>
        </w:rPr>
        <w:t>、</w:t>
      </w:r>
      <w:r>
        <w:rPr>
          <w:spacing w:val="2"/>
        </w:rPr>
        <w:t>政</w:t>
      </w:r>
      <w:r>
        <w:rPr/>
        <w:t>务云</w:t>
      </w:r>
    </w:p>
    <w:p>
      <w:pPr>
        <w:spacing w:after="0" w:line="240" w:lineRule="auto"/>
        <w:jc w:val="left"/>
        <w:sectPr>
          <w:type w:val="continuous"/>
          <w:pgSz w:w="11910" w:h="16840"/>
          <w:pgMar w:top="1060" w:bottom="1160" w:left="980" w:right="0"/>
        </w:sectPr>
      </w:pPr>
    </w:p>
    <w:p>
      <w:pPr>
        <w:spacing w:line="240" w:lineRule="auto" w:before="9"/>
        <w:rPr>
          <w:rFonts w:ascii="宋体" w:hAnsi="宋体" w:cs="宋体" w:eastAsia="宋体" w:hint="default"/>
          <w:sz w:val="25"/>
          <w:szCs w:val="25"/>
        </w:rPr>
      </w:pPr>
    </w:p>
    <w:p>
      <w:pPr>
        <w:pStyle w:val="BodyText"/>
        <w:spacing w:line="309" w:lineRule="auto" w:before="44"/>
        <w:ind w:right="1131"/>
        <w:jc w:val="both"/>
      </w:pPr>
      <w:r>
        <w:rPr>
          <w:spacing w:val="-3"/>
          <w:w w:val="99"/>
        </w:rPr>
        <w:t>协同应用系统（</w:t>
      </w:r>
      <w:r>
        <w:rPr>
          <w:rFonts w:ascii="Times New Roman" w:hAnsi="Times New Roman" w:cs="Times New Roman" w:eastAsia="Times New Roman" w:hint="default"/>
          <w:spacing w:val="-3"/>
          <w:w w:val="99"/>
        </w:rPr>
        <w:t>iGOV</w:t>
      </w:r>
      <w:r>
        <w:rPr>
          <w:spacing w:val="-3"/>
          <w:w w:val="99"/>
        </w:rPr>
        <w:t>）、市民云服务系统（</w:t>
      </w:r>
      <w:r>
        <w:rPr>
          <w:rFonts w:ascii="Times New Roman" w:hAnsi="Times New Roman" w:cs="Times New Roman" w:eastAsia="Times New Roman" w:hint="default"/>
          <w:spacing w:val="-3"/>
          <w:w w:val="99"/>
        </w:rPr>
        <w:t>iCity</w:t>
      </w:r>
      <w:r>
        <w:rPr>
          <w:spacing w:val="-3"/>
          <w:w w:val="99"/>
        </w:rPr>
        <w:t>）六个重点软件产品，支持在各城市以城市私有云建设、</w:t>
      </w:r>
      <w:r>
        <w:rPr>
          <w:rFonts w:ascii="Times New Roman" w:hAnsi="Times New Roman" w:cs="Times New Roman" w:eastAsia="Times New Roman" w:hint="default"/>
          <w:spacing w:val="-3"/>
          <w:w w:val="99"/>
        </w:rPr>
        <w:t>PPP</w:t>
      </w:r>
      <w:r>
        <w:rPr>
          <w:rFonts w:ascii="Times New Roman" w:hAnsi="Times New Roman" w:cs="Times New Roman" w:eastAsia="Times New Roman" w:hint="default"/>
          <w:spacing w:val="9"/>
          <w:w w:val="99"/>
        </w:rPr>
        <w:t> </w:t>
      </w:r>
      <w:r>
        <w:rPr>
          <w:spacing w:val="-1"/>
        </w:rPr>
        <w:t>合作模式与租</w:t>
      </w:r>
      <w:r>
        <w:rPr>
          <w:spacing w:val="-87"/>
        </w:rPr>
        <w:t> </w:t>
      </w:r>
      <w:r>
        <w:rPr>
          <w:spacing w:val="-87"/>
        </w:rPr>
      </w:r>
      <w:r>
        <w:rPr>
          <w:spacing w:val="-2"/>
        </w:rPr>
        <w:t>赁在线运营服务等多种模式落地；（二）购置软硬件设备，建设上海云计算中心、上海云计算副中心、成都云计算中心，支</w:t>
      </w:r>
      <w:r>
        <w:rPr>
          <w:spacing w:val="-65"/>
        </w:rPr>
        <w:t> </w:t>
      </w:r>
      <w:r>
        <w:rPr>
          <w:spacing w:val="-65"/>
        </w:rPr>
      </w:r>
      <w:r>
        <w:rPr/>
        <w:t>撑新一代智慧城市一体化平台及应用系统，提供云服务。</w:t>
      </w:r>
    </w:p>
    <w:p>
      <w:pPr>
        <w:pStyle w:val="BodyText"/>
        <w:spacing w:line="314" w:lineRule="auto" w:before="65"/>
        <w:ind w:right="1129" w:firstLine="360"/>
        <w:jc w:val="both"/>
      </w:pPr>
      <w:r>
        <w:rPr>
          <w:spacing w:val="-2"/>
        </w:rPr>
        <w:t>本项目将依托公司目前所拥有的相关领域的核心技术和成功经验，进行自主研发和集成创新，在行业基础系统的软件开</w:t>
      </w:r>
      <w:r>
        <w:rPr/>
        <w:t> </w:t>
      </w:r>
      <w:r>
        <w:rPr>
          <w:spacing w:val="-2"/>
        </w:rPr>
        <w:t>发与系统集成业务基础上，加大投入基于云计算模式的在线服务，建设城市级的云中心和云端应用，云中心主要建设城市一</w:t>
      </w:r>
      <w:r>
        <w:rPr>
          <w:spacing w:val="-63"/>
        </w:rPr>
        <w:t> </w:t>
      </w:r>
      <w:r>
        <w:rPr>
          <w:spacing w:val="-63"/>
        </w:rPr>
      </w:r>
      <w:r>
        <w:rPr>
          <w:spacing w:val="-2"/>
        </w:rPr>
        <w:t>体化信息平台、城市云平台和城市大数据平台，云端应用包括以市民为中心的市民云服务系统、面向行政管理与服务的政务</w:t>
      </w:r>
      <w:r>
        <w:rPr>
          <w:spacing w:val="-62"/>
        </w:rPr>
        <w:t> </w:t>
      </w:r>
      <w:r>
        <w:rPr>
          <w:spacing w:val="-62"/>
        </w:rPr>
      </w:r>
      <w:r>
        <w:rPr>
          <w:spacing w:val="-1"/>
        </w:rPr>
        <w:t>云协同应用系统和面向社会治理的城市智能运行中心系统，逐步消除</w:t>
      </w:r>
      <w:r>
        <w:rPr>
          <w:rFonts w:ascii="Times New Roman" w:hAnsi="Times New Roman" w:cs="Times New Roman" w:eastAsia="Times New Roman" w:hint="default"/>
          <w:spacing w:val="-1"/>
        </w:rPr>
        <w:t>“</w:t>
      </w:r>
      <w:r>
        <w:rPr>
          <w:spacing w:val="-1"/>
        </w:rPr>
        <w:t>数据孤岛</w:t>
      </w:r>
      <w:r>
        <w:rPr>
          <w:rFonts w:ascii="Times New Roman" w:hAnsi="Times New Roman" w:cs="Times New Roman" w:eastAsia="Times New Roman" w:hint="default"/>
          <w:spacing w:val="-1"/>
        </w:rPr>
        <w:t>”</w:t>
      </w:r>
      <w:r>
        <w:rPr>
          <w:spacing w:val="-1"/>
        </w:rPr>
        <w:t>和</w:t>
      </w:r>
      <w:r>
        <w:rPr>
          <w:rFonts w:ascii="Times New Roman" w:hAnsi="Times New Roman" w:cs="Times New Roman" w:eastAsia="Times New Roman" w:hint="default"/>
          <w:spacing w:val="-1"/>
        </w:rPr>
        <w:t>“</w:t>
      </w:r>
      <w:r>
        <w:rPr>
          <w:spacing w:val="-1"/>
        </w:rPr>
        <w:t>行业烟囱</w:t>
      </w:r>
      <w:r>
        <w:rPr>
          <w:rFonts w:ascii="Times New Roman" w:hAnsi="Times New Roman" w:cs="Times New Roman" w:eastAsia="Times New Roman" w:hint="default"/>
          <w:spacing w:val="-1"/>
        </w:rPr>
        <w:t>”</w:t>
      </w:r>
      <w:r>
        <w:rPr>
          <w:spacing w:val="-1"/>
        </w:rPr>
        <w:t>现象，实现信息共享融通。公</w:t>
      </w:r>
      <w:r>
        <w:rPr>
          <w:spacing w:val="-78"/>
        </w:rPr>
        <w:t> </w:t>
      </w:r>
      <w:r>
        <w:rPr>
          <w:spacing w:val="-78"/>
        </w:rPr>
      </w:r>
      <w:r>
        <w:rPr>
          <w:spacing w:val="-2"/>
        </w:rPr>
        <w:t>司业务模式也将在信息化项目服务的基础上，扩展云服务模式的公共服务运营业务，包括部署于当地的智慧城市私有云运营</w:t>
      </w:r>
      <w:r>
        <w:rPr>
          <w:spacing w:val="-64"/>
        </w:rPr>
        <w:t> </w:t>
      </w:r>
      <w:r>
        <w:rPr>
          <w:spacing w:val="-64"/>
        </w:rPr>
      </w:r>
      <w:r>
        <w:rPr/>
        <w:t>服务、基于</w:t>
      </w:r>
      <w:r>
        <w:rPr>
          <w:spacing w:val="-49"/>
        </w:rPr>
        <w:t> </w:t>
      </w:r>
      <w:r>
        <w:rPr>
          <w:rFonts w:ascii="Times New Roman" w:hAnsi="Times New Roman" w:cs="Times New Roman" w:eastAsia="Times New Roman" w:hint="default"/>
        </w:rPr>
        <w:t>PPP</w:t>
      </w:r>
      <w:r>
        <w:rPr>
          <w:rFonts w:ascii="Times New Roman" w:hAnsi="Times New Roman" w:cs="Times New Roman" w:eastAsia="Times New Roman" w:hint="default"/>
          <w:spacing w:val="1"/>
        </w:rPr>
        <w:t> </w:t>
      </w:r>
      <w:r>
        <w:rPr/>
        <w:t>模式的联合运营服务以及部署于上海及成都的智慧城市公有云运营服务。</w:t>
      </w:r>
    </w:p>
    <w:p>
      <w:pPr>
        <w:spacing w:line="240" w:lineRule="auto" w:before="0"/>
        <w:rPr>
          <w:rFonts w:ascii="宋体" w:hAnsi="宋体" w:cs="宋体" w:eastAsia="宋体" w:hint="default"/>
          <w:sz w:val="18"/>
          <w:szCs w:val="18"/>
        </w:rPr>
      </w:pPr>
    </w:p>
    <w:p>
      <w:pPr>
        <w:pStyle w:val="BodyText"/>
        <w:spacing w:line="340" w:lineRule="auto" w:before="123"/>
        <w:ind w:left="522" w:right="1117" w:hanging="371"/>
        <w:jc w:val="left"/>
      </w:pPr>
      <w:r>
        <w:rPr/>
        <w:t>注</w:t>
      </w:r>
      <w:r>
        <w:rPr>
          <w:spacing w:val="-44"/>
        </w:rPr>
        <w:t> </w:t>
      </w:r>
      <w:r>
        <w:rPr>
          <w:rFonts w:ascii="Times New Roman" w:hAnsi="Times New Roman" w:cs="Times New Roman" w:eastAsia="Times New Roman" w:hint="default"/>
        </w:rPr>
        <w:t>2</w:t>
      </w:r>
      <w:r>
        <w:rPr/>
        <w:t>：新一代智慧医疗一体化</w:t>
      </w:r>
      <w:r>
        <w:rPr>
          <w:spacing w:val="-47"/>
        </w:rPr>
        <w:t> </w:t>
      </w:r>
      <w:r>
        <w:rPr>
          <w:rFonts w:ascii="Times New Roman" w:hAnsi="Times New Roman" w:cs="Times New Roman" w:eastAsia="Times New Roman" w:hint="default"/>
        </w:rPr>
        <w:t>HIS</w:t>
      </w:r>
      <w:r>
        <w:rPr>
          <w:rFonts w:ascii="Times New Roman" w:hAnsi="Times New Roman" w:cs="Times New Roman" w:eastAsia="Times New Roman" w:hint="default"/>
          <w:spacing w:val="1"/>
        </w:rPr>
        <w:t> </w:t>
      </w:r>
      <w:r>
        <w:rPr/>
        <w:t>服务平台及应用系统情况说明 本项目建设内容为：基于智慧医疗总体解决方案，研发新一代智慧医疗一体化 </w:t>
      </w:r>
      <w:r>
        <w:rPr>
          <w:rFonts w:ascii="Times New Roman" w:hAnsi="Times New Roman" w:cs="Times New Roman" w:eastAsia="Times New Roman" w:hint="default"/>
        </w:rPr>
        <w:t>HIS</w:t>
      </w:r>
      <w:r>
        <w:rPr>
          <w:rFonts w:ascii="Times New Roman" w:hAnsi="Times New Roman" w:cs="Times New Roman" w:eastAsia="Times New Roman" w:hint="default"/>
          <w:spacing w:val="22"/>
        </w:rPr>
        <w:t> </w:t>
      </w:r>
      <w:r>
        <w:rPr/>
        <w:t>服务平台及应用系统，重点包含智</w:t>
      </w:r>
    </w:p>
    <w:p>
      <w:pPr>
        <w:pStyle w:val="BodyText"/>
        <w:spacing w:line="215" w:lineRule="exact"/>
        <w:ind w:right="0"/>
        <w:jc w:val="both"/>
      </w:pPr>
      <w:r>
        <w:rPr/>
        <w:t>慧医疗云诊所服务平台、智慧医疗云社区服务平台、智慧医疗云医院信息平台和智慧医疗云协同服务平台等四个服务平台。</w:t>
      </w:r>
    </w:p>
    <w:p>
      <w:pPr>
        <w:pStyle w:val="BodyText"/>
        <w:spacing w:line="360" w:lineRule="auto" w:before="76"/>
        <w:ind w:left="522" w:right="0" w:hanging="371"/>
        <w:jc w:val="left"/>
      </w:pPr>
      <w:r>
        <w:rPr/>
        <w:t>同时，建设一主一辅两个智慧医疗云计算中心，支撑前述四个服务平台的相关应用。 公司拟借助移动互联网、大数据与云计算等技术，构建一个标准化、智能化、系统化的立体式医疗信息化生态系统，</w:t>
      </w:r>
    </w:p>
    <w:p>
      <w:pPr>
        <w:pStyle w:val="BodyText"/>
        <w:spacing w:line="222" w:lineRule="exact"/>
        <w:ind w:right="0"/>
        <w:jc w:val="both"/>
      </w:pPr>
      <w:r>
        <w:rPr/>
        <w:t>以实现线上线下服务一体化以及医前、医中、医后服务一体化的双闭环以及不同医疗机构的信息互联互通。</w:t>
      </w:r>
    </w:p>
    <w:p>
      <w:pPr>
        <w:pStyle w:val="BodyText"/>
        <w:spacing w:line="307" w:lineRule="auto" w:before="117"/>
        <w:ind w:right="1047" w:firstLine="370"/>
        <w:jc w:val="both"/>
      </w:pPr>
      <w:r>
        <w:rPr/>
        <w:t>公司拟建设的新一代智慧医疗一体化 </w:t>
      </w:r>
      <w:r>
        <w:rPr>
          <w:rFonts w:ascii="Times New Roman" w:hAnsi="Times New Roman" w:cs="Times New Roman" w:eastAsia="Times New Roman" w:hint="default"/>
        </w:rPr>
        <w:t>HIS</w:t>
      </w:r>
      <w:r>
        <w:rPr>
          <w:rFonts w:ascii="Times New Roman" w:hAnsi="Times New Roman" w:cs="Times New Roman" w:eastAsia="Times New Roman" w:hint="default"/>
          <w:spacing w:val="23"/>
        </w:rPr>
        <w:t> </w:t>
      </w:r>
      <w:r>
        <w:rPr/>
        <w:t>服务平台及应用系统项目在系统构架、功能性、信息互联互通等方面有显著 的优势。在系统构架方面，新一代智慧医疗一体化 </w:t>
      </w:r>
      <w:r>
        <w:rPr>
          <w:rFonts w:ascii="Times New Roman" w:hAnsi="Times New Roman" w:cs="Times New Roman" w:eastAsia="Times New Roman" w:hint="default"/>
        </w:rPr>
        <w:t>HIS</w:t>
      </w:r>
      <w:r>
        <w:rPr>
          <w:rFonts w:ascii="Times New Roman" w:hAnsi="Times New Roman" w:cs="Times New Roman" w:eastAsia="Times New Roman" w:hint="default"/>
          <w:spacing w:val="33"/>
        </w:rPr>
        <w:t> </w:t>
      </w:r>
      <w:r>
        <w:rPr/>
        <w:t>系统具有更强的兼容开放性，模块扩展性强，能接入基于新语言与 新技术的软件与应用；在功能上，新一代智慧医疗一体化 </w:t>
      </w:r>
      <w:r>
        <w:rPr>
          <w:rFonts w:ascii="Times New Roman" w:hAnsi="Times New Roman" w:cs="Times New Roman" w:eastAsia="Times New Roman" w:hint="default"/>
        </w:rPr>
        <w:t>HIS</w:t>
      </w:r>
      <w:r>
        <w:rPr>
          <w:rFonts w:ascii="Times New Roman" w:hAnsi="Times New Roman" w:cs="Times New Roman" w:eastAsia="Times New Roman" w:hint="default"/>
          <w:spacing w:val="33"/>
        </w:rPr>
        <w:t> </w:t>
      </w:r>
      <w:r>
        <w:rPr/>
        <w:t>系统功能覆盖广阔，从门诊、急诊、药房等服务管理、重症 </w:t>
      </w:r>
      <w:r>
        <w:rPr>
          <w:spacing w:val="-2"/>
        </w:rPr>
        <w:t>监护、手术等医疗管理延伸至临床决策辅助，从家庭医生、远程会诊、一键转诊延伸至疾病预防与管理，实现线上线下服务</w:t>
      </w:r>
      <w:r>
        <w:rPr>
          <w:spacing w:val="-67"/>
        </w:rPr>
        <w:t> </w:t>
      </w:r>
      <w:r>
        <w:rPr>
          <w:spacing w:val="-67"/>
        </w:rPr>
      </w:r>
      <w:r>
        <w:rPr/>
        <w:t>一体化以及医前、医中、医后服务一体化的双闭环；在信息互联互通方面，新一代智慧医疗一体化 </w:t>
      </w:r>
      <w:r>
        <w:rPr>
          <w:rFonts w:ascii="Times New Roman" w:hAnsi="Times New Roman" w:cs="Times New Roman" w:eastAsia="Times New Roman" w:hint="default"/>
        </w:rPr>
        <w:t>HIS</w:t>
      </w:r>
      <w:r>
        <w:rPr>
          <w:rFonts w:ascii="Times New Roman" w:hAnsi="Times New Roman" w:cs="Times New Roman" w:eastAsia="Times New Roman" w:hint="default"/>
          <w:spacing w:val="35"/>
        </w:rPr>
        <w:t> </w:t>
      </w:r>
      <w:r>
        <w:rPr/>
        <w:t>系统实现了各医疗 </w:t>
      </w:r>
      <w:r>
        <w:rPr>
          <w:spacing w:val="-2"/>
        </w:rPr>
        <w:t>机构内部的横向整合和跨区域的纵向资源整合。一方面该项目通过云诊所、云社区、云医院三大服务平台横向整合资源，实</w:t>
      </w:r>
      <w:r>
        <w:rPr>
          <w:spacing w:val="-65"/>
        </w:rPr>
        <w:t> </w:t>
      </w:r>
      <w:r>
        <w:rPr>
          <w:spacing w:val="-65"/>
        </w:rPr>
      </w:r>
      <w:r>
        <w:rPr>
          <w:spacing w:val="-2"/>
        </w:rPr>
        <w:t>现医疗机构内部跨部门、跨学科的数据共享与协作；另一方面，在云计算中心的强大计算能力支持下，通过云协同服务平台</w:t>
      </w:r>
      <w:r>
        <w:rPr>
          <w:spacing w:val="-65"/>
        </w:rPr>
        <w:t> </w:t>
      </w:r>
      <w:r>
        <w:rPr>
          <w:spacing w:val="-65"/>
        </w:rPr>
      </w:r>
      <w:r>
        <w:rPr/>
        <w:t>纵向整合区域内医疗资源，形成统一平台，打通各级医疗机构的外部壁垒，实现数据互联互通以及移动化的医疗信息服务。</w:t>
      </w:r>
    </w:p>
    <w:p>
      <w:pPr>
        <w:spacing w:line="240" w:lineRule="auto" w:before="0"/>
        <w:rPr>
          <w:rFonts w:ascii="宋体" w:hAnsi="宋体" w:cs="宋体" w:eastAsia="宋体" w:hint="default"/>
          <w:sz w:val="18"/>
          <w:szCs w:val="18"/>
        </w:rPr>
      </w:pPr>
    </w:p>
    <w:p>
      <w:pPr>
        <w:pStyle w:val="BodyText"/>
        <w:spacing w:line="340" w:lineRule="auto" w:before="148"/>
        <w:ind w:left="513" w:right="0" w:hanging="361"/>
        <w:jc w:val="left"/>
      </w:pPr>
      <w:r>
        <w:rPr/>
        <w:t>注</w:t>
      </w:r>
      <w:r>
        <w:rPr>
          <w:spacing w:val="-44"/>
        </w:rPr>
        <w:t> </w:t>
      </w:r>
      <w:r>
        <w:rPr>
          <w:rFonts w:ascii="Times New Roman" w:hAnsi="Times New Roman" w:cs="Times New Roman" w:eastAsia="Times New Roman" w:hint="default"/>
        </w:rPr>
        <w:t>3</w:t>
      </w:r>
      <w:r>
        <w:rPr/>
        <w:t>：智慧养老综合服务平台及其智能物联云平台情况说明 </w:t>
      </w:r>
      <w:r>
        <w:rPr>
          <w:spacing w:val="-2"/>
        </w:rPr>
        <w:t>本项目建设内容为：基于智慧养老总体解决方案，研发智慧养老综合服务平台及其智能物联云平台项目，重点包括医养</w:t>
      </w:r>
    </w:p>
    <w:p>
      <w:pPr>
        <w:pStyle w:val="BodyText"/>
        <w:spacing w:line="316" w:lineRule="auto" w:before="1"/>
        <w:ind w:right="1131"/>
        <w:jc w:val="both"/>
      </w:pPr>
      <w:r>
        <w:rPr>
          <w:spacing w:val="-2"/>
        </w:rPr>
        <w:t>结合服务管理云平台、长期护理保险综合信息管理云平台、社区综合为老服务云平台、居家护理机构管理云平台、养老机构</w:t>
      </w:r>
      <w:r>
        <w:rPr>
          <w:spacing w:val="-66"/>
        </w:rPr>
        <w:t> </w:t>
      </w:r>
      <w:r>
        <w:rPr>
          <w:spacing w:val="-66"/>
        </w:rPr>
      </w:r>
      <w:r>
        <w:rPr>
          <w:spacing w:val="-2"/>
        </w:rPr>
        <w:t>管理云平台、养老地产颐养社区管理云平台和智能物联云平台及其产品。其中，研发的智能物联产品涵盖智能监护设备、智</w:t>
      </w:r>
      <w:r>
        <w:rPr>
          <w:spacing w:val="-66"/>
        </w:rPr>
        <w:t> </w:t>
      </w:r>
      <w:r>
        <w:rPr>
          <w:spacing w:val="-66"/>
        </w:rPr>
      </w:r>
      <w:r>
        <w:rPr/>
        <w:t>能安防监控设备、智能陪护设备三大产品线。</w:t>
      </w:r>
    </w:p>
    <w:p>
      <w:pPr>
        <w:pStyle w:val="BodyText"/>
        <w:spacing w:line="314" w:lineRule="auto" w:before="59"/>
        <w:ind w:right="1130" w:firstLine="360"/>
        <w:jc w:val="both"/>
      </w:pPr>
      <w:r>
        <w:rPr>
          <w:spacing w:val="-2"/>
        </w:rPr>
        <w:t>智慧养老综合服务平台及其智能物联云平台项目的建设，面向政府、企业、社区、个人等主体，实现对现有智慧养老信</w:t>
      </w:r>
      <w:r>
        <w:rPr/>
        <w:t> 息化需求的全覆盖，建立面向政府全过程监督的监管平台、面向企业或社区高效的养老经营平台、面向老年人群的 </w:t>
      </w:r>
      <w:r>
        <w:rPr>
          <w:rFonts w:ascii="Times New Roman" w:hAnsi="Times New Roman" w:cs="Times New Roman" w:eastAsia="Times New Roman" w:hint="default"/>
        </w:rPr>
        <w:t>O2O</w:t>
      </w:r>
      <w:r>
        <w:rPr>
          <w:rFonts w:ascii="Times New Roman" w:hAnsi="Times New Roman" w:cs="Times New Roman" w:eastAsia="Times New Roman" w:hint="default"/>
          <w:spacing w:val="-27"/>
        </w:rPr>
        <w:t> </w:t>
      </w:r>
      <w:r>
        <w:rPr/>
        <w:t>平 </w:t>
      </w:r>
      <w:r>
        <w:rPr>
          <w:spacing w:val="-2"/>
        </w:rPr>
        <w:t>台，为老年人群提供功能丰富的智能监测、安防和看护等一站式的智慧养老服务，通过平台技术使得居家养老、社区养老成</w:t>
      </w:r>
      <w:r>
        <w:rPr>
          <w:spacing w:val="-65"/>
        </w:rPr>
        <w:t> </w:t>
      </w:r>
      <w:r>
        <w:rPr>
          <w:spacing w:val="-65"/>
        </w:rPr>
      </w:r>
      <w:r>
        <w:rPr>
          <w:spacing w:val="-2"/>
        </w:rPr>
        <w:t>为可能，解决养老服务资源不足、政府全过程监管、老年人群需求无法精准响应等众多社会问题，强化资源配置整合，提升</w:t>
      </w:r>
      <w:r>
        <w:rPr>
          <w:spacing w:val="-67"/>
        </w:rPr>
        <w:t> </w:t>
      </w:r>
      <w:r>
        <w:rPr>
          <w:spacing w:val="-67"/>
        </w:rPr>
      </w:r>
      <w:r>
        <w:rPr>
          <w:spacing w:val="-2"/>
        </w:rPr>
        <w:t>机构的服务管理效率，建立起有效的全程监控及服务网络，形成服务闭环和完整的服务生态体系，推动和促进整个智慧养老</w:t>
      </w:r>
      <w:r>
        <w:rPr>
          <w:spacing w:val="-63"/>
        </w:rPr>
        <w:t> </w:t>
      </w:r>
      <w:r>
        <w:rPr>
          <w:spacing w:val="-63"/>
        </w:rPr>
      </w:r>
      <w:r>
        <w:rPr/>
        <w:t>行业的产业升级和发展。</w:t>
      </w:r>
    </w:p>
    <w:p>
      <w:pPr>
        <w:pStyle w:val="BodyText"/>
        <w:spacing w:line="316" w:lineRule="auto" w:before="61"/>
        <w:ind w:right="1128" w:firstLine="360"/>
        <w:jc w:val="both"/>
      </w:pPr>
      <w:r>
        <w:rPr>
          <w:spacing w:val="-2"/>
        </w:rPr>
        <w:t>智能物联云平台顺应“万物互联”的物联网发展趋势，将不同类型、场景、空间的智能物联设备通过智能物联云平台进</w:t>
      </w:r>
      <w:r>
        <w:rPr/>
        <w:t> </w:t>
      </w:r>
      <w:r>
        <w:rPr>
          <w:spacing w:val="-2"/>
        </w:rPr>
        <w:t>行数据的汇集和整合，对接智慧养老综合服务平台为社区、居家、机构等不同养老服务主体提供智能监测、安防和看护等服</w:t>
      </w:r>
      <w:r>
        <w:rPr>
          <w:spacing w:val="-65"/>
        </w:rPr>
        <w:t> </w:t>
      </w:r>
      <w:r>
        <w:rPr>
          <w:spacing w:val="-65"/>
        </w:rPr>
      </w:r>
      <w:r>
        <w:rPr>
          <w:spacing w:val="-2"/>
        </w:rPr>
        <w:t>务。项目将依托公司目前所拥有的民生保障领域核心技术和成功经验，进行自主研发和集成创新，在行业信息系统的业务基</w:t>
      </w:r>
      <w:r>
        <w:rPr>
          <w:spacing w:val="-61"/>
        </w:rPr>
        <w:t> </w:t>
      </w:r>
      <w:r>
        <w:rPr>
          <w:spacing w:val="-61"/>
        </w:rPr>
      </w:r>
      <w:r>
        <w:rPr>
          <w:spacing w:val="-2"/>
        </w:rPr>
        <w:t>础上，研发智慧养老综合服务平台及其智能物联云平台，重点包括医养结合服务管理云平台、长期护理保险综合信息管理云</w:t>
      </w:r>
      <w:r>
        <w:rPr>
          <w:spacing w:val="-63"/>
        </w:rPr>
        <w:t> </w:t>
      </w:r>
      <w:r>
        <w:rPr>
          <w:spacing w:val="-63"/>
        </w:rPr>
      </w:r>
      <w:r>
        <w:rPr>
          <w:spacing w:val="-2"/>
        </w:rPr>
        <w:t>平台、社区综合为老服务云平台、居家护理机构管理云平台、养老机构管理云平台、养老地产颐养社区管理云平台和智能物</w:t>
      </w:r>
      <w:r>
        <w:rPr>
          <w:spacing w:val="-64"/>
        </w:rPr>
        <w:t> </w:t>
      </w:r>
      <w:r>
        <w:rPr>
          <w:spacing w:val="-64"/>
        </w:rPr>
      </w:r>
      <w:r>
        <w:rPr/>
        <w:t>联云平台及其产品。</w:t>
      </w:r>
    </w:p>
    <w:p>
      <w:pPr>
        <w:spacing w:after="0" w:line="316"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5、现金流" w:id="40"/>
      <w:bookmarkEnd w:id="40"/>
      <w:r>
        <w:rPr>
          <w:b w:val="0"/>
          <w:bCs w:val="0"/>
        </w:rPr>
      </w:r>
      <w:r>
        <w:rPr>
          <w:rFonts w:ascii="Times New Roman" w:hAnsi="Times New Roman" w:cs="Times New Roman" w:eastAsia="Times New Roman" w:hint="default"/>
        </w:rPr>
        <w:t>5</w:t>
      </w:r>
      <w:r>
        <w:rPr/>
        <w:t>、现金流</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80"/>
        <w:gridCol w:w="2422"/>
        <w:gridCol w:w="2127"/>
        <w:gridCol w:w="1630"/>
      </w:tblGrid>
      <w:tr>
        <w:trPr>
          <w:trHeight w:val="40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5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3,461,871,616.65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2,195,736,724.74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57.66%</w:t>
            </w:r>
          </w:p>
        </w:tc>
      </w:tr>
      <w:tr>
        <w:trPr>
          <w:trHeight w:val="40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3,295,196,559.68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2,123,480,594.15</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55.18%</w:t>
            </w:r>
          </w:p>
        </w:tc>
      </w:tr>
      <w:tr>
        <w:trPr>
          <w:trHeight w:val="401"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166,675,056.97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72,256,130.59</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130.67%</w:t>
            </w:r>
          </w:p>
        </w:tc>
      </w:tr>
      <w:tr>
        <w:trPr>
          <w:trHeight w:val="40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80,216,360.20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234,614,610.66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-65.81%</w:t>
            </w:r>
          </w:p>
        </w:tc>
      </w:tr>
      <w:tr>
        <w:trPr>
          <w:trHeight w:val="401"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476,828,331.40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697,314,381.96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-31.62%</w:t>
            </w:r>
          </w:p>
        </w:tc>
      </w:tr>
      <w:tr>
        <w:trPr>
          <w:trHeight w:val="40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-396,611,971.20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-462,699,771.30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13.77%</w:t>
            </w:r>
          </w:p>
        </w:tc>
      </w:tr>
      <w:tr>
        <w:trPr>
          <w:trHeight w:val="401"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5,448,749,967.45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3,687,060,687.73</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47.78%</w:t>
            </w:r>
          </w:p>
        </w:tc>
      </w:tr>
      <w:tr>
        <w:trPr>
          <w:trHeight w:val="40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4,639,764,960.28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4,131,049,136.14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12.31%</w:t>
            </w:r>
          </w:p>
        </w:tc>
      </w:tr>
      <w:tr>
        <w:trPr>
          <w:trHeight w:val="401"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808,985,007.17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-443,988,448.41</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282.21%</w:t>
            </w:r>
          </w:p>
        </w:tc>
      </w:tr>
      <w:tr>
        <w:trPr>
          <w:trHeight w:val="40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579,103,099.74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-834,320,121.84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169.41%</w:t>
            </w:r>
          </w:p>
        </w:tc>
      </w:tr>
    </w:tbl>
    <w:p>
      <w:pPr>
        <w:pStyle w:val="BodyText"/>
        <w:spacing w:line="240" w:lineRule="auto" w:before="49"/>
        <w:ind w:right="0"/>
        <w:jc w:val="both"/>
      </w:pPr>
      <w:r>
        <w:rPr/>
        <w:t>相关数据同比发生重大变动的主要影响因素说明</w:t>
      </w:r>
    </w:p>
    <w:p>
      <w:pPr>
        <w:pStyle w:val="BodyText"/>
        <w:spacing w:line="240" w:lineRule="auto" w:before="115"/>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13"/>
          <w:szCs w:val="13"/>
        </w:rPr>
      </w:pPr>
    </w:p>
    <w:p>
      <w:pPr>
        <w:pStyle w:val="BodyText"/>
        <w:spacing w:line="240" w:lineRule="auto"/>
        <w:ind w:right="0"/>
        <w:jc w:val="both"/>
      </w:pPr>
      <w:r>
        <w:rPr>
          <w:rFonts w:ascii="Times New Roman" w:hAnsi="Times New Roman" w:cs="Times New Roman" w:eastAsia="Times New Roman" w:hint="default"/>
        </w:rPr>
        <w:t>1</w:t>
      </w:r>
      <w:r>
        <w:rPr/>
        <w:t>、经营活动产生的现金流量净额较去年同期增长</w:t>
      </w:r>
      <w:r>
        <w:rPr>
          <w:spacing w:val="-45"/>
        </w:rPr>
        <w:t> </w:t>
      </w:r>
      <w:r>
        <w:rPr>
          <w:rFonts w:ascii="Times New Roman" w:hAnsi="Times New Roman" w:cs="Times New Roman" w:eastAsia="Times New Roman" w:hint="default"/>
        </w:rPr>
        <w:t>130.67%</w:t>
      </w:r>
      <w:r>
        <w:rPr/>
        <w:t>，主要系报告期内销售商品、提供劳务收到的现金增加所致。</w:t>
      </w:r>
    </w:p>
    <w:p>
      <w:pPr>
        <w:pStyle w:val="BodyText"/>
        <w:spacing w:line="240" w:lineRule="auto" w:before="103"/>
        <w:ind w:right="0"/>
        <w:jc w:val="both"/>
      </w:pPr>
      <w:r>
        <w:rPr>
          <w:rFonts w:ascii="Times New Roman" w:hAnsi="Times New Roman" w:cs="Times New Roman" w:eastAsia="Times New Roman" w:hint="default"/>
        </w:rPr>
        <w:t>2</w:t>
      </w:r>
      <w:r>
        <w:rPr/>
        <w:t>、筹资活动产生的现金流量净额较去年同期增长</w:t>
      </w:r>
      <w:r>
        <w:rPr>
          <w:spacing w:val="-45"/>
        </w:rPr>
        <w:t> </w:t>
      </w:r>
      <w:r>
        <w:rPr>
          <w:rFonts w:ascii="Times New Roman" w:hAnsi="Times New Roman" w:cs="Times New Roman" w:eastAsia="Times New Roman" w:hint="default"/>
        </w:rPr>
        <w:t>282.21%</w:t>
      </w:r>
      <w:r>
        <w:rPr/>
        <w:t>，主要系报告期内发行可转换债券资金已到位所致。</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6"/>
          <w:szCs w:val="16"/>
        </w:rPr>
      </w:pPr>
    </w:p>
    <w:p>
      <w:pPr>
        <w:pStyle w:val="BodyText"/>
        <w:spacing w:line="240" w:lineRule="auto"/>
        <w:ind w:right="0"/>
        <w:jc w:val="both"/>
      </w:pPr>
      <w:r>
        <w:rPr/>
        <w:t>报告期内公司经营活动产生的现金净流量与本年度净利润存在重大差异的原因说明</w:t>
      </w:r>
    </w:p>
    <w:p>
      <w:pPr>
        <w:pStyle w:val="BodyText"/>
        <w:spacing w:line="240" w:lineRule="auto" w:before="115"/>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14"/>
          <w:szCs w:val="14"/>
        </w:rPr>
      </w:pPr>
    </w:p>
    <w:p>
      <w:pPr>
        <w:pStyle w:val="BodyText"/>
        <w:spacing w:line="240" w:lineRule="auto"/>
        <w:ind w:left="0" w:right="1040"/>
        <w:jc w:val="right"/>
      </w:pPr>
      <w:r>
        <w:rPr/>
        <w:t>报告期内公司经营活动产生的现金净流量为 </w:t>
      </w:r>
      <w:r>
        <w:rPr>
          <w:rFonts w:ascii="Times New Roman" w:hAnsi="Times New Roman" w:cs="Times New Roman" w:eastAsia="Times New Roman" w:hint="default"/>
        </w:rPr>
        <w:t>16,667.51 </w:t>
      </w:r>
      <w:r>
        <w:rPr/>
        <w:t>万元，净利润为</w:t>
      </w:r>
      <w:r>
        <w:rPr>
          <w:rFonts w:ascii="Times New Roman" w:hAnsi="Times New Roman" w:cs="Times New Roman" w:eastAsia="Times New Roman" w:hint="default"/>
        </w:rPr>
        <w:t>-140,239.89 </w:t>
      </w:r>
      <w:r>
        <w:rPr/>
        <w:t>万元，差异金额为 </w:t>
      </w:r>
      <w:r>
        <w:rPr>
          <w:rFonts w:ascii="Times New Roman" w:hAnsi="Times New Roman" w:cs="Times New Roman" w:eastAsia="Times New Roman" w:hint="default"/>
        </w:rPr>
        <w:t>156,907.40</w:t>
      </w:r>
      <w:r>
        <w:rPr>
          <w:rFonts w:ascii="Times New Roman" w:hAnsi="Times New Roman" w:cs="Times New Roman" w:eastAsia="Times New Roman" w:hint="default"/>
          <w:spacing w:val="-25"/>
        </w:rPr>
        <w:t> </w:t>
      </w:r>
      <w:r>
        <w:rPr>
          <w:spacing w:val="2"/>
        </w:rPr>
        <w:t>万元，</w:t>
      </w:r>
      <w:r>
        <w:rPr/>
      </w:r>
    </w:p>
    <w:p>
      <w:pPr>
        <w:pStyle w:val="BodyText"/>
        <w:spacing w:line="240" w:lineRule="auto" w:before="60"/>
        <w:ind w:right="0"/>
        <w:jc w:val="both"/>
      </w:pPr>
      <w:r>
        <w:rPr/>
        <w:t>主要原因为：</w:t>
      </w:r>
      <w:r>
        <w:rPr>
          <w:rFonts w:ascii="Times New Roman" w:hAnsi="Times New Roman" w:cs="Times New Roman" w:eastAsia="Times New Roman" w:hint="default"/>
        </w:rPr>
        <w:t>1</w:t>
      </w:r>
      <w:r>
        <w:rPr/>
        <w:t>）经营性应收、应付及存货变动的影响，影响金额合计为人民币</w:t>
      </w:r>
      <w:r>
        <w:rPr>
          <w:spacing w:val="-46"/>
        </w:rPr>
        <w:t> </w:t>
      </w:r>
      <w:r>
        <w:rPr>
          <w:rFonts w:ascii="Times New Roman" w:hAnsi="Times New Roman" w:cs="Times New Roman" w:eastAsia="Times New Roman" w:hint="default"/>
        </w:rPr>
        <w:t>17,841.14 </w:t>
      </w:r>
      <w:r>
        <w:rPr/>
        <w:t>万元；</w:t>
      </w:r>
      <w:r>
        <w:rPr>
          <w:rFonts w:ascii="Times New Roman" w:hAnsi="Times New Roman" w:cs="Times New Roman" w:eastAsia="Times New Roman" w:hint="default"/>
        </w:rPr>
        <w:t>2</w:t>
      </w:r>
      <w:r>
        <w:rPr/>
        <w:t>）资产减值准备、固定资</w:t>
      </w:r>
    </w:p>
    <w:p>
      <w:pPr>
        <w:pStyle w:val="BodyText"/>
        <w:spacing w:line="309" w:lineRule="auto" w:before="63"/>
        <w:ind w:right="1130"/>
        <w:jc w:val="both"/>
      </w:pPr>
      <w:r>
        <w:rPr/>
        <w:t>产折旧、无形资产摊销、长期待摊费用摊销等非付现费用影响，影响金额合计为人民币</w:t>
      </w:r>
      <w:r>
        <w:rPr>
          <w:spacing w:val="-46"/>
        </w:rPr>
        <w:t> </w:t>
      </w:r>
      <w:r>
        <w:rPr>
          <w:rFonts w:ascii="Times New Roman" w:hAnsi="Times New Roman" w:cs="Times New Roman" w:eastAsia="Times New Roman" w:hint="default"/>
        </w:rPr>
        <w:t>120,799.62 </w:t>
      </w:r>
      <w:r>
        <w:rPr/>
        <w:t>万元；</w:t>
      </w:r>
      <w:r>
        <w:rPr>
          <w:rFonts w:ascii="Times New Roman" w:hAnsi="Times New Roman" w:cs="Times New Roman" w:eastAsia="Times New Roman" w:hint="default"/>
        </w:rPr>
        <w:t>3</w:t>
      </w:r>
      <w:r>
        <w:rPr/>
        <w:t>）财务费用主要 </w:t>
      </w:r>
      <w:r>
        <w:rPr>
          <w:spacing w:val="-2"/>
        </w:rPr>
        <w:t>系银行借款产生的利息收入、长期股权投资产生的投资收益及汇兑损益，在编制现金流量表时不作为经营性活动反映，影响</w:t>
      </w:r>
      <w:r>
        <w:rPr>
          <w:spacing w:val="-63"/>
        </w:rPr>
        <w:t> </w:t>
      </w:r>
      <w:r>
        <w:rPr>
          <w:spacing w:val="-63"/>
        </w:rPr>
      </w:r>
      <w:r>
        <w:rPr/>
        <w:t>金额合计为人民币</w:t>
      </w:r>
      <w:r>
        <w:rPr>
          <w:spacing w:val="-46"/>
        </w:rPr>
        <w:t> </w:t>
      </w:r>
      <w:r>
        <w:rPr>
          <w:rFonts w:ascii="Times New Roman" w:hAnsi="Times New Roman" w:cs="Times New Roman" w:eastAsia="Times New Roman" w:hint="default"/>
        </w:rPr>
        <w:t>18,105.07</w:t>
      </w:r>
      <w:r>
        <w:rPr>
          <w:rFonts w:ascii="Times New Roman" w:hAnsi="Times New Roman" w:cs="Times New Roman" w:eastAsia="Times New Roman" w:hint="default"/>
          <w:spacing w:val="-1"/>
        </w:rPr>
        <w:t> </w:t>
      </w:r>
      <w:r>
        <w:rPr/>
        <w:t>万元。</w:t>
      </w:r>
    </w:p>
    <w:p>
      <w:pPr>
        <w:spacing w:line="240" w:lineRule="auto" w:before="10"/>
        <w:rPr>
          <w:rFonts w:ascii="宋体" w:hAnsi="宋体" w:cs="宋体" w:eastAsia="宋体" w:hint="default"/>
          <w:sz w:val="19"/>
          <w:szCs w:val="19"/>
        </w:rPr>
      </w:pPr>
    </w:p>
    <w:p>
      <w:pPr>
        <w:pStyle w:val="Heading2"/>
        <w:spacing w:line="240" w:lineRule="auto"/>
        <w:ind w:right="0"/>
        <w:jc w:val="both"/>
        <w:rPr>
          <w:b w:val="0"/>
          <w:bCs w:val="0"/>
        </w:rPr>
      </w:pPr>
      <w:bookmarkStart w:name="三、非主营业务情况" w:id="41"/>
      <w:bookmarkEnd w:id="41"/>
      <w:r>
        <w:rPr>
          <w:b w:val="0"/>
          <w:bCs w:val="0"/>
        </w:rPr>
      </w:r>
      <w:r>
        <w:rPr/>
        <w:t>三、非主营业务情况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0"/>
        <w:jc w:val="both"/>
        <w:rPr>
          <w:b w:val="0"/>
          <w:bCs w:val="0"/>
        </w:rPr>
      </w:pPr>
      <w:bookmarkStart w:name="四、资产及负债状况" w:id="42"/>
      <w:bookmarkEnd w:id="42"/>
      <w:r>
        <w:rPr>
          <w:b w:val="0"/>
          <w:bCs w:val="0"/>
        </w:rPr>
      </w:r>
      <w:r>
        <w:rPr/>
        <w:t>四、资产及负债状况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both"/>
        <w:rPr>
          <w:b w:val="0"/>
          <w:bCs w:val="0"/>
        </w:rPr>
      </w:pPr>
      <w:bookmarkStart w:name="1、资产构成重大变动情况" w:id="43"/>
      <w:bookmarkEnd w:id="43"/>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t>公司</w:t>
      </w:r>
      <w:r>
        <w:rPr>
          <w:spacing w:val="-46"/>
        </w:rPr>
        <w:t> </w:t>
      </w:r>
      <w:r>
        <w:rPr>
          <w:rFonts w:ascii="Times New Roman" w:hAnsi="Times New Roman" w:cs="Times New Roman" w:eastAsia="Times New Roman" w:hint="default"/>
        </w:rPr>
        <w:t>2019 </w:t>
      </w:r>
      <w:r>
        <w:rPr/>
        <w:t>年起首次执行新金融工具准则、新收入准则或新租赁准则且调整执行当年年初财务报表相关项目</w:t>
      </w:r>
    </w:p>
    <w:p>
      <w:pPr>
        <w:pStyle w:val="BodyText"/>
        <w:spacing w:line="240" w:lineRule="auto" w:before="103"/>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6"/>
          <w:szCs w:val="16"/>
        </w:rPr>
      </w:pPr>
    </w:p>
    <w:p>
      <w:pPr>
        <w:pStyle w:val="BodyText"/>
        <w:spacing w:line="240" w:lineRule="auto"/>
        <w:ind w:left="0" w:right="1131"/>
        <w:jc w:val="right"/>
      </w:pPr>
      <w:r>
        <w:rPr/>
        <w:t>单位：元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346"/>
        <w:gridCol w:w="1619"/>
        <w:gridCol w:w="1277"/>
        <w:gridCol w:w="1560"/>
        <w:gridCol w:w="1274"/>
        <w:gridCol w:w="1136"/>
        <w:gridCol w:w="1346"/>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289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28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年初</w:t>
            </w:r>
          </w:p>
        </w:tc>
        <w:tc>
          <w:tcPr>
            <w:tcW w:w="1136" w:type="dxa"/>
            <w:tcBorders>
              <w:top w:val="single" w:sz="4" w:space="0" w:color="000000"/>
              <w:left w:val="single" w:sz="4" w:space="0" w:color="000000"/>
              <w:bottom w:val="nil" w:sz="6" w:space="0" w:color="auto"/>
              <w:right w:val="single" w:sz="4" w:space="0" w:color="000000"/>
            </w:tcBorders>
            <w:shd w:val="clear" w:color="auto" w:fill="D2D2D2"/>
          </w:tcPr>
          <w:p>
            <w:pPr/>
          </w:p>
        </w:tc>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346" w:type="dxa"/>
            <w:vMerge w:val="restart"/>
            <w:tcBorders>
              <w:top w:val="nil" w:sz="6" w:space="0" w:color="auto"/>
              <w:left w:val="single" w:sz="4" w:space="0" w:color="000000"/>
              <w:right w:val="single" w:sz="4" w:space="0" w:color="000000"/>
            </w:tcBorders>
            <w:shd w:val="clear" w:color="auto" w:fill="D2D2D2"/>
          </w:tcPr>
          <w:p>
            <w:pPr/>
          </w:p>
        </w:tc>
        <w:tc>
          <w:tcPr>
            <w:tcW w:w="2896" w:type="dxa"/>
            <w:gridSpan w:val="2"/>
            <w:vMerge/>
            <w:tcBorders>
              <w:left w:val="single" w:sz="4" w:space="0" w:color="000000"/>
              <w:bottom w:val="single" w:sz="4" w:space="0" w:color="000000"/>
              <w:right w:val="single" w:sz="4" w:space="0" w:color="000000"/>
            </w:tcBorders>
            <w:shd w:val="clear" w:color="auto" w:fill="D2D2D2"/>
          </w:tcPr>
          <w:p>
            <w:pPr/>
          </w:p>
        </w:tc>
        <w:tc>
          <w:tcPr>
            <w:tcW w:w="2835" w:type="dxa"/>
            <w:gridSpan w:val="2"/>
            <w:vMerge/>
            <w:tcBorders>
              <w:left w:val="single" w:sz="4" w:space="0" w:color="000000"/>
              <w:bottom w:val="single" w:sz="4" w:space="0" w:color="000000"/>
              <w:right w:val="single" w:sz="4" w:space="0" w:color="000000"/>
            </w:tcBorders>
            <w:shd w:val="clear" w:color="auto" w:fill="D2D2D2"/>
          </w:tcPr>
          <w:p>
            <w:pPr/>
          </w:p>
        </w:tc>
        <w:tc>
          <w:tcPr>
            <w:tcW w:w="113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01"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29"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6"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6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95"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93"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1136" w:type="dxa"/>
            <w:vMerge/>
            <w:tcBorders>
              <w:left w:val="single" w:sz="4" w:space="0" w:color="000000"/>
              <w:bottom w:val="nil" w:sz="6" w:space="0" w:color="auto"/>
              <w:right w:val="single" w:sz="4" w:space="0" w:color="000000"/>
            </w:tcBorders>
            <w:shd w:val="clear" w:color="auto" w:fill="D2D2D2"/>
          </w:tcPr>
          <w:p>
            <w:pPr/>
          </w:p>
        </w:tc>
        <w:tc>
          <w:tcPr>
            <w:tcW w:w="1346"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619"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560"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13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1,622,017,385.50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21.30%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1,044,892,808.43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13.28%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8.02%</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1,324,288,242.08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17.39%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1,530,034,738.02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19.44%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-2.05%</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535,332,319.40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1,142,657,237.61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14.52%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-7.49%</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22,017,793.90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0.29%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23,084,923.66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0.29%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0.00%</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98,681,088.82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91,180,730.41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0.14%</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432,175,794.96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5.68%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379,524,704.21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4.82%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0.86%</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7,871,649.97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41,238,721.58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0.52%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-0.42%</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2,933,324,859.53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38.53%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2,635,084,838.20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33.48%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5.05%</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61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237,528,849.19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622,350,634.32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-4.79%</w:t>
            </w:r>
          </w:p>
        </w:tc>
        <w:tc>
          <w:tcPr>
            <w:tcW w:w="134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以公允价值计量的资产和负债" w:id="44"/>
      <w:bookmarkEnd w:id="44"/>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3、截至报告期末的资产权利受限情况" w:id="45"/>
      <w:bookmarkEnd w:id="45"/>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2410"/>
        <w:gridCol w:w="1985"/>
        <w:gridCol w:w="5175"/>
      </w:tblGrid>
      <w:tr>
        <w:trPr>
          <w:trHeight w:val="401"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49"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5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1,805,124.60</w:t>
            </w:r>
          </w:p>
        </w:tc>
        <w:tc>
          <w:tcPr>
            <w:tcW w:w="5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6" w:right="0"/>
              <w:jc w:val="left"/>
              <w:rPr>
                <w:rFonts w:ascii="宋体" w:hAnsi="宋体" w:cs="宋体" w:eastAsia="宋体" w:hint="default"/>
                <w:sz w:val="18"/>
                <w:szCs w:val="18"/>
              </w:rPr>
            </w:pPr>
            <w:r>
              <w:rPr>
                <w:rFonts w:ascii="宋体" w:hAnsi="宋体" w:cs="宋体" w:eastAsia="宋体" w:hint="default"/>
                <w:sz w:val="18"/>
                <w:szCs w:val="18"/>
              </w:rPr>
              <w:t>详见第十二节“七</w:t>
            </w:r>
            <w:r>
              <w:rPr>
                <w:rFonts w:ascii="宋体" w:hAnsi="宋体" w:cs="宋体" w:eastAsia="宋体" w:hint="default"/>
                <w:spacing w:val="-92"/>
                <w:sz w:val="18"/>
                <w:szCs w:val="18"/>
              </w:rPr>
              <w:t>、</w:t>
            </w:r>
            <w:r>
              <w:rPr>
                <w:rFonts w:ascii="宋体" w:hAnsi="宋体" w:cs="宋体" w:eastAsia="宋体" w:hint="default"/>
                <w:sz w:val="18"/>
                <w:szCs w:val="18"/>
              </w:rPr>
              <w:t>（一</w:t>
            </w:r>
            <w:r>
              <w:rPr>
                <w:rFonts w:ascii="宋体" w:hAnsi="宋体" w:cs="宋体" w:eastAsia="宋体" w:hint="default"/>
                <w:spacing w:val="-92"/>
                <w:sz w:val="18"/>
                <w:szCs w:val="18"/>
              </w:rPr>
              <w:t>）</w:t>
            </w:r>
            <w:r>
              <w:rPr>
                <w:rFonts w:ascii="宋体" w:hAnsi="宋体" w:cs="宋体" w:eastAsia="宋体" w:hint="default"/>
                <w:sz w:val="18"/>
                <w:szCs w:val="18"/>
              </w:rPr>
              <w:t>”</w:t>
            </w:r>
          </w:p>
        </w:tc>
      </w:tr>
      <w:tr>
        <w:trPr>
          <w:trHeight w:val="401"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6,417,230.05</w:t>
            </w:r>
          </w:p>
        </w:tc>
        <w:tc>
          <w:tcPr>
            <w:tcW w:w="5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6" w:right="0"/>
              <w:jc w:val="left"/>
              <w:rPr>
                <w:rFonts w:ascii="宋体" w:hAnsi="宋体" w:cs="宋体" w:eastAsia="宋体" w:hint="default"/>
                <w:sz w:val="18"/>
                <w:szCs w:val="18"/>
              </w:rPr>
            </w:pPr>
            <w:r>
              <w:rPr>
                <w:rFonts w:ascii="宋体" w:hAnsi="宋体" w:cs="宋体" w:eastAsia="宋体" w:hint="default"/>
                <w:sz w:val="18"/>
                <w:szCs w:val="18"/>
              </w:rPr>
              <w:t>详见第十二节“十四（一）</w:t>
            </w:r>
            <w:r>
              <w:rPr>
                <w:rFonts w:ascii="Times New Roman" w:hAnsi="Times New Roman" w:cs="Times New Roman" w:eastAsia="Times New Roman" w:hint="default"/>
                <w:spacing w:val="1"/>
                <w:sz w:val="18"/>
                <w:szCs w:val="18"/>
              </w:rPr>
              <w:t>1</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5</w:t>
            </w: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43,264,331.11</w:t>
            </w:r>
          </w:p>
        </w:tc>
        <w:tc>
          <w:tcPr>
            <w:tcW w:w="5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6" w:right="0"/>
              <w:jc w:val="left"/>
              <w:rPr>
                <w:rFonts w:ascii="宋体" w:hAnsi="宋体" w:cs="宋体" w:eastAsia="宋体" w:hint="default"/>
                <w:sz w:val="18"/>
                <w:szCs w:val="18"/>
              </w:rPr>
            </w:pPr>
            <w:r>
              <w:rPr>
                <w:rFonts w:ascii="宋体" w:hAnsi="宋体" w:cs="宋体" w:eastAsia="宋体" w:hint="default"/>
                <w:sz w:val="18"/>
                <w:szCs w:val="18"/>
              </w:rPr>
              <w:t>详见第十二节“十四（一）</w:t>
            </w:r>
            <w:r>
              <w:rPr>
                <w:rFonts w:ascii="Times New Roman" w:hAnsi="Times New Roman" w:cs="Times New Roman" w:eastAsia="Times New Roman" w:hint="default"/>
                <w:spacing w:val="1"/>
                <w:sz w:val="18"/>
                <w:szCs w:val="18"/>
              </w:rPr>
              <w:t>1</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5</w:t>
            </w: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w:t>
            </w:r>
          </w:p>
        </w:tc>
      </w:tr>
      <w:tr>
        <w:trPr>
          <w:trHeight w:val="401"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101,864,110.77</w:t>
            </w:r>
          </w:p>
        </w:tc>
        <w:tc>
          <w:tcPr>
            <w:tcW w:w="5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6" w:right="0"/>
              <w:jc w:val="left"/>
              <w:rPr>
                <w:rFonts w:ascii="宋体" w:hAnsi="宋体" w:cs="宋体" w:eastAsia="宋体" w:hint="default"/>
                <w:sz w:val="18"/>
                <w:szCs w:val="18"/>
              </w:rPr>
            </w:pPr>
            <w:r>
              <w:rPr>
                <w:rFonts w:ascii="宋体" w:hAnsi="宋体" w:cs="宋体" w:eastAsia="宋体" w:hint="default"/>
                <w:sz w:val="18"/>
                <w:szCs w:val="18"/>
              </w:rPr>
              <w:t>详见第十二节“十四（一）</w:t>
            </w:r>
            <w:r>
              <w:rPr>
                <w:rFonts w:ascii="Times New Roman" w:hAnsi="Times New Roman" w:cs="Times New Roman" w:eastAsia="Times New Roman" w:hint="default"/>
                <w:spacing w:val="1"/>
                <w:sz w:val="18"/>
                <w:szCs w:val="18"/>
              </w:rPr>
              <w:t>1</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5</w:t>
            </w: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5"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153,350,796.53</w:t>
            </w:r>
          </w:p>
        </w:tc>
        <w:tc>
          <w:tcPr>
            <w:tcW w:w="5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b/>
          <w:bCs/>
          <w:sz w:val="18"/>
          <w:szCs w:val="18"/>
        </w:rPr>
      </w:pPr>
    </w:p>
    <w:p>
      <w:pPr>
        <w:pStyle w:val="Heading2"/>
        <w:spacing w:line="240" w:lineRule="auto" w:before="26"/>
        <w:ind w:right="2602"/>
        <w:jc w:val="left"/>
        <w:rPr>
          <w:b w:val="0"/>
          <w:bCs w:val="0"/>
        </w:rPr>
      </w:pPr>
      <w:bookmarkStart w:name="五、投资状况分析" w:id="46"/>
      <w:bookmarkEnd w:id="46"/>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2602"/>
        <w:jc w:val="left"/>
        <w:rPr>
          <w:b w:val="0"/>
          <w:bCs w:val="0"/>
        </w:rPr>
      </w:pPr>
      <w:bookmarkStart w:name="1、总体情况" w:id="47"/>
      <w:bookmarkEnd w:id="47"/>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45,662,250.00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85,070,000.00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-46.32%</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报告期内获取的重大的股权投资情况" w:id="48"/>
      <w:bookmarkEnd w:id="48"/>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852"/>
        <w:gridCol w:w="1416"/>
        <w:gridCol w:w="428"/>
        <w:gridCol w:w="1133"/>
        <w:gridCol w:w="708"/>
        <w:gridCol w:w="427"/>
        <w:gridCol w:w="850"/>
        <w:gridCol w:w="425"/>
        <w:gridCol w:w="425"/>
        <w:gridCol w:w="425"/>
        <w:gridCol w:w="1136"/>
        <w:gridCol w:w="425"/>
        <w:gridCol w:w="425"/>
        <w:gridCol w:w="492"/>
      </w:tblGrid>
      <w:tr>
        <w:trPr>
          <w:trHeight w:val="792"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60" w:right="60" w:firstLine="91"/>
              <w:jc w:val="left"/>
              <w:rPr>
                <w:rFonts w:ascii="宋体" w:hAnsi="宋体" w:cs="宋体" w:eastAsia="宋体" w:hint="default"/>
                <w:sz w:val="18"/>
                <w:szCs w:val="18"/>
              </w:rPr>
            </w:pPr>
            <w:r>
              <w:rPr>
                <w:rFonts w:ascii="宋体" w:hAnsi="宋体" w:cs="宋体" w:eastAsia="宋体" w:hint="default"/>
                <w:sz w:val="18"/>
                <w:szCs w:val="18"/>
              </w:rPr>
              <w:t>被投资 公司名称</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主要业务</w:t>
            </w:r>
          </w:p>
        </w:tc>
        <w:tc>
          <w:tcPr>
            <w:tcW w:w="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28" w:right="27"/>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投资金额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170" w:right="167"/>
              <w:jc w:val="left"/>
              <w:rPr>
                <w:rFonts w:ascii="宋体" w:hAnsi="宋体" w:cs="宋体" w:eastAsia="宋体" w:hint="default"/>
                <w:sz w:val="18"/>
                <w:szCs w:val="18"/>
              </w:rPr>
            </w:pPr>
            <w:r>
              <w:rPr>
                <w:rFonts w:ascii="宋体" w:hAnsi="宋体" w:cs="宋体" w:eastAsia="宋体" w:hint="default"/>
                <w:sz w:val="18"/>
                <w:szCs w:val="18"/>
              </w:rPr>
              <w:t>持股 比例</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28" w:right="26"/>
              <w:jc w:val="left"/>
              <w:rPr>
                <w:rFonts w:ascii="宋体" w:hAnsi="宋体" w:cs="宋体" w:eastAsia="宋体" w:hint="default"/>
                <w:sz w:val="18"/>
                <w:szCs w:val="18"/>
              </w:rPr>
            </w:pPr>
            <w:r>
              <w:rPr>
                <w:rFonts w:ascii="宋体" w:hAnsi="宋体" w:cs="宋体" w:eastAsia="宋体" w:hint="default"/>
                <w:sz w:val="18"/>
                <w:szCs w:val="18"/>
              </w:rPr>
              <w:t>资金 来源</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28" w:right="24"/>
              <w:jc w:val="left"/>
              <w:rPr>
                <w:rFonts w:ascii="宋体" w:hAnsi="宋体" w:cs="宋体" w:eastAsia="宋体" w:hint="default"/>
                <w:sz w:val="18"/>
                <w:szCs w:val="18"/>
              </w:rPr>
            </w:pPr>
            <w:r>
              <w:rPr>
                <w:rFonts w:ascii="宋体" w:hAnsi="宋体" w:cs="宋体" w:eastAsia="宋体" w:hint="default"/>
                <w:sz w:val="18"/>
                <w:szCs w:val="18"/>
              </w:rPr>
              <w:t>投资 期限</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28" w:right="24"/>
              <w:jc w:val="left"/>
              <w:rPr>
                <w:rFonts w:ascii="宋体" w:hAnsi="宋体" w:cs="宋体" w:eastAsia="宋体" w:hint="default"/>
                <w:sz w:val="18"/>
                <w:szCs w:val="18"/>
              </w:rPr>
            </w:pPr>
            <w:r>
              <w:rPr>
                <w:rFonts w:ascii="宋体" w:hAnsi="宋体" w:cs="宋体" w:eastAsia="宋体" w:hint="default"/>
                <w:sz w:val="18"/>
                <w:szCs w:val="18"/>
              </w:rPr>
              <w:t>产品 类型</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28" w:right="24"/>
              <w:jc w:val="left"/>
              <w:rPr>
                <w:rFonts w:ascii="宋体" w:hAnsi="宋体" w:cs="宋体" w:eastAsia="宋体" w:hint="default"/>
                <w:sz w:val="18"/>
                <w:szCs w:val="18"/>
              </w:rPr>
            </w:pPr>
            <w:r>
              <w:rPr>
                <w:rFonts w:ascii="宋体" w:hAnsi="宋体" w:cs="宋体" w:eastAsia="宋体" w:hint="default"/>
                <w:sz w:val="18"/>
                <w:szCs w:val="18"/>
              </w:rPr>
              <w:t>预计 收益</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381" w:right="202" w:hanging="180"/>
              <w:jc w:val="left"/>
              <w:rPr>
                <w:rFonts w:ascii="宋体" w:hAnsi="宋体" w:cs="宋体" w:eastAsia="宋体" w:hint="default"/>
                <w:sz w:val="18"/>
                <w:szCs w:val="18"/>
              </w:rPr>
            </w:pPr>
            <w:r>
              <w:rPr>
                <w:rFonts w:ascii="宋体" w:hAnsi="宋体" w:cs="宋体" w:eastAsia="宋体" w:hint="default"/>
                <w:sz w:val="18"/>
                <w:szCs w:val="18"/>
              </w:rPr>
              <w:t>本期投资 盈亏</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28" w:right="24"/>
              <w:jc w:val="left"/>
              <w:rPr>
                <w:rFonts w:ascii="宋体" w:hAnsi="宋体" w:cs="宋体" w:eastAsia="宋体" w:hint="default"/>
                <w:sz w:val="18"/>
                <w:szCs w:val="18"/>
              </w:rPr>
            </w:pPr>
            <w:r>
              <w:rPr>
                <w:rFonts w:ascii="宋体" w:hAnsi="宋体" w:cs="宋体" w:eastAsia="宋体" w:hint="default"/>
                <w:sz w:val="18"/>
                <w:szCs w:val="18"/>
              </w:rPr>
              <w:t>是否 涉诉</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28" w:right="24"/>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7"/>
              <w:ind w:left="62" w:right="59"/>
              <w:jc w:val="left"/>
              <w:rPr>
                <w:rFonts w:ascii="宋体" w:hAnsi="宋体" w:cs="宋体" w:eastAsia="宋体" w:hint="default"/>
                <w:sz w:val="18"/>
                <w:szCs w:val="18"/>
              </w:rPr>
            </w:pPr>
            <w:r>
              <w:rPr>
                <w:rFonts w:ascii="宋体" w:hAnsi="宋体" w:cs="宋体" w:eastAsia="宋体" w:hint="default"/>
                <w:sz w:val="18"/>
                <w:szCs w:val="18"/>
              </w:rPr>
              <w:t>披露 索引</w:t>
            </w:r>
          </w:p>
        </w:tc>
      </w:tr>
      <w:tr>
        <w:trPr>
          <w:trHeight w:val="383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19"/>
              <w:ind w:left="24" w:right="96"/>
              <w:jc w:val="both"/>
              <w:rPr>
                <w:rFonts w:ascii="宋体" w:hAnsi="宋体" w:cs="宋体" w:eastAsia="宋体" w:hint="default"/>
                <w:sz w:val="18"/>
                <w:szCs w:val="18"/>
              </w:rPr>
            </w:pPr>
            <w:r>
              <w:rPr>
                <w:rFonts w:ascii="宋体" w:hAnsi="宋体" w:cs="宋体" w:eastAsia="宋体" w:hint="default"/>
                <w:sz w:val="18"/>
                <w:szCs w:val="18"/>
              </w:rPr>
              <w:t>宁夏智慧 医疗科技 股份有限 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19"/>
              <w:ind w:left="23" w:right="19"/>
              <w:jc w:val="left"/>
              <w:rPr>
                <w:rFonts w:ascii="宋体" w:hAnsi="宋体" w:cs="宋体" w:eastAsia="宋体" w:hint="default"/>
                <w:sz w:val="18"/>
                <w:szCs w:val="18"/>
              </w:rPr>
            </w:pPr>
            <w:r>
              <w:rPr>
                <w:rFonts w:ascii="宋体" w:hAnsi="宋体" w:cs="宋体" w:eastAsia="宋体" w:hint="default"/>
                <w:sz w:val="18"/>
                <w:szCs w:val="18"/>
              </w:rPr>
              <w:t>信息系统集成服 </w:t>
            </w:r>
            <w:r>
              <w:rPr>
                <w:rFonts w:ascii="宋体" w:hAnsi="宋体" w:cs="宋体" w:eastAsia="宋体" w:hint="default"/>
                <w:spacing w:val="-10"/>
                <w:sz w:val="18"/>
                <w:szCs w:val="18"/>
              </w:rPr>
              <w:t>务，第二类增值电</w:t>
            </w:r>
            <w:r>
              <w:rPr>
                <w:rFonts w:ascii="宋体" w:hAnsi="宋体" w:cs="宋体" w:eastAsia="宋体" w:hint="default"/>
                <w:sz w:val="18"/>
                <w:szCs w:val="18"/>
              </w:rPr>
              <w:t> </w:t>
            </w:r>
            <w:r>
              <w:rPr>
                <w:rFonts w:ascii="宋体" w:hAnsi="宋体" w:cs="宋体" w:eastAsia="宋体" w:hint="default"/>
                <w:spacing w:val="-10"/>
                <w:sz w:val="18"/>
                <w:szCs w:val="18"/>
              </w:rPr>
              <w:t>信业务，信息技术</w:t>
            </w:r>
            <w:r>
              <w:rPr>
                <w:rFonts w:ascii="宋体" w:hAnsi="宋体" w:cs="宋体" w:eastAsia="宋体" w:hint="default"/>
                <w:sz w:val="18"/>
                <w:szCs w:val="18"/>
              </w:rPr>
              <w:t> 咨询服务；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新设</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19"/>
              <w:jc w:val="right"/>
              <w:rPr>
                <w:rFonts w:ascii="Times New Roman" w:hAnsi="Times New Roman" w:cs="Times New Roman" w:eastAsia="Times New Roman" w:hint="default"/>
                <w:sz w:val="18"/>
                <w:szCs w:val="18"/>
              </w:rPr>
            </w:pPr>
            <w:r>
              <w:rPr>
                <w:rFonts w:ascii="Times New Roman"/>
                <w:spacing w:val="-1"/>
                <w:sz w:val="18"/>
              </w:rPr>
              <w:t>632,250.00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16"/>
              <w:jc w:val="right"/>
              <w:rPr>
                <w:rFonts w:ascii="Times New Roman" w:hAnsi="Times New Roman" w:cs="Times New Roman" w:eastAsia="Times New Roman" w:hint="default"/>
                <w:sz w:val="18"/>
                <w:szCs w:val="18"/>
              </w:rPr>
            </w:pPr>
            <w:r>
              <w:rPr>
                <w:rFonts w:ascii="Times New Roman"/>
                <w:sz w:val="18"/>
              </w:rPr>
              <w:t>34.00%</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24" w:right="31"/>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4"/>
              <w:jc w:val="both"/>
              <w:rPr>
                <w:rFonts w:ascii="宋体" w:hAnsi="宋体" w:cs="宋体" w:eastAsia="宋体" w:hint="default"/>
                <w:sz w:val="18"/>
                <w:szCs w:val="18"/>
              </w:rPr>
            </w:pPr>
            <w:r>
              <w:rPr>
                <w:rFonts w:ascii="宋体" w:hAnsi="宋体" w:cs="宋体" w:eastAsia="宋体" w:hint="default"/>
                <w:sz w:val="18"/>
                <w:szCs w:val="18"/>
              </w:rPr>
              <w:t>宁夏云智 数据科技 合伙企业</w:t>
            </w:r>
          </w:p>
          <w:p>
            <w:pPr>
              <w:pStyle w:val="TableParagraph"/>
              <w:spacing w:line="316" w:lineRule="auto" w:before="19"/>
              <w:ind w:left="23" w:right="22"/>
              <w:jc w:val="left"/>
              <w:rPr>
                <w:rFonts w:ascii="宋体" w:hAnsi="宋体" w:cs="宋体" w:eastAsia="宋体" w:hint="default"/>
                <w:sz w:val="18"/>
                <w:szCs w:val="18"/>
              </w:rPr>
            </w:pPr>
            <w:r>
              <w:rPr>
                <w:rFonts w:ascii="宋体" w:hAnsi="宋体" w:cs="宋体" w:eastAsia="宋体" w:hint="default"/>
                <w:sz w:val="18"/>
                <w:szCs w:val="18"/>
              </w:rPr>
              <w:t>（有限合 </w:t>
            </w:r>
            <w:r>
              <w:rPr>
                <w:rFonts w:ascii="宋体" w:hAnsi="宋体" w:cs="宋体" w:eastAsia="宋体" w:hint="default"/>
                <w:spacing w:val="-22"/>
                <w:sz w:val="18"/>
                <w:szCs w:val="18"/>
              </w:rPr>
              <w:t>伙）；宁夏</w:t>
            </w:r>
            <w:r>
              <w:rPr>
                <w:rFonts w:ascii="宋体" w:hAnsi="宋体" w:cs="宋体" w:eastAsia="宋体" w:hint="default"/>
                <w:sz w:val="18"/>
                <w:szCs w:val="18"/>
              </w:rPr>
              <w:t> 数据科技 股份有限 公司；宁 夏中关村 产业园科 技投资有 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357" w:lineRule="auto"/>
              <w:ind w:left="23" w:right="209"/>
              <w:jc w:val="both"/>
              <w:rPr>
                <w:rFonts w:ascii="宋体" w:hAnsi="宋体" w:cs="宋体" w:eastAsia="宋体" w:hint="default"/>
                <w:sz w:val="18"/>
                <w:szCs w:val="18"/>
              </w:rPr>
            </w:pPr>
            <w:r>
              <w:rPr>
                <w:rFonts w:ascii="宋体" w:hAnsi="宋体" w:cs="宋体" w:eastAsia="宋体" w:hint="default"/>
                <w:sz w:val="18"/>
                <w:szCs w:val="18"/>
              </w:rPr>
              <w:t>不 适 用</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22"/>
              <w:jc w:val="right"/>
              <w:rPr>
                <w:rFonts w:ascii="Times New Roman" w:hAnsi="Times New Roman" w:cs="Times New Roman" w:eastAsia="Times New Roman" w:hint="default"/>
                <w:sz w:val="18"/>
                <w:szCs w:val="18"/>
              </w:rPr>
            </w:pPr>
            <w:r>
              <w:rPr>
                <w:rFonts w:ascii="Times New Roman"/>
                <w:spacing w:val="-1"/>
                <w:sz w:val="18"/>
              </w:rPr>
              <w:t>-146,427.72</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209"/>
              <w:jc w:val="right"/>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r>
      <w:tr>
        <w:trPr>
          <w:trHeight w:val="137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8"/>
              <w:ind w:left="24" w:right="96"/>
              <w:jc w:val="both"/>
              <w:rPr>
                <w:rFonts w:ascii="宋体" w:hAnsi="宋体" w:cs="宋体" w:eastAsia="宋体" w:hint="default"/>
                <w:sz w:val="18"/>
                <w:szCs w:val="18"/>
              </w:rPr>
            </w:pPr>
            <w:r>
              <w:rPr>
                <w:rFonts w:ascii="宋体" w:hAnsi="宋体" w:cs="宋体" w:eastAsia="宋体" w:hint="default"/>
                <w:sz w:val="18"/>
                <w:szCs w:val="18"/>
              </w:rPr>
              <w:t>长沙市民 云信息服 务有限公 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z w:val="18"/>
                <w:szCs w:val="18"/>
              </w:rPr>
              <w:t>信息系统集成服 </w:t>
            </w:r>
            <w:r>
              <w:rPr>
                <w:rFonts w:ascii="宋体" w:hAnsi="宋体" w:cs="宋体" w:eastAsia="宋体" w:hint="default"/>
                <w:spacing w:val="-10"/>
                <w:sz w:val="18"/>
                <w:szCs w:val="18"/>
              </w:rPr>
              <w:t>务，信息技术咨询</w:t>
            </w:r>
            <w:r>
              <w:rPr>
                <w:rFonts w:ascii="宋体" w:hAnsi="宋体" w:cs="宋体" w:eastAsia="宋体" w:hint="default"/>
                <w:sz w:val="18"/>
                <w:szCs w:val="18"/>
              </w:rPr>
              <w:t> 服务；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新设</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2,450,000.00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49.00%</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44"/>
              <w:ind w:left="24" w:right="31"/>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44"/>
              <w:ind w:left="23" w:right="94"/>
              <w:jc w:val="left"/>
              <w:rPr>
                <w:rFonts w:ascii="宋体" w:hAnsi="宋体" w:cs="宋体" w:eastAsia="宋体" w:hint="default"/>
                <w:sz w:val="18"/>
                <w:szCs w:val="18"/>
              </w:rPr>
            </w:pPr>
            <w:r>
              <w:rPr>
                <w:rFonts w:ascii="宋体" w:hAnsi="宋体" w:cs="宋体" w:eastAsia="宋体" w:hint="default"/>
                <w:sz w:val="18"/>
                <w:szCs w:val="18"/>
              </w:rPr>
              <w:t>长沙广播 电视集团</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357" w:lineRule="auto"/>
              <w:ind w:left="23" w:right="209"/>
              <w:jc w:val="both"/>
              <w:rPr>
                <w:rFonts w:ascii="宋体" w:hAnsi="宋体" w:cs="宋体" w:eastAsia="宋体" w:hint="default"/>
                <w:sz w:val="18"/>
                <w:szCs w:val="18"/>
              </w:rPr>
            </w:pPr>
            <w:r>
              <w:rPr>
                <w:rFonts w:ascii="宋体" w:hAnsi="宋体" w:cs="宋体" w:eastAsia="宋体" w:hint="default"/>
                <w:sz w:val="18"/>
                <w:szCs w:val="18"/>
              </w:rPr>
              <w:t>不 适 用</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-960,892.50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209"/>
              <w:jc w:val="right"/>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6"/>
              <w:jc w:val="both"/>
              <w:rPr>
                <w:rFonts w:ascii="宋体" w:hAnsi="宋体" w:cs="宋体" w:eastAsia="宋体" w:hint="default"/>
                <w:sz w:val="18"/>
                <w:szCs w:val="18"/>
              </w:rPr>
            </w:pPr>
            <w:r>
              <w:rPr>
                <w:rFonts w:ascii="宋体" w:hAnsi="宋体" w:cs="宋体" w:eastAsia="宋体" w:hint="default"/>
                <w:sz w:val="18"/>
                <w:szCs w:val="18"/>
              </w:rPr>
              <w:t>驻马店天 中市民云 服务有限 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z w:val="18"/>
                <w:szCs w:val="18"/>
              </w:rPr>
              <w:t>信息系统集成服 </w:t>
            </w:r>
            <w:r>
              <w:rPr>
                <w:rFonts w:ascii="宋体" w:hAnsi="宋体" w:cs="宋体" w:eastAsia="宋体" w:hint="default"/>
                <w:spacing w:val="-10"/>
                <w:sz w:val="18"/>
                <w:szCs w:val="18"/>
              </w:rPr>
              <w:t>务，信息技术咨询</w:t>
            </w:r>
            <w:r>
              <w:rPr>
                <w:rFonts w:ascii="宋体" w:hAnsi="宋体" w:cs="宋体" w:eastAsia="宋体" w:hint="default"/>
                <w:sz w:val="18"/>
                <w:szCs w:val="18"/>
              </w:rPr>
              <w:t> 服务；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新设</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980,000.00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40.00%</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 w:right="31"/>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4"/>
              <w:jc w:val="both"/>
              <w:rPr>
                <w:rFonts w:ascii="宋体" w:hAnsi="宋体" w:cs="宋体" w:eastAsia="宋体" w:hint="default"/>
                <w:sz w:val="18"/>
                <w:szCs w:val="18"/>
              </w:rPr>
            </w:pPr>
            <w:r>
              <w:rPr>
                <w:rFonts w:ascii="宋体" w:hAnsi="宋体" w:cs="宋体" w:eastAsia="宋体" w:hint="default"/>
                <w:sz w:val="18"/>
                <w:szCs w:val="18"/>
              </w:rPr>
              <w:t>驻马店市 豫资投资 发展有限 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57" w:lineRule="auto"/>
              <w:ind w:left="23" w:right="209"/>
              <w:jc w:val="both"/>
              <w:rPr>
                <w:rFonts w:ascii="宋体" w:hAnsi="宋体" w:cs="宋体" w:eastAsia="宋体" w:hint="default"/>
                <w:sz w:val="18"/>
                <w:szCs w:val="18"/>
              </w:rPr>
            </w:pPr>
            <w:r>
              <w:rPr>
                <w:rFonts w:ascii="宋体" w:hAnsi="宋体" w:cs="宋体" w:eastAsia="宋体" w:hint="default"/>
                <w:sz w:val="18"/>
                <w:szCs w:val="18"/>
              </w:rPr>
              <w:t>不 适 用</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238,255.52</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209"/>
              <w:jc w:val="right"/>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6"/>
              <w:jc w:val="both"/>
              <w:rPr>
                <w:rFonts w:ascii="宋体" w:hAnsi="宋体" w:cs="宋体" w:eastAsia="宋体" w:hint="default"/>
                <w:sz w:val="18"/>
                <w:szCs w:val="18"/>
              </w:rPr>
            </w:pPr>
            <w:r>
              <w:rPr>
                <w:rFonts w:ascii="宋体" w:hAnsi="宋体" w:cs="宋体" w:eastAsia="宋体" w:hint="default"/>
                <w:sz w:val="18"/>
                <w:szCs w:val="18"/>
              </w:rPr>
              <w:t>宁波市万 达数据应 用服务有 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z w:val="18"/>
                <w:szCs w:val="18"/>
              </w:rPr>
              <w:t>信息系统集成服 </w:t>
            </w:r>
            <w:r>
              <w:rPr>
                <w:rFonts w:ascii="宋体" w:hAnsi="宋体" w:cs="宋体" w:eastAsia="宋体" w:hint="default"/>
                <w:spacing w:val="-10"/>
                <w:sz w:val="18"/>
                <w:szCs w:val="18"/>
              </w:rPr>
              <w:t>务，信息技术咨询</w:t>
            </w:r>
            <w:r>
              <w:rPr>
                <w:rFonts w:ascii="宋体" w:hAnsi="宋体" w:cs="宋体" w:eastAsia="宋体" w:hint="default"/>
                <w:sz w:val="18"/>
                <w:szCs w:val="18"/>
              </w:rPr>
              <w:t> 服务；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增资</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38,000,000.00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4" w:right="31"/>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57" w:lineRule="auto"/>
              <w:ind w:left="23" w:right="209"/>
              <w:jc w:val="both"/>
              <w:rPr>
                <w:rFonts w:ascii="宋体" w:hAnsi="宋体" w:cs="宋体" w:eastAsia="宋体" w:hint="default"/>
                <w:sz w:val="18"/>
                <w:szCs w:val="18"/>
              </w:rPr>
            </w:pPr>
            <w:r>
              <w:rPr>
                <w:rFonts w:ascii="宋体" w:hAnsi="宋体" w:cs="宋体" w:eastAsia="宋体" w:hint="default"/>
                <w:sz w:val="18"/>
                <w:szCs w:val="18"/>
              </w:rPr>
              <w:t>不 适 用</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-2,264,584.78</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209"/>
              <w:jc w:val="right"/>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r>
      <w:tr>
        <w:trPr>
          <w:trHeight w:val="165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96"/>
              <w:jc w:val="both"/>
              <w:rPr>
                <w:rFonts w:ascii="宋体" w:hAnsi="宋体" w:cs="宋体" w:eastAsia="宋体" w:hint="default"/>
                <w:sz w:val="18"/>
                <w:szCs w:val="18"/>
              </w:rPr>
            </w:pPr>
            <w:r>
              <w:rPr>
                <w:rFonts w:ascii="宋体" w:hAnsi="宋体" w:cs="宋体" w:eastAsia="宋体" w:hint="default"/>
                <w:sz w:val="18"/>
                <w:szCs w:val="18"/>
              </w:rPr>
              <w:t>成都天府 市民云服 务有限公 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10"/>
                <w:sz w:val="18"/>
                <w:szCs w:val="18"/>
              </w:rPr>
              <w:t>数据处理服务，计</w:t>
            </w:r>
            <w:r>
              <w:rPr>
                <w:rFonts w:ascii="宋体" w:hAnsi="宋体" w:cs="宋体" w:eastAsia="宋体" w:hint="default"/>
                <w:sz w:val="18"/>
                <w:szCs w:val="18"/>
              </w:rPr>
              <w:t> </w:t>
            </w:r>
            <w:r>
              <w:rPr>
                <w:rFonts w:ascii="宋体" w:hAnsi="宋体" w:cs="宋体" w:eastAsia="宋体" w:hint="default"/>
                <w:spacing w:val="-10"/>
                <w:sz w:val="18"/>
                <w:szCs w:val="18"/>
              </w:rPr>
              <w:t>算机软件开发，计</w:t>
            </w:r>
            <w:r>
              <w:rPr>
                <w:rFonts w:ascii="宋体" w:hAnsi="宋体" w:cs="宋体" w:eastAsia="宋体" w:hint="default"/>
                <w:sz w:val="18"/>
                <w:szCs w:val="18"/>
              </w:rPr>
              <w:t> 算机硬件销售和 </w:t>
            </w:r>
            <w:r>
              <w:rPr>
                <w:rFonts w:ascii="宋体" w:hAnsi="宋体" w:cs="宋体" w:eastAsia="宋体" w:hint="default"/>
                <w:spacing w:val="-10"/>
                <w:sz w:val="18"/>
                <w:szCs w:val="18"/>
              </w:rPr>
              <w:t>技术服务，信息系</w:t>
            </w:r>
            <w:r>
              <w:rPr>
                <w:rFonts w:ascii="宋体" w:hAnsi="宋体" w:cs="宋体" w:eastAsia="宋体" w:hint="default"/>
                <w:sz w:val="18"/>
                <w:szCs w:val="18"/>
              </w:rPr>
              <w:t> 统集成服务</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增资</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3,600,000.00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40.00%</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4" w:right="31"/>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94"/>
              <w:jc w:val="both"/>
              <w:rPr>
                <w:rFonts w:ascii="宋体" w:hAnsi="宋体" w:cs="宋体" w:eastAsia="宋体" w:hint="default"/>
                <w:sz w:val="18"/>
                <w:szCs w:val="18"/>
              </w:rPr>
            </w:pPr>
            <w:r>
              <w:rPr>
                <w:rFonts w:ascii="宋体" w:hAnsi="宋体" w:cs="宋体" w:eastAsia="宋体" w:hint="default"/>
                <w:sz w:val="18"/>
                <w:szCs w:val="18"/>
              </w:rPr>
              <w:t>成都金控 数据服务 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357" w:lineRule="auto"/>
              <w:ind w:left="23" w:right="209"/>
              <w:jc w:val="both"/>
              <w:rPr>
                <w:rFonts w:ascii="宋体" w:hAnsi="宋体" w:cs="宋体" w:eastAsia="宋体" w:hint="default"/>
                <w:sz w:val="18"/>
                <w:szCs w:val="18"/>
              </w:rPr>
            </w:pPr>
            <w:r>
              <w:rPr>
                <w:rFonts w:ascii="宋体" w:hAnsi="宋体" w:cs="宋体" w:eastAsia="宋体" w:hint="default"/>
                <w:sz w:val="18"/>
                <w:szCs w:val="18"/>
              </w:rPr>
              <w:t>不 适 用</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1,166,351.63</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09"/>
              <w:jc w:val="right"/>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r>
      <w:tr>
        <w:trPr>
          <w:trHeight w:val="771"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45,662,250.00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-1,967,297.85</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44"/>
              <w:jc w:val="right"/>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报告期内正在进行的重大的非股权投资情况" w:id="49"/>
      <w:bookmarkEnd w:id="49"/>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4、以公允价值计量的金融资产" w:id="50"/>
      <w:bookmarkEnd w:id="50"/>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5、募集资金使用情况" w:id="51"/>
      <w:bookmarkEnd w:id="51"/>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25"/>
          <w:szCs w:val="25"/>
        </w:rPr>
      </w:pPr>
    </w:p>
    <w:p>
      <w:pPr>
        <w:pStyle w:val="Heading3"/>
        <w:spacing w:line="240" w:lineRule="auto"/>
        <w:ind w:right="2602"/>
        <w:jc w:val="left"/>
        <w:rPr>
          <w:b w:val="0"/>
          <w:bCs w:val="0"/>
        </w:rPr>
      </w:pPr>
      <w:bookmarkStart w:name="（1）募集资金总体使用情况" w:id="52"/>
      <w:bookmarkEnd w:id="52"/>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pStyle w:val="BodyText"/>
        <w:spacing w:line="240" w:lineRule="auto"/>
        <w:ind w:left="0" w:right="1131"/>
        <w:jc w:val="right"/>
      </w:pPr>
      <w:r>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864"/>
        <w:gridCol w:w="871"/>
        <w:gridCol w:w="869"/>
        <w:gridCol w:w="872"/>
        <w:gridCol w:w="869"/>
        <w:gridCol w:w="872"/>
        <w:gridCol w:w="869"/>
        <w:gridCol w:w="871"/>
        <w:gridCol w:w="869"/>
        <w:gridCol w:w="823"/>
        <w:gridCol w:w="917"/>
      </w:tblGrid>
      <w:tr>
        <w:trPr>
          <w:trHeight w:val="1340"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9" w:right="67"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72" w:right="67"/>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9" w:right="67"/>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2" w:right="69"/>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9" w:right="67"/>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9" w:right="71"/>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8" w:right="43"/>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93" w:right="91"/>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71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113"/>
              <w:jc w:val="left"/>
              <w:rPr>
                <w:rFonts w:ascii="宋体" w:hAnsi="宋体" w:cs="宋体" w:eastAsia="宋体" w:hint="default"/>
                <w:sz w:val="18"/>
                <w:szCs w:val="18"/>
              </w:rPr>
            </w:pPr>
            <w:r>
              <w:rPr>
                <w:rFonts w:ascii="宋体" w:hAnsi="宋体" w:cs="宋体" w:eastAsia="宋体" w:hint="default"/>
                <w:sz w:val="18"/>
                <w:szCs w:val="18"/>
              </w:rPr>
              <w:t>公开发行 可转债</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88,396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center"/>
              <w:rPr>
                <w:rFonts w:ascii="Times New Roman" w:hAnsi="Times New Roman" w:cs="Times New Roman" w:eastAsia="Times New Roman" w:hint="default"/>
                <w:sz w:val="18"/>
                <w:szCs w:val="18"/>
              </w:rPr>
            </w:pPr>
            <w:r>
              <w:rPr>
                <w:rFonts w:ascii="Times New Roman"/>
                <w:sz w:val="18"/>
              </w:rPr>
              <w:t>20,040.53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center"/>
              <w:rPr>
                <w:rFonts w:ascii="Times New Roman" w:hAnsi="Times New Roman" w:cs="Times New Roman" w:eastAsia="Times New Roman" w:hint="default"/>
                <w:sz w:val="18"/>
                <w:szCs w:val="18"/>
              </w:rPr>
            </w:pPr>
            <w:r>
              <w:rPr>
                <w:rFonts w:ascii="Times New Roman"/>
                <w:sz w:val="18"/>
              </w:rPr>
              <w:t>88,883.11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571.48</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3"/>
              <w:jc w:val="center"/>
              <w:rPr>
                <w:rFonts w:ascii="宋体" w:hAnsi="宋体" w:cs="宋体" w:eastAsia="宋体" w:hint="default"/>
                <w:sz w:val="18"/>
                <w:szCs w:val="18"/>
              </w:rPr>
            </w:pPr>
            <w:r>
              <w:rPr>
                <w:rFonts w:ascii="宋体" w:hAnsi="宋体" w:cs="宋体" w:eastAsia="宋体" w:hint="default"/>
                <w:sz w:val="18"/>
                <w:szCs w:val="18"/>
              </w:rPr>
              <w:t>专户存储</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113"/>
              <w:jc w:val="left"/>
              <w:rPr>
                <w:rFonts w:ascii="宋体" w:hAnsi="宋体" w:cs="宋体" w:eastAsia="宋体" w:hint="default"/>
                <w:sz w:val="18"/>
                <w:szCs w:val="18"/>
              </w:rPr>
            </w:pPr>
            <w:r>
              <w:rPr>
                <w:rFonts w:ascii="宋体" w:hAnsi="宋体" w:cs="宋体" w:eastAsia="宋体" w:hint="default"/>
                <w:sz w:val="18"/>
                <w:szCs w:val="18"/>
              </w:rPr>
              <w:t>公开发行 可转债</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center"/>
              <w:rPr>
                <w:rFonts w:ascii="Times New Roman" w:hAnsi="Times New Roman" w:cs="Times New Roman" w:eastAsia="Times New Roman" w:hint="default"/>
                <w:sz w:val="18"/>
                <w:szCs w:val="18"/>
              </w:rPr>
            </w:pPr>
            <w:r>
              <w:rPr>
                <w:rFonts w:ascii="Times New Roman"/>
                <w:sz w:val="18"/>
              </w:rPr>
              <w:t>53,263.06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center"/>
              <w:rPr>
                <w:rFonts w:ascii="Times New Roman" w:hAnsi="Times New Roman" w:cs="Times New Roman" w:eastAsia="Times New Roman" w:hint="default"/>
                <w:sz w:val="18"/>
                <w:szCs w:val="18"/>
              </w:rPr>
            </w:pPr>
            <w:r>
              <w:rPr>
                <w:rFonts w:ascii="Times New Roman"/>
                <w:sz w:val="18"/>
              </w:rPr>
              <w:t>53,263.06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35,662.4</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3"/>
              <w:jc w:val="center"/>
              <w:rPr>
                <w:rFonts w:ascii="宋体" w:hAnsi="宋体" w:cs="宋体" w:eastAsia="宋体" w:hint="default"/>
                <w:sz w:val="18"/>
                <w:szCs w:val="18"/>
              </w:rPr>
            </w:pPr>
            <w:r>
              <w:rPr>
                <w:rFonts w:ascii="宋体" w:hAnsi="宋体" w:cs="宋体" w:eastAsia="宋体" w:hint="default"/>
                <w:sz w:val="18"/>
                <w:szCs w:val="18"/>
              </w:rPr>
              <w:t>专户存储</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208,396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9" w:right="0"/>
              <w:jc w:val="center"/>
              <w:rPr>
                <w:rFonts w:ascii="Times New Roman" w:hAnsi="Times New Roman" w:cs="Times New Roman" w:eastAsia="Times New Roman" w:hint="default"/>
                <w:sz w:val="18"/>
                <w:szCs w:val="18"/>
              </w:rPr>
            </w:pPr>
            <w:r>
              <w:rPr>
                <w:rFonts w:ascii="Times New Roman"/>
                <w:sz w:val="18"/>
              </w:rPr>
              <w:t>73,303.59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142,146.17</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36,233.88</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91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956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7290" w:hRule="exact"/>
        </w:trPr>
        <w:tc>
          <w:tcPr>
            <w:tcW w:w="9566" w:type="dxa"/>
            <w:gridSpan w:val="11"/>
            <w:tcBorders>
              <w:top w:val="single" w:sz="4" w:space="0" w:color="000000"/>
              <w:left w:val="single" w:sz="4" w:space="0" w:color="000000"/>
              <w:bottom w:val="single" w:sz="4" w:space="0" w:color="000000"/>
              <w:right w:val="single" w:sz="4" w:space="0" w:color="000000"/>
            </w:tcBorders>
          </w:tcPr>
          <w:p>
            <w:pPr>
              <w:pStyle w:val="TableParagraph"/>
              <w:spacing w:line="338" w:lineRule="auto" w:before="49"/>
              <w:ind w:left="24" w:right="4624"/>
              <w:jc w:val="left"/>
              <w:rPr>
                <w:rFonts w:ascii="宋体" w:hAnsi="宋体" w:cs="宋体" w:eastAsia="宋体" w:hint="default"/>
                <w:sz w:val="18"/>
                <w:szCs w:val="18"/>
              </w:rPr>
            </w:pPr>
            <w:r>
              <w:rPr>
                <w:rFonts w:ascii="宋体" w:hAnsi="宋体" w:cs="宋体" w:eastAsia="宋体" w:hint="default"/>
                <w:sz w:val="18"/>
                <w:szCs w:val="18"/>
              </w:rPr>
              <w:t>一、</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年公开发行可转换公司债券募集资金使用及结余情况 序号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年度使用情况</w:t>
            </w:r>
            <w:r>
              <w:rPr>
                <w:rFonts w:ascii="宋体" w:hAnsi="宋体" w:cs="宋体" w:eastAsia="宋体" w:hint="default"/>
                <w:spacing w:val="73"/>
                <w:sz w:val="18"/>
                <w:szCs w:val="18"/>
              </w:rPr>
              <w:t> </w:t>
            </w:r>
            <w:r>
              <w:rPr>
                <w:rFonts w:ascii="宋体" w:hAnsi="宋体" w:cs="宋体" w:eastAsia="宋体" w:hint="default"/>
                <w:sz w:val="18"/>
                <w:szCs w:val="18"/>
              </w:rPr>
              <w:t>使用金额（单位：元）</w:t>
            </w:r>
          </w:p>
          <w:p>
            <w:pPr>
              <w:pStyle w:val="TableParagraph"/>
              <w:tabs>
                <w:tab w:pos="444" w:val="left" w:leader="none"/>
              </w:tabs>
              <w:spacing w:line="240" w:lineRule="auto" w:before="2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tab/>
            </w:r>
            <w:r>
              <w:rPr>
                <w:rFonts w:ascii="宋体" w:hAnsi="宋体" w:cs="宋体" w:eastAsia="宋体" w:hint="default"/>
                <w:sz w:val="18"/>
                <w:szCs w:val="18"/>
              </w:rPr>
              <w:t>募集资金净额</w:t>
            </w:r>
            <w:r>
              <w:rPr>
                <w:rFonts w:ascii="宋体" w:hAnsi="宋体" w:cs="宋体" w:eastAsia="宋体" w:hint="default"/>
                <w:spacing w:val="86"/>
                <w:sz w:val="18"/>
                <w:szCs w:val="18"/>
              </w:rPr>
              <w:t> </w:t>
            </w:r>
            <w:r>
              <w:rPr>
                <w:rFonts w:ascii="Times New Roman" w:hAnsi="Times New Roman" w:cs="Times New Roman" w:eastAsia="Times New Roman" w:hint="default"/>
                <w:sz w:val="18"/>
                <w:szCs w:val="18"/>
              </w:rPr>
              <w:t>883,960,000.00</w:t>
            </w:r>
          </w:p>
          <w:p>
            <w:pPr>
              <w:pStyle w:val="TableParagraph"/>
              <w:tabs>
                <w:tab w:pos="444" w:val="left" w:leader="none"/>
                <w:tab w:pos="2964" w:val="left" w:leader="none"/>
              </w:tabs>
              <w:spacing w:line="240" w:lineRule="auto" w:before="10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tab/>
            </w:r>
            <w:r>
              <w:rPr>
                <w:rFonts w:ascii="宋体" w:hAnsi="宋体" w:cs="宋体" w:eastAsia="宋体" w:hint="default"/>
                <w:sz w:val="18"/>
                <w:szCs w:val="18"/>
              </w:rPr>
              <w:t>加：收到募集资金存款利息</w:t>
            </w:r>
            <w:r>
              <w:rPr>
                <w:rFonts w:ascii="Times New Roman" w:hAnsi="Times New Roman" w:cs="Times New Roman" w:eastAsia="Times New Roman" w:hint="default"/>
                <w:sz w:val="18"/>
                <w:szCs w:val="18"/>
              </w:rPr>
              <w:tab/>
              <w:t>0.00</w:t>
            </w:r>
          </w:p>
          <w:p>
            <w:pPr>
              <w:pStyle w:val="TableParagraph"/>
              <w:tabs>
                <w:tab w:pos="444" w:val="left" w:leader="none"/>
                <w:tab w:pos="3804"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tab/>
              <w:t>2017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日未使用募集资金余额</w:t>
              <w:tab/>
            </w:r>
            <w:r>
              <w:rPr>
                <w:rFonts w:ascii="Times New Roman" w:hAnsi="Times New Roman" w:cs="Times New Roman" w:eastAsia="Times New Roman" w:hint="default"/>
                <w:sz w:val="18"/>
                <w:szCs w:val="18"/>
              </w:rPr>
              <w:t>883,960,000.00</w:t>
            </w:r>
          </w:p>
          <w:p>
            <w:pPr>
              <w:pStyle w:val="TableParagraph"/>
              <w:tabs>
                <w:tab w:pos="444"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tab/>
            </w:r>
            <w:r>
              <w:rPr>
                <w:rFonts w:ascii="宋体" w:hAnsi="宋体" w:cs="宋体" w:eastAsia="宋体" w:hint="default"/>
                <w:sz w:val="18"/>
                <w:szCs w:val="18"/>
              </w:rPr>
              <w:t>减：</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年置换前期以自有资金投入金额</w:t>
            </w:r>
            <w:r>
              <w:rPr>
                <w:rFonts w:ascii="宋体" w:hAnsi="宋体" w:cs="宋体" w:eastAsia="宋体" w:hint="default"/>
                <w:spacing w:val="-20"/>
                <w:sz w:val="18"/>
                <w:szCs w:val="18"/>
              </w:rPr>
              <w:t> </w:t>
            </w:r>
            <w:r>
              <w:rPr>
                <w:rFonts w:ascii="Times New Roman" w:hAnsi="Times New Roman" w:cs="Times New Roman" w:eastAsia="Times New Roman" w:hint="default"/>
                <w:sz w:val="18"/>
                <w:szCs w:val="18"/>
              </w:rPr>
              <w:t>140,518,428.58</w:t>
            </w:r>
          </w:p>
          <w:p>
            <w:pPr>
              <w:pStyle w:val="TableParagraph"/>
              <w:tabs>
                <w:tab w:pos="444" w:val="left" w:leader="none"/>
                <w:tab w:pos="4644" w:val="left" w:leader="none"/>
              </w:tabs>
              <w:spacing w:line="240" w:lineRule="auto" w:before="10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tab/>
            </w:r>
            <w:r>
              <w:rPr>
                <w:rFonts w:ascii="宋体" w:hAnsi="宋体" w:cs="宋体" w:eastAsia="宋体" w:hint="default"/>
                <w:sz w:val="18"/>
                <w:szCs w:val="18"/>
              </w:rPr>
              <w:t>减：</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年雅安智慧公共安全系统</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项目投入</w:t>
              <w:tab/>
            </w:r>
            <w:r>
              <w:rPr>
                <w:rFonts w:ascii="Times New Roman" w:hAnsi="Times New Roman" w:cs="Times New Roman" w:eastAsia="Times New Roman" w:hint="default"/>
                <w:sz w:val="18"/>
                <w:szCs w:val="18"/>
              </w:rPr>
              <w:t>113,144,678.04</w:t>
            </w:r>
          </w:p>
          <w:p>
            <w:pPr>
              <w:pStyle w:val="TableParagraph"/>
              <w:tabs>
                <w:tab w:pos="444" w:val="left" w:leader="none"/>
                <w:tab w:pos="5905"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tab/>
            </w:r>
            <w:r>
              <w:rPr>
                <w:rFonts w:ascii="宋体" w:hAnsi="宋体" w:cs="宋体" w:eastAsia="宋体" w:hint="default"/>
                <w:sz w:val="18"/>
                <w:szCs w:val="18"/>
              </w:rPr>
              <w:t>减：</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年新一代智慧城市一体化平台及应用系统建设项目投入</w:t>
              <w:tab/>
            </w:r>
            <w:r>
              <w:rPr>
                <w:rFonts w:ascii="Times New Roman" w:hAnsi="Times New Roman" w:cs="Times New Roman" w:eastAsia="Times New Roman" w:hint="default"/>
                <w:sz w:val="18"/>
                <w:szCs w:val="18"/>
              </w:rPr>
              <w:t>434,762,645.96</w:t>
            </w:r>
          </w:p>
          <w:p>
            <w:pPr>
              <w:pStyle w:val="TableParagraph"/>
              <w:tabs>
                <w:tab w:pos="444"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w:t>
              <w:tab/>
            </w:r>
            <w:r>
              <w:rPr>
                <w:rFonts w:ascii="宋体" w:hAnsi="宋体" w:cs="宋体" w:eastAsia="宋体" w:hint="default"/>
                <w:sz w:val="18"/>
                <w:szCs w:val="18"/>
              </w:rPr>
              <w:t>减：</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年暂时补充流动资金</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100,000,000.00</w:t>
            </w:r>
          </w:p>
          <w:p>
            <w:pPr>
              <w:pStyle w:val="TableParagraph"/>
              <w:tabs>
                <w:tab w:pos="444" w:val="left" w:leader="none"/>
                <w:tab w:pos="3384" w:val="left" w:leader="none"/>
              </w:tabs>
              <w:spacing w:line="240" w:lineRule="auto" w:before="10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w:t>
              <w:tab/>
            </w:r>
            <w:r>
              <w:rPr>
                <w:rFonts w:ascii="宋体" w:hAnsi="宋体" w:cs="宋体" w:eastAsia="宋体" w:hint="default"/>
                <w:sz w:val="18"/>
                <w:szCs w:val="18"/>
              </w:rPr>
              <w:t>减：</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年支付银行账户手续费</w:t>
            </w:r>
            <w:r>
              <w:rPr>
                <w:rFonts w:ascii="Times New Roman" w:hAnsi="Times New Roman" w:cs="Times New Roman" w:eastAsia="Times New Roman" w:hint="default"/>
                <w:sz w:val="18"/>
                <w:szCs w:val="18"/>
              </w:rPr>
              <w:tab/>
              <w:t>200.00</w:t>
            </w:r>
          </w:p>
          <w:p>
            <w:pPr>
              <w:pStyle w:val="TableParagraph"/>
              <w:tabs>
                <w:tab w:pos="444"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tab/>
            </w:r>
            <w:r>
              <w:rPr>
                <w:rFonts w:ascii="宋体" w:hAnsi="宋体" w:cs="宋体" w:eastAsia="宋体" w:hint="default"/>
                <w:sz w:val="18"/>
                <w:szCs w:val="18"/>
              </w:rPr>
              <w:t>加：</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年收到募集资金存款利息 </w:t>
            </w:r>
            <w:r>
              <w:rPr>
                <w:rFonts w:ascii="宋体" w:hAnsi="宋体" w:cs="宋体" w:eastAsia="宋体" w:hint="default"/>
                <w:spacing w:val="11"/>
                <w:sz w:val="18"/>
                <w:szCs w:val="18"/>
              </w:rPr>
              <w:t> </w:t>
            </w:r>
            <w:r>
              <w:rPr>
                <w:rFonts w:ascii="Times New Roman" w:hAnsi="Times New Roman" w:cs="Times New Roman" w:eastAsia="Times New Roman" w:hint="default"/>
                <w:sz w:val="18"/>
                <w:szCs w:val="18"/>
              </w:rPr>
              <w:t>9,797,043.89</w:t>
            </w:r>
          </w:p>
          <w:p>
            <w:pPr>
              <w:pStyle w:val="TableParagraph"/>
              <w:tabs>
                <w:tab w:pos="444" w:val="left" w:leader="none"/>
                <w:tab w:pos="3804"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tab/>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日未使用募集资金余额</w:t>
              <w:tab/>
            </w:r>
            <w:r>
              <w:rPr>
                <w:rFonts w:ascii="Times New Roman" w:hAnsi="Times New Roman" w:cs="Times New Roman" w:eastAsia="Times New Roman" w:hint="default"/>
                <w:sz w:val="18"/>
                <w:szCs w:val="18"/>
              </w:rPr>
              <w:t>105,331,091.31</w:t>
            </w:r>
          </w:p>
          <w:p>
            <w:pPr>
              <w:pStyle w:val="TableParagraph"/>
              <w:tabs>
                <w:tab w:pos="444" w:val="left" w:leader="none"/>
              </w:tabs>
              <w:spacing w:line="240" w:lineRule="auto" w:before="10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w:t>
              <w:tab/>
            </w:r>
            <w:r>
              <w:rPr>
                <w:rFonts w:ascii="宋体" w:hAnsi="宋体" w:cs="宋体" w:eastAsia="宋体" w:hint="default"/>
                <w:sz w:val="18"/>
                <w:szCs w:val="18"/>
              </w:rPr>
              <w:t>减：</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年度新一代智慧城市一体化平台及应用系统建设项目投入 </w:t>
            </w:r>
            <w:r>
              <w:rPr>
                <w:rFonts w:ascii="宋体" w:hAnsi="宋体" w:cs="宋体" w:eastAsia="宋体" w:hint="default"/>
                <w:spacing w:val="11"/>
                <w:sz w:val="18"/>
                <w:szCs w:val="18"/>
              </w:rPr>
              <w:t> </w:t>
            </w:r>
            <w:r>
              <w:rPr>
                <w:rFonts w:ascii="Times New Roman" w:hAnsi="Times New Roman" w:cs="Times New Roman" w:eastAsia="Times New Roman" w:hint="default"/>
                <w:sz w:val="18"/>
                <w:szCs w:val="18"/>
              </w:rPr>
              <w:t>179,447,924.64</w:t>
            </w:r>
          </w:p>
          <w:p>
            <w:pPr>
              <w:pStyle w:val="TableParagraph"/>
              <w:tabs>
                <w:tab w:pos="444" w:val="left" w:leader="none"/>
              </w:tabs>
              <w:spacing w:line="240" w:lineRule="auto" w:before="104"/>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w:t>
              <w:tab/>
            </w:r>
            <w:r>
              <w:rPr>
                <w:rFonts w:ascii="宋体" w:hAnsi="宋体" w:cs="宋体" w:eastAsia="宋体" w:hint="default"/>
                <w:sz w:val="18"/>
                <w:szCs w:val="18"/>
              </w:rPr>
              <w:t>减：</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年度雅安智慧公共安全系统 </w:t>
            </w:r>
            <w:r>
              <w:rPr>
                <w:rFonts w:ascii="Times New Roman" w:hAnsi="Times New Roman" w:cs="Times New Roman" w:eastAsia="Times New Roman" w:hint="default"/>
                <w:sz w:val="18"/>
                <w:szCs w:val="18"/>
              </w:rPr>
              <w:t>PPP </w:t>
            </w:r>
            <w:r>
              <w:rPr>
                <w:rFonts w:ascii="宋体" w:hAnsi="宋体" w:cs="宋体" w:eastAsia="宋体" w:hint="default"/>
                <w:sz w:val="18"/>
                <w:szCs w:val="18"/>
              </w:rPr>
              <w:t>项目投入</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20,957,410.14</w:t>
            </w:r>
          </w:p>
          <w:p>
            <w:pPr>
              <w:pStyle w:val="TableParagraph"/>
              <w:tabs>
                <w:tab w:pos="444" w:val="left" w:leader="none"/>
                <w:tab w:pos="2964"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13</w:t>
              <w:tab/>
            </w:r>
            <w:r>
              <w:rPr>
                <w:rFonts w:ascii="宋体" w:hAnsi="宋体" w:cs="宋体" w:eastAsia="宋体" w:hint="default"/>
                <w:sz w:val="18"/>
                <w:szCs w:val="18"/>
              </w:rPr>
              <w:t>加：归还暂时补充流动资金</w:t>
              <w:tab/>
            </w:r>
            <w:r>
              <w:rPr>
                <w:rFonts w:ascii="Times New Roman" w:hAnsi="Times New Roman" w:cs="Times New Roman" w:eastAsia="Times New Roman" w:hint="default"/>
                <w:sz w:val="18"/>
                <w:szCs w:val="18"/>
              </w:rPr>
              <w:t>100,000,000.00</w:t>
            </w:r>
          </w:p>
          <w:p>
            <w:pPr>
              <w:pStyle w:val="TableParagraph"/>
              <w:tabs>
                <w:tab w:pos="444" w:val="left" w:leader="none"/>
              </w:tabs>
              <w:spacing w:line="240" w:lineRule="auto" w:before="10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w:t>
              <w:tab/>
            </w:r>
            <w:r>
              <w:rPr>
                <w:rFonts w:ascii="宋体" w:hAnsi="宋体" w:cs="宋体" w:eastAsia="宋体" w:hint="default"/>
                <w:sz w:val="18"/>
                <w:szCs w:val="18"/>
              </w:rPr>
              <w:t>减：支付银行账户手续费</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200.00</w:t>
            </w:r>
          </w:p>
          <w:p>
            <w:pPr>
              <w:pStyle w:val="TableParagraph"/>
              <w:tabs>
                <w:tab w:pos="444" w:val="left" w:leader="none"/>
                <w:tab w:pos="2964"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w:t>
              <w:tab/>
            </w:r>
            <w:r>
              <w:rPr>
                <w:rFonts w:ascii="宋体" w:hAnsi="宋体" w:cs="宋体" w:eastAsia="宋体" w:hint="default"/>
                <w:sz w:val="18"/>
                <w:szCs w:val="18"/>
              </w:rPr>
              <w:t>加：收到募集资金存款利息</w:t>
              <w:tab/>
            </w:r>
            <w:r>
              <w:rPr>
                <w:rFonts w:ascii="Times New Roman" w:hAnsi="Times New Roman" w:cs="Times New Roman" w:eastAsia="Times New Roman" w:hint="default"/>
                <w:sz w:val="18"/>
                <w:szCs w:val="18"/>
              </w:rPr>
              <w:t>1,011,506.03</w:t>
            </w:r>
          </w:p>
          <w:p>
            <w:pPr>
              <w:pStyle w:val="TableParagraph"/>
              <w:tabs>
                <w:tab w:pos="444" w:val="left" w:leader="none"/>
                <w:tab w:pos="2544" w:val="left" w:leader="none"/>
              </w:tabs>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w:t>
              <w:tab/>
            </w:r>
            <w:r>
              <w:rPr>
                <w:rFonts w:ascii="宋体" w:hAnsi="宋体" w:cs="宋体" w:eastAsia="宋体" w:hint="default"/>
                <w:sz w:val="18"/>
                <w:szCs w:val="18"/>
              </w:rPr>
              <w:t>减：永久补充流动资金</w:t>
              <w:tab/>
            </w:r>
            <w:r>
              <w:rPr>
                <w:rFonts w:ascii="Times New Roman" w:hAnsi="Times New Roman" w:cs="Times New Roman" w:eastAsia="Times New Roman" w:hint="default"/>
                <w:sz w:val="18"/>
                <w:szCs w:val="18"/>
              </w:rPr>
              <w:t>222,258.01</w:t>
            </w:r>
          </w:p>
          <w:p>
            <w:pPr>
              <w:pStyle w:val="TableParagraph"/>
              <w:tabs>
                <w:tab w:pos="444" w:val="left" w:leader="none"/>
                <w:tab w:pos="3804" w:val="left" w:leader="none"/>
              </w:tabs>
              <w:spacing w:line="240" w:lineRule="auto" w:before="10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w:t>
              <w:tab/>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日未使用募集资金余额</w:t>
              <w:tab/>
            </w:r>
            <w:r>
              <w:rPr>
                <w:rFonts w:ascii="Times New Roman" w:hAnsi="Times New Roman" w:cs="Times New Roman" w:eastAsia="Times New Roman" w:hint="default"/>
                <w:sz w:val="18"/>
                <w:szCs w:val="18"/>
              </w:rPr>
              <w:t>5,714,804.55</w:t>
            </w: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二、</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年公开发行可转换公司债券募集资金使用及结余情况</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2"/>
        <w:rPr>
          <w:rFonts w:ascii="宋体" w:hAnsi="宋体" w:cs="宋体" w:eastAsia="宋体" w:hint="default"/>
          <w:sz w:val="28"/>
          <w:szCs w:val="28"/>
        </w:rPr>
      </w:pPr>
    </w:p>
    <w:p>
      <w:pPr>
        <w:spacing w:line="3550" w:lineRule="exact"/>
        <w:ind w:left="148"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78.8pt;height:177.5pt;mso-position-horizontal-relative:char;mso-position-vertical-relative:line" coordorigin="0,0" coordsize="9576,3550">
            <v:group style="position:absolute;left:10;top:10;width:9557;height:2" coordorigin="10,10" coordsize="9557,2">
              <v:shape style="position:absolute;left:10;top:10;width:9557;height:2" coordorigin="10,10" coordsize="9557,0" path="m10,10l9566,10e" filled="false" stroked="true" strokeweight=".48pt" strokecolor="#000000">
                <v:path arrowok="t"/>
              </v:shape>
            </v:group>
            <v:group style="position:absolute;left:5;top:5;width:2;height:3541" coordorigin="5,5" coordsize="2,3541">
              <v:shape style="position:absolute;left:5;top:5;width:2;height:3541" coordorigin="5,5" coordsize="0,3541" path="m5,5l5,3545e" filled="false" stroked="true" strokeweight=".48pt" strokecolor="#000000">
                <v:path arrowok="t"/>
              </v:shape>
            </v:group>
            <v:group style="position:absolute;left:10;top:3540;width:9557;height:2" coordorigin="10,3540" coordsize="9557,2">
              <v:shape style="position:absolute;left:10;top:3540;width:9557;height:2" coordorigin="10,3540" coordsize="9557,0" path="m10,3540l9566,3540e" filled="false" stroked="true" strokeweight=".48pt" strokecolor="#000000">
                <v:path arrowok="t"/>
              </v:shape>
            </v:group>
            <v:group style="position:absolute;left:9571;top:5;width:2;height:3541" coordorigin="9571,5" coordsize="2,3541">
              <v:shape style="position:absolute;left:9571;top:5;width:2;height:3541" coordorigin="9571,5" coordsize="0,3541" path="m9571,5l9571,3545e" filled="false" stroked="true" strokeweight=".48004pt" strokecolor="#000000">
                <v:path arrowok="t"/>
              </v:shape>
              <v:shape style="position:absolute;left:34;top:78;width:390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序号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年度使用情况</w:t>
                      </w:r>
                      <w:r>
                        <w:rPr>
                          <w:rFonts w:ascii="宋体" w:hAnsi="宋体" w:cs="宋体" w:eastAsia="宋体" w:hint="default"/>
                          <w:spacing w:val="73"/>
                          <w:sz w:val="18"/>
                          <w:szCs w:val="18"/>
                        </w:rPr>
                        <w:t> </w:t>
                      </w:r>
                      <w:r>
                        <w:rPr>
                          <w:rFonts w:ascii="宋体" w:hAnsi="宋体" w:cs="宋体" w:eastAsia="宋体" w:hint="default"/>
                          <w:sz w:val="18"/>
                          <w:szCs w:val="18"/>
                        </w:rPr>
                        <w:t>使用金额（单位：元）</w:t>
                      </w:r>
                    </w:p>
                  </w:txbxContent>
                </v:textbox>
                <w10:wrap type="none"/>
              </v:shape>
              <v:shape style="position:absolute;left:34;top:441;width:90;height:2996"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1</w:t>
                      </w:r>
                    </w:p>
                    <w:p>
                      <w:pPr>
                        <w:spacing w:before="143"/>
                        <w:ind w:left="0" w:right="0" w:firstLine="0"/>
                        <w:jc w:val="left"/>
                        <w:rPr>
                          <w:rFonts w:ascii="Times New Roman" w:hAnsi="Times New Roman" w:cs="Times New Roman" w:eastAsia="Times New Roman" w:hint="default"/>
                          <w:sz w:val="18"/>
                          <w:szCs w:val="18"/>
                        </w:rPr>
                      </w:pPr>
                      <w:r>
                        <w:rPr>
                          <w:rFonts w:ascii="Times New Roman"/>
                          <w:sz w:val="18"/>
                        </w:rPr>
                        <w:t>2</w:t>
                      </w:r>
                    </w:p>
                    <w:p>
                      <w:pPr>
                        <w:spacing w:before="146"/>
                        <w:ind w:left="0" w:right="0" w:firstLine="0"/>
                        <w:jc w:val="left"/>
                        <w:rPr>
                          <w:rFonts w:ascii="Times New Roman" w:hAnsi="Times New Roman" w:cs="Times New Roman" w:eastAsia="Times New Roman" w:hint="default"/>
                          <w:sz w:val="18"/>
                          <w:szCs w:val="18"/>
                        </w:rPr>
                      </w:pPr>
                      <w:r>
                        <w:rPr>
                          <w:rFonts w:ascii="Times New Roman"/>
                          <w:sz w:val="18"/>
                        </w:rPr>
                        <w:t>3</w:t>
                      </w:r>
                    </w:p>
                    <w:p>
                      <w:pPr>
                        <w:spacing w:before="146"/>
                        <w:ind w:left="0" w:right="0" w:firstLine="0"/>
                        <w:jc w:val="left"/>
                        <w:rPr>
                          <w:rFonts w:ascii="Times New Roman" w:hAnsi="Times New Roman" w:cs="Times New Roman" w:eastAsia="Times New Roman" w:hint="default"/>
                          <w:sz w:val="18"/>
                          <w:szCs w:val="18"/>
                        </w:rPr>
                      </w:pPr>
                      <w:r>
                        <w:rPr>
                          <w:rFonts w:ascii="Times New Roman"/>
                          <w:sz w:val="18"/>
                        </w:rPr>
                        <w:t>4</w:t>
                      </w:r>
                    </w:p>
                    <w:p>
                      <w:pPr>
                        <w:spacing w:before="143"/>
                        <w:ind w:left="0" w:right="0" w:firstLine="0"/>
                        <w:jc w:val="left"/>
                        <w:rPr>
                          <w:rFonts w:ascii="Times New Roman" w:hAnsi="Times New Roman" w:cs="Times New Roman" w:eastAsia="Times New Roman" w:hint="default"/>
                          <w:sz w:val="18"/>
                          <w:szCs w:val="18"/>
                        </w:rPr>
                      </w:pPr>
                      <w:r>
                        <w:rPr>
                          <w:rFonts w:ascii="Times New Roman"/>
                          <w:sz w:val="18"/>
                        </w:rPr>
                        <w:t>5</w:t>
                      </w:r>
                    </w:p>
                    <w:p>
                      <w:pPr>
                        <w:spacing w:before="146"/>
                        <w:ind w:left="0" w:right="0" w:firstLine="0"/>
                        <w:jc w:val="left"/>
                        <w:rPr>
                          <w:rFonts w:ascii="Times New Roman" w:hAnsi="Times New Roman" w:cs="Times New Roman" w:eastAsia="Times New Roman" w:hint="default"/>
                          <w:sz w:val="18"/>
                          <w:szCs w:val="18"/>
                        </w:rPr>
                      </w:pPr>
                      <w:r>
                        <w:rPr>
                          <w:rFonts w:ascii="Times New Roman"/>
                          <w:sz w:val="18"/>
                        </w:rPr>
                        <w:t>6</w:t>
                      </w:r>
                    </w:p>
                    <w:p>
                      <w:pPr>
                        <w:spacing w:before="146"/>
                        <w:ind w:left="0" w:right="0" w:firstLine="0"/>
                        <w:jc w:val="left"/>
                        <w:rPr>
                          <w:rFonts w:ascii="Times New Roman" w:hAnsi="Times New Roman" w:cs="Times New Roman" w:eastAsia="Times New Roman" w:hint="default"/>
                          <w:sz w:val="18"/>
                          <w:szCs w:val="18"/>
                        </w:rPr>
                      </w:pPr>
                      <w:r>
                        <w:rPr>
                          <w:rFonts w:ascii="Times New Roman"/>
                          <w:sz w:val="18"/>
                        </w:rPr>
                        <w:t>7</w:t>
                      </w:r>
                    </w:p>
                    <w:p>
                      <w:pPr>
                        <w:spacing w:before="143"/>
                        <w:ind w:left="0" w:right="0" w:firstLine="0"/>
                        <w:jc w:val="left"/>
                        <w:rPr>
                          <w:rFonts w:ascii="Times New Roman" w:hAnsi="Times New Roman" w:cs="Times New Roman" w:eastAsia="Times New Roman" w:hint="default"/>
                          <w:sz w:val="18"/>
                          <w:szCs w:val="18"/>
                        </w:rPr>
                      </w:pPr>
                      <w:r>
                        <w:rPr>
                          <w:rFonts w:ascii="Times New Roman"/>
                          <w:sz w:val="18"/>
                        </w:rPr>
                        <w:t>8</w:t>
                      </w:r>
                    </w:p>
                    <w:p>
                      <w:pPr>
                        <w:spacing w:line="203" w:lineRule="exact" w:before="146"/>
                        <w:ind w:left="0" w:right="0" w:firstLine="0"/>
                        <w:jc w:val="left"/>
                        <w:rPr>
                          <w:rFonts w:ascii="Times New Roman" w:hAnsi="Times New Roman" w:cs="Times New Roman" w:eastAsia="Times New Roman" w:hint="default"/>
                          <w:sz w:val="18"/>
                          <w:szCs w:val="18"/>
                        </w:rPr>
                      </w:pPr>
                      <w:r>
                        <w:rPr>
                          <w:rFonts w:ascii="Times New Roman"/>
                          <w:sz w:val="18"/>
                        </w:rPr>
                        <w:t>9</w:t>
                      </w:r>
                    </w:p>
                  </w:txbxContent>
                </v:textbox>
                <w10:wrap type="none"/>
              </v:shape>
              <v:shape style="position:absolute;left:454;top:431;width:6587;height:1246" type="#_x0000_t202" filled="false" stroked="false">
                <v:textbox inset="0,0,0,0">
                  <w:txbxContent>
                    <w:p>
                      <w:pPr>
                        <w:spacing w:line="194"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募集资金净额</w:t>
                      </w:r>
                      <w:r>
                        <w:rPr>
                          <w:rFonts w:ascii="宋体" w:hAnsi="宋体" w:cs="宋体" w:eastAsia="宋体" w:hint="default"/>
                          <w:spacing w:val="84"/>
                          <w:sz w:val="18"/>
                          <w:szCs w:val="18"/>
                        </w:rPr>
                        <w:t> </w:t>
                      </w:r>
                      <w:r>
                        <w:rPr>
                          <w:rFonts w:ascii="Times New Roman" w:hAnsi="Times New Roman" w:cs="Times New Roman" w:eastAsia="Times New Roman" w:hint="default"/>
                          <w:sz w:val="18"/>
                          <w:szCs w:val="18"/>
                        </w:rPr>
                        <w:t>1,187,030,000.00</w:t>
                      </w:r>
                    </w:p>
                    <w:p>
                      <w:pPr>
                        <w:spacing w:before="101"/>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年度置换前期自有资金投入金额</w:t>
                      </w:r>
                      <w:r>
                        <w:rPr>
                          <w:rFonts w:ascii="宋体" w:hAnsi="宋体" w:cs="宋体" w:eastAsia="宋体" w:hint="default"/>
                          <w:spacing w:val="-22"/>
                          <w:sz w:val="18"/>
                          <w:szCs w:val="18"/>
                        </w:rPr>
                        <w:t> </w:t>
                      </w:r>
                      <w:r>
                        <w:rPr>
                          <w:rFonts w:ascii="Times New Roman" w:hAnsi="Times New Roman" w:cs="Times New Roman" w:eastAsia="Times New Roman" w:hint="default"/>
                          <w:sz w:val="18"/>
                          <w:szCs w:val="18"/>
                        </w:rPr>
                        <w:t>50,478,705.32</w:t>
                      </w:r>
                    </w:p>
                    <w:p>
                      <w:pPr>
                        <w:tabs>
                          <w:tab w:pos="5460" w:val="left" w:leader="none"/>
                        </w:tabs>
                        <w:spacing w:before="103"/>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年度新一代智慧医疗</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HIS </w:t>
                      </w:r>
                      <w:r>
                        <w:rPr>
                          <w:rFonts w:ascii="宋体" w:hAnsi="宋体" w:cs="宋体" w:eastAsia="宋体" w:hint="default"/>
                          <w:sz w:val="18"/>
                          <w:szCs w:val="18"/>
                        </w:rPr>
                        <w:t>服务平台及应用系统项目投入</w:t>
                        <w:tab/>
                      </w:r>
                      <w:r>
                        <w:rPr>
                          <w:rFonts w:ascii="Times New Roman" w:hAnsi="Times New Roman" w:cs="Times New Roman" w:eastAsia="Times New Roman" w:hint="default"/>
                          <w:sz w:val="18"/>
                          <w:szCs w:val="18"/>
                        </w:rPr>
                        <w:t>106,825,262.98</w:t>
                      </w:r>
                    </w:p>
                    <w:p>
                      <w:pPr>
                        <w:spacing w:line="245" w:lineRule="exact" w:before="103"/>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年度智慧养老综合服务平台及其智能物联云平台项目投入 </w:t>
                      </w:r>
                      <w:r>
                        <w:rPr>
                          <w:rFonts w:ascii="宋体" w:hAnsi="宋体" w:cs="宋体" w:eastAsia="宋体" w:hint="default"/>
                          <w:spacing w:val="8"/>
                          <w:sz w:val="18"/>
                          <w:szCs w:val="18"/>
                        </w:rPr>
                        <w:t> </w:t>
                      </w:r>
                      <w:r>
                        <w:rPr>
                          <w:rFonts w:ascii="Times New Roman" w:hAnsi="Times New Roman" w:cs="Times New Roman" w:eastAsia="Times New Roman" w:hint="default"/>
                          <w:sz w:val="18"/>
                          <w:szCs w:val="18"/>
                        </w:rPr>
                        <w:t>75,326,628.79</w:t>
                      </w:r>
                    </w:p>
                  </w:txbxContent>
                </v:textbox>
                <w10:wrap type="none"/>
              </v:shape>
              <v:shape style="position:absolute;left:454;top:1838;width:2595;height:896"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年度暂时补充流动资金</w:t>
                      </w:r>
                    </w:p>
                    <w:p>
                      <w:pPr>
                        <w:spacing w:line="350" w:lineRule="atLeast" w:before="2"/>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年度永久补充流动资金 减：支付银行账户手续费</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621.00</w:t>
                      </w:r>
                    </w:p>
                  </w:txbxContent>
                </v:textbox>
                <w10:wrap type="none"/>
              </v:shape>
              <v:shape style="position:absolute;left:3395;top:1848;width:1126;height:533"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300,000,000.00</w:t>
                      </w:r>
                    </w:p>
                    <w:p>
                      <w:pPr>
                        <w:spacing w:line="203" w:lineRule="exact" w:before="146"/>
                        <w:ind w:left="0" w:right="0" w:firstLine="0"/>
                        <w:jc w:val="left"/>
                        <w:rPr>
                          <w:rFonts w:ascii="Times New Roman" w:hAnsi="Times New Roman" w:cs="Times New Roman" w:eastAsia="Times New Roman" w:hint="default"/>
                          <w:sz w:val="18"/>
                          <w:szCs w:val="18"/>
                        </w:rPr>
                      </w:pPr>
                      <w:r>
                        <w:rPr>
                          <w:rFonts w:ascii="Times New Roman"/>
                          <w:spacing w:val="-1"/>
                          <w:sz w:val="18"/>
                        </w:rPr>
                        <w:t>300,000,000.00</w:t>
                      </w:r>
                    </w:p>
                  </w:txbxContent>
                </v:textbox>
                <w10:wrap type="none"/>
              </v:shape>
              <v:shape style="position:absolute;left:454;top:2894;width:3887;height:543" type="#_x0000_t202" filled="false" stroked="false">
                <v:textbox inset="0,0,0,0">
                  <w:txbxContent>
                    <w:p>
                      <w:pPr>
                        <w:spacing w:line="194"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年度收到募集资金存款利息</w:t>
                      </w:r>
                      <w:r>
                        <w:rPr>
                          <w:rFonts w:ascii="Times New Roman" w:hAnsi="Times New Roman" w:cs="Times New Roman" w:eastAsia="Times New Roman" w:hint="default"/>
                          <w:sz w:val="18"/>
                          <w:szCs w:val="18"/>
                        </w:rPr>
                        <w:t>2,225,188.48</w:t>
                      </w:r>
                    </w:p>
                    <w:p>
                      <w:pPr>
                        <w:spacing w:line="245" w:lineRule="exact" w:before="103"/>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日未使用募集资金余额</w:t>
                      </w:r>
                    </w:p>
                  </w:txbxContent>
                </v:textbox>
                <w10:wrap type="none"/>
              </v:shape>
              <v:shape style="position:absolute;left:3815;top:3256;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356,623,970.39</w:t>
                      </w:r>
                    </w:p>
                  </w:txbxContent>
                </v:textbox>
                <w10:wrap type="none"/>
              </v:shape>
            </v:group>
          </v:group>
        </w:pict>
      </w:r>
      <w:r>
        <w:rPr>
          <w:rFonts w:ascii="宋体" w:hAnsi="宋体" w:cs="宋体" w:eastAsia="宋体" w:hint="default"/>
          <w:position w:val="-70"/>
          <w:sz w:val="20"/>
          <w:szCs w:val="20"/>
        </w:rPr>
      </w:r>
    </w:p>
    <w:p>
      <w:pPr>
        <w:spacing w:line="240" w:lineRule="auto" w:before="12"/>
        <w:rPr>
          <w:rFonts w:ascii="宋体" w:hAnsi="宋体" w:cs="宋体" w:eastAsia="宋体" w:hint="default"/>
          <w:sz w:val="18"/>
          <w:szCs w:val="18"/>
        </w:rPr>
      </w:pPr>
    </w:p>
    <w:p>
      <w:pPr>
        <w:pStyle w:val="Heading3"/>
        <w:spacing w:line="240" w:lineRule="auto" w:before="36"/>
        <w:ind w:right="2602"/>
        <w:jc w:val="left"/>
        <w:rPr>
          <w:b w:val="0"/>
          <w:bCs w:val="0"/>
        </w:rPr>
      </w:pPr>
      <w:bookmarkStart w:name="（2）募集资金承诺项目情况" w:id="53"/>
      <w:bookmarkEnd w:id="53"/>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61"/>
        <w:gridCol w:w="562"/>
        <w:gridCol w:w="712"/>
        <w:gridCol w:w="710"/>
        <w:gridCol w:w="991"/>
        <w:gridCol w:w="998"/>
        <w:gridCol w:w="846"/>
        <w:gridCol w:w="848"/>
        <w:gridCol w:w="713"/>
        <w:gridCol w:w="712"/>
        <w:gridCol w:w="421"/>
        <w:gridCol w:w="496"/>
      </w:tblGrid>
      <w:tr>
        <w:trPr>
          <w:trHeight w:val="2274"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326" w:right="55" w:hanging="272"/>
              <w:jc w:val="left"/>
              <w:rPr>
                <w:rFonts w:ascii="宋体" w:hAnsi="宋体" w:cs="宋体" w:eastAsia="宋体" w:hint="default"/>
                <w:sz w:val="18"/>
                <w:szCs w:val="18"/>
              </w:rPr>
            </w:pPr>
            <w:r>
              <w:rPr>
                <w:rFonts w:ascii="宋体" w:hAnsi="宋体" w:cs="宋体" w:eastAsia="宋体" w:hint="default"/>
                <w:sz w:val="18"/>
                <w:szCs w:val="18"/>
              </w:rPr>
              <w:t>承诺投资项目和超 募资金投向</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69" w:right="61" w:firstLine="28"/>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 已变 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 变更</w:t>
            </w:r>
            <w:r>
              <w:rPr>
                <w:rFonts w:ascii="Times New Roman" w:hAnsi="Times New Roman" w:cs="Times New Roman" w:eastAsia="Times New Roman" w:hint="default"/>
                <w:sz w:val="18"/>
                <w:szCs w:val="18"/>
              </w:rPr>
              <w:t>)</w:t>
            </w:r>
          </w:p>
        </w:tc>
        <w:tc>
          <w:tcPr>
            <w:tcW w:w="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82" w:right="77"/>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79" w:right="79"/>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调整后 投资总 额</w:t>
            </w:r>
            <w:r>
              <w:rPr>
                <w:rFonts w:ascii="Times New Roman" w:hAnsi="Times New Roman" w:cs="Times New Roman" w:eastAsia="Times New Roman" w:hint="default"/>
                <w:sz w:val="18"/>
                <w:szCs w:val="18"/>
              </w:rPr>
              <w:t>(1)</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20" w:right="38" w:hanging="180"/>
              <w:jc w:val="left"/>
              <w:rPr>
                <w:rFonts w:ascii="宋体" w:hAnsi="宋体" w:cs="宋体" w:eastAsia="宋体" w:hint="default"/>
                <w:sz w:val="18"/>
                <w:szCs w:val="18"/>
              </w:rPr>
            </w:pPr>
            <w:r>
              <w:rPr>
                <w:rFonts w:ascii="宋体" w:hAnsi="宋体" w:cs="宋体" w:eastAsia="宋体" w:hint="default"/>
                <w:sz w:val="18"/>
                <w:szCs w:val="18"/>
              </w:rPr>
              <w:t>本报告期投 入金额</w:t>
            </w:r>
          </w:p>
        </w:tc>
        <w:tc>
          <w:tcPr>
            <w:tcW w:w="9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38" w:lineRule="auto"/>
              <w:ind w:left="40" w:right="45"/>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截至期末累 计投入金额 </w:t>
            </w:r>
            <w:r>
              <w:rPr>
                <w:rFonts w:ascii="Times New Roman" w:hAnsi="Times New Roman" w:cs="Times New Roman" w:eastAsia="Times New Roman" w:hint="default"/>
                <w:sz w:val="18"/>
                <w:szCs w:val="18"/>
              </w:rPr>
              <w:t>(2)</w:t>
            </w:r>
          </w:p>
        </w:tc>
        <w:tc>
          <w:tcPr>
            <w:tcW w:w="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26" w:lineRule="auto"/>
              <w:ind w:left="55" w:right="58"/>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9" w:right="56"/>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83" w:right="77"/>
              <w:jc w:val="both"/>
              <w:rPr>
                <w:rFonts w:ascii="宋体" w:hAnsi="宋体" w:cs="宋体" w:eastAsia="宋体" w:hint="default"/>
                <w:sz w:val="18"/>
                <w:szCs w:val="18"/>
              </w:rPr>
            </w:pPr>
            <w:r>
              <w:rPr>
                <w:rFonts w:ascii="宋体" w:hAnsi="宋体" w:cs="宋体" w:eastAsia="宋体" w:hint="default"/>
                <w:sz w:val="18"/>
                <w:szCs w:val="18"/>
              </w:rPr>
              <w:t>本报告 期实现 的效益</w:t>
            </w:r>
          </w:p>
        </w:tc>
        <w:tc>
          <w:tcPr>
            <w:tcW w:w="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79" w:right="81"/>
              <w:jc w:val="center"/>
              <w:rPr>
                <w:rFonts w:ascii="宋体" w:hAnsi="宋体" w:cs="宋体" w:eastAsia="宋体" w:hint="default"/>
                <w:sz w:val="18"/>
                <w:szCs w:val="18"/>
              </w:rPr>
            </w:pPr>
            <w:r>
              <w:rPr>
                <w:rFonts w:ascii="宋体" w:hAnsi="宋体" w:cs="宋体" w:eastAsia="宋体" w:hint="default"/>
                <w:sz w:val="18"/>
                <w:szCs w:val="18"/>
              </w:rPr>
              <w:t>截止报 告期末 累计实 现的效 益</w:t>
            </w:r>
          </w:p>
        </w:tc>
        <w:tc>
          <w:tcPr>
            <w:tcW w:w="4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4" w:right="24"/>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4" w:right="60"/>
              <w:jc w:val="both"/>
              <w:rPr>
                <w:rFonts w:ascii="宋体" w:hAnsi="宋体" w:cs="宋体" w:eastAsia="宋体" w:hint="default"/>
                <w:sz w:val="18"/>
                <w:szCs w:val="18"/>
              </w:rPr>
            </w:pPr>
            <w:r>
              <w:rPr>
                <w:rFonts w:ascii="宋体" w:hAnsi="宋体" w:cs="宋体" w:eastAsia="宋体" w:hint="default"/>
                <w:sz w:val="18"/>
                <w:szCs w:val="18"/>
              </w:rPr>
              <w:t>项目 可行 性是 否发 生重 大变 化</w:t>
            </w:r>
          </w:p>
        </w:tc>
      </w:tr>
      <w:tr>
        <w:trPr>
          <w:trHeight w:val="402"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025" w:hRule="exact"/>
        </w:trPr>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85"/>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新一代智慧城市 一体化平台及应用 系统建设项目</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4" w:right="0"/>
              <w:jc w:val="center"/>
              <w:rPr>
                <w:rFonts w:ascii="Times New Roman" w:hAnsi="Times New Roman" w:cs="Times New Roman" w:eastAsia="Times New Roman" w:hint="default"/>
                <w:sz w:val="18"/>
                <w:szCs w:val="18"/>
              </w:rPr>
            </w:pPr>
            <w:r>
              <w:rPr>
                <w:rFonts w:ascii="Times New Roman"/>
                <w:sz w:val="18"/>
              </w:rPr>
              <w:t>70,896</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70,896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17,944.79</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71,270.4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100.53%</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753.98</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753.98</w:t>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雅安智慧公共安 全系统</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项目</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64" w:right="0"/>
              <w:jc w:val="center"/>
              <w:rPr>
                <w:rFonts w:ascii="Times New Roman" w:hAnsi="Times New Roman" w:cs="Times New Roman" w:eastAsia="Times New Roman" w:hint="default"/>
                <w:sz w:val="18"/>
                <w:szCs w:val="18"/>
              </w:rPr>
            </w:pPr>
            <w:r>
              <w:rPr>
                <w:rFonts w:ascii="Times New Roman"/>
                <w:sz w:val="18"/>
              </w:rPr>
              <w:t>17,500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17,500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2,095.74</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17,612.71</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100.64%</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12</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349.56</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349.56</w:t>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6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新一代智慧医疗 一体化</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HIS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服务平 台及应用系统</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4" w:right="0"/>
              <w:jc w:val="center"/>
              <w:rPr>
                <w:rFonts w:ascii="Times New Roman" w:hAnsi="Times New Roman" w:cs="Times New Roman" w:eastAsia="Times New Roman" w:hint="default"/>
                <w:sz w:val="18"/>
                <w:szCs w:val="18"/>
              </w:rPr>
            </w:pPr>
            <w:r>
              <w:rPr>
                <w:rFonts w:ascii="Times New Roman"/>
                <w:sz w:val="18"/>
              </w:rPr>
              <w:t>60,000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13,896.17</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13,896.17</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23.16%</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0</w:t>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0" w:right="29"/>
              <w:jc w:val="left"/>
              <w:rPr>
                <w:rFonts w:ascii="宋体" w:hAnsi="宋体" w:cs="宋体" w:eastAsia="宋体" w:hint="default"/>
                <w:sz w:val="18"/>
                <w:szCs w:val="18"/>
              </w:rPr>
            </w:pPr>
            <w:r>
              <w:rPr>
                <w:rFonts w:ascii="宋体" w:hAnsi="宋体" w:cs="宋体" w:eastAsia="宋体" w:hint="default"/>
                <w:sz w:val="18"/>
                <w:szCs w:val="18"/>
              </w:rPr>
              <w:t>不适 用</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8" w:hRule="exact"/>
        </w:trPr>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4" w:right="85"/>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智慧养老综合服 务平台及其智能物 联云平台</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64" w:right="0"/>
              <w:jc w:val="center"/>
              <w:rPr>
                <w:rFonts w:ascii="Times New Roman" w:hAnsi="Times New Roman" w:cs="Times New Roman" w:eastAsia="Times New Roman" w:hint="default"/>
                <w:sz w:val="18"/>
                <w:szCs w:val="18"/>
              </w:rPr>
            </w:pPr>
            <w:r>
              <w:rPr>
                <w:rFonts w:ascii="Times New Roman"/>
                <w:sz w:val="18"/>
              </w:rPr>
              <w:t>30,000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9,366.89</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w w:val="95"/>
                <w:sz w:val="18"/>
              </w:rPr>
              <w:t>9,366.89</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31.22%</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12</w:t>
            </w:r>
          </w:p>
          <w:p>
            <w:pPr>
              <w:pStyle w:val="TableParagraph"/>
              <w:spacing w:line="240" w:lineRule="auto" w:before="61"/>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0</w:t>
            </w:r>
          </w:p>
        </w:tc>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0" w:right="29"/>
              <w:jc w:val="left"/>
              <w:rPr>
                <w:rFonts w:ascii="宋体" w:hAnsi="宋体" w:cs="宋体" w:eastAsia="宋体" w:hint="default"/>
                <w:sz w:val="18"/>
                <w:szCs w:val="18"/>
              </w:rPr>
            </w:pPr>
            <w:r>
              <w:rPr>
                <w:rFonts w:ascii="宋体" w:hAnsi="宋体" w:cs="宋体" w:eastAsia="宋体" w:hint="default"/>
                <w:sz w:val="18"/>
                <w:szCs w:val="18"/>
              </w:rPr>
              <w:t>不适 用</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55" w:hRule="exact"/>
        </w:trPr>
        <w:tc>
          <w:tcPr>
            <w:tcW w:w="1561" w:type="dxa"/>
            <w:tcBorders>
              <w:top w:val="single" w:sz="4" w:space="0" w:color="000000"/>
              <w:left w:val="single" w:sz="4" w:space="0" w:color="000000"/>
              <w:bottom w:val="single" w:sz="32" w:space="0" w:color="D2D2D2"/>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补充流动资金</w:t>
            </w:r>
          </w:p>
        </w:tc>
        <w:tc>
          <w:tcPr>
            <w:tcW w:w="562" w:type="dxa"/>
            <w:tcBorders>
              <w:top w:val="single" w:sz="4" w:space="0" w:color="000000"/>
              <w:left w:val="single" w:sz="4" w:space="0" w:color="000000"/>
              <w:bottom w:val="single" w:sz="32" w:space="0" w:color="D2D2D2"/>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4" w:right="0"/>
              <w:jc w:val="center"/>
              <w:rPr>
                <w:rFonts w:ascii="Times New Roman" w:hAnsi="Times New Roman" w:cs="Times New Roman" w:eastAsia="Times New Roman" w:hint="default"/>
                <w:sz w:val="18"/>
                <w:szCs w:val="18"/>
              </w:rPr>
            </w:pPr>
            <w:r>
              <w:rPr>
                <w:rFonts w:ascii="Times New Roman"/>
                <w:sz w:val="18"/>
              </w:rPr>
              <w:t>30,000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30,000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30,000</w:t>
            </w:r>
          </w:p>
        </w:tc>
        <w:tc>
          <w:tcPr>
            <w:tcW w:w="846" w:type="dxa"/>
            <w:tcBorders>
              <w:top w:val="single" w:sz="4" w:space="0" w:color="000000"/>
              <w:left w:val="single" w:sz="4" w:space="0" w:color="000000"/>
              <w:bottom w:val="single" w:sz="32"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48" w:type="dxa"/>
            <w:tcBorders>
              <w:top w:val="single" w:sz="4" w:space="0" w:color="000000"/>
              <w:left w:val="single" w:sz="4" w:space="0" w:color="000000"/>
              <w:bottom w:val="single" w:sz="32" w:space="0" w:color="D2D2D2"/>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0</w:t>
            </w:r>
          </w:p>
        </w:tc>
        <w:tc>
          <w:tcPr>
            <w:tcW w:w="421" w:type="dxa"/>
            <w:tcBorders>
              <w:top w:val="single" w:sz="4" w:space="0" w:color="000000"/>
              <w:left w:val="single" w:sz="4" w:space="0" w:color="000000"/>
              <w:bottom w:val="single" w:sz="32" w:space="0" w:color="D2D2D2"/>
              <w:right w:val="single" w:sz="4" w:space="0" w:color="000000"/>
            </w:tcBorders>
          </w:tcPr>
          <w:p>
            <w:pPr>
              <w:pStyle w:val="TableParagraph"/>
              <w:spacing w:line="316" w:lineRule="auto" w:before="49"/>
              <w:ind w:left="20" w:right="29"/>
              <w:jc w:val="left"/>
              <w:rPr>
                <w:rFonts w:ascii="宋体" w:hAnsi="宋体" w:cs="宋体" w:eastAsia="宋体" w:hint="default"/>
                <w:sz w:val="18"/>
                <w:szCs w:val="18"/>
              </w:rPr>
            </w:pPr>
            <w:r>
              <w:rPr>
                <w:rFonts w:ascii="宋体" w:hAnsi="宋体" w:cs="宋体" w:eastAsia="宋体" w:hint="default"/>
                <w:sz w:val="18"/>
                <w:szCs w:val="18"/>
              </w:rPr>
              <w:t>不适 用</w:t>
            </w:r>
          </w:p>
        </w:tc>
        <w:tc>
          <w:tcPr>
            <w:tcW w:w="496" w:type="dxa"/>
            <w:tcBorders>
              <w:top w:val="single" w:sz="4" w:space="0" w:color="000000"/>
              <w:left w:val="single" w:sz="4" w:space="0" w:color="000000"/>
              <w:bottom w:val="single" w:sz="32" w:space="0" w:color="D2D2D2"/>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22"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6"/>
              <w:ind w:left="24"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212"/>
              <w:jc w:val="right"/>
              <w:rPr>
                <w:rFonts w:ascii="Times New Roman" w:hAnsi="Times New Roman" w:cs="Times New Roman" w:eastAsia="Times New Roman" w:hint="default"/>
                <w:sz w:val="18"/>
                <w:szCs w:val="18"/>
              </w:rPr>
            </w:pPr>
            <w:r>
              <w:rPr>
                <w:rFonts w:ascii="Times New Roman"/>
                <w:sz w:val="18"/>
              </w:rPr>
              <w:t>--</w:t>
            </w:r>
          </w:p>
        </w:tc>
        <w:tc>
          <w:tcPr>
            <w:tcW w:w="71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8"/>
              <w:ind w:left="65" w:right="0"/>
              <w:jc w:val="center"/>
              <w:rPr>
                <w:rFonts w:ascii="Times New Roman" w:hAnsi="Times New Roman" w:cs="Times New Roman" w:eastAsia="Times New Roman" w:hint="default"/>
                <w:sz w:val="18"/>
                <w:szCs w:val="18"/>
              </w:rPr>
            </w:pPr>
            <w:r>
              <w:rPr>
                <w:rFonts w:ascii="Times New Roman"/>
                <w:sz w:val="18"/>
              </w:rPr>
              <w:t>208,396</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208,396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9"/>
              <w:jc w:val="right"/>
              <w:rPr>
                <w:rFonts w:ascii="Times New Roman" w:hAnsi="Times New Roman" w:cs="Times New Roman" w:eastAsia="Times New Roman" w:hint="default"/>
                <w:sz w:val="18"/>
                <w:szCs w:val="18"/>
              </w:rPr>
            </w:pPr>
            <w:r>
              <w:rPr>
                <w:rFonts w:ascii="Times New Roman"/>
                <w:spacing w:val="-1"/>
                <w:sz w:val="18"/>
              </w:rPr>
              <w:t>73,303.59</w:t>
            </w:r>
          </w:p>
        </w:tc>
        <w:tc>
          <w:tcPr>
            <w:tcW w:w="998"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128"/>
              <w:ind w:right="18"/>
              <w:jc w:val="right"/>
              <w:rPr>
                <w:rFonts w:ascii="Times New Roman" w:hAnsi="Times New Roman" w:cs="Times New Roman" w:eastAsia="Times New Roman" w:hint="default"/>
                <w:sz w:val="18"/>
                <w:szCs w:val="18"/>
              </w:rPr>
            </w:pPr>
            <w:r>
              <w:rPr>
                <w:rFonts w:ascii="Times New Roman"/>
                <w:spacing w:val="-1"/>
                <w:sz w:val="18"/>
              </w:rPr>
              <w:t>142,146.17</w:t>
            </w:r>
          </w:p>
        </w:tc>
        <w:tc>
          <w:tcPr>
            <w:tcW w:w="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2"/>
              <w:jc w:val="center"/>
              <w:rPr>
                <w:rFonts w:ascii="Times New Roman" w:hAnsi="Times New Roman" w:cs="Times New Roman" w:eastAsia="Times New Roman" w:hint="default"/>
                <w:sz w:val="18"/>
                <w:szCs w:val="18"/>
              </w:rPr>
            </w:pPr>
            <w:r>
              <w:rPr>
                <w:rFonts w:ascii="Times New Roman"/>
                <w:sz w:val="18"/>
              </w:rPr>
              <w:t>--</w:t>
            </w:r>
          </w:p>
        </w:tc>
        <w:tc>
          <w:tcPr>
            <w:tcW w:w="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359" w:right="0"/>
              <w:jc w:val="left"/>
              <w:rPr>
                <w:rFonts w:ascii="Times New Roman" w:hAnsi="Times New Roman" w:cs="Times New Roman" w:eastAsia="Times New Roman" w:hint="default"/>
                <w:sz w:val="18"/>
                <w:szCs w:val="18"/>
              </w:rPr>
            </w:pPr>
            <w:r>
              <w:rPr>
                <w:rFonts w:ascii="Times New Roman"/>
                <w:sz w:val="18"/>
              </w:rPr>
              <w:t>--</w:t>
            </w:r>
          </w:p>
        </w:tc>
        <w:tc>
          <w:tcPr>
            <w:tcW w:w="7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8"/>
              <w:ind w:right="19"/>
              <w:jc w:val="right"/>
              <w:rPr>
                <w:rFonts w:ascii="Times New Roman" w:hAnsi="Times New Roman" w:cs="Times New Roman" w:eastAsia="Times New Roman" w:hint="default"/>
                <w:sz w:val="18"/>
                <w:szCs w:val="18"/>
              </w:rPr>
            </w:pPr>
            <w:r>
              <w:rPr>
                <w:rFonts w:ascii="Times New Roman"/>
                <w:w w:val="95"/>
                <w:sz w:val="18"/>
              </w:rPr>
              <w:t>1,103.54</w:t>
            </w:r>
          </w:p>
        </w:tc>
        <w:tc>
          <w:tcPr>
            <w:tcW w:w="71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128"/>
              <w:ind w:right="11"/>
              <w:jc w:val="right"/>
              <w:rPr>
                <w:rFonts w:ascii="Times New Roman" w:hAnsi="Times New Roman" w:cs="Times New Roman" w:eastAsia="Times New Roman" w:hint="default"/>
                <w:sz w:val="18"/>
                <w:szCs w:val="18"/>
              </w:rPr>
            </w:pPr>
            <w:r>
              <w:rPr>
                <w:rFonts w:ascii="Times New Roman"/>
                <w:w w:val="95"/>
                <w:sz w:val="18"/>
              </w:rPr>
              <w:t>1,103.54</w:t>
            </w:r>
          </w:p>
        </w:tc>
        <w:tc>
          <w:tcPr>
            <w:tcW w:w="4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44"/>
              <w:jc w:val="right"/>
              <w:rPr>
                <w:rFonts w:ascii="Times New Roman" w:hAnsi="Times New Roman" w:cs="Times New Roman" w:eastAsia="Times New Roman" w:hint="default"/>
                <w:sz w:val="18"/>
                <w:szCs w:val="18"/>
              </w:rPr>
            </w:pPr>
            <w:r>
              <w:rPr>
                <w:rFonts w:ascii="Times New Roman"/>
                <w:sz w:val="18"/>
              </w:rPr>
              <w:t>--</w:t>
            </w:r>
          </w:p>
        </w:tc>
        <w:tc>
          <w:tcPr>
            <w:tcW w:w="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80"/>
              <w:jc w:val="right"/>
              <w:rPr>
                <w:rFonts w:ascii="Times New Roman" w:hAnsi="Times New Roman" w:cs="Times New Roman" w:eastAsia="Times New Roman" w:hint="default"/>
                <w:sz w:val="18"/>
                <w:szCs w:val="18"/>
              </w:rPr>
            </w:pPr>
            <w:r>
              <w:rPr>
                <w:rFonts w:ascii="Times New Roman"/>
                <w:sz w:val="18"/>
              </w:rPr>
              <w:t>--</w:t>
            </w:r>
          </w:p>
        </w:tc>
      </w:tr>
      <w:tr>
        <w:trPr>
          <w:trHeight w:val="394"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超募资金投向（无）</w:t>
            </w:r>
          </w:p>
        </w:tc>
      </w:tr>
      <w:tr>
        <w:trPr>
          <w:trHeight w:val="101" w:hRule="exact"/>
        </w:trPr>
        <w:tc>
          <w:tcPr>
            <w:tcW w:w="1561"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tcBorders>
              <w:top w:val="single" w:sz="4" w:space="0" w:color="000000"/>
              <w:left w:val="single" w:sz="4" w:space="0" w:color="000000"/>
              <w:bottom w:val="nil" w:sz="6" w:space="0" w:color="auto"/>
              <w:right w:val="single" w:sz="4" w:space="0" w:color="000000"/>
            </w:tcBorders>
            <w:shd w:val="clear" w:color="auto" w:fill="D2D2D2"/>
          </w:tcPr>
          <w:p>
            <w:pPr/>
          </w:p>
        </w:tc>
        <w:tc>
          <w:tcPr>
            <w:tcW w:w="712" w:type="dxa"/>
            <w:vMerge w:val="restart"/>
            <w:tcBorders>
              <w:top w:val="single" w:sz="4" w:space="0" w:color="000000"/>
              <w:left w:val="single" w:sz="10" w:space="0" w:color="D2D2D2"/>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208,396</w:t>
            </w:r>
          </w:p>
        </w:tc>
        <w:tc>
          <w:tcPr>
            <w:tcW w:w="710"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208,396</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73,303.59</w:t>
            </w:r>
          </w:p>
        </w:tc>
        <w:tc>
          <w:tcPr>
            <w:tcW w:w="998" w:type="dxa"/>
            <w:vMerge w:val="restart"/>
            <w:tcBorders>
              <w:top w:val="single" w:sz="4" w:space="0" w:color="000000"/>
              <w:left w:val="single" w:sz="4" w:space="0" w:color="000000"/>
              <w:right w:val="single" w:sz="10" w:space="0" w:color="D2D2D2"/>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142,146.17</w:t>
            </w:r>
          </w:p>
        </w:tc>
        <w:tc>
          <w:tcPr>
            <w:tcW w:w="846" w:type="dxa"/>
            <w:tcBorders>
              <w:top w:val="single" w:sz="4" w:space="0" w:color="000000"/>
              <w:left w:val="single" w:sz="4" w:space="0" w:color="000000"/>
              <w:bottom w:val="nil" w:sz="6" w:space="0" w:color="auto"/>
              <w:right w:val="single" w:sz="4" w:space="0" w:color="000000"/>
            </w:tcBorders>
            <w:shd w:val="clear" w:color="auto" w:fill="D2D2D2"/>
          </w:tcPr>
          <w:p>
            <w:pPr/>
          </w:p>
        </w:tc>
        <w:tc>
          <w:tcPr>
            <w:tcW w:w="848" w:type="dxa"/>
            <w:tcBorders>
              <w:top w:val="single" w:sz="4" w:space="0" w:color="000000"/>
              <w:left w:val="single" w:sz="4" w:space="0" w:color="000000"/>
              <w:bottom w:val="nil" w:sz="6" w:space="0" w:color="auto"/>
              <w:right w:val="single" w:sz="4" w:space="0" w:color="000000"/>
            </w:tcBorders>
            <w:shd w:val="clear" w:color="auto" w:fill="D2D2D2"/>
          </w:tcPr>
          <w:p>
            <w:pPr/>
          </w:p>
        </w:tc>
        <w:tc>
          <w:tcPr>
            <w:tcW w:w="713" w:type="dxa"/>
            <w:vMerge w:val="restart"/>
            <w:tcBorders>
              <w:top w:val="single" w:sz="4" w:space="0" w:color="000000"/>
              <w:left w:val="single" w:sz="13" w:space="0" w:color="D2D2D2"/>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1,103.54</w:t>
            </w:r>
          </w:p>
        </w:tc>
        <w:tc>
          <w:tcPr>
            <w:tcW w:w="712" w:type="dxa"/>
            <w:vMerge w:val="restart"/>
            <w:tcBorders>
              <w:top w:val="single" w:sz="4" w:space="0" w:color="000000"/>
              <w:left w:val="single" w:sz="4" w:space="0" w:color="000000"/>
              <w:right w:val="single" w:sz="13" w:space="0" w:color="D2D2D2"/>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1,103.54</w:t>
            </w:r>
          </w:p>
        </w:tc>
        <w:tc>
          <w:tcPr>
            <w:tcW w:w="421" w:type="dxa"/>
            <w:tcBorders>
              <w:top w:val="single" w:sz="4" w:space="0" w:color="000000"/>
              <w:left w:val="single" w:sz="4" w:space="0" w:color="000000"/>
              <w:bottom w:val="nil" w:sz="6" w:space="0" w:color="auto"/>
              <w:right w:val="single" w:sz="4" w:space="0" w:color="000000"/>
            </w:tcBorders>
            <w:shd w:val="clear" w:color="auto" w:fill="D2D2D2"/>
          </w:tcPr>
          <w:p>
            <w:pPr/>
          </w:p>
        </w:tc>
        <w:tc>
          <w:tcPr>
            <w:tcW w:w="49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490" w:hRule="exact"/>
        </w:trPr>
        <w:tc>
          <w:tcPr>
            <w:tcW w:w="156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6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1"/>
              <w:ind w:right="212"/>
              <w:jc w:val="right"/>
              <w:rPr>
                <w:rFonts w:ascii="Times New Roman" w:hAnsi="Times New Roman" w:cs="Times New Roman" w:eastAsia="Times New Roman" w:hint="default"/>
                <w:sz w:val="18"/>
                <w:szCs w:val="18"/>
              </w:rPr>
            </w:pPr>
            <w:r>
              <w:rPr>
                <w:rFonts w:ascii="Times New Roman"/>
                <w:sz w:val="18"/>
              </w:rPr>
              <w:t>--</w:t>
            </w:r>
          </w:p>
        </w:tc>
        <w:tc>
          <w:tcPr>
            <w:tcW w:w="712" w:type="dxa"/>
            <w:vMerge/>
            <w:tcBorders>
              <w:left w:val="single" w:sz="10" w:space="0" w:color="D2D2D2"/>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998" w:type="dxa"/>
            <w:vMerge/>
            <w:tcBorders>
              <w:left w:val="single" w:sz="4" w:space="0" w:color="000000"/>
              <w:bottom w:val="single" w:sz="4" w:space="0" w:color="000000"/>
              <w:right w:val="single" w:sz="10" w:space="0" w:color="D2D2D2"/>
            </w:tcBorders>
          </w:tcPr>
          <w:p>
            <w:pPr/>
          </w:p>
        </w:tc>
        <w:tc>
          <w:tcPr>
            <w:tcW w:w="84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1"/>
              <w:ind w:right="2"/>
              <w:jc w:val="center"/>
              <w:rPr>
                <w:rFonts w:ascii="Times New Roman" w:hAnsi="Times New Roman" w:cs="Times New Roman" w:eastAsia="Times New Roman" w:hint="default"/>
                <w:sz w:val="18"/>
                <w:szCs w:val="18"/>
              </w:rPr>
            </w:pPr>
            <w:r>
              <w:rPr>
                <w:rFonts w:ascii="Times New Roman"/>
                <w:sz w:val="18"/>
              </w:rPr>
              <w:t>--</w:t>
            </w:r>
          </w:p>
        </w:tc>
        <w:tc>
          <w:tcPr>
            <w:tcW w:w="84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1"/>
              <w:ind w:left="359" w:right="0"/>
              <w:jc w:val="left"/>
              <w:rPr>
                <w:rFonts w:ascii="Times New Roman" w:hAnsi="Times New Roman" w:cs="Times New Roman" w:eastAsia="Times New Roman" w:hint="default"/>
                <w:sz w:val="18"/>
                <w:szCs w:val="18"/>
              </w:rPr>
            </w:pPr>
            <w:r>
              <w:rPr>
                <w:rFonts w:ascii="Times New Roman"/>
                <w:sz w:val="18"/>
              </w:rPr>
              <w:t>--</w:t>
            </w:r>
          </w:p>
        </w:tc>
        <w:tc>
          <w:tcPr>
            <w:tcW w:w="713" w:type="dxa"/>
            <w:vMerge/>
            <w:tcBorders>
              <w:left w:val="single" w:sz="13" w:space="0" w:color="D2D2D2"/>
              <w:bottom w:val="single" w:sz="4" w:space="0" w:color="000000"/>
              <w:right w:val="single" w:sz="4" w:space="0" w:color="000000"/>
            </w:tcBorders>
          </w:tcPr>
          <w:p>
            <w:pPr/>
          </w:p>
        </w:tc>
        <w:tc>
          <w:tcPr>
            <w:tcW w:w="712" w:type="dxa"/>
            <w:vMerge/>
            <w:tcBorders>
              <w:left w:val="single" w:sz="4" w:space="0" w:color="000000"/>
              <w:bottom w:val="single" w:sz="4" w:space="0" w:color="000000"/>
              <w:right w:val="single" w:sz="13" w:space="0" w:color="D2D2D2"/>
            </w:tcBorders>
          </w:tcPr>
          <w:p>
            <w:pPr/>
          </w:p>
        </w:tc>
        <w:tc>
          <w:tcPr>
            <w:tcW w:w="42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1"/>
              <w:ind w:right="144"/>
              <w:jc w:val="right"/>
              <w:rPr>
                <w:rFonts w:ascii="Times New Roman" w:hAnsi="Times New Roman" w:cs="Times New Roman" w:eastAsia="Times New Roman" w:hint="default"/>
                <w:sz w:val="18"/>
                <w:szCs w:val="18"/>
              </w:rPr>
            </w:pPr>
            <w:r>
              <w:rPr>
                <w:rFonts w:ascii="Times New Roman"/>
                <w:sz w:val="18"/>
              </w:rPr>
              <w:t>--</w:t>
            </w:r>
          </w:p>
        </w:tc>
        <w:tc>
          <w:tcPr>
            <w:tcW w:w="49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1"/>
              <w:ind w:right="180"/>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136.100006pt;margin-top:138.859985pt;width:397.75pt;height:31.2pt;mso-position-horizontal-relative:page;mso-position-vertical-relative:page;z-index:-1334056" coordorigin="2722,2777" coordsize="7955,624">
            <v:group style="position:absolute;left:2722;top:2777;width:7955;height:312" coordorigin="2722,2777" coordsize="7955,312">
              <v:shape style="position:absolute;left:2722;top:2777;width:7955;height:312" coordorigin="2722,2777" coordsize="7955,312" path="m2722,3089l10677,3089,10677,2777,2722,2777,2722,3089xe" filled="true" fillcolor="#ffffff" stroked="false">
                <v:path arrowok="t"/>
                <v:fill type="solid"/>
              </v:shape>
            </v:group>
            <v:group style="position:absolute;left:2722;top:3089;width:7955;height:312" coordorigin="2722,3089" coordsize="7955,312">
              <v:shape style="position:absolute;left:2722;top:3089;width:7955;height:312" coordorigin="2722,3089" coordsize="7955,312" path="m2722,3401l10677,3401,10677,3089,2722,3089,2722,3401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559"/>
        <w:gridCol w:w="8010"/>
      </w:tblGrid>
      <w:tr>
        <w:trPr>
          <w:trHeight w:val="2626" w:hRule="exact"/>
        </w:trPr>
        <w:tc>
          <w:tcPr>
            <w:tcW w:w="1559"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316" w:lineRule="auto"/>
              <w:ind w:left="22" w:right="72"/>
              <w:jc w:val="both"/>
              <w:rPr>
                <w:rFonts w:ascii="宋体" w:hAnsi="宋体" w:cs="宋体" w:eastAsia="宋体" w:hint="default"/>
                <w:sz w:val="18"/>
                <w:szCs w:val="18"/>
              </w:rPr>
            </w:pPr>
            <w:r>
              <w:rPr>
                <w:rFonts w:ascii="宋体" w:hAnsi="宋体" w:cs="宋体" w:eastAsia="宋体" w:hint="default"/>
                <w:sz w:val="18"/>
                <w:szCs w:val="18"/>
              </w:rPr>
              <w:t>未达到计划进度或 预计收益的情况和 </w:t>
            </w:r>
            <w:r>
              <w:rPr>
                <w:rFonts w:ascii="宋体" w:hAnsi="宋体" w:cs="宋体" w:eastAsia="宋体" w:hint="default"/>
                <w:spacing w:val="-4"/>
                <w:sz w:val="18"/>
                <w:szCs w:val="18"/>
              </w:rPr>
              <w:t>原因（分具体项目</w:t>
            </w:r>
          </w:p>
        </w:tc>
        <w:tc>
          <w:tcPr>
            <w:tcW w:w="8010" w:type="dxa"/>
            <w:tcBorders>
              <w:top w:val="single" w:sz="4" w:space="0" w:color="000000"/>
              <w:left w:val="single" w:sz="13" w:space="0" w:color="FFFFFF"/>
              <w:bottom w:val="single" w:sz="4" w:space="0" w:color="000000"/>
              <w:right w:val="single" w:sz="4" w:space="0" w:color="000000"/>
            </w:tcBorders>
          </w:tcPr>
          <w:p>
            <w:pPr>
              <w:pStyle w:val="TableParagraph"/>
              <w:spacing w:line="307" w:lineRule="auto" w:before="49"/>
              <w:ind w:left="11" w:right="17"/>
              <w:jc w:val="left"/>
              <w:rPr>
                <w:rFonts w:ascii="宋体" w:hAnsi="宋体" w:cs="宋体" w:eastAsia="宋体" w:hint="default"/>
                <w:sz w:val="18"/>
                <w:szCs w:val="18"/>
              </w:rPr>
            </w:pPr>
            <w:r>
              <w:rPr>
                <w:rFonts w:ascii="宋体" w:hAnsi="宋体" w:cs="宋体" w:eastAsia="宋体" w:hint="default"/>
                <w:sz w:val="18"/>
                <w:szCs w:val="18"/>
              </w:rPr>
              <w:t>“新一代智慧城市一体化平台及应用系统建设项目”按照原募集项目计划进度已于</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月完成相 关建设内容，实现相关技术要求和平台建设内容，该项目预计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2021 </w:t>
            </w:r>
            <w:r>
              <w:rPr>
                <w:rFonts w:ascii="宋体" w:hAnsi="宋体" w:cs="宋体" w:eastAsia="宋体" w:hint="default"/>
                <w:sz w:val="18"/>
                <w:szCs w:val="18"/>
              </w:rPr>
              <w:t>年度达产。</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年度因受国内经 济增速下行，软件和信息技术行业竞争加剧，叠加大股东和管理层变更，及关联方资金占用等影响， 该项目</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年度实现效益低于预期水平。</w:t>
            </w:r>
          </w:p>
          <w:p>
            <w:pPr>
              <w:pStyle w:val="TableParagraph"/>
              <w:spacing w:line="193" w:lineRule="exact" w:before="45"/>
              <w:ind w:left="11" w:right="0"/>
              <w:jc w:val="left"/>
              <w:rPr>
                <w:rFonts w:ascii="宋体" w:hAnsi="宋体" w:cs="宋体" w:eastAsia="宋体" w:hint="default"/>
                <w:sz w:val="18"/>
                <w:szCs w:val="18"/>
              </w:rPr>
            </w:pPr>
            <w:r>
              <w:rPr>
                <w:rFonts w:ascii="宋体" w:hAnsi="宋体" w:cs="宋体" w:eastAsia="宋体" w:hint="default"/>
                <w:sz w:val="18"/>
                <w:szCs w:val="18"/>
              </w:rPr>
              <w:t>按募集资金计划投资进度</w:t>
            </w:r>
            <w:r>
              <w:rPr>
                <w:rFonts w:ascii="宋体" w:hAnsi="宋体" w:cs="宋体" w:eastAsia="宋体" w:hint="default"/>
                <w:spacing w:val="-118"/>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新</w:t>
            </w:r>
            <w:r>
              <w:rPr>
                <w:rFonts w:ascii="宋体" w:hAnsi="宋体" w:cs="宋体" w:eastAsia="宋体" w:hint="default"/>
                <w:sz w:val="18"/>
                <w:szCs w:val="18"/>
              </w:rPr>
              <w:t>一代智慧医疗一体化</w:t>
            </w:r>
            <w:r>
              <w:rPr>
                <w:rFonts w:ascii="宋体" w:hAnsi="宋体" w:cs="宋体" w:eastAsia="宋体" w:hint="default"/>
                <w:spacing w:val="-44"/>
                <w:sz w:val="18"/>
                <w:szCs w:val="18"/>
              </w:rPr>
              <w:t> </w:t>
            </w:r>
            <w:r>
              <w:rPr>
                <w:rFonts w:ascii="Times New Roman" w:hAnsi="Times New Roman" w:cs="Times New Roman" w:eastAsia="Times New Roman" w:hint="default"/>
                <w:w w:val="99"/>
                <w:sz w:val="18"/>
                <w:szCs w:val="18"/>
              </w:rPr>
              <w:t>HIS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平</w:t>
            </w:r>
            <w:r>
              <w:rPr>
                <w:rFonts w:ascii="宋体" w:hAnsi="宋体" w:cs="宋体" w:eastAsia="宋体" w:hint="default"/>
                <w:spacing w:val="-3"/>
                <w:sz w:val="18"/>
                <w:szCs w:val="18"/>
              </w:rPr>
              <w:t>台</w:t>
            </w:r>
            <w:r>
              <w:rPr>
                <w:rFonts w:ascii="宋体" w:hAnsi="宋体" w:cs="宋体" w:eastAsia="宋体" w:hint="default"/>
                <w:sz w:val="18"/>
                <w:szCs w:val="18"/>
              </w:rPr>
              <w:t>及应用系统</w:t>
            </w:r>
            <w:r>
              <w:rPr>
                <w:rFonts w:ascii="宋体" w:hAnsi="宋体" w:cs="宋体" w:eastAsia="宋体" w:hint="default"/>
                <w:spacing w:val="-27"/>
                <w:sz w:val="18"/>
                <w:szCs w:val="18"/>
              </w:rPr>
              <w:t>”和</w:t>
            </w:r>
            <w:r>
              <w:rPr>
                <w:rFonts w:ascii="宋体" w:hAnsi="宋体" w:cs="宋体" w:eastAsia="宋体" w:hint="default"/>
                <w:sz w:val="18"/>
                <w:szCs w:val="18"/>
              </w:rPr>
              <w:t>“智慧养老</w:t>
            </w:r>
            <w:r>
              <w:rPr>
                <w:rFonts w:ascii="宋体" w:hAnsi="宋体" w:cs="宋体" w:eastAsia="宋体" w:hint="default"/>
                <w:spacing w:val="2"/>
                <w:sz w:val="18"/>
                <w:szCs w:val="18"/>
              </w:rPr>
              <w:t>综</w:t>
            </w:r>
            <w:r>
              <w:rPr>
                <w:rFonts w:ascii="宋体" w:hAnsi="宋体" w:cs="宋体" w:eastAsia="宋体" w:hint="default"/>
                <w:sz w:val="18"/>
                <w:szCs w:val="18"/>
              </w:rPr>
              <w:t>合服务平台</w:t>
            </w:r>
          </w:p>
          <w:p>
            <w:pPr>
              <w:pStyle w:val="TableParagraph"/>
              <w:spacing w:line="149" w:lineRule="exact"/>
              <w:ind w:left="-135"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19" w:lineRule="exact"/>
              <w:ind w:left="11" w:right="0"/>
              <w:jc w:val="left"/>
              <w:rPr>
                <w:rFonts w:ascii="宋体" w:hAnsi="宋体" w:cs="宋体" w:eastAsia="宋体" w:hint="default"/>
                <w:sz w:val="18"/>
                <w:szCs w:val="18"/>
              </w:rPr>
            </w:pPr>
            <w:r>
              <w:rPr>
                <w:rFonts w:ascii="宋体" w:hAnsi="宋体" w:cs="宋体" w:eastAsia="宋体" w:hint="default"/>
                <w:sz w:val="18"/>
                <w:szCs w:val="18"/>
              </w:rPr>
              <w:t>及其智能物联云平台”项目建设期分别为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个月和</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个月，目前均处于建设阶段。</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年度受软件</w:t>
            </w:r>
          </w:p>
          <w:p>
            <w:pPr>
              <w:pStyle w:val="TableParagraph"/>
              <w:spacing w:line="316" w:lineRule="auto" w:before="63"/>
              <w:ind w:left="11" w:right="54"/>
              <w:jc w:val="left"/>
              <w:rPr>
                <w:rFonts w:ascii="宋体" w:hAnsi="宋体" w:cs="宋体" w:eastAsia="宋体" w:hint="default"/>
                <w:sz w:val="18"/>
                <w:szCs w:val="18"/>
              </w:rPr>
            </w:pPr>
            <w:r>
              <w:rPr>
                <w:rFonts w:ascii="宋体" w:hAnsi="宋体" w:cs="宋体" w:eastAsia="宋体" w:hint="default"/>
                <w:sz w:val="18"/>
                <w:szCs w:val="18"/>
              </w:rPr>
              <w:t>及信息技术行业竞争加剧，公司大股东和管理层变更，及关联方资金占用等因素影响，上述项目投资 及建设进度出现一定滞后。</w:t>
            </w:r>
          </w:p>
        </w:tc>
      </w:tr>
      <w:tr>
        <w:trPr>
          <w:trHeight w:val="715"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项目可行性发生重 大变化的情况说明</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报告期内公司项目可行性未发生重大变化</w:t>
            </w:r>
          </w:p>
        </w:tc>
      </w:tr>
      <w:tr>
        <w:trPr>
          <w:trHeight w:val="713"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超募资金金额、用 途及使用进展情况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募集资金投资项目 实施地点变更情况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募集资金投资项目 实施方式调整情况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810"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316" w:lineRule="auto"/>
              <w:ind w:left="22" w:right="84"/>
              <w:jc w:val="both"/>
              <w:rPr>
                <w:rFonts w:ascii="宋体" w:hAnsi="宋体" w:cs="宋体" w:eastAsia="宋体" w:hint="default"/>
                <w:sz w:val="18"/>
                <w:szCs w:val="18"/>
              </w:rPr>
            </w:pPr>
            <w:r>
              <w:rPr>
                <w:rFonts w:ascii="宋体" w:hAnsi="宋体" w:cs="宋体" w:eastAsia="宋体" w:hint="default"/>
                <w:sz w:val="18"/>
                <w:szCs w:val="18"/>
              </w:rPr>
              <w:t>募集资金投资项目 先期投入及置换情 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日召开第六届董事会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年第五次临时会议，审议通过了《关于使用公开发行</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可转换公司债券募集资金置换已预先投入募投项目自筹资金的议案</w:t>
            </w:r>
            <w:r>
              <w:rPr>
                <w:rFonts w:ascii="宋体" w:hAnsi="宋体" w:cs="宋体" w:eastAsia="宋体" w:hint="default"/>
                <w:spacing w:val="-92"/>
                <w:sz w:val="18"/>
                <w:szCs w:val="18"/>
              </w:rPr>
              <w:t>》</w:t>
            </w:r>
            <w:r>
              <w:rPr>
                <w:rFonts w:ascii="宋体" w:hAnsi="宋体" w:cs="宋体" w:eastAsia="宋体" w:hint="default"/>
                <w:sz w:val="18"/>
                <w:szCs w:val="18"/>
              </w:rPr>
              <w:t>，截至</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w:t>
            </w:r>
          </w:p>
          <w:p>
            <w:pPr>
              <w:pStyle w:val="TableParagraph"/>
              <w:spacing w:line="304" w:lineRule="auto" w:before="63"/>
              <w:ind w:left="23" w:right="8"/>
              <w:jc w:val="left"/>
              <w:rPr>
                <w:rFonts w:ascii="宋体" w:hAnsi="宋体" w:cs="宋体" w:eastAsia="宋体" w:hint="default"/>
                <w:sz w:val="18"/>
                <w:szCs w:val="18"/>
              </w:rPr>
            </w:pPr>
            <w:r>
              <w:rPr>
                <w:rFonts w:ascii="宋体" w:hAnsi="宋体" w:cs="宋体" w:eastAsia="宋体" w:hint="default"/>
                <w:sz w:val="18"/>
                <w:szCs w:val="18"/>
              </w:rPr>
              <w:t>以自筹资金预先投入募投项目的实际金额为人民币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140,518,428.58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元，立信会计师事务所（特殊普通 合伙）对公司以自筹资金预先投入募投项目的实际情况进行了专项审核，并出具信会师报字</w:t>
            </w:r>
            <w:r>
              <w:rPr>
                <w:rFonts w:ascii="Times New Roman" w:hAnsi="Times New Roman" w:cs="Times New Roman" w:eastAsia="Times New Roman" w:hint="default"/>
                <w:sz w:val="18"/>
                <w:szCs w:val="18"/>
              </w:rPr>
              <w:t>[2018]</w:t>
            </w:r>
            <w:r>
              <w:rPr>
                <w:rFonts w:ascii="宋体" w:hAnsi="宋体" w:cs="宋体" w:eastAsia="宋体" w:hint="default"/>
                <w:sz w:val="18"/>
                <w:szCs w:val="18"/>
              </w:rPr>
              <w:t>第 </w:t>
            </w:r>
            <w:r>
              <w:rPr>
                <w:rFonts w:ascii="Times New Roman" w:hAnsi="Times New Roman" w:cs="Times New Roman" w:eastAsia="Times New Roman" w:hint="default"/>
                <w:spacing w:val="-1"/>
                <w:w w:val="99"/>
                <w:sz w:val="18"/>
                <w:szCs w:val="18"/>
              </w:rPr>
              <w:t>ZA10206</w:t>
            </w:r>
            <w:r>
              <w:rPr>
                <w:rFonts w:ascii="Times New Roman" w:hAnsi="Times New Roman" w:cs="Times New Roman" w:eastAsia="Times New Roman" w:hint="default"/>
                <w:spacing w:val="5"/>
                <w:w w:val="99"/>
                <w:sz w:val="18"/>
                <w:szCs w:val="18"/>
              </w:rPr>
              <w:t> </w:t>
            </w:r>
            <w:r>
              <w:rPr>
                <w:rFonts w:ascii="宋体" w:hAnsi="宋体" w:cs="宋体" w:eastAsia="宋体" w:hint="default"/>
                <w:spacing w:val="-4"/>
                <w:sz w:val="18"/>
                <w:szCs w:val="18"/>
              </w:rPr>
              <w:t>号《万达信息股份有限公司募集资金置换专项鉴证报告》，鉴于本次公开发行可转换公司债券</w:t>
            </w:r>
            <w:r>
              <w:rPr>
                <w:rFonts w:ascii="宋体" w:hAnsi="宋体" w:cs="宋体" w:eastAsia="宋体" w:hint="default"/>
                <w:sz w:val="18"/>
                <w:szCs w:val="18"/>
              </w:rPr>
              <w:t> 募集资金已到位，为提高募集资金使用效率，公司拟使用本次募集资金置换已预先投入募投项目的自 筹资金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140,518,428.58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元。上述事项分别于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日从募集资金专户中置换完毕。</w:t>
            </w:r>
          </w:p>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日分别召开第六届董事会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年第八次临时会议、第六届监事会</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pacing w:val="-4"/>
                <w:sz w:val="18"/>
                <w:szCs w:val="18"/>
              </w:rPr>
              <w:t>次临时会议，审议通过了《关于使用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年度公开发行可转换公司债券募集资金置换已预先投入募投</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项目自筹资金的议案</w:t>
            </w:r>
            <w:r>
              <w:rPr>
                <w:rFonts w:ascii="宋体" w:hAnsi="宋体" w:cs="宋体" w:eastAsia="宋体" w:hint="default"/>
                <w:spacing w:val="-92"/>
                <w:sz w:val="18"/>
                <w:szCs w:val="18"/>
              </w:rPr>
              <w:t>》</w:t>
            </w:r>
            <w:r>
              <w:rPr>
                <w:rFonts w:ascii="宋体" w:hAnsi="宋体" w:cs="宋体" w:eastAsia="宋体" w:hint="default"/>
                <w:spacing w:val="-29"/>
                <w:sz w:val="18"/>
                <w:szCs w:val="18"/>
              </w:rPr>
              <w:t>，</w:t>
            </w:r>
            <w:r>
              <w:rPr>
                <w:rFonts w:ascii="宋体" w:hAnsi="宋体" w:cs="宋体" w:eastAsia="宋体" w:hint="default"/>
                <w:sz w:val="18"/>
                <w:szCs w:val="18"/>
              </w:rPr>
              <w:t>截至</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29"/>
                <w:sz w:val="18"/>
                <w:szCs w:val="18"/>
              </w:rPr>
              <w:t>，</w:t>
            </w:r>
            <w:r>
              <w:rPr>
                <w:rFonts w:ascii="宋体" w:hAnsi="宋体" w:cs="宋体" w:eastAsia="宋体" w:hint="default"/>
                <w:sz w:val="18"/>
                <w:szCs w:val="18"/>
              </w:rPr>
              <w:t>公司以自筹</w:t>
            </w:r>
            <w:r>
              <w:rPr>
                <w:rFonts w:ascii="宋体" w:hAnsi="宋体" w:cs="宋体" w:eastAsia="宋体" w:hint="default"/>
                <w:spacing w:val="-3"/>
                <w:sz w:val="18"/>
                <w:szCs w:val="18"/>
              </w:rPr>
              <w:t>资</w:t>
            </w:r>
            <w:r>
              <w:rPr>
                <w:rFonts w:ascii="宋体" w:hAnsi="宋体" w:cs="宋体" w:eastAsia="宋体" w:hint="default"/>
                <w:sz w:val="18"/>
                <w:szCs w:val="18"/>
              </w:rPr>
              <w:t>金预先投入募投项目的实际金额为人民</w:t>
            </w:r>
          </w:p>
          <w:p>
            <w:pPr>
              <w:pStyle w:val="TableParagraph"/>
              <w:spacing w:line="307" w:lineRule="auto" w:before="63"/>
              <w:ind w:left="23" w:right="20"/>
              <w:jc w:val="both"/>
              <w:rPr>
                <w:rFonts w:ascii="宋体" w:hAnsi="宋体" w:cs="宋体" w:eastAsia="宋体" w:hint="default"/>
                <w:sz w:val="18"/>
                <w:szCs w:val="18"/>
              </w:rPr>
            </w:pPr>
            <w:r>
              <w:rPr>
                <w:rFonts w:ascii="宋体" w:hAnsi="宋体" w:cs="宋体" w:eastAsia="宋体" w:hint="default"/>
                <w:sz w:val="18"/>
                <w:szCs w:val="18"/>
              </w:rPr>
              <w:t>币</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50,478,705.32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元，立信会计师事务所（特殊普通合伙）对公司以自筹资金预先投入募投项目的实际 情况进行了专项审核，并出具信会师报字</w:t>
            </w:r>
            <w:r>
              <w:rPr>
                <w:rFonts w:ascii="Times New Roman" w:hAnsi="Times New Roman" w:cs="Times New Roman" w:eastAsia="Times New Roman" w:hint="default"/>
                <w:sz w:val="18"/>
                <w:szCs w:val="18"/>
              </w:rPr>
              <w:t>[2019]</w:t>
            </w:r>
            <w:r>
              <w:rPr>
                <w:rFonts w:ascii="宋体" w:hAnsi="宋体" w:cs="宋体" w:eastAsia="宋体" w:hint="default"/>
                <w:sz w:val="18"/>
                <w:szCs w:val="18"/>
              </w:rPr>
              <w:t>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ZA13393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号《万达信息股份有限公司募集资金置换 </w:t>
            </w:r>
            <w:r>
              <w:rPr>
                <w:rFonts w:ascii="宋体" w:hAnsi="宋体" w:cs="宋体" w:eastAsia="宋体" w:hint="default"/>
                <w:spacing w:val="-4"/>
                <w:sz w:val="18"/>
                <w:szCs w:val="18"/>
              </w:rPr>
              <w:t>专项鉴证报告》，鉴于本次公开发行可转换公司债券募集资金已到位，为提高募集资金使用效率，公司</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拟使用本次募集资金置换已预先投入募投项目的自筹资金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50,478,705.32 </w:t>
            </w:r>
            <w:r>
              <w:rPr>
                <w:rFonts w:ascii="宋体" w:hAnsi="宋体" w:cs="宋体" w:eastAsia="宋体" w:hint="default"/>
                <w:sz w:val="18"/>
                <w:szCs w:val="18"/>
              </w:rPr>
              <w:t>元。上述事项于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日从募集资金专户中置换完毕。</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559"/>
        <w:gridCol w:w="8010"/>
      </w:tblGrid>
      <w:tr>
        <w:trPr>
          <w:trHeight w:val="4823"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316" w:lineRule="auto"/>
              <w:ind w:left="22" w:right="84"/>
              <w:jc w:val="both"/>
              <w:rPr>
                <w:rFonts w:ascii="宋体" w:hAnsi="宋体" w:cs="宋体" w:eastAsia="宋体" w:hint="default"/>
                <w:sz w:val="18"/>
                <w:szCs w:val="18"/>
              </w:rPr>
            </w:pPr>
            <w:r>
              <w:rPr>
                <w:rFonts w:ascii="宋体" w:hAnsi="宋体" w:cs="宋体" w:eastAsia="宋体" w:hint="default"/>
                <w:sz w:val="18"/>
                <w:szCs w:val="18"/>
              </w:rPr>
              <w:t>用闲置募集资金暂 时补充流动资金情 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23" w:right="19"/>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日召开公司第六届董事会</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年第八次临时会议及公司第六届监事会</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年第 </w:t>
            </w:r>
            <w:r>
              <w:rPr>
                <w:rFonts w:ascii="宋体" w:hAnsi="宋体" w:cs="宋体" w:eastAsia="宋体" w:hint="default"/>
                <w:spacing w:val="-4"/>
                <w:sz w:val="18"/>
                <w:szCs w:val="18"/>
              </w:rPr>
              <w:t>四次临时会议，审议通过了《关于使用部分闲置募集资金暂时补充流动资金的议案》，同意公司在保证</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募集资金投资项目建设的资金需求、保证募集资金投资项目正常进行的前提下，使用不超过人民币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万元的闲置募集资金暂时补充流动资金，使用期限不超过董事会批准之日起</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pacing w:val="-5"/>
                <w:sz w:val="18"/>
                <w:szCs w:val="18"/>
              </w:rPr>
              <w:t>个月，到期将归</w:t>
            </w:r>
          </w:p>
          <w:p>
            <w:pPr>
              <w:pStyle w:val="TableParagraph"/>
              <w:spacing w:line="240" w:lineRule="auto" w:before="3"/>
              <w:ind w:left="23" w:right="0"/>
              <w:jc w:val="left"/>
              <w:rPr>
                <w:rFonts w:ascii="宋体" w:hAnsi="宋体" w:cs="宋体" w:eastAsia="宋体" w:hint="default"/>
                <w:sz w:val="18"/>
                <w:szCs w:val="18"/>
              </w:rPr>
            </w:pPr>
            <w:r>
              <w:rPr>
                <w:rFonts w:ascii="宋体" w:hAnsi="宋体" w:cs="宋体" w:eastAsia="宋体" w:hint="default"/>
                <w:spacing w:val="-4"/>
                <w:sz w:val="18"/>
                <w:szCs w:val="18"/>
              </w:rPr>
              <w:t>还至募集资金专户。公司分别于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日和</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日将</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万元和</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资金从专户转入公司基本户用于补充流动资金。</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日，公司已将上述用于暂时补充流动</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资金的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10,000 </w:t>
            </w:r>
            <w:r>
              <w:rPr>
                <w:rFonts w:ascii="宋体" w:hAnsi="宋体" w:cs="宋体" w:eastAsia="宋体" w:hint="default"/>
                <w:sz w:val="18"/>
                <w:szCs w:val="18"/>
              </w:rPr>
              <w:t>万元全部归还至公司募集资金专户。</w:t>
            </w:r>
          </w:p>
          <w:p>
            <w:pPr>
              <w:pStyle w:val="TableParagraph"/>
              <w:spacing w:line="309" w:lineRule="auto" w:before="103"/>
              <w:ind w:left="23" w:right="14"/>
              <w:jc w:val="both"/>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日召开第六届董事会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年第九次临时会议和第六届监事会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年第三次临时会议审 </w:t>
            </w:r>
            <w:r>
              <w:rPr>
                <w:rFonts w:ascii="宋体" w:hAnsi="宋体" w:cs="宋体" w:eastAsia="宋体" w:hint="default"/>
                <w:spacing w:val="-4"/>
                <w:sz w:val="18"/>
                <w:szCs w:val="18"/>
              </w:rPr>
              <w:t>议通过，审议通过了《关于使用部分闲置募集资金暂时补充流动资金的议案》，同意公司在保证募集资</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金投资项目建设的资金需求、保证募集资金投资项目正常进行的前提下，使用不超过人民币</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w:t>
            </w:r>
          </w:p>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元的闲置募集资金暂时补充流动资金，使用期限不超过董事会批准之日起</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pacing w:val="-3"/>
                <w:sz w:val="18"/>
                <w:szCs w:val="18"/>
              </w:rPr>
              <w:t>个月，到期将归还至募集</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资金专户。本报告期内，公司已于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日分别从募集专户（宁波银行）转出补充流动资金</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万元，从募集专户（交通银行）转出补充流动资金</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万元，从募集专户（民生银行）转出补</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充流动资金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万元，从募集专户中（广发银行）转出补充流动资金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万元。截至</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日公司尚未归还上述资金至募集资金专项账户。</w:t>
            </w:r>
          </w:p>
        </w:tc>
      </w:tr>
      <w:tr>
        <w:trPr>
          <w:trHeight w:val="1690"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316" w:lineRule="auto"/>
              <w:ind w:left="22" w:right="84"/>
              <w:jc w:val="both"/>
              <w:rPr>
                <w:rFonts w:ascii="宋体" w:hAnsi="宋体" w:cs="宋体" w:eastAsia="宋体" w:hint="default"/>
                <w:sz w:val="18"/>
                <w:szCs w:val="18"/>
              </w:rPr>
            </w:pPr>
            <w:r>
              <w:rPr>
                <w:rFonts w:ascii="宋体" w:hAnsi="宋体" w:cs="宋体" w:eastAsia="宋体" w:hint="default"/>
                <w:sz w:val="18"/>
                <w:szCs w:val="18"/>
              </w:rPr>
              <w:t>项目实施出现募集 资金结余的金额及 原因</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年公开发行可转换公司债券募集资金专户结余资金共计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5,937,062.56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元，系该账户利息收入，其 中雅安智慧公共安全系统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项目实施专户结余资金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222,258.01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元已用于永久补充流动资金，其余 </w:t>
            </w:r>
            <w:r>
              <w:rPr>
                <w:rFonts w:ascii="Times New Roman" w:hAnsi="Times New Roman" w:cs="Times New Roman" w:eastAsia="Times New Roman" w:hint="default"/>
                <w:sz w:val="18"/>
                <w:szCs w:val="18"/>
              </w:rPr>
              <w:t>5,714,804.55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元尚存放在募集资金专户中。</w:t>
            </w:r>
          </w:p>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年发行可转换公司债券募集资金结余资金共计</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656,623,970.39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元，其中</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300,000,000.00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元用于暂</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时性补充流动资金，其余</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356,623,970.39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元存放于募集资金专户中，用于项目继续实施。</w:t>
            </w:r>
          </w:p>
        </w:tc>
      </w:tr>
      <w:tr>
        <w:trPr>
          <w:trHeight w:val="713"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尚未使用的募集资 金用途及去向</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存放于募集资金专户。</w:t>
            </w:r>
          </w:p>
        </w:tc>
      </w:tr>
      <w:tr>
        <w:trPr>
          <w:trHeight w:val="1028"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4"/>
              <w:jc w:val="both"/>
              <w:rPr>
                <w:rFonts w:ascii="宋体" w:hAnsi="宋体" w:cs="宋体" w:eastAsia="宋体" w:hint="default"/>
                <w:sz w:val="18"/>
                <w:szCs w:val="18"/>
              </w:rPr>
            </w:pPr>
            <w:r>
              <w:rPr>
                <w:rFonts w:ascii="宋体" w:hAnsi="宋体" w:cs="宋体" w:eastAsia="宋体" w:hint="default"/>
                <w:sz w:val="18"/>
                <w:szCs w:val="18"/>
              </w:rPr>
              <w:t>募集资金使用及披 露中存在的问题或 其他情况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6"/>
        <w:ind w:right="2602"/>
        <w:jc w:val="left"/>
        <w:rPr>
          <w:b w:val="0"/>
          <w:bCs w:val="0"/>
        </w:rPr>
      </w:pPr>
      <w:bookmarkStart w:name="（3）募集资金变更项目情况" w:id="54"/>
      <w:bookmarkEnd w:id="54"/>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73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公司报告期不存在募集资金变更项目情况。</w:t>
      </w:r>
    </w:p>
    <w:p>
      <w:pPr>
        <w:spacing w:line="240" w:lineRule="auto" w:before="8"/>
        <w:rPr>
          <w:rFonts w:ascii="宋体" w:hAnsi="宋体" w:cs="宋体" w:eastAsia="宋体" w:hint="default"/>
          <w:sz w:val="19"/>
          <w:szCs w:val="19"/>
        </w:rPr>
      </w:pPr>
    </w:p>
    <w:p>
      <w:pPr>
        <w:pStyle w:val="Heading2"/>
        <w:spacing w:line="240" w:lineRule="auto"/>
        <w:ind w:right="2602"/>
        <w:jc w:val="left"/>
        <w:rPr>
          <w:b w:val="0"/>
          <w:bCs w:val="0"/>
        </w:rPr>
      </w:pPr>
      <w:bookmarkStart w:name="六、重大资产和股权出售" w:id="55"/>
      <w:bookmarkEnd w:id="55"/>
      <w:r>
        <w:rPr>
          <w:b w:val="0"/>
          <w:bCs w:val="0"/>
        </w:rPr>
      </w:r>
      <w:r>
        <w:rPr/>
        <w:t>六、重大资产和股权出售</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出售重大资产情况" w:id="56"/>
      <w:bookmarkEnd w:id="56"/>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公司报告期未出售重大资产。</w:t>
      </w:r>
    </w:p>
    <w:p>
      <w:pPr>
        <w:spacing w:line="240" w:lineRule="auto" w:before="5"/>
        <w:rPr>
          <w:rFonts w:ascii="宋体" w:hAnsi="宋体" w:cs="宋体" w:eastAsia="宋体" w:hint="default"/>
          <w:sz w:val="21"/>
          <w:szCs w:val="21"/>
        </w:rPr>
      </w:pPr>
    </w:p>
    <w:p>
      <w:pPr>
        <w:pStyle w:val="Heading3"/>
        <w:spacing w:line="240" w:lineRule="auto"/>
        <w:ind w:right="2602"/>
        <w:jc w:val="left"/>
        <w:rPr>
          <w:b w:val="0"/>
          <w:bCs w:val="0"/>
        </w:rPr>
      </w:pPr>
      <w:bookmarkStart w:name="2、出售重大股权情况" w:id="57"/>
      <w:bookmarkEnd w:id="57"/>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七、主要控股参股公司分析" w:id="58"/>
      <w:bookmarkEnd w:id="58"/>
      <w:r>
        <w:rPr>
          <w:b w:val="0"/>
          <w:bCs w:val="0"/>
        </w:rPr>
      </w: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5" w:footer="980" w:top="1060" w:bottom="1160" w:left="980" w:right="0"/>
        </w:sectPr>
      </w:pPr>
    </w:p>
    <w:p>
      <w:pPr>
        <w:pStyle w:val="BodyText"/>
        <w:spacing w:line="240" w:lineRule="auto" w:before="44"/>
        <w:ind w:right="-18"/>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right="-18"/>
        <w:jc w:val="left"/>
      </w:pPr>
      <w:r>
        <w:rPr/>
        <w:t>主要子公司及对公司净利润影响达</w:t>
      </w:r>
      <w:r>
        <w:rPr>
          <w:spacing w:val="-44"/>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2" w:equalWidth="0">
            <w:col w:w="4851" w:space="4069"/>
            <w:col w:w="2010"/>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994"/>
        <w:gridCol w:w="425"/>
        <w:gridCol w:w="425"/>
        <w:gridCol w:w="1277"/>
        <w:gridCol w:w="1416"/>
        <w:gridCol w:w="1277"/>
        <w:gridCol w:w="1274"/>
        <w:gridCol w:w="1277"/>
        <w:gridCol w:w="1202"/>
      </w:tblGrid>
      <w:tr>
        <w:trPr>
          <w:trHeight w:val="713"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8" w:right="24"/>
              <w:jc w:val="left"/>
              <w:rPr>
                <w:rFonts w:ascii="宋体" w:hAnsi="宋体" w:cs="宋体" w:eastAsia="宋体" w:hint="default"/>
                <w:sz w:val="18"/>
                <w:szCs w:val="18"/>
              </w:rPr>
            </w:pPr>
            <w:r>
              <w:rPr>
                <w:rFonts w:ascii="宋体" w:hAnsi="宋体" w:cs="宋体" w:eastAsia="宋体" w:hint="default"/>
                <w:sz w:val="18"/>
                <w:szCs w:val="18"/>
              </w:rPr>
              <w:t>公司 类型</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8" w:right="24"/>
              <w:jc w:val="left"/>
              <w:rPr>
                <w:rFonts w:ascii="宋体" w:hAnsi="宋体" w:cs="宋体" w:eastAsia="宋体" w:hint="default"/>
                <w:sz w:val="18"/>
                <w:szCs w:val="18"/>
              </w:rPr>
            </w:pPr>
            <w:r>
              <w:rPr>
                <w:rFonts w:ascii="宋体" w:hAnsi="宋体" w:cs="宋体" w:eastAsia="宋体" w:hint="default"/>
                <w:sz w:val="18"/>
                <w:szCs w:val="18"/>
              </w:rPr>
              <w:t>主要 业务</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宁波万达信 息系统有限 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58,621.16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-2,883,003.01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48,516.18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46,410.72</w:t>
            </w: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杭州万达信 息系统有限 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735,257.29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-22,266,504.04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-2,954,631.92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-2,954,631.92</w:t>
            </w:r>
          </w:p>
        </w:tc>
      </w:tr>
      <w:tr>
        <w:trPr>
          <w:trHeight w:val="71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美国万达信 息有限公司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455,359.20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11,135,089.53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11,123,285.80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-1,373,428.98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-1,378,964.74</w:t>
            </w: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上海万达信 息系统有限 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265,330,685.85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156,741,312.63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242,088,443.68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460,026.25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1,065,975.66</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深圳市万达 信息有限公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2,159,994.13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-14,917,691.41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1,509,986.35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-1,993,606.85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-1,993,606.85</w:t>
            </w:r>
          </w:p>
        </w:tc>
      </w:tr>
      <w:tr>
        <w:trPr>
          <w:trHeight w:val="1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上海爱递吉 供应链管理 服务有限公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615,003.10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-15,337,340.68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1,266,970.00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-813,713.40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-809,269.44</w:t>
            </w:r>
          </w:p>
        </w:tc>
      </w:tr>
      <w:tr>
        <w:trPr>
          <w:trHeight w:val="1339"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南京爱递吉 供应链管理 服务有限公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1,150,000.00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2,120,165.97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-1,119,850.46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-399.90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-399.90</w:t>
            </w: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上海万达信 息服务有限 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8,721,937.62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8,719,833.75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149,700.19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118,741.97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118,741.97</w:t>
            </w:r>
          </w:p>
        </w:tc>
      </w:tr>
      <w:tr>
        <w:trPr>
          <w:trHeight w:val="1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上海卫生信 息工程技术 研究中心有 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27,353,416.78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24,394,236.83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-92,005.09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-92,005.09</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天津万达信 息技术有限 责任公司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1,711,339.34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1,553,819.02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-1,874,767.08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-1,874,767.08</w:t>
            </w:r>
          </w:p>
        </w:tc>
      </w:tr>
      <w:tr>
        <w:trPr>
          <w:trHeight w:val="674"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北京万达全 城信息系统</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信息</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20,018,502.51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20,018,595.71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-325.07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-325.07</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994"/>
        <w:gridCol w:w="425"/>
        <w:gridCol w:w="425"/>
        <w:gridCol w:w="1277"/>
        <w:gridCol w:w="1416"/>
        <w:gridCol w:w="1277"/>
        <w:gridCol w:w="1274"/>
        <w:gridCol w:w="1277"/>
        <w:gridCol w:w="1202"/>
      </w:tblGrid>
      <w:tr>
        <w:trPr>
          <w:trHeight w:val="713"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8" w:right="24"/>
              <w:jc w:val="left"/>
              <w:rPr>
                <w:rFonts w:ascii="宋体" w:hAnsi="宋体" w:cs="宋体" w:eastAsia="宋体" w:hint="default"/>
                <w:sz w:val="18"/>
                <w:szCs w:val="18"/>
              </w:rPr>
            </w:pPr>
            <w:r>
              <w:rPr>
                <w:rFonts w:ascii="宋体" w:hAnsi="宋体" w:cs="宋体" w:eastAsia="宋体" w:hint="default"/>
                <w:sz w:val="18"/>
                <w:szCs w:val="18"/>
              </w:rPr>
              <w:t>公司 类型</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8" w:right="24"/>
              <w:jc w:val="left"/>
              <w:rPr>
                <w:rFonts w:ascii="宋体" w:hAnsi="宋体" w:cs="宋体" w:eastAsia="宋体" w:hint="default"/>
                <w:sz w:val="18"/>
                <w:szCs w:val="18"/>
              </w:rPr>
            </w:pPr>
            <w:r>
              <w:rPr>
                <w:rFonts w:ascii="宋体" w:hAnsi="宋体" w:cs="宋体" w:eastAsia="宋体" w:hint="default"/>
                <w:sz w:val="18"/>
                <w:szCs w:val="18"/>
              </w:rPr>
              <w:t>主要 业务</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36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上海格言管 理有限公司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323,843.28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321,774.34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-179,220.74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-179,301.16</w:t>
            </w:r>
          </w:p>
        </w:tc>
      </w:tr>
      <w:tr>
        <w:trPr>
          <w:trHeight w:val="71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四川浩特通 信有限公司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66,886,471.56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1,193,381,140.85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27,946,729.71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62,447,779.18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-76,726,302.84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-76,748,464.12</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上海华奕医 疗信息技术 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1,932,492.00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4,361,615.58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1,316,136.34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7,511,763.73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-576,944.53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-576,944.53</w:t>
            </w:r>
          </w:p>
        </w:tc>
      </w:tr>
      <w:tr>
        <w:trPr>
          <w:trHeight w:val="71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宁波金唐软 件有限公司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359,347,786.81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292,259,853.57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148,478,113.27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36,126,210.89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39,261,929.04</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上海复高计 算机科技有 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both"/>
              <w:rPr>
                <w:rFonts w:ascii="宋体" w:hAnsi="宋体" w:cs="宋体" w:eastAsia="宋体" w:hint="default"/>
                <w:sz w:val="18"/>
                <w:szCs w:val="18"/>
              </w:rPr>
            </w:pPr>
            <w:r>
              <w:rPr>
                <w:rFonts w:ascii="宋体" w:hAnsi="宋体" w:cs="宋体" w:eastAsia="宋体" w:hint="default"/>
                <w:sz w:val="18"/>
                <w:szCs w:val="18"/>
              </w:rPr>
              <w:t>计算 机服 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51,000,000.00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436,214,079.94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395,795,872.80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187,180,954.02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70,924,887.03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65,895,076.61</w:t>
            </w: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湖南凯歌医 疗信息技术 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15,154,823.15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8,722,665.94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8,143,759.43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698,262.63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698,262.63</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上海市民信 箱信息服务 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46,250,000.00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40,441,540.44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37,448,486.94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12,381,456.73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374,846.15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372,975.07</w:t>
            </w:r>
          </w:p>
        </w:tc>
      </w:tr>
      <w:tr>
        <w:trPr>
          <w:trHeight w:val="1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湖南万达智 慧城市信息 技术有限公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9,944,221.42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6,327,104.99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-1,165,204.71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-1,165,204.71</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永州市潇湘 云科技有限 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672.28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-26,026.72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-3,071.91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-3,071.91</w:t>
            </w:r>
          </w:p>
        </w:tc>
      </w:tr>
      <w:tr>
        <w:trPr>
          <w:trHeight w:val="1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万达云医疗 科技健康产 业（上海） 有限公司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3,000,000.00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288,353.39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-1,612,646.61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-27,348.95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-27,348.95</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四川万达智 城云数据有 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2,359,886.22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-816,757.26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64,038.83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-2,222,504.76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-2,222,504.76</w:t>
            </w: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四川万达健 康数据有限 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284,166.93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122,129.84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-9,204.69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-9,204.69</w:t>
            </w:r>
          </w:p>
        </w:tc>
      </w:tr>
      <w:tr>
        <w:trPr>
          <w:trHeight w:val="71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70"/>
              <w:ind w:left="24" w:right="58"/>
              <w:jc w:val="left"/>
              <w:rPr>
                <w:rFonts w:ascii="宋体" w:hAnsi="宋体" w:cs="宋体" w:eastAsia="宋体" w:hint="default"/>
                <w:sz w:val="18"/>
                <w:szCs w:val="18"/>
              </w:rPr>
            </w:pPr>
            <w:r>
              <w:rPr>
                <w:rFonts w:ascii="宋体" w:hAnsi="宋体" w:cs="宋体" w:eastAsia="宋体" w:hint="default"/>
                <w:sz w:val="18"/>
                <w:szCs w:val="18"/>
              </w:rPr>
              <w:t>宁波市万达 数据应用服</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79,828,765.92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46,068,847.85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16,572,813.57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-2,264,584.78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-2,264,584.78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994"/>
        <w:gridCol w:w="425"/>
        <w:gridCol w:w="425"/>
        <w:gridCol w:w="1277"/>
        <w:gridCol w:w="1416"/>
        <w:gridCol w:w="1277"/>
        <w:gridCol w:w="1274"/>
        <w:gridCol w:w="1277"/>
        <w:gridCol w:w="1202"/>
      </w:tblGrid>
      <w:tr>
        <w:trPr>
          <w:trHeight w:val="713"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8" w:right="24"/>
              <w:jc w:val="left"/>
              <w:rPr>
                <w:rFonts w:ascii="宋体" w:hAnsi="宋体" w:cs="宋体" w:eastAsia="宋体" w:hint="default"/>
                <w:sz w:val="18"/>
                <w:szCs w:val="18"/>
              </w:rPr>
            </w:pPr>
            <w:r>
              <w:rPr>
                <w:rFonts w:ascii="宋体" w:hAnsi="宋体" w:cs="宋体" w:eastAsia="宋体" w:hint="default"/>
                <w:sz w:val="18"/>
                <w:szCs w:val="18"/>
              </w:rPr>
              <w:t>公司 类型</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8" w:right="24"/>
              <w:jc w:val="left"/>
              <w:rPr>
                <w:rFonts w:ascii="宋体" w:hAnsi="宋体" w:cs="宋体" w:eastAsia="宋体" w:hint="default"/>
                <w:sz w:val="18"/>
                <w:szCs w:val="18"/>
              </w:rPr>
            </w:pPr>
            <w:r>
              <w:rPr>
                <w:rFonts w:ascii="宋体" w:hAnsi="宋体" w:cs="宋体" w:eastAsia="宋体" w:hint="default"/>
                <w:sz w:val="18"/>
                <w:szCs w:val="18"/>
              </w:rPr>
              <w:t>主要 业务</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36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4"/>
              <w:jc w:val="center"/>
              <w:rPr>
                <w:rFonts w:ascii="宋体" w:hAnsi="宋体" w:cs="宋体" w:eastAsia="宋体" w:hint="default"/>
                <w:sz w:val="18"/>
                <w:szCs w:val="18"/>
              </w:rPr>
            </w:pPr>
            <w:r>
              <w:rPr>
                <w:rFonts w:ascii="宋体" w:hAnsi="宋体" w:cs="宋体" w:eastAsia="宋体" w:hint="default"/>
                <w:sz w:val="18"/>
                <w:szCs w:val="18"/>
              </w:rPr>
              <w:t>务有限公司</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万达志翔医 疗科技（北 京）有限责 任公司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16,822,740.59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15,414,947.68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-9,810,406.27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-9,810,406.27</w:t>
            </w: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上海耀学信 息科技有限 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265,764.74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265,764.70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-244,235.30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-244,235.30</w:t>
            </w:r>
          </w:p>
        </w:tc>
      </w:tr>
      <w:tr>
        <w:trPr>
          <w:trHeight w:val="134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上海慈铭智 能网络科技 有限责任公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8,550,000.00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205,866.24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-827,272.58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1,952,830.19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-1,027,272.58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-1,027,272.58</w:t>
            </w: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上海爱可及 医疗科技有 限公司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2,360,351.37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2,346,438.87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-853,561.13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-853,561.13</w:t>
            </w:r>
          </w:p>
        </w:tc>
      </w:tr>
      <w:tr>
        <w:trPr>
          <w:trHeight w:val="1339"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上海大亿精 诚智能网络 科技有限责 任公司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85.18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-414.82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-414.82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-414.82</w:t>
            </w:r>
          </w:p>
        </w:tc>
      </w:tr>
      <w:tr>
        <w:trPr>
          <w:trHeight w:val="1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上海振民智 能网络科技 有限责任公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子公 司</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信息 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75.14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-424.86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-424.86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-424.86</w:t>
            </w:r>
          </w:p>
        </w:tc>
      </w:tr>
    </w:tbl>
    <w:p>
      <w:pPr>
        <w:pStyle w:val="BodyText"/>
        <w:spacing w:line="240" w:lineRule="auto" w:before="49"/>
        <w:ind w:right="2602"/>
        <w:jc w:val="left"/>
      </w:pPr>
      <w:r>
        <w:rPr/>
        <w:t>报告期内取得和处置子公司的情况</w:t>
      </w:r>
    </w:p>
    <w:p>
      <w:pPr>
        <w:pStyle w:val="BodyText"/>
        <w:spacing w:line="240" w:lineRule="auto" w:before="117"/>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546"/>
        <w:gridCol w:w="2835"/>
        <w:gridCol w:w="3190"/>
      </w:tblGrid>
      <w:tr>
        <w:trPr>
          <w:trHeight w:val="402" w:hRule="exact"/>
        </w:trPr>
        <w:tc>
          <w:tcPr>
            <w:tcW w:w="35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1" w:hRule="exact"/>
        </w:trPr>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上海慈铭智能网络科技有限责任公司</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截止到报告期末，公司尚未实际出资</w:t>
            </w:r>
          </w:p>
        </w:tc>
      </w:tr>
      <w:tr>
        <w:trPr>
          <w:trHeight w:val="403" w:hRule="exact"/>
        </w:trPr>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上海爱可及医疗科技有限公司</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截止到报告期末，公司尚未实际出资</w:t>
            </w:r>
          </w:p>
        </w:tc>
      </w:tr>
      <w:tr>
        <w:trPr>
          <w:trHeight w:val="401" w:hRule="exact"/>
        </w:trPr>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上海大亿精诚智能网络科技有限责任公司</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截止到报告期末，公司尚未实际出资</w:t>
            </w:r>
          </w:p>
        </w:tc>
      </w:tr>
      <w:tr>
        <w:trPr>
          <w:trHeight w:val="404" w:hRule="exact"/>
        </w:trPr>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上海振民智能网络科技有限责任公司</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截止到报告期末，公司尚未实际出资</w:t>
            </w:r>
          </w:p>
        </w:tc>
      </w:tr>
      <w:tr>
        <w:trPr>
          <w:trHeight w:val="401" w:hRule="exact"/>
        </w:trPr>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上海资哲企业管理有限责任公司</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3" w:hRule="exact"/>
        </w:trPr>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蛮牛健康管理服务有限公司</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3" w:hRule="exact"/>
        </w:trPr>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上海蛮牛健康管理有限公司</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7"/>
        <w:rPr>
          <w:rFonts w:ascii="宋体" w:hAnsi="宋体" w:cs="宋体" w:eastAsia="宋体" w:hint="default"/>
          <w:sz w:val="15"/>
          <w:szCs w:val="15"/>
        </w:rPr>
      </w:pPr>
    </w:p>
    <w:p>
      <w:pPr>
        <w:pStyle w:val="BodyText"/>
        <w:spacing w:line="240" w:lineRule="auto" w:before="44"/>
        <w:ind w:right="2602"/>
        <w:jc w:val="left"/>
      </w:pPr>
      <w:r>
        <w:rPr/>
        <w:t>主要控股参股公司情况说明</w:t>
      </w:r>
    </w:p>
    <w:p>
      <w:pPr>
        <w:spacing w:line="240" w:lineRule="auto" w:before="0"/>
        <w:rPr>
          <w:rFonts w:ascii="宋体" w:hAnsi="宋体" w:cs="宋体" w:eastAsia="宋体" w:hint="default"/>
          <w:sz w:val="15"/>
          <w:szCs w:val="15"/>
        </w:rPr>
      </w:pPr>
    </w:p>
    <w:p>
      <w:pPr>
        <w:pStyle w:val="BodyText"/>
        <w:spacing w:line="300" w:lineRule="auto"/>
        <w:ind w:right="0" w:firstLine="360"/>
        <w:jc w:val="left"/>
      </w:pPr>
      <w:r>
        <w:rPr>
          <w:spacing w:val="-1"/>
        </w:rPr>
        <w:t>（</w:t>
      </w:r>
      <w:r>
        <w:rPr>
          <w:rFonts w:ascii="Times New Roman" w:hAnsi="Times New Roman" w:cs="Times New Roman" w:eastAsia="Times New Roman" w:hint="default"/>
          <w:spacing w:val="-1"/>
        </w:rPr>
        <w:t>1</w:t>
      </w:r>
      <w:r>
        <w:rPr>
          <w:spacing w:val="-1"/>
        </w:rPr>
        <w:t>）上海浦江科技投资有限公司，注册资本</w:t>
      </w:r>
      <w:r>
        <w:rPr>
          <w:rFonts w:ascii="Times New Roman" w:hAnsi="Times New Roman" w:cs="Times New Roman" w:eastAsia="Times New Roman" w:hint="default"/>
          <w:spacing w:val="-1"/>
        </w:rPr>
        <w:t>2,700</w:t>
      </w:r>
      <w:r>
        <w:rPr>
          <w:spacing w:val="-1"/>
        </w:rPr>
        <w:t>万元，经营范围为实业投资，资产经营管理及咨询，房地产开发。本</w:t>
      </w:r>
      <w:r>
        <w:rPr/>
        <w:t> 公司合计持股比例</w:t>
      </w:r>
      <w:r>
        <w:rPr>
          <w:rFonts w:ascii="Times New Roman" w:hAnsi="Times New Roman" w:cs="Times New Roman" w:eastAsia="Times New Roman" w:hint="default"/>
        </w:rPr>
        <w:t>25.93%</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日总资产</w:t>
      </w:r>
      <w:r>
        <w:rPr>
          <w:rFonts w:ascii="Times New Roman" w:hAnsi="Times New Roman" w:cs="Times New Roman" w:eastAsia="Times New Roman" w:hint="default"/>
        </w:rPr>
        <w:t>50,010,619.37</w:t>
      </w:r>
      <w:r>
        <w:rPr/>
        <w:t>元，净资产</w:t>
      </w:r>
      <w:r>
        <w:rPr>
          <w:rFonts w:ascii="Times New Roman" w:hAnsi="Times New Roman" w:cs="Times New Roman" w:eastAsia="Times New Roman" w:hint="default"/>
        </w:rPr>
        <w:t>50,010,619.37</w:t>
      </w:r>
      <w:r>
        <w:rPr/>
        <w:t>元，净利润</w:t>
      </w:r>
      <w:r>
        <w:rPr>
          <w:rFonts w:ascii="Times New Roman" w:hAnsi="Times New Roman" w:cs="Times New Roman" w:eastAsia="Times New Roman" w:hint="default"/>
        </w:rPr>
        <w:t>4,080,669.97</w:t>
      </w:r>
      <w:r>
        <w:rPr/>
        <w:t>元。</w:t>
      </w:r>
    </w:p>
    <w:p>
      <w:pPr>
        <w:spacing w:after="0" w:line="30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7" w:lineRule="auto" w:before="44"/>
        <w:ind w:right="1131" w:firstLine="360"/>
        <w:jc w:val="both"/>
      </w:pPr>
      <w:r>
        <w:rPr>
          <w:spacing w:val="-5"/>
        </w:rPr>
        <w:t>（</w:t>
      </w:r>
      <w:r>
        <w:rPr>
          <w:rFonts w:ascii="Times New Roman" w:hAnsi="Times New Roman" w:cs="Times New Roman" w:eastAsia="Times New Roman" w:hint="default"/>
          <w:spacing w:val="-5"/>
        </w:rPr>
        <w:t>2</w:t>
      </w:r>
      <w:r>
        <w:rPr>
          <w:spacing w:val="-5"/>
        </w:rPr>
        <w:t>）上海昕鼎网络科技有限公司，注册资本</w:t>
      </w:r>
      <w:r>
        <w:rPr>
          <w:rFonts w:ascii="Times New Roman" w:hAnsi="Times New Roman" w:cs="Times New Roman" w:eastAsia="Times New Roman" w:hint="default"/>
          <w:spacing w:val="-5"/>
        </w:rPr>
        <w:t>3,362.12</w:t>
      </w:r>
      <w:r>
        <w:rPr>
          <w:spacing w:val="-5"/>
        </w:rPr>
        <w:t>万元，经营范围包括从事网络科技，计算机软件领域内的技术开发，</w:t>
      </w:r>
      <w:r>
        <w:rPr/>
        <w:t> </w:t>
      </w:r>
      <w:r>
        <w:rPr>
          <w:spacing w:val="-2"/>
        </w:rPr>
        <w:t>技术服务，技术转让和技术培训，展览展示服务，会务服务，票务代理，通信设备（除地面卫星接收装置），商务咨询，投</w:t>
      </w:r>
      <w:r>
        <w:rPr>
          <w:spacing w:val="-68"/>
        </w:rPr>
        <w:t> </w:t>
      </w:r>
      <w:r>
        <w:rPr>
          <w:spacing w:val="-68"/>
        </w:rPr>
      </w:r>
      <w:r>
        <w:rPr>
          <w:spacing w:val="7"/>
        </w:rPr>
        <w:t>资咨询等。公司合计持股比例</w:t>
      </w:r>
      <w:r>
        <w:rPr>
          <w:rFonts w:ascii="Times New Roman" w:hAnsi="Times New Roman" w:cs="Times New Roman" w:eastAsia="Times New Roman" w:hint="default"/>
          <w:spacing w:val="7"/>
        </w:rPr>
        <w:t>34.23%</w:t>
      </w:r>
      <w:r>
        <w:rPr>
          <w:spacing w:val="7"/>
        </w:rPr>
        <w:t>，截至</w:t>
      </w:r>
      <w:r>
        <w:rPr>
          <w:rFonts w:ascii="Times New Roman" w:hAnsi="Times New Roman" w:cs="Times New Roman" w:eastAsia="Times New Roman" w:hint="default"/>
          <w:spacing w:val="7"/>
        </w:rPr>
        <w:t>2019</w:t>
      </w:r>
      <w:r>
        <w:rPr>
          <w:spacing w:val="7"/>
        </w:rPr>
        <w:t>年</w:t>
      </w:r>
      <w:r>
        <w:rPr>
          <w:rFonts w:ascii="Times New Roman" w:hAnsi="Times New Roman" w:cs="Times New Roman" w:eastAsia="Times New Roman" w:hint="default"/>
          <w:spacing w:val="7"/>
        </w:rPr>
        <w:t>12</w:t>
      </w:r>
      <w:r>
        <w:rPr>
          <w:spacing w:val="7"/>
        </w:rPr>
        <w:t>月</w:t>
      </w:r>
      <w:r>
        <w:rPr>
          <w:rFonts w:ascii="Times New Roman" w:hAnsi="Times New Roman" w:cs="Times New Roman" w:eastAsia="Times New Roman" w:hint="default"/>
          <w:spacing w:val="7"/>
        </w:rPr>
        <w:t>31</w:t>
      </w:r>
      <w:r>
        <w:rPr>
          <w:spacing w:val="7"/>
        </w:rPr>
        <w:t>日总资产</w:t>
      </w:r>
      <w:r>
        <w:rPr>
          <w:rFonts w:ascii="Times New Roman" w:hAnsi="Times New Roman" w:cs="Times New Roman" w:eastAsia="Times New Roman" w:hint="default"/>
          <w:spacing w:val="7"/>
        </w:rPr>
        <w:t>65,922,116.45</w:t>
      </w:r>
      <w:r>
        <w:rPr>
          <w:rFonts w:ascii="Times New Roman" w:hAnsi="Times New Roman" w:cs="Times New Roman" w:eastAsia="Times New Roman" w:hint="default"/>
          <w:spacing w:val="-23"/>
        </w:rPr>
        <w:t> </w:t>
      </w:r>
      <w:r>
        <w:rPr>
          <w:spacing w:val="3"/>
        </w:rPr>
        <w:t>元，净资产</w:t>
      </w:r>
      <w:r>
        <w:rPr>
          <w:rFonts w:ascii="Times New Roman" w:hAnsi="Times New Roman" w:cs="Times New Roman" w:eastAsia="Times New Roman" w:hint="default"/>
          <w:spacing w:val="3"/>
        </w:rPr>
        <w:t>56,827,902.06</w:t>
      </w:r>
      <w:r>
        <w:rPr>
          <w:rFonts w:ascii="Times New Roman" w:hAnsi="Times New Roman" w:cs="Times New Roman" w:eastAsia="Times New Roman" w:hint="default"/>
          <w:spacing w:val="-22"/>
        </w:rPr>
        <w:t> </w:t>
      </w:r>
      <w:r>
        <w:rPr>
          <w:spacing w:val="10"/>
        </w:rPr>
        <w:t>元，净利润</w:t>
      </w:r>
      <w:r>
        <w:rPr>
          <w:spacing w:val="-77"/>
        </w:rPr>
        <w:t> </w:t>
      </w:r>
      <w:r>
        <w:rPr>
          <w:spacing w:val="-77"/>
        </w:rPr>
      </w:r>
      <w:r>
        <w:rPr>
          <w:rFonts w:ascii="Times New Roman" w:hAnsi="Times New Roman" w:cs="Times New Roman" w:eastAsia="Times New Roman" w:hint="default"/>
        </w:rPr>
        <w:t>4,566,229.82</w:t>
      </w:r>
      <w:r>
        <w:rPr/>
        <w:t>元。</w:t>
      </w:r>
    </w:p>
    <w:p>
      <w:pPr>
        <w:pStyle w:val="BodyText"/>
        <w:spacing w:line="307" w:lineRule="auto" w:before="48"/>
        <w:ind w:right="0" w:firstLine="360"/>
        <w:jc w:val="left"/>
      </w:pPr>
      <w:r>
        <w:rPr>
          <w:spacing w:val="-2"/>
        </w:rPr>
        <w:t>（</w:t>
      </w:r>
      <w:r>
        <w:rPr>
          <w:rFonts w:ascii="Times New Roman" w:hAnsi="Times New Roman" w:cs="Times New Roman" w:eastAsia="Times New Roman" w:hint="default"/>
          <w:spacing w:val="-2"/>
        </w:rPr>
        <w:t>3</w:t>
      </w:r>
      <w:r>
        <w:rPr>
          <w:spacing w:val="-2"/>
        </w:rPr>
        <w:t>）上海万达健青网络科技有限公司，注册资本</w:t>
      </w:r>
      <w:r>
        <w:rPr>
          <w:rFonts w:ascii="Times New Roman" w:hAnsi="Times New Roman" w:cs="Times New Roman" w:eastAsia="Times New Roman" w:hint="default"/>
          <w:spacing w:val="-2"/>
        </w:rPr>
        <w:t>500</w:t>
      </w:r>
      <w:r>
        <w:rPr>
          <w:spacing w:val="-2"/>
        </w:rPr>
        <w:t>万元，经营范围为软件开发、信息技术咨询服务、信息系统集成服</w:t>
      </w:r>
      <w:r>
        <w:rPr/>
        <w:t> </w:t>
      </w:r>
      <w:r>
        <w:rPr>
          <w:spacing w:val="-2"/>
        </w:rPr>
        <w:t>务、数据处理和存储服务与互联网信息服务；计算机及互联网信息技术转让、培训、承包、中介；社会经济咨询；互联网零</w:t>
      </w:r>
      <w:r>
        <w:rPr>
          <w:spacing w:val="-72"/>
        </w:rPr>
        <w:t> </w:t>
      </w:r>
      <w:r>
        <w:rPr>
          <w:spacing w:val="-72"/>
        </w:rPr>
      </w:r>
      <w:r>
        <w:rPr/>
        <w:t>售；新兴行业中的大数据服务。本公司合计持股比例</w:t>
      </w:r>
      <w:r>
        <w:rPr>
          <w:rFonts w:ascii="Times New Roman" w:hAnsi="Times New Roman" w:cs="Times New Roman" w:eastAsia="Times New Roman" w:hint="default"/>
        </w:rPr>
        <w:t>34%</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日总资产</w:t>
      </w:r>
      <w:r>
        <w:rPr>
          <w:rFonts w:ascii="Times New Roman" w:hAnsi="Times New Roman" w:cs="Times New Roman" w:eastAsia="Times New Roman" w:hint="default"/>
        </w:rPr>
        <w:t>443,102.45</w:t>
      </w:r>
      <w:r>
        <w:rPr/>
        <w:t>元，净资产</w:t>
      </w:r>
      <w:r>
        <w:rPr>
          <w:rFonts w:ascii="Times New Roman" w:hAnsi="Times New Roman" w:cs="Times New Roman" w:eastAsia="Times New Roman" w:hint="default"/>
        </w:rPr>
        <w:t>484,748.14</w:t>
      </w:r>
      <w:r>
        <w:rPr/>
        <w:t>元，</w:t>
      </w:r>
      <w:r>
        <w:rPr>
          <w:spacing w:val="-62"/>
        </w:rPr>
        <w:t> </w:t>
      </w:r>
      <w:r>
        <w:rPr>
          <w:spacing w:val="-62"/>
        </w:rPr>
      </w:r>
      <w:r>
        <w:rPr/>
        <w:t>净利润</w:t>
      </w:r>
      <w:r>
        <w:rPr>
          <w:rFonts w:ascii="Times New Roman" w:hAnsi="Times New Roman" w:cs="Times New Roman" w:eastAsia="Times New Roman" w:hint="default"/>
        </w:rPr>
        <w:t>9,661.68</w:t>
      </w:r>
      <w:r>
        <w:rPr/>
        <w:t>元。</w:t>
      </w:r>
    </w:p>
    <w:p>
      <w:pPr>
        <w:pStyle w:val="BodyText"/>
        <w:spacing w:line="309" w:lineRule="auto" w:before="45"/>
        <w:ind w:right="1042" w:firstLine="360"/>
        <w:jc w:val="left"/>
      </w:pPr>
      <w:r>
        <w:rPr/>
        <w:t>（</w:t>
      </w:r>
      <w:r>
        <w:rPr>
          <w:rFonts w:ascii="Times New Roman" w:hAnsi="Times New Roman" w:cs="Times New Roman" w:eastAsia="Times New Roman" w:hint="default"/>
        </w:rPr>
        <w:t>4</w:t>
      </w:r>
      <w:r>
        <w:rPr/>
        <w:t>）上海久事智慧体育有限公司，注册资本</w:t>
      </w:r>
      <w:r>
        <w:rPr>
          <w:rFonts w:ascii="Times New Roman" w:hAnsi="Times New Roman" w:cs="Times New Roman" w:eastAsia="Times New Roman" w:hint="default"/>
        </w:rPr>
        <w:t>2,000</w:t>
      </w:r>
      <w:r>
        <w:rPr/>
        <w:t>万元，经营范围为体育科技和智能化产品领域内的技术开发、技术转 </w:t>
      </w:r>
      <w:r>
        <w:rPr>
          <w:spacing w:val="-2"/>
        </w:rPr>
        <w:t>让、技术咨询、技术服务，计算机及产品、电子产品、通讯设备的销售、商务咨询、商务服务、自有设备租赁，计算机信息</w:t>
      </w:r>
      <w:r>
        <w:rPr>
          <w:spacing w:val="-70"/>
        </w:rPr>
        <w:t> </w:t>
      </w:r>
      <w:r>
        <w:rPr>
          <w:spacing w:val="-70"/>
        </w:rPr>
      </w:r>
      <w:r>
        <w:rPr/>
        <w:t>系统集成，建筑智能化建设工程设计与施工，弱电工程，票务代理，体育赛事策划，自有房屋租赁，体育产品开发与销售，</w:t>
      </w:r>
      <w:r>
        <w:rPr>
          <w:spacing w:val="-83"/>
        </w:rPr>
        <w:t> </w:t>
      </w:r>
      <w:r>
        <w:rPr>
          <w:spacing w:val="-83"/>
        </w:rPr>
      </w:r>
      <w:r>
        <w:rPr>
          <w:spacing w:val="-2"/>
        </w:rPr>
        <w:t>广告设计、制作、发布及代理。本公司合计持股比例</w:t>
      </w:r>
      <w:r>
        <w:rPr>
          <w:rFonts w:ascii="Times New Roman" w:hAnsi="Times New Roman" w:cs="Times New Roman" w:eastAsia="Times New Roman" w:hint="default"/>
          <w:spacing w:val="-2"/>
        </w:rPr>
        <w:t>34%</w:t>
      </w:r>
      <w:r>
        <w:rPr>
          <w:spacing w:val="-2"/>
        </w:rPr>
        <w:t>。截至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日总资产</w:t>
      </w:r>
      <w:r>
        <w:rPr>
          <w:rFonts w:ascii="Times New Roman" w:hAnsi="Times New Roman" w:cs="Times New Roman" w:eastAsia="Times New Roman" w:hint="default"/>
          <w:spacing w:val="-2"/>
        </w:rPr>
        <w:t>25,514,404.49</w:t>
      </w:r>
      <w:r>
        <w:rPr>
          <w:spacing w:val="-2"/>
        </w:rPr>
        <w:t>元，净资产</w:t>
      </w:r>
      <w:r>
        <w:rPr>
          <w:rFonts w:ascii="Times New Roman" w:hAnsi="Times New Roman" w:cs="Times New Roman" w:eastAsia="Times New Roman" w:hint="default"/>
          <w:spacing w:val="-2"/>
        </w:rPr>
        <w:t>-5,023,297.03</w:t>
      </w:r>
      <w:r>
        <w:rPr>
          <w:rFonts w:ascii="Times New Roman" w:hAnsi="Times New Roman" w:cs="Times New Roman" w:eastAsia="Times New Roman" w:hint="default"/>
          <w:spacing w:val="-28"/>
        </w:rPr>
        <w:t> </w:t>
      </w:r>
      <w:r>
        <w:rPr>
          <w:rFonts w:ascii="Times New Roman" w:hAnsi="Times New Roman" w:cs="Times New Roman" w:eastAsia="Times New Roman" w:hint="default"/>
          <w:spacing w:val="-28"/>
        </w:rPr>
      </w:r>
      <w:r>
        <w:rPr/>
        <w:t>元，净利润</w:t>
      </w:r>
      <w:r>
        <w:rPr>
          <w:rFonts w:ascii="Times New Roman" w:hAnsi="Times New Roman" w:cs="Times New Roman" w:eastAsia="Times New Roman" w:hint="default"/>
        </w:rPr>
        <w:t>-16,548,984.02</w:t>
      </w:r>
      <w:r>
        <w:rPr/>
        <w:t>元。</w:t>
      </w:r>
    </w:p>
    <w:p>
      <w:pPr>
        <w:pStyle w:val="BodyText"/>
        <w:spacing w:line="309" w:lineRule="auto" w:before="46"/>
        <w:ind w:right="1136" w:firstLine="360"/>
        <w:jc w:val="both"/>
      </w:pPr>
      <w:r>
        <w:rPr/>
        <w:t>（</w:t>
      </w:r>
      <w:r>
        <w:rPr>
          <w:rFonts w:ascii="Times New Roman" w:hAnsi="Times New Roman" w:cs="Times New Roman" w:eastAsia="Times New Roman" w:hint="default"/>
        </w:rPr>
        <w:t>5</w:t>
      </w:r>
      <w:r>
        <w:rPr/>
        <w:t>）上海达保贵生信息科技股份有限公司，注册资本</w:t>
      </w:r>
      <w:r>
        <w:rPr>
          <w:rFonts w:ascii="Times New Roman" w:hAnsi="Times New Roman" w:cs="Times New Roman" w:eastAsia="Times New Roman" w:hint="default"/>
        </w:rPr>
        <w:t>10,000</w:t>
      </w:r>
      <w:r>
        <w:rPr/>
        <w:t>万元，经营范围为从事信息科技、软件科技、数据科技、 </w:t>
      </w:r>
      <w:r>
        <w:rPr>
          <w:spacing w:val="-2"/>
        </w:rPr>
        <w:t>计算机及互联网科技领域内的技术开发、技术转让、技术咨询、技术服务，数据处理，数据存储，经济信息咨询。本公司合</w:t>
      </w:r>
      <w:r>
        <w:rPr>
          <w:spacing w:val="-73"/>
        </w:rPr>
        <w:t> </w:t>
      </w:r>
      <w:r>
        <w:rPr>
          <w:spacing w:val="-73"/>
        </w:rPr>
      </w:r>
      <w:r>
        <w:rPr/>
        <w:t>计持股比例</w:t>
      </w:r>
      <w:r>
        <w:rPr>
          <w:rFonts w:ascii="Times New Roman" w:hAnsi="Times New Roman" w:cs="Times New Roman" w:eastAsia="Times New Roman" w:hint="default"/>
        </w:rPr>
        <w:t>40%</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日总资产</w:t>
      </w:r>
      <w:r>
        <w:rPr>
          <w:rFonts w:ascii="Times New Roman" w:hAnsi="Times New Roman" w:cs="Times New Roman" w:eastAsia="Times New Roman" w:hint="default"/>
        </w:rPr>
        <w:t>32,811,184.57</w:t>
      </w:r>
      <w:r>
        <w:rPr/>
        <w:t>元，净资产</w:t>
      </w:r>
      <w:r>
        <w:rPr>
          <w:rFonts w:ascii="Times New Roman" w:hAnsi="Times New Roman" w:cs="Times New Roman" w:eastAsia="Times New Roman" w:hint="default"/>
        </w:rPr>
        <w:t>12,567,408.14</w:t>
      </w:r>
      <w:r>
        <w:rPr/>
        <w:t>元，净利润</w:t>
      </w:r>
      <w:r>
        <w:rPr>
          <w:rFonts w:ascii="Times New Roman" w:hAnsi="Times New Roman" w:cs="Times New Roman" w:eastAsia="Times New Roman" w:hint="default"/>
        </w:rPr>
        <w:t>-464,876.48</w:t>
      </w:r>
      <w:r>
        <w:rPr/>
        <w:t>元。</w:t>
      </w:r>
    </w:p>
    <w:p>
      <w:pPr>
        <w:pStyle w:val="BodyText"/>
        <w:spacing w:line="314" w:lineRule="auto" w:before="46"/>
        <w:ind w:right="1034" w:firstLine="360"/>
        <w:jc w:val="left"/>
      </w:pPr>
      <w:r>
        <w:rPr/>
        <w:t>（</w:t>
      </w:r>
      <w:r>
        <w:rPr>
          <w:rFonts w:ascii="Times New Roman" w:hAnsi="Times New Roman" w:cs="Times New Roman" w:eastAsia="Times New Roman" w:hint="default"/>
        </w:rPr>
        <w:t>6</w:t>
      </w:r>
      <w:r>
        <w:rPr/>
        <w:t>）上海全程玖玖健康服务有限公司，注册资本</w:t>
      </w:r>
      <w:r>
        <w:rPr>
          <w:rFonts w:ascii="Times New Roman" w:hAnsi="Times New Roman" w:cs="Times New Roman" w:eastAsia="Times New Roman" w:hint="default"/>
        </w:rPr>
        <w:t>4,065</w:t>
      </w:r>
      <w:r>
        <w:rPr/>
        <w:t>万元，经营范围为健康管理服务（不得从事诊疗活动），计算机 专业领域内的技术咨询、技术开发、技术转让、技术服务、计算机及配件（除计算机信息系统安全专用产品）、机械设备、</w:t>
      </w:r>
      <w:r>
        <w:rPr>
          <w:spacing w:val="-82"/>
        </w:rPr>
        <w:t> </w:t>
      </w:r>
      <w:r>
        <w:rPr>
          <w:spacing w:val="-82"/>
        </w:rPr>
      </w:r>
      <w:r>
        <w:rPr/>
        <w:t>仪器仪表、电子产品、通信设备、一类医疗器械的销售，经济信息咨询（除经纪），自有设备租赁（不得从事金融租赁），</w:t>
      </w:r>
      <w:r>
        <w:rPr>
          <w:spacing w:val="-83"/>
        </w:rPr>
        <w:t> </w:t>
      </w:r>
      <w:r>
        <w:rPr>
          <w:spacing w:val="-83"/>
        </w:rPr>
      </w:r>
      <w:r>
        <w:rPr>
          <w:spacing w:val="-2"/>
        </w:rPr>
        <w:t>计算机系统集成，医药咨询（不得从事诊疗活动），以下限分支机构经营：二类、三类医疗器械（详见许可证）的销售。本</w:t>
      </w:r>
      <w:r>
        <w:rPr>
          <w:spacing w:val="-70"/>
        </w:rPr>
        <w:t> </w:t>
      </w:r>
      <w:r>
        <w:rPr>
          <w:spacing w:val="-70"/>
        </w:rPr>
      </w:r>
      <w:r>
        <w:rPr/>
        <w:t>公司合计持股比例</w:t>
      </w:r>
      <w:r>
        <w:rPr>
          <w:rFonts w:ascii="Times New Roman" w:hAnsi="Times New Roman" w:cs="Times New Roman" w:eastAsia="Times New Roman" w:hint="default"/>
        </w:rPr>
        <w:t>22%</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日总资产</w:t>
      </w:r>
      <w:r>
        <w:rPr>
          <w:rFonts w:ascii="Times New Roman" w:hAnsi="Times New Roman" w:cs="Times New Roman" w:eastAsia="Times New Roman" w:hint="default"/>
        </w:rPr>
        <w:t>60,951,351.15</w:t>
      </w:r>
      <w:r>
        <w:rPr/>
        <w:t>元，净资产</w:t>
      </w:r>
      <w:r>
        <w:rPr>
          <w:rFonts w:ascii="Times New Roman" w:hAnsi="Times New Roman" w:cs="Times New Roman" w:eastAsia="Times New Roman" w:hint="default"/>
        </w:rPr>
        <w:t>52,450,659.10</w:t>
      </w:r>
      <w:r>
        <w:rPr/>
        <w:t>元，净利润</w:t>
      </w:r>
      <w:r>
        <w:rPr>
          <w:rFonts w:ascii="Times New Roman" w:hAnsi="Times New Roman" w:cs="Times New Roman" w:eastAsia="Times New Roman" w:hint="default"/>
        </w:rPr>
        <w:t>4,753,228.13</w:t>
      </w:r>
      <w:r>
        <w:rPr/>
        <w:t>元。</w:t>
      </w:r>
    </w:p>
    <w:p>
      <w:pPr>
        <w:pStyle w:val="BodyText"/>
        <w:spacing w:line="307" w:lineRule="auto" w:before="39"/>
        <w:ind w:right="1126" w:firstLine="360"/>
        <w:jc w:val="both"/>
      </w:pPr>
      <w:r>
        <w:rPr>
          <w:spacing w:val="-1"/>
        </w:rPr>
        <w:t>（</w:t>
      </w:r>
      <w:r>
        <w:rPr>
          <w:rFonts w:ascii="Times New Roman" w:hAnsi="Times New Roman" w:cs="Times New Roman" w:eastAsia="Times New Roman" w:hint="default"/>
          <w:spacing w:val="-1"/>
        </w:rPr>
        <w:t>7</w:t>
      </w:r>
      <w:r>
        <w:rPr>
          <w:spacing w:val="-1"/>
        </w:rPr>
        <w:t>）成都天府市民云服务有限公司，注册资本</w:t>
      </w:r>
      <w:r>
        <w:rPr>
          <w:rFonts w:ascii="Times New Roman" w:hAnsi="Times New Roman" w:cs="Times New Roman" w:eastAsia="Times New Roman" w:hint="default"/>
          <w:spacing w:val="-1"/>
        </w:rPr>
        <w:t>3,000</w:t>
      </w:r>
      <w:r>
        <w:rPr>
          <w:spacing w:val="-1"/>
        </w:rPr>
        <w:t>万元，经营范围为数据处理服务，计算机软件开发，计算机硬件销</w:t>
      </w:r>
      <w:r>
        <w:rPr/>
        <w:t> </w:t>
      </w:r>
      <w:r>
        <w:rPr>
          <w:spacing w:val="-5"/>
        </w:rPr>
        <w:t>售和技术服务，信息系统集成服务，社会经济咨询服务，互联网、物联网信息技术服务，科技中介服务，增值电信业务经营，</w:t>
      </w:r>
      <w:r>
        <w:rPr>
          <w:spacing w:val="-79"/>
        </w:rPr>
        <w:t> </w:t>
      </w:r>
      <w:r>
        <w:rPr>
          <w:spacing w:val="-79"/>
        </w:rPr>
      </w:r>
      <w:r>
        <w:rPr>
          <w:spacing w:val="-2"/>
        </w:rPr>
        <w:t>网上贸易代理，商务咨询。本公司合计持股比例</w:t>
      </w:r>
      <w:r>
        <w:rPr>
          <w:rFonts w:ascii="Times New Roman" w:hAnsi="Times New Roman" w:cs="Times New Roman" w:eastAsia="Times New Roman" w:hint="default"/>
          <w:spacing w:val="-2"/>
        </w:rPr>
        <w:t>40%</w:t>
      </w:r>
      <w:r>
        <w:rPr>
          <w:spacing w:val="-2"/>
        </w:rPr>
        <w:t>。截至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日总资产</w:t>
      </w:r>
      <w:r>
        <w:rPr>
          <w:rFonts w:ascii="Times New Roman" w:hAnsi="Times New Roman" w:cs="Times New Roman" w:eastAsia="Times New Roman" w:hint="default"/>
          <w:spacing w:val="-2"/>
        </w:rPr>
        <w:t>33,302,669.77</w:t>
      </w:r>
      <w:r>
        <w:rPr>
          <w:spacing w:val="-2"/>
        </w:rPr>
        <w:t>元，净资产</w:t>
      </w:r>
      <w:r>
        <w:rPr>
          <w:rFonts w:ascii="Times New Roman" w:hAnsi="Times New Roman" w:cs="Times New Roman" w:eastAsia="Times New Roman" w:hint="default"/>
          <w:spacing w:val="-2"/>
        </w:rPr>
        <w:t>24,069,538.19</w:t>
      </w:r>
      <w:r>
        <w:rPr>
          <w:spacing w:val="-2"/>
        </w:rPr>
        <w:t>元，</w:t>
      </w:r>
      <w:r>
        <w:rPr/>
        <w:t> 净利润</w:t>
      </w:r>
      <w:r>
        <w:rPr>
          <w:rFonts w:ascii="Times New Roman" w:hAnsi="Times New Roman" w:cs="Times New Roman" w:eastAsia="Times New Roman" w:hint="default"/>
        </w:rPr>
        <w:t>2,910,445.71</w:t>
      </w:r>
      <w:r>
        <w:rPr/>
        <w:t>元。</w:t>
      </w:r>
    </w:p>
    <w:p>
      <w:pPr>
        <w:pStyle w:val="BodyText"/>
        <w:spacing w:line="307" w:lineRule="auto" w:before="48"/>
        <w:ind w:right="1131" w:firstLine="360"/>
        <w:jc w:val="both"/>
      </w:pPr>
      <w:r>
        <w:rPr>
          <w:spacing w:val="-1"/>
        </w:rPr>
        <w:t>（</w:t>
      </w:r>
      <w:r>
        <w:rPr>
          <w:rFonts w:ascii="Times New Roman" w:hAnsi="Times New Roman" w:cs="Times New Roman" w:eastAsia="Times New Roman" w:hint="default"/>
          <w:spacing w:val="-1"/>
        </w:rPr>
        <w:t>8</w:t>
      </w:r>
      <w:r>
        <w:rPr>
          <w:spacing w:val="-1"/>
        </w:rPr>
        <w:t>）长沙市民云信息服务有限公司，注册资本</w:t>
      </w:r>
      <w:r>
        <w:rPr>
          <w:rFonts w:ascii="Times New Roman" w:hAnsi="Times New Roman" w:cs="Times New Roman" w:eastAsia="Times New Roman" w:hint="default"/>
          <w:spacing w:val="-1"/>
        </w:rPr>
        <w:t>1,000</w:t>
      </w:r>
      <w:r>
        <w:rPr>
          <w:spacing w:val="-1"/>
        </w:rPr>
        <w:t>万元，经营范围为信息系统集成服务；信息技术咨询服务；信息处</w:t>
      </w:r>
      <w:r>
        <w:rPr/>
        <w:t> </w:t>
      </w:r>
      <w:r>
        <w:rPr>
          <w:spacing w:val="-2"/>
        </w:rPr>
        <w:t>理和存储支持服务；应用软件开发；电子商务平台的开发建设；软件开发系统集成服务；软件技术服务；互联网信息技术咨</w:t>
      </w:r>
      <w:r>
        <w:rPr>
          <w:spacing w:val="-66"/>
        </w:rPr>
        <w:t> </w:t>
      </w:r>
      <w:r>
        <w:rPr>
          <w:spacing w:val="-66"/>
        </w:rPr>
      </w:r>
      <w:r>
        <w:rPr/>
        <w:t>询、广告服务；物联网技术服务；经营增值电信业务。本公司合计持股比例</w:t>
      </w:r>
      <w:r>
        <w:rPr>
          <w:rFonts w:ascii="Times New Roman" w:hAnsi="Times New Roman" w:cs="Times New Roman" w:eastAsia="Times New Roman" w:hint="default"/>
        </w:rPr>
        <w:t>49%</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日总资产</w:t>
      </w:r>
      <w:r>
        <w:rPr>
          <w:rFonts w:ascii="Times New Roman" w:hAnsi="Times New Roman" w:cs="Times New Roman" w:eastAsia="Times New Roman" w:hint="default"/>
        </w:rPr>
        <w:t>3,837,505.69</w:t>
      </w:r>
      <w:r>
        <w:rPr>
          <w:rFonts w:ascii="Times New Roman" w:hAnsi="Times New Roman" w:cs="Times New Roman" w:eastAsia="Times New Roman" w:hint="default"/>
          <w:spacing w:val="22"/>
        </w:rPr>
        <w:t> </w:t>
      </w:r>
      <w:r>
        <w:rPr>
          <w:rFonts w:ascii="Times New Roman" w:hAnsi="Times New Roman" w:cs="Times New Roman" w:eastAsia="Times New Roman" w:hint="default"/>
          <w:spacing w:val="22"/>
        </w:rPr>
      </w:r>
      <w:r>
        <w:rPr/>
        <w:t>元，净资产</w:t>
      </w:r>
      <w:r>
        <w:rPr>
          <w:rFonts w:ascii="Times New Roman" w:hAnsi="Times New Roman" w:cs="Times New Roman" w:eastAsia="Times New Roman" w:hint="default"/>
        </w:rPr>
        <w:t>3,038,994.88</w:t>
      </w:r>
      <w:r>
        <w:rPr/>
        <w:t>元，净利润</w:t>
      </w:r>
      <w:r>
        <w:rPr>
          <w:rFonts w:ascii="Times New Roman" w:hAnsi="Times New Roman" w:cs="Times New Roman" w:eastAsia="Times New Roman" w:hint="default"/>
        </w:rPr>
        <w:t>-1,961,005.12</w:t>
      </w:r>
      <w:r>
        <w:rPr/>
        <w:t>元。</w:t>
      </w:r>
    </w:p>
    <w:p>
      <w:pPr>
        <w:pStyle w:val="BodyText"/>
        <w:spacing w:line="307" w:lineRule="auto" w:before="48"/>
        <w:ind w:right="1131" w:firstLine="360"/>
        <w:jc w:val="both"/>
      </w:pPr>
      <w:r>
        <w:rPr>
          <w:spacing w:val="-2"/>
        </w:rPr>
        <w:t>（</w:t>
      </w:r>
      <w:r>
        <w:rPr>
          <w:rFonts w:ascii="Times New Roman" w:hAnsi="Times New Roman" w:cs="Times New Roman" w:eastAsia="Times New Roman" w:hint="default"/>
          <w:spacing w:val="-2"/>
        </w:rPr>
        <w:t>9</w:t>
      </w:r>
      <w:r>
        <w:rPr>
          <w:spacing w:val="-2"/>
        </w:rPr>
        <w:t>）驻马店天中市民云服务有限公司，注册资本</w:t>
      </w:r>
      <w:r>
        <w:rPr>
          <w:rFonts w:ascii="Times New Roman" w:hAnsi="Times New Roman" w:cs="Times New Roman" w:eastAsia="Times New Roman" w:hint="default"/>
          <w:spacing w:val="-2"/>
        </w:rPr>
        <w:t>500</w:t>
      </w:r>
      <w:r>
        <w:rPr>
          <w:spacing w:val="-2"/>
        </w:rPr>
        <w:t>万元，经营范围为应用软件开发；电子商务平台的开发建设；软件</w:t>
      </w:r>
      <w:r>
        <w:rPr/>
        <w:t> </w:t>
      </w:r>
      <w:r>
        <w:rPr>
          <w:spacing w:val="-2"/>
        </w:rPr>
        <w:t>开发系统集成服务；软件技术服务；信息系统集成服务；信息技术咨询服务；信息处理和存储支持服务；互联网信息技术咨</w:t>
      </w:r>
      <w:r>
        <w:rPr>
          <w:spacing w:val="-67"/>
        </w:rPr>
        <w:t> </w:t>
      </w:r>
      <w:r>
        <w:rPr>
          <w:spacing w:val="-67"/>
        </w:rPr>
      </w:r>
      <w:r>
        <w:rPr>
          <w:spacing w:val="-3"/>
        </w:rPr>
        <w:t>询、广告服务；物联网技术服务。本公司合计持股比例</w:t>
      </w:r>
      <w:r>
        <w:rPr>
          <w:rFonts w:ascii="Times New Roman" w:hAnsi="Times New Roman" w:cs="Times New Roman" w:eastAsia="Times New Roman" w:hint="default"/>
          <w:spacing w:val="-3"/>
        </w:rPr>
        <w:t>40%</w:t>
      </w:r>
      <w:r>
        <w:rPr>
          <w:spacing w:val="-3"/>
        </w:rPr>
        <w:t>。截至</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日总资产</w:t>
      </w:r>
      <w:r>
        <w:rPr>
          <w:rFonts w:ascii="Times New Roman" w:hAnsi="Times New Roman" w:cs="Times New Roman" w:eastAsia="Times New Roman" w:hint="default"/>
          <w:spacing w:val="-3"/>
        </w:rPr>
        <w:t>2,553,949.08</w:t>
      </w:r>
      <w:r>
        <w:rPr>
          <w:spacing w:val="-3"/>
        </w:rPr>
        <w:t>元，净资产</w:t>
      </w:r>
      <w:r>
        <w:rPr>
          <w:rFonts w:ascii="Times New Roman" w:hAnsi="Times New Roman" w:cs="Times New Roman" w:eastAsia="Times New Roman" w:hint="default"/>
          <w:spacing w:val="-3"/>
        </w:rPr>
        <w:t>2,486,235.75</w:t>
      </w:r>
      <w:r>
        <w:rPr>
          <w:rFonts w:ascii="Times New Roman" w:hAnsi="Times New Roman" w:cs="Times New Roman" w:eastAsia="Times New Roman" w:hint="default"/>
          <w:spacing w:val="20"/>
        </w:rPr>
        <w:t> </w:t>
      </w:r>
      <w:r>
        <w:rPr>
          <w:rFonts w:ascii="Times New Roman" w:hAnsi="Times New Roman" w:cs="Times New Roman" w:eastAsia="Times New Roman" w:hint="default"/>
          <w:spacing w:val="20"/>
        </w:rPr>
      </w:r>
      <w:r>
        <w:rPr/>
        <w:t>元，净利润</w:t>
      </w:r>
      <w:r>
        <w:rPr>
          <w:rFonts w:ascii="Times New Roman" w:hAnsi="Times New Roman" w:cs="Times New Roman" w:eastAsia="Times New Roman" w:hint="default"/>
        </w:rPr>
        <w:t>486,235.75</w:t>
      </w:r>
      <w:r>
        <w:rPr/>
        <w:t>元。</w:t>
      </w:r>
    </w:p>
    <w:p>
      <w:pPr>
        <w:pStyle w:val="BodyText"/>
        <w:spacing w:line="314" w:lineRule="auto" w:before="45"/>
        <w:ind w:right="1034" w:firstLine="360"/>
        <w:jc w:val="left"/>
      </w:pPr>
      <w:r>
        <w:rPr/>
        <w:t>（</w:t>
      </w:r>
      <w:r>
        <w:rPr>
          <w:rFonts w:ascii="Times New Roman" w:hAnsi="Times New Roman" w:cs="Times New Roman" w:eastAsia="Times New Roman" w:hint="default"/>
        </w:rPr>
        <w:t>10</w:t>
      </w:r>
      <w:r>
        <w:rPr/>
        <w:t>）宁夏智慧医疗科技股份有限公司，注册资本</w:t>
      </w:r>
      <w:r>
        <w:rPr>
          <w:rFonts w:ascii="Times New Roman" w:hAnsi="Times New Roman" w:cs="Times New Roman" w:eastAsia="Times New Roman" w:hint="default"/>
        </w:rPr>
        <w:t>1859.55</w:t>
      </w:r>
      <w:r>
        <w:rPr/>
        <w:t>万元，经营范围为云计算技术研发、应用、培训及服务；信 </w:t>
      </w:r>
      <w:r>
        <w:rPr>
          <w:spacing w:val="-2"/>
        </w:rPr>
        <w:t>息系统集成服务；数据处理和存储服务；第二类增值电信业务；国内电信业务代理服务；电子产品、环境保护专用设备；仪</w:t>
      </w:r>
      <w:r>
        <w:rPr>
          <w:spacing w:val="-70"/>
        </w:rPr>
        <w:t> </w:t>
      </w:r>
      <w:r>
        <w:rPr>
          <w:spacing w:val="-70"/>
        </w:rPr>
      </w:r>
      <w:r>
        <w:rPr/>
        <w:t>器仪表的研发、销售；环保工程、弱电工程、安全技术防范产品销售及安防工程设计、施工、维护；办公用品、机械设备、</w:t>
      </w:r>
      <w:r>
        <w:rPr>
          <w:spacing w:val="-83"/>
        </w:rPr>
        <w:t> </w:t>
      </w:r>
      <w:r>
        <w:rPr>
          <w:spacing w:val="-83"/>
        </w:rPr>
      </w:r>
      <w:r>
        <w:rPr>
          <w:spacing w:val="-2"/>
        </w:rPr>
        <w:t>通讯设备、摄影器材研发、销售；信息技术咨询服务；计算机软件及辅助设备的销售、维修及应用服务。本公司合计持股比</w:t>
      </w:r>
      <w:r>
        <w:rPr>
          <w:spacing w:val="-67"/>
        </w:rPr>
        <w:t> </w:t>
      </w:r>
      <w:r>
        <w:rPr>
          <w:spacing w:val="-67"/>
        </w:rPr>
      </w:r>
      <w:r>
        <w:rPr/>
        <w:t>例</w:t>
      </w:r>
      <w:r>
        <w:rPr>
          <w:rFonts w:ascii="Times New Roman" w:hAnsi="Times New Roman" w:cs="Times New Roman" w:eastAsia="Times New Roman" w:hint="default"/>
        </w:rPr>
        <w:t>34%</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日总资产</w:t>
      </w:r>
      <w:r>
        <w:rPr>
          <w:rFonts w:ascii="Times New Roman" w:hAnsi="Times New Roman" w:cs="Times New Roman" w:eastAsia="Times New Roman" w:hint="default"/>
        </w:rPr>
        <w:t>201,168.19</w:t>
      </w:r>
      <w:r>
        <w:rPr/>
        <w:t>元，净资产</w:t>
      </w:r>
      <w:r>
        <w:rPr>
          <w:rFonts w:ascii="Times New Roman" w:hAnsi="Times New Roman" w:cs="Times New Roman" w:eastAsia="Times New Roman" w:hint="default"/>
        </w:rPr>
        <w:t>201,580.23</w:t>
      </w:r>
      <w:r>
        <w:rPr/>
        <w:t>元，净利润</w:t>
      </w:r>
      <w:r>
        <w:rPr>
          <w:rFonts w:ascii="Times New Roman" w:hAnsi="Times New Roman" w:cs="Times New Roman" w:eastAsia="Times New Roman" w:hint="default"/>
        </w:rPr>
        <w:t>430,669.77</w:t>
      </w:r>
      <w:r>
        <w:rPr/>
        <w:t>元。</w:t>
      </w:r>
    </w:p>
    <w:p>
      <w:pPr>
        <w:spacing w:line="240" w:lineRule="auto" w:before="6"/>
        <w:rPr>
          <w:rFonts w:ascii="宋体" w:hAnsi="宋体" w:cs="宋体" w:eastAsia="宋体" w:hint="default"/>
          <w:sz w:val="19"/>
          <w:szCs w:val="19"/>
        </w:rPr>
      </w:pPr>
    </w:p>
    <w:p>
      <w:pPr>
        <w:pStyle w:val="Heading2"/>
        <w:spacing w:line="240" w:lineRule="auto"/>
        <w:ind w:right="2602"/>
        <w:jc w:val="left"/>
        <w:rPr>
          <w:b w:val="0"/>
          <w:bCs w:val="0"/>
        </w:rPr>
      </w:pPr>
      <w:bookmarkStart w:name="八、公司控制的结构化主体情况" w:id="59"/>
      <w:bookmarkEnd w:id="59"/>
      <w:r>
        <w:rPr>
          <w:b w:val="0"/>
          <w:bCs w:val="0"/>
        </w:rPr>
      </w:r>
      <w:r>
        <w:rPr/>
        <w:t>八、公司控制的结构化主体情况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九、公司未来发展的展望" w:id="60"/>
      <w:bookmarkEnd w:id="60"/>
      <w:r>
        <w:rPr>
          <w:b w:val="0"/>
          <w:bCs w:val="0"/>
        </w:rPr>
      </w:r>
      <w:r>
        <w:rPr/>
        <w:t>九、公司未来发展的展望</w:t>
      </w:r>
      <w:r>
        <w:rPr>
          <w:b w:val="0"/>
          <w:bCs w:val="0"/>
        </w:rPr>
      </w:r>
    </w:p>
    <w:p>
      <w:pPr>
        <w:spacing w:line="240" w:lineRule="auto" w:before="7"/>
        <w:rPr>
          <w:rFonts w:ascii="宋体" w:hAnsi="宋体" w:cs="宋体" w:eastAsia="宋体" w:hint="default"/>
          <w:b/>
          <w:bCs/>
          <w:sz w:val="32"/>
          <w:szCs w:val="32"/>
        </w:rPr>
      </w:pPr>
    </w:p>
    <w:p>
      <w:pPr>
        <w:pStyle w:val="BodyText"/>
        <w:spacing w:line="451" w:lineRule="auto"/>
        <w:ind w:right="0" w:firstLine="36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年底，中国人寿成为万达信息的第一大股东，万达信息也成为了中国人寿第一家战略投资的上市公司。未来，万 达信息将是“科技国寿”战略的重要承载者，在中国人寿的大力支持下，万达信息将进入转型升级新时代。</w:t>
      </w:r>
    </w:p>
    <w:p>
      <w:pPr>
        <w:pStyle w:val="BodyText"/>
        <w:spacing w:line="477" w:lineRule="auto" w:before="112"/>
        <w:ind w:right="1034" w:firstLine="360"/>
        <w:jc w:val="left"/>
      </w:pPr>
      <w:r>
        <w:rPr>
          <w:spacing w:val="-2"/>
        </w:rPr>
        <w:t>公司成立了战略转型决策委员会和执行小组，并聘请了第三方专业咨询公司作为专业顾问，指导和协助决策委员会和执</w:t>
      </w:r>
      <w:r>
        <w:rPr/>
        <w:t> 行小组围绕公司在医疗卫生健康板块、互联网新兴产业资源、企业数字化转型等领域进行战略规划落实、实施和改进工作。</w:t>
      </w:r>
      <w:r>
        <w:rPr>
          <w:spacing w:val="-83"/>
        </w:rPr>
        <w:t> </w:t>
      </w:r>
      <w:r>
        <w:rPr>
          <w:spacing w:val="-83"/>
        </w:rPr>
      </w:r>
      <w:r>
        <w:rPr>
          <w:spacing w:val="-2"/>
        </w:rPr>
        <w:t>同时规划财务共享战略，企业绩效管理方面起到引领作用，切实保障万达信息的战略成功落地。在战略定位的确定方面，围</w:t>
      </w:r>
      <w:r>
        <w:rPr>
          <w:spacing w:val="-64"/>
        </w:rPr>
        <w:t> </w:t>
      </w:r>
      <w:r>
        <w:rPr>
          <w:spacing w:val="-64"/>
        </w:rPr>
      </w:r>
      <w:r>
        <w:rPr>
          <w:spacing w:val="-2"/>
        </w:rPr>
        <w:t>绕智慧城市平台运营商、线上线下融合的健康管理平台商、科技创新服务提供商，从定位契合度、发展潜力和自身能力储备</w:t>
      </w:r>
      <w:r>
        <w:rPr>
          <w:spacing w:val="-65"/>
        </w:rPr>
        <w:t> </w:t>
      </w:r>
      <w:r>
        <w:rPr>
          <w:spacing w:val="-65"/>
        </w:rPr>
      </w:r>
      <w:r>
        <w:rPr/>
        <w:t>三维度分析每个业务核心发展的重点。</w:t>
      </w:r>
    </w:p>
    <w:p>
      <w:pPr>
        <w:pStyle w:val="BodyText"/>
        <w:spacing w:line="477" w:lineRule="auto" w:before="95"/>
        <w:ind w:right="1034" w:firstLine="360"/>
        <w:jc w:val="left"/>
      </w:pPr>
      <w:r>
        <w:rPr>
          <w:spacing w:val="-2"/>
        </w:rPr>
        <w:t>在战略执行方面，围绕第三方专业咨询公司制定的包括战略设计、组织架构设计和人力资源体系建设、战略的落地推动</w:t>
      </w:r>
      <w:r>
        <w:rPr/>
        <w:t> </w:t>
      </w:r>
      <w:r>
        <w:rPr>
          <w:spacing w:val="-2"/>
        </w:rPr>
        <w:t>设计及增值服务等整体战略方案后。聚焦战略愿景，统筹资源，整体规划，实现整体利益最大化；设置高效的组织与协同机</w:t>
      </w:r>
      <w:r>
        <w:rPr>
          <w:spacing w:val="-67"/>
        </w:rPr>
        <w:t> </w:t>
      </w:r>
      <w:r>
        <w:rPr>
          <w:spacing w:val="-67"/>
        </w:rPr>
      </w:r>
      <w:r>
        <w:rPr/>
        <w:t>制，健全规则与制度，公司各项职能按部就班有序运作；前瞻性的人才规划，从全盘出发构建长期的人才培养与招募体系，</w:t>
      </w:r>
      <w:r>
        <w:rPr>
          <w:spacing w:val="-83"/>
        </w:rPr>
        <w:t> </w:t>
      </w:r>
      <w:r>
        <w:rPr>
          <w:spacing w:val="-83"/>
        </w:rPr>
      </w:r>
      <w:r>
        <w:rPr/>
        <w:t>建立人才梯队，确保各项职能都有完整且有序的职业发展规划。</w:t>
      </w:r>
    </w:p>
    <w:p>
      <w:pPr>
        <w:pStyle w:val="BodyText"/>
        <w:spacing w:line="477" w:lineRule="auto" w:before="95"/>
        <w:ind w:right="1129" w:firstLine="360"/>
        <w:jc w:val="both"/>
      </w:pPr>
      <w:r>
        <w:rPr>
          <w:spacing w:val="-2"/>
        </w:rPr>
        <w:t>公司未来会依托智慧城市体系与国寿生态，万达信息的业务板块聚焦智慧医卫、智慧政务以及信创板块持续为政府信息</w:t>
      </w:r>
      <w:r>
        <w:rPr/>
        <w:t> </w:t>
      </w:r>
      <w:r>
        <w:rPr>
          <w:spacing w:val="-2"/>
        </w:rPr>
        <w:t>化赋能，智慧城市以市民云为重要载体，全面提升社会公共服务的运行，健康管理基于蛮牛健康平台，为居民提供健康管理</w:t>
      </w:r>
      <w:r>
        <w:rPr>
          <w:spacing w:val="-63"/>
        </w:rPr>
        <w:t> </w:t>
      </w:r>
      <w:r>
        <w:rPr>
          <w:spacing w:val="-63"/>
        </w:rPr>
      </w:r>
      <w:r>
        <w:rPr/>
        <w:t>服务平台。</w:t>
      </w:r>
    </w:p>
    <w:p>
      <w:pPr>
        <w:pStyle w:val="BodyText"/>
        <w:spacing w:line="451" w:lineRule="auto" w:before="93"/>
        <w:ind w:right="1129" w:firstLine="360"/>
        <w:jc w:val="both"/>
      </w:pPr>
      <w:r>
        <w:rPr>
          <w:rFonts w:ascii="Times New Roman" w:hAnsi="Times New Roman" w:cs="Times New Roman" w:eastAsia="Times New Roman" w:hint="default"/>
        </w:rPr>
        <w:t>2020</w:t>
      </w:r>
      <w:r>
        <w:rPr>
          <w:rFonts w:ascii="Times New Roman" w:hAnsi="Times New Roman" w:cs="Times New Roman" w:eastAsia="Times New Roman" w:hint="default"/>
          <w:spacing w:val="2"/>
        </w:rPr>
        <w:t> </w:t>
      </w:r>
      <w:r>
        <w:rPr/>
        <w:t>年是公司全面战略转型的关键一年，三大传统板块加两大战略板块的落地同步推进，三大传统板块加快产品化及 “互联网</w:t>
      </w:r>
      <w:r>
        <w:rPr>
          <w:rFonts w:ascii="Times New Roman" w:hAnsi="Times New Roman" w:cs="Times New Roman" w:eastAsia="Times New Roman" w:hint="default"/>
        </w:rPr>
        <w:t>+</w:t>
      </w:r>
      <w:r>
        <w:rPr/>
        <w:t>”模式转型，两大创新板块以智慧城市及健康管理为突破口加强与中国人寿的深度业务协同，公司战略布局与国 家政策导向高度契合，业务发展将从多年项目制的单维运营向“科技</w:t>
      </w:r>
      <w:r>
        <w:rPr>
          <w:rFonts w:ascii="Times New Roman" w:hAnsi="Times New Roman" w:cs="Times New Roman" w:eastAsia="Times New Roman" w:hint="default"/>
        </w:rPr>
        <w:t>+</w:t>
      </w:r>
      <w:r>
        <w:rPr/>
        <w:t>金融</w:t>
      </w:r>
      <w:r>
        <w:rPr>
          <w:rFonts w:ascii="Times New Roman" w:hAnsi="Times New Roman" w:cs="Times New Roman" w:eastAsia="Times New Roman" w:hint="default"/>
        </w:rPr>
        <w:t>+</w:t>
      </w:r>
      <w:r>
        <w:rPr/>
        <w:t>实体”多维立体运营全面转型。公司将加快扩</w:t>
      </w:r>
      <w:r>
        <w:rPr>
          <w:spacing w:val="-19"/>
        </w:rPr>
        <w:t> </w:t>
      </w:r>
      <w:r>
        <w:rPr>
          <w:spacing w:val="-19"/>
        </w:rPr>
      </w:r>
      <w:r>
        <w:rPr/>
        <w:t>大市场覆盖面和提高市场占有率，加大成本优化和费用管控，不断提高公司盈利能力。</w:t>
      </w:r>
    </w:p>
    <w:p>
      <w:pPr>
        <w:spacing w:line="240" w:lineRule="auto" w:before="0"/>
        <w:rPr>
          <w:rFonts w:ascii="宋体" w:hAnsi="宋体" w:cs="宋体" w:eastAsia="宋体" w:hint="default"/>
          <w:sz w:val="19"/>
          <w:szCs w:val="19"/>
        </w:rPr>
      </w:pPr>
    </w:p>
    <w:p>
      <w:pPr>
        <w:pStyle w:val="Heading2"/>
        <w:spacing w:line="240" w:lineRule="auto"/>
        <w:ind w:right="2602"/>
        <w:jc w:val="left"/>
        <w:rPr>
          <w:b w:val="0"/>
          <w:bCs w:val="0"/>
        </w:rPr>
      </w:pPr>
      <w:bookmarkStart w:name="十、公司可能面临的风险和应对措施" w:id="61"/>
      <w:bookmarkEnd w:id="61"/>
      <w:r>
        <w:rPr>
          <w:b w:val="0"/>
          <w:bCs w:val="0"/>
        </w:rPr>
      </w:r>
      <w:r>
        <w:rPr/>
        <w:t>十、公司可能面临的风险和应对措施</w:t>
      </w:r>
      <w:r>
        <w:rPr>
          <w:b w:val="0"/>
          <w:bCs w:val="0"/>
        </w:rPr>
      </w:r>
    </w:p>
    <w:p>
      <w:pPr>
        <w:spacing w:line="240" w:lineRule="auto" w:before="7"/>
        <w:rPr>
          <w:rFonts w:ascii="宋体" w:hAnsi="宋体" w:cs="宋体" w:eastAsia="宋体" w:hint="default"/>
          <w:b/>
          <w:bCs/>
          <w:sz w:val="32"/>
          <w:szCs w:val="32"/>
        </w:rPr>
      </w:pPr>
    </w:p>
    <w:p>
      <w:pPr>
        <w:pStyle w:val="BodyText"/>
        <w:spacing w:line="516" w:lineRule="auto"/>
        <w:ind w:left="513" w:right="1119" w:hanging="361"/>
        <w:jc w:val="left"/>
      </w:pPr>
      <w:r>
        <w:rPr>
          <w:rFonts w:ascii="宋体" w:hAnsi="宋体" w:cs="宋体" w:eastAsia="宋体" w:hint="default"/>
          <w:b/>
          <w:bCs/>
        </w:rPr>
        <w:t>1</w:t>
      </w:r>
      <w:r>
        <w:rPr>
          <w:rFonts w:ascii="宋体" w:hAnsi="宋体" w:cs="宋体" w:eastAsia="宋体" w:hint="default"/>
          <w:b/>
          <w:bCs/>
        </w:rPr>
        <w:t>、</w:t>
      </w:r>
      <w:r>
        <w:rPr>
          <w:rFonts w:ascii="宋体" w:hAnsi="宋体" w:cs="宋体" w:eastAsia="宋体" w:hint="default"/>
          <w:b/>
          <w:bCs/>
          <w:spacing w:val="-4"/>
        </w:rPr>
        <w:t> </w:t>
      </w:r>
      <w:r>
        <w:rPr>
          <w:rFonts w:ascii="宋体" w:hAnsi="宋体" w:cs="宋体" w:eastAsia="宋体" w:hint="default"/>
          <w:b/>
          <w:bCs/>
        </w:rPr>
        <w:t>行业政策风险</w:t>
      </w:r>
      <w:r>
        <w:rPr>
          <w:rFonts w:ascii="宋体" w:hAnsi="宋体" w:cs="宋体" w:eastAsia="宋体" w:hint="default"/>
          <w:b/>
          <w:bCs/>
          <w:w w:val="99"/>
        </w:rPr>
        <w:t> </w:t>
      </w:r>
      <w:r>
        <w:rPr>
          <w:spacing w:val="-1"/>
        </w:rPr>
        <w:t>近年来，国家大力推动互联网</w:t>
      </w:r>
      <w:r>
        <w:rPr>
          <w:rFonts w:ascii="Times New Roman" w:hAnsi="Times New Roman" w:cs="Times New Roman" w:eastAsia="Times New Roman" w:hint="default"/>
          <w:spacing w:val="-1"/>
        </w:rPr>
        <w:t>+</w:t>
      </w:r>
      <w:r>
        <w:rPr>
          <w:spacing w:val="-1"/>
        </w:rPr>
        <w:t>战略，相关政府部门先后出台多项配套政策</w:t>
      </w:r>
      <w:r>
        <w:rPr>
          <w:rFonts w:ascii="Times New Roman" w:hAnsi="Times New Roman" w:cs="Times New Roman" w:eastAsia="Times New Roman" w:hint="default"/>
          <w:spacing w:val="-1"/>
        </w:rPr>
        <w:t>,</w:t>
      </w:r>
      <w:r>
        <w:rPr>
          <w:spacing w:val="-1"/>
        </w:rPr>
        <w:t>为行业发展提供强有力的政策支持。但随着</w:t>
      </w:r>
    </w:p>
    <w:p>
      <w:pPr>
        <w:pStyle w:val="BodyText"/>
        <w:spacing w:line="518" w:lineRule="auto"/>
        <w:ind w:left="513" w:right="0" w:hanging="361"/>
        <w:jc w:val="left"/>
      </w:pPr>
      <w:r>
        <w:rPr/>
        <w:t>行业的发展，国家政策存在发生变化的风险。 </w:t>
      </w:r>
      <w:r>
        <w:rPr>
          <w:spacing w:val="-2"/>
        </w:rPr>
        <w:t>公司将紧抓市场机遇，及时把握政策动向，严格依照国家有关法律法规经营，并持续提升在技术、知识产权、质量、管</w:t>
      </w:r>
    </w:p>
    <w:p>
      <w:pPr>
        <w:spacing w:line="518" w:lineRule="auto" w:before="23"/>
        <w:ind w:left="152" w:right="4814" w:firstLine="0"/>
        <w:jc w:val="left"/>
        <w:rPr>
          <w:rFonts w:ascii="宋体" w:hAnsi="宋体" w:cs="宋体" w:eastAsia="宋体" w:hint="default"/>
          <w:sz w:val="18"/>
          <w:szCs w:val="18"/>
        </w:rPr>
      </w:pPr>
      <w:r>
        <w:rPr>
          <w:rFonts w:ascii="宋体" w:hAnsi="宋体" w:cs="宋体" w:eastAsia="宋体" w:hint="default"/>
          <w:sz w:val="18"/>
          <w:szCs w:val="18"/>
        </w:rPr>
        <w:t>理等各方面的运营水平，提高盈利能力，避免或减少政策变化带来的风险。 </w:t>
      </w:r>
      <w:r>
        <w:rPr>
          <w:rFonts w:ascii="宋体" w:hAnsi="宋体" w:cs="宋体" w:eastAsia="宋体" w:hint="default"/>
          <w:b/>
          <w:bCs/>
          <w:sz w:val="18"/>
          <w:szCs w:val="18"/>
        </w:rPr>
        <w:t>2</w:t>
      </w:r>
      <w:r>
        <w:rPr>
          <w:rFonts w:ascii="宋体" w:hAnsi="宋体" w:cs="宋体" w:eastAsia="宋体" w:hint="default"/>
          <w:b/>
          <w:bCs/>
          <w:sz w:val="18"/>
          <w:szCs w:val="18"/>
        </w:rPr>
        <w:t>、</w:t>
      </w:r>
      <w:r>
        <w:rPr>
          <w:rFonts w:ascii="宋体" w:hAnsi="宋体" w:cs="宋体" w:eastAsia="宋体" w:hint="default"/>
          <w:b/>
          <w:bCs/>
          <w:spacing w:val="-5"/>
          <w:sz w:val="18"/>
          <w:szCs w:val="18"/>
        </w:rPr>
        <w:t> </w:t>
      </w:r>
      <w:r>
        <w:rPr>
          <w:rFonts w:ascii="宋体" w:hAnsi="宋体" w:cs="宋体" w:eastAsia="宋体" w:hint="default"/>
          <w:b/>
          <w:bCs/>
          <w:sz w:val="18"/>
          <w:szCs w:val="18"/>
        </w:rPr>
        <w:t>市场竞争风险</w:t>
      </w:r>
      <w:r>
        <w:rPr>
          <w:rFonts w:ascii="宋体" w:hAnsi="宋体" w:cs="宋体" w:eastAsia="宋体" w:hint="default"/>
          <w:sz w:val="18"/>
          <w:szCs w:val="18"/>
        </w:rPr>
      </w:r>
    </w:p>
    <w:p>
      <w:pPr>
        <w:pStyle w:val="BodyText"/>
        <w:spacing w:line="451" w:lineRule="auto" w:before="62"/>
        <w:ind w:right="0" w:firstLine="360"/>
        <w:jc w:val="left"/>
      </w:pPr>
      <w:r>
        <w:rPr>
          <w:spacing w:val="-4"/>
        </w:rPr>
        <w:t>信息技术的快速发展，互联网</w:t>
      </w:r>
      <w:r>
        <w:rPr>
          <w:rFonts w:ascii="Times New Roman" w:hAnsi="Times New Roman" w:cs="Times New Roman" w:eastAsia="Times New Roman" w:hint="default"/>
          <w:spacing w:val="-4"/>
        </w:rPr>
        <w:t>+</w:t>
      </w:r>
      <w:r>
        <w:rPr>
          <w:spacing w:val="-4"/>
        </w:rPr>
        <w:t>领域及智慧城市建设需求持续旺盛，相关市场规模不断扩大。在市场前景看好的情况下，</w:t>
      </w:r>
      <w:r>
        <w:rPr/>
        <w:t> 市场参与者也不断增多，并纷纷加大技术研发及市场开拓的投入，市场竞争日趋激烈。</w:t>
      </w:r>
    </w:p>
    <w:p>
      <w:pPr>
        <w:spacing w:after="0" w:line="451" w:lineRule="auto"/>
        <w:jc w:val="left"/>
        <w:sectPr>
          <w:footerReference w:type="default" r:id="rId29"/>
          <w:pgSz w:w="11910" w:h="16840"/>
          <w:pgMar w:footer="980" w:header="745" w:top="1060" w:bottom="1160" w:left="980" w:right="0"/>
          <w:pgNumType w:start="45"/>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1130" w:firstLine="360"/>
        <w:jc w:val="both"/>
      </w:pPr>
      <w:r>
        <w:rPr>
          <w:spacing w:val="-2"/>
        </w:rPr>
        <w:t>公司所处的健康管理与智慧城市领域具有广阔的发展空间，公司将充分发挥行业和技术优势，坚持创新驱动转型，依托</w:t>
      </w:r>
      <w:r>
        <w:rPr/>
        <w:t> 智慧城市体系与国寿生态，运营多个领先的孵化业务，全面提升社会公共服务与医疗健康体系的运行效率。</w:t>
      </w:r>
    </w:p>
    <w:p>
      <w:pPr>
        <w:pStyle w:val="Heading5"/>
        <w:spacing w:line="240" w:lineRule="auto" w:before="95"/>
        <w:ind w:left="152" w:right="2602"/>
        <w:jc w:val="left"/>
        <w:rPr>
          <w:b w:val="0"/>
          <w:bCs w:val="0"/>
        </w:rPr>
      </w:pPr>
      <w:r>
        <w:rPr>
          <w:rFonts w:ascii="宋体" w:hAnsi="宋体" w:cs="宋体" w:eastAsia="宋体" w:hint="default"/>
        </w:rPr>
        <w:t>3</w:t>
      </w:r>
      <w:r>
        <w:rPr/>
        <w:t>、</w:t>
      </w:r>
      <w:r>
        <w:rPr>
          <w:spacing w:val="-6"/>
        </w:rPr>
        <w:t> </w:t>
      </w:r>
      <w:r>
        <w:rPr/>
        <w:t>技术风险</w:t>
      </w:r>
      <w:r>
        <w:rPr>
          <w:b w:val="0"/>
          <w:bCs w:val="0"/>
        </w:rPr>
      </w:r>
    </w:p>
    <w:p>
      <w:pPr>
        <w:spacing w:line="240" w:lineRule="auto" w:before="9"/>
        <w:rPr>
          <w:rFonts w:ascii="宋体" w:hAnsi="宋体" w:cs="宋体" w:eastAsia="宋体" w:hint="default"/>
          <w:b/>
          <w:bCs/>
          <w:sz w:val="20"/>
          <w:szCs w:val="20"/>
        </w:rPr>
      </w:pPr>
    </w:p>
    <w:p>
      <w:pPr>
        <w:pStyle w:val="BodyText"/>
        <w:spacing w:line="477" w:lineRule="auto"/>
        <w:ind w:right="1132" w:firstLine="360"/>
        <w:jc w:val="both"/>
      </w:pPr>
      <w:r>
        <w:rPr>
          <w:spacing w:val="-2"/>
        </w:rPr>
        <w:t>经过多年的技术积累和创新，公司拥有众多核心软件产品和行业应用解决方案。目前移动互联网进入行业应用为主的高</w:t>
      </w:r>
      <w:r>
        <w:rPr/>
        <w:t> 速发展期，相关技术更新和换代速度快，各行业应用对技术的要求也越来越高。</w:t>
      </w:r>
    </w:p>
    <w:p>
      <w:pPr>
        <w:pStyle w:val="BodyText"/>
        <w:spacing w:line="477" w:lineRule="auto" w:before="95"/>
        <w:ind w:right="1134" w:firstLine="360"/>
        <w:jc w:val="both"/>
      </w:pPr>
      <w:r>
        <w:rPr>
          <w:spacing w:val="-2"/>
        </w:rPr>
        <w:t>公司将随着互联网、物联网、人工智能、云计算及大数据等新技术的发展，持续加大技术研发投入的同时，不断提升技</w:t>
      </w:r>
      <w:r>
        <w:rPr/>
        <w:t> 术管理水平，把握产品和技术研发方向，及时根据市场变化和客户需求推出新产品和解决方案。</w:t>
      </w:r>
    </w:p>
    <w:p>
      <w:pPr>
        <w:pStyle w:val="Heading5"/>
        <w:spacing w:line="240" w:lineRule="auto" w:before="95"/>
        <w:ind w:left="152" w:right="2602"/>
        <w:jc w:val="left"/>
        <w:rPr>
          <w:b w:val="0"/>
          <w:bCs w:val="0"/>
        </w:rPr>
      </w:pPr>
      <w:r>
        <w:rPr>
          <w:rFonts w:ascii="宋体" w:hAnsi="宋体" w:cs="宋体" w:eastAsia="宋体" w:hint="default"/>
        </w:rPr>
        <w:t>4</w:t>
      </w:r>
      <w:r>
        <w:rPr/>
        <w:t>、</w:t>
      </w:r>
      <w:r>
        <w:rPr>
          <w:spacing w:val="-6"/>
        </w:rPr>
        <w:t> </w:t>
      </w:r>
      <w:r>
        <w:rPr/>
        <w:t>管理风险</w:t>
      </w:r>
      <w:r>
        <w:rPr>
          <w:b w:val="0"/>
          <w:bCs w:val="0"/>
        </w:rPr>
      </w:r>
    </w:p>
    <w:p>
      <w:pPr>
        <w:spacing w:line="240" w:lineRule="auto" w:before="10"/>
        <w:rPr>
          <w:rFonts w:ascii="宋体" w:hAnsi="宋体" w:cs="宋体" w:eastAsia="宋体" w:hint="default"/>
          <w:b/>
          <w:bCs/>
          <w:sz w:val="20"/>
          <w:szCs w:val="20"/>
        </w:rPr>
      </w:pPr>
    </w:p>
    <w:p>
      <w:pPr>
        <w:pStyle w:val="BodyText"/>
        <w:spacing w:line="463" w:lineRule="auto"/>
        <w:ind w:right="1130" w:firstLine="360"/>
        <w:jc w:val="both"/>
      </w:pPr>
      <w:r>
        <w:rPr>
          <w:spacing w:val="-2"/>
        </w:rPr>
        <w:t>在多年的管理经验累积和治理实践中，公司形成较为健全的公司治理机制，并在实际执行中运作良好。但随着业务规模</w:t>
      </w:r>
      <w:r>
        <w:rPr/>
        <w:t> 的持续扩大</w:t>
      </w:r>
      <w:r>
        <w:rPr>
          <w:rFonts w:ascii="Times New Roman" w:hAnsi="Times New Roman" w:cs="Times New Roman" w:eastAsia="Times New Roman" w:hint="default"/>
        </w:rPr>
        <w:t>,</w:t>
      </w:r>
      <w:r>
        <w:rPr/>
        <w:t>兼并收购的步伐加大，公司组织结构和管理体系日趋复杂化，企业经营决策、风险控制难度不断加大，对管理</w:t>
      </w:r>
      <w:r>
        <w:rPr>
          <w:spacing w:val="-48"/>
        </w:rPr>
        <w:t> </w:t>
      </w:r>
      <w:r>
        <w:rPr>
          <w:spacing w:val="-48"/>
        </w:rPr>
      </w:r>
      <w:r>
        <w:rPr/>
        <w:t>团队的管理水平及驾驭经营风险的能力带来一定程度的挑战。</w:t>
      </w:r>
    </w:p>
    <w:p>
      <w:pPr>
        <w:pStyle w:val="BodyText"/>
        <w:spacing w:line="463" w:lineRule="auto" w:before="106"/>
        <w:ind w:right="1132" w:firstLine="360"/>
        <w:jc w:val="both"/>
      </w:pPr>
      <w:r>
        <w:rPr>
          <w:spacing w:val="-2"/>
        </w:rPr>
        <w:t>公司将围绕发展战略，通过引入波士顿（</w:t>
      </w:r>
      <w:r>
        <w:rPr>
          <w:rFonts w:ascii="Times New Roman" w:hAnsi="Times New Roman" w:cs="Times New Roman" w:eastAsia="Times New Roman" w:hint="default"/>
          <w:spacing w:val="-2"/>
        </w:rPr>
        <w:t>BCG</w:t>
      </w:r>
      <w:r>
        <w:rPr>
          <w:spacing w:val="-2"/>
        </w:rPr>
        <w:t>）、德勤等世界一流的管理咨询公司，根据业务发展需求不断优化公司组</w:t>
      </w:r>
      <w:r>
        <w:rPr/>
        <w:t> </w:t>
      </w:r>
      <w:r>
        <w:rPr>
          <w:spacing w:val="-2"/>
        </w:rPr>
        <w:t>织架构，提升组织效率，持续推进公司管理体系向标准化、规范化、科学化的方向发展，进一步提高公司的治理水平，适应</w:t>
      </w:r>
      <w:r>
        <w:rPr>
          <w:spacing w:val="-67"/>
        </w:rPr>
        <w:t> </w:t>
      </w:r>
      <w:r>
        <w:rPr>
          <w:spacing w:val="-67"/>
        </w:rPr>
      </w:r>
      <w:r>
        <w:rPr/>
        <w:t>快速发展的需要。</w:t>
      </w:r>
    </w:p>
    <w:p>
      <w:pPr>
        <w:spacing w:line="240" w:lineRule="auto" w:before="4"/>
        <w:rPr>
          <w:rFonts w:ascii="宋体" w:hAnsi="宋体" w:cs="宋体" w:eastAsia="宋体" w:hint="default"/>
          <w:sz w:val="18"/>
          <w:szCs w:val="18"/>
        </w:rPr>
      </w:pPr>
    </w:p>
    <w:p>
      <w:pPr>
        <w:pStyle w:val="Heading2"/>
        <w:spacing w:line="240" w:lineRule="auto"/>
        <w:ind w:right="2602"/>
        <w:jc w:val="left"/>
        <w:rPr>
          <w:b w:val="0"/>
          <w:bCs w:val="0"/>
        </w:rPr>
      </w:pPr>
      <w:bookmarkStart w:name="十一、接待调研、沟通、采访等活动登记表" w:id="62"/>
      <w:bookmarkEnd w:id="62"/>
      <w:r>
        <w:rPr>
          <w:b w:val="0"/>
          <w:bCs w:val="0"/>
        </w:rPr>
      </w:r>
      <w:r>
        <w:rPr/>
        <w:t>十一、接待调研、沟通、采访等活动登记表</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报告期内接待调研、沟通、采访等活动登记表" w:id="63"/>
      <w:bookmarkEnd w:id="63"/>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85"/>
        <w:gridCol w:w="1844"/>
        <w:gridCol w:w="1844"/>
        <w:gridCol w:w="3898"/>
      </w:tblGrid>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9"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6"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6"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35"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754"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可转债发行网上路演</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在线投资者</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49"/>
              <w:ind w:left="24" w:right="1073"/>
              <w:jc w:val="left"/>
              <w:rPr>
                <w:rFonts w:ascii="Times New Roman" w:hAnsi="Times New Roman" w:cs="Times New Roman" w:eastAsia="Times New Roman" w:hint="default"/>
                <w:sz w:val="18"/>
                <w:szCs w:val="18"/>
              </w:rPr>
            </w:pPr>
            <w:r>
              <w:rPr>
                <w:rFonts w:ascii="宋体" w:hAnsi="宋体" w:cs="宋体" w:eastAsia="宋体" w:hint="default"/>
                <w:spacing w:val="-6"/>
                <w:sz w:val="18"/>
                <w:szCs w:val="18"/>
              </w:rPr>
              <w:t>《万达信息可转债发行网上路演》，</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巨潮资讯网</w:t>
            </w:r>
            <w:r>
              <w:rPr>
                <w:rFonts w:ascii="宋体" w:hAnsi="宋体" w:cs="宋体" w:eastAsia="宋体" w:hint="default"/>
                <w:spacing w:val="-66"/>
                <w:sz w:val="18"/>
                <w:szCs w:val="18"/>
              </w:rPr>
              <w:t> </w:t>
            </w:r>
            <w:hyperlink r:id="rId11">
              <w:r>
                <w:rPr>
                  <w:rFonts w:ascii="Times New Roman" w:hAnsi="Times New Roman" w:cs="Times New Roman" w:eastAsia="Times New Roman" w:hint="default"/>
                  <w:sz w:val="18"/>
                  <w:szCs w:val="18"/>
                </w:rPr>
                <w:t>www.cninfo.com.cn</w:t>
              </w:r>
            </w:hyperlink>
          </w:p>
        </w:tc>
      </w:tr>
      <w:tr>
        <w:trPr>
          <w:trHeight w:val="756"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网上业绩说明会</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在线投资者</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4" w:right="622"/>
              <w:jc w:val="left"/>
              <w:rPr>
                <w:rFonts w:ascii="Times New Roman" w:hAnsi="Times New Roman" w:cs="Times New Roman" w:eastAsia="Times New Roman" w:hint="default"/>
                <w:sz w:val="18"/>
                <w:szCs w:val="18"/>
              </w:rPr>
            </w:pPr>
            <w:r>
              <w:rPr>
                <w:rFonts w:ascii="宋体" w:hAnsi="宋体" w:cs="宋体" w:eastAsia="宋体" w:hint="default"/>
                <w:sz w:val="18"/>
                <w:szCs w:val="18"/>
              </w:rPr>
              <w:t>《万达信息</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pacing w:val="-9"/>
                <w:sz w:val="18"/>
                <w:szCs w:val="18"/>
              </w:rPr>
              <w:t>年度网上业绩说明会》，</w:t>
            </w:r>
            <w:r>
              <w:rPr>
                <w:rFonts w:ascii="宋体" w:hAnsi="宋体" w:cs="宋体" w:eastAsia="宋体" w:hint="default"/>
                <w:sz w:val="18"/>
                <w:szCs w:val="18"/>
              </w:rPr>
              <w:t> 巨潮资讯网</w:t>
            </w:r>
            <w:r>
              <w:rPr>
                <w:rFonts w:ascii="宋体" w:hAnsi="宋体" w:cs="宋体" w:eastAsia="宋体" w:hint="default"/>
                <w:spacing w:val="-66"/>
                <w:sz w:val="18"/>
                <w:szCs w:val="18"/>
              </w:rPr>
              <w:t> </w:t>
            </w:r>
            <w:hyperlink r:id="rId11">
              <w:r>
                <w:rPr>
                  <w:rFonts w:ascii="Times New Roman" w:hAnsi="Times New Roman" w:cs="Times New Roman" w:eastAsia="Times New Roman" w:hint="default"/>
                  <w:sz w:val="18"/>
                  <w:szCs w:val="18"/>
                </w:rPr>
                <w:t>www.cninfo.com.cn</w:t>
              </w:r>
            </w:hyperlink>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机构投资者</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4" w:right="89"/>
              <w:jc w:val="left"/>
              <w:rPr>
                <w:rFonts w:ascii="Times New Roman" w:hAnsi="Times New Roman" w:cs="Times New Roman" w:eastAsia="Times New Roman" w:hint="default"/>
                <w:sz w:val="18"/>
                <w:szCs w:val="18"/>
              </w:rPr>
            </w:pPr>
            <w:r>
              <w:rPr>
                <w:rFonts w:ascii="宋体" w:hAnsi="宋体" w:cs="宋体" w:eastAsia="宋体" w:hint="default"/>
                <w:sz w:val="18"/>
                <w:szCs w:val="18"/>
              </w:rPr>
              <w:t>《万达信息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pacing w:val="-11"/>
                <w:sz w:val="18"/>
                <w:szCs w:val="18"/>
              </w:rPr>
              <w:t>日调研活动信息》，</w:t>
            </w:r>
            <w:r>
              <w:rPr>
                <w:rFonts w:ascii="宋体" w:hAnsi="宋体" w:cs="宋体" w:eastAsia="宋体" w:hint="default"/>
                <w:sz w:val="18"/>
                <w:szCs w:val="18"/>
              </w:rPr>
              <w:t> 巨潮资讯网</w:t>
            </w:r>
            <w:r>
              <w:rPr>
                <w:rFonts w:ascii="宋体" w:hAnsi="宋体" w:cs="宋体" w:eastAsia="宋体" w:hint="default"/>
                <w:spacing w:val="-66"/>
                <w:sz w:val="18"/>
                <w:szCs w:val="18"/>
              </w:rPr>
              <w:t> </w:t>
            </w:r>
            <w:hyperlink r:id="rId11">
              <w:r>
                <w:rPr>
                  <w:rFonts w:ascii="Times New Roman" w:hAnsi="Times New Roman" w:cs="Times New Roman" w:eastAsia="Times New Roman" w:hint="default"/>
                  <w:sz w:val="18"/>
                  <w:szCs w:val="18"/>
                </w:rPr>
                <w:t>www.cninfo.com.cn</w:t>
              </w:r>
            </w:hyperlink>
          </w:p>
        </w:tc>
      </w:tr>
    </w:tbl>
    <w:p>
      <w:pPr>
        <w:spacing w:after="0" w:line="297"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976"/>
        <w:jc w:val="center"/>
        <w:rPr>
          <w:b w:val="0"/>
          <w:bCs w:val="0"/>
        </w:rPr>
      </w:pPr>
      <w:bookmarkStart w:name="第五节 重要事项" w:id="64"/>
      <w:bookmarkEnd w:id="64"/>
      <w:r>
        <w:rPr>
          <w:b w:val="0"/>
          <w:bCs w:val="0"/>
        </w:rPr>
      </w:r>
      <w:bookmarkStart w:name="_bookmark4" w:id="65"/>
      <w:bookmarkEnd w:id="65"/>
      <w:r>
        <w:rPr>
          <w:b w:val="0"/>
          <w:bCs w:val="0"/>
        </w:rPr>
      </w:r>
      <w:r>
        <w:rPr/>
        <w:t>第五节</w:t>
      </w:r>
      <w:r>
        <w:rPr>
          <w:spacing w:val="-2"/>
        </w:rPr>
        <w:t> </w:t>
      </w:r>
      <w:r>
        <w:rPr/>
        <w:t>重要事项</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2602"/>
        <w:jc w:val="left"/>
        <w:rPr>
          <w:b w:val="0"/>
          <w:bCs w:val="0"/>
        </w:rPr>
      </w:pPr>
      <w:bookmarkStart w:name="一、公司普通股利润分配及资本公积金转增股本情况" w:id="66"/>
      <w:bookmarkEnd w:id="66"/>
      <w:r>
        <w:rPr>
          <w:b w:val="0"/>
          <w:bCs w:val="0"/>
        </w:rPr>
      </w:r>
      <w:r>
        <w:rPr/>
        <w:t>一、公司普通股利润分配及资本公积金转增股本情况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t>报告期内普通股利润分配政策，特别是现金分红政策的制定、执行或调整情况</w:t>
      </w:r>
    </w:p>
    <w:p>
      <w:pPr>
        <w:pStyle w:val="BodyText"/>
        <w:spacing w:line="338" w:lineRule="auto" w:before="117"/>
        <w:ind w:right="30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公司报告期利润分配预案及资本公积金转增股本预案与公司章程和分红管理办法等的相关规定一致</w:t>
      </w:r>
    </w:p>
    <w:p>
      <w:pPr>
        <w:pStyle w:val="BodyText"/>
        <w:spacing w:line="340" w:lineRule="auto" w:before="43"/>
        <w:ind w:right="427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t>否 </w:t>
      </w:r>
      <w:r>
        <w:rPr>
          <w:rFonts w:ascii="Times New Roman" w:hAnsi="Times New Roman" w:cs="Times New Roman" w:eastAsia="Times New Roman" w:hint="default"/>
        </w:rPr>
        <w:t>□ </w:t>
      </w:r>
      <w:r>
        <w:rPr/>
        <w:t>不适用 公司报告期利润分配预案及资本公积金转增股本预案符合公司章程等的相关规定。</w:t>
      </w:r>
    </w:p>
    <w:p>
      <w:pPr>
        <w:spacing w:line="240" w:lineRule="auto" w:before="4"/>
        <w:rPr>
          <w:rFonts w:ascii="宋体" w:hAnsi="宋体" w:cs="宋体" w:eastAsia="宋体" w:hint="default"/>
          <w:sz w:val="18"/>
          <w:szCs w:val="18"/>
        </w:rPr>
      </w:pPr>
    </w:p>
    <w:p>
      <w:pPr>
        <w:pStyle w:val="BodyText"/>
        <w:spacing w:line="360" w:lineRule="auto"/>
        <w:ind w:right="6614"/>
        <w:jc w:val="left"/>
      </w:pPr>
      <w:r>
        <w:rPr/>
        <w:t>本年度利润分配及资本公积金转增股本情况 不派发现金红利，不送红股，不以公积金转增股本。</w:t>
      </w:r>
    </w:p>
    <w:p>
      <w:pPr>
        <w:spacing w:line="240" w:lineRule="auto" w:before="4"/>
        <w:rPr>
          <w:rFonts w:ascii="宋体" w:hAnsi="宋体" w:cs="宋体" w:eastAsia="宋体" w:hint="default"/>
          <w:sz w:val="17"/>
          <w:szCs w:val="17"/>
        </w:rPr>
      </w:pPr>
    </w:p>
    <w:p>
      <w:pPr>
        <w:pStyle w:val="BodyText"/>
        <w:spacing w:line="240" w:lineRule="auto"/>
        <w:ind w:right="2602"/>
        <w:jc w:val="left"/>
      </w:pPr>
      <w:r>
        <w:rPr/>
        <w:t>公司近</w:t>
      </w:r>
      <w:r>
        <w:rPr>
          <w:spacing w:val="-4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年（包括本报告期</w:t>
      </w:r>
      <w:r>
        <w:rPr>
          <w:spacing w:val="-3"/>
        </w:rPr>
        <w:t>）</w:t>
      </w:r>
      <w:r>
        <w:rPr/>
        <w:t>的普通股股利分配方案（预案</w:t>
      </w:r>
      <w:r>
        <w:rPr>
          <w:spacing w:val="-89"/>
        </w:rPr>
        <w:t>）</w:t>
      </w:r>
      <w:r>
        <w:rPr/>
        <w:t>、资本公积金转增股本方案（预案）情况</w:t>
      </w:r>
    </w:p>
    <w:p>
      <w:pPr>
        <w:spacing w:line="240" w:lineRule="auto" w:before="2"/>
        <w:rPr>
          <w:rFonts w:ascii="宋体" w:hAnsi="宋体" w:cs="宋体" w:eastAsia="宋体" w:hint="default"/>
          <w:sz w:val="14"/>
          <w:szCs w:val="14"/>
        </w:rPr>
      </w:pPr>
    </w:p>
    <w:p>
      <w:pPr>
        <w:pStyle w:val="BodyText"/>
        <w:spacing w:line="240" w:lineRule="auto"/>
        <w:ind w:left="513" w:right="0"/>
        <w:jc w:val="left"/>
      </w:pPr>
      <w:r>
        <w:rPr>
          <w:rFonts w:ascii="Times New Roman" w:hAnsi="Times New Roman" w:cs="Times New Roman" w:eastAsia="Times New Roman" w:hint="default"/>
          <w:spacing w:val="-4"/>
        </w:rPr>
        <w:t>1</w:t>
      </w:r>
      <w:r>
        <w:rPr>
          <w:spacing w:val="-4"/>
        </w:rPr>
        <w:t>、</w:t>
      </w:r>
      <w:r>
        <w:rPr>
          <w:rFonts w:ascii="Times New Roman" w:hAnsi="Times New Roman" w:cs="Times New Roman" w:eastAsia="Times New Roman" w:hint="default"/>
          <w:spacing w:val="-4"/>
        </w:rPr>
        <w:t>2018</w:t>
      </w:r>
      <w:r>
        <w:rPr>
          <w:rFonts w:ascii="Times New Roman" w:hAnsi="Times New Roman" w:cs="Times New Roman" w:eastAsia="Times New Roman" w:hint="default"/>
          <w:spacing w:val="-6"/>
        </w:rPr>
        <w:t> </w:t>
      </w:r>
      <w:r>
        <w:rPr/>
        <w:t>年</w:t>
      </w:r>
      <w:r>
        <w:rPr>
          <w:spacing w:val="-51"/>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51"/>
        </w:rPr>
        <w:t> </w:t>
      </w:r>
      <w:r>
        <w:rPr>
          <w:rFonts w:ascii="Times New Roman" w:hAnsi="Times New Roman" w:cs="Times New Roman" w:eastAsia="Times New Roman" w:hint="default"/>
        </w:rPr>
        <w:t>19</w:t>
      </w:r>
      <w:r>
        <w:rPr>
          <w:rFonts w:ascii="Times New Roman" w:hAnsi="Times New Roman" w:cs="Times New Roman" w:eastAsia="Times New Roman" w:hint="default"/>
          <w:spacing w:val="-5"/>
        </w:rPr>
        <w:t> </w:t>
      </w:r>
      <w:r>
        <w:rPr>
          <w:spacing w:val="-3"/>
        </w:rPr>
        <w:t>日，公司第六届董事会</w:t>
      </w:r>
      <w:r>
        <w:rPr>
          <w:spacing w:val="-50"/>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年第七次临时会议决议，</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年度公司利润分配预案：以公司现有总股</w:t>
      </w:r>
    </w:p>
    <w:p>
      <w:pPr>
        <w:pStyle w:val="BodyText"/>
        <w:spacing w:line="240" w:lineRule="auto" w:before="60"/>
        <w:ind w:right="0"/>
        <w:jc w:val="left"/>
      </w:pPr>
      <w:r>
        <w:rPr/>
        <w:t>本</w:t>
      </w:r>
      <w:r>
        <w:rPr>
          <w:spacing w:val="-44"/>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3</w:t>
      </w:r>
      <w:r>
        <w:rPr>
          <w:rFonts w:ascii="Times New Roman" w:hAnsi="Times New Roman" w:cs="Times New Roman" w:eastAsia="Times New Roman" w:hint="default"/>
          <w:spacing w:val="-2"/>
        </w:rPr>
        <w:t>1</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82</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6</w:t>
      </w:r>
      <w:r>
        <w:rPr>
          <w:rFonts w:ascii="Times New Roman" w:hAnsi="Times New Roman" w:cs="Times New Roman" w:eastAsia="Times New Roman" w:hint="default"/>
          <w:spacing w:val="-2"/>
        </w:rPr>
        <w:t>4</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t>股为基数</w:t>
      </w:r>
      <w:r>
        <w:rPr>
          <w:spacing w:val="-13"/>
        </w:rPr>
        <w:t>，</w:t>
      </w:r>
      <w:r>
        <w:rPr>
          <w:spacing w:val="-3"/>
        </w:rPr>
        <w:t>向</w:t>
      </w:r>
      <w:r>
        <w:rPr/>
        <w:t>全体股东按每</w:t>
      </w:r>
      <w:r>
        <w:rPr>
          <w:spacing w:val="-44"/>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股派发现金</w:t>
      </w:r>
      <w:r>
        <w:rPr>
          <w:spacing w:val="-3"/>
        </w:rPr>
        <w:t>红</w:t>
      </w:r>
      <w:r>
        <w:rPr/>
        <w:t>利人民币</w:t>
      </w:r>
      <w:r>
        <w:rPr>
          <w:spacing w:val="-45"/>
        </w:rPr>
        <w:t> </w:t>
      </w: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3</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spacing w:val="-13"/>
        </w:rPr>
        <w:t>元</w:t>
      </w:r>
      <w:r>
        <w:rPr/>
        <w:t>（含税</w:t>
      </w:r>
      <w:r>
        <w:rPr>
          <w:spacing w:val="-92"/>
        </w:rPr>
        <w:t>）</w:t>
      </w:r>
      <w:r>
        <w:rPr>
          <w:spacing w:val="-13"/>
        </w:rPr>
        <w:t>，</w:t>
      </w:r>
      <w:r>
        <w:rPr/>
        <w:t>共</w:t>
      </w:r>
      <w:r>
        <w:rPr>
          <w:spacing w:val="-3"/>
        </w:rPr>
        <w:t>计</w:t>
      </w:r>
      <w:r>
        <w:rPr/>
        <w:t>派发现金红利</w:t>
      </w:r>
      <w:r>
        <w:rPr>
          <w:spacing w:val="-44"/>
        </w:rPr>
        <w:t> </w:t>
      </w:r>
      <w:r>
        <w:rPr>
          <w:rFonts w:ascii="Times New Roman" w:hAnsi="Times New Roman" w:cs="Times New Roman" w:eastAsia="Times New Roman" w:hint="default"/>
          <w:spacing w:val="1"/>
        </w:rPr>
        <w:t>39</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4</w:t>
      </w: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4</w:t>
      </w:r>
      <w:r>
        <w:rPr>
          <w:rFonts w:ascii="Times New Roman" w:hAnsi="Times New Roman" w:cs="Times New Roman" w:eastAsia="Times New Roman" w:hint="default"/>
        </w:rPr>
        <w:t>0</w:t>
      </w:r>
      <w:r>
        <w:rPr>
          <w:rFonts w:ascii="Times New Roman" w:hAnsi="Times New Roman" w:cs="Times New Roman" w:eastAsia="Times New Roman" w:hint="default"/>
          <w:spacing w:val="2"/>
        </w:rPr>
        <w:t> </w:t>
      </w:r>
      <w:r>
        <w:rPr/>
        <w:t>元</w:t>
      </w:r>
    </w:p>
    <w:p>
      <w:pPr>
        <w:pStyle w:val="BodyText"/>
        <w:spacing w:line="240" w:lineRule="auto" w:before="63"/>
        <w:ind w:right="2602"/>
        <w:jc w:val="left"/>
      </w:pPr>
      <w:r>
        <w:rPr/>
        <w:t>（含税</w:t>
      </w:r>
      <w:r>
        <w:rPr>
          <w:spacing w:val="-92"/>
        </w:rPr>
        <w:t>）</w:t>
      </w:r>
      <w:r>
        <w:rPr/>
        <w:t>。本年度不进行资本</w:t>
      </w:r>
      <w:r>
        <w:rPr>
          <w:spacing w:val="2"/>
        </w:rPr>
        <w:t>公</w:t>
      </w:r>
      <w:r>
        <w:rPr/>
        <w:t>积金转增股本。</w:t>
      </w:r>
    </w:p>
    <w:p>
      <w:pPr>
        <w:pStyle w:val="BodyText"/>
        <w:spacing w:line="307" w:lineRule="auto" w:before="117"/>
        <w:ind w:right="1127" w:firstLine="360"/>
        <w:jc w:val="both"/>
      </w:pPr>
      <w:r>
        <w:rPr>
          <w:rFonts w:ascii="Times New Roman" w:hAnsi="Times New Roman" w:cs="Times New Roman" w:eastAsia="Times New Roman" w:hint="default"/>
          <w:spacing w:val="-6"/>
        </w:rPr>
        <w:t>2</w:t>
      </w:r>
      <w:r>
        <w:rPr>
          <w:spacing w:val="-6"/>
        </w:rPr>
        <w:t>、</w:t>
      </w:r>
      <w:r>
        <w:rPr>
          <w:rFonts w:ascii="Times New Roman" w:hAnsi="Times New Roman" w:cs="Times New Roman" w:eastAsia="Times New Roman" w:hint="default"/>
          <w:spacing w:val="-6"/>
        </w:rPr>
        <w:t>2019</w:t>
      </w:r>
      <w:r>
        <w:rPr>
          <w:rFonts w:ascii="Times New Roman" w:hAnsi="Times New Roman" w:cs="Times New Roman" w:eastAsia="Times New Roman" w:hint="default"/>
          <w:spacing w:val="4"/>
        </w:rPr>
        <w:t> </w:t>
      </w:r>
      <w:r>
        <w:rPr/>
        <w:t>年</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45"/>
        </w:rPr>
        <w:t> </w:t>
      </w:r>
      <w:r>
        <w:rPr>
          <w:rFonts w:ascii="Times New Roman" w:hAnsi="Times New Roman" w:cs="Times New Roman" w:eastAsia="Times New Roman" w:hint="default"/>
        </w:rPr>
        <w:t>24</w:t>
      </w:r>
      <w:r>
        <w:rPr>
          <w:rFonts w:ascii="Times New Roman" w:hAnsi="Times New Roman" w:cs="Times New Roman" w:eastAsia="Times New Roman" w:hint="default"/>
          <w:spacing w:val="4"/>
        </w:rPr>
        <w:t> </w:t>
      </w:r>
      <w:r>
        <w:rPr>
          <w:spacing w:val="-4"/>
        </w:rPr>
        <w:t>日，公司第六届董事会</w:t>
      </w:r>
      <w:r>
        <w:rPr>
          <w:spacing w:val="-4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spacing w:val="-3"/>
        </w:rPr>
        <w:t>年第八次临时会议决议，</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5"/>
        </w:rPr>
        <w:t> </w:t>
      </w:r>
      <w:r>
        <w:rPr>
          <w:spacing w:val="-3"/>
        </w:rPr>
        <w:t>年度公司利润分配预案：以未来实施</w:t>
      </w:r>
      <w:r>
        <w:rPr>
          <w:spacing w:val="-41"/>
        </w:rPr>
        <w:t> </w:t>
      </w:r>
      <w:r>
        <w:rPr>
          <w:rFonts w:ascii="Times New Roman" w:hAnsi="Times New Roman" w:cs="Times New Roman" w:eastAsia="Times New Roman" w:hint="default"/>
        </w:rPr>
        <w:t>2018 </w:t>
      </w:r>
      <w:r>
        <w:rPr>
          <w:spacing w:val="-5"/>
        </w:rPr>
        <w:t>年年度权益分配方案时股权登记日的总股本（剔除回购股份）为基数，向全体股东按每</w:t>
      </w:r>
      <w:r>
        <w:rPr>
          <w:spacing w:val="-38"/>
        </w:rPr>
        <w:t> </w:t>
      </w:r>
      <w:r>
        <w:rPr>
          <w:rFonts w:ascii="Times New Roman" w:hAnsi="Times New Roman" w:cs="Times New Roman" w:eastAsia="Times New Roman" w:hint="default"/>
        </w:rPr>
        <w:t>10</w:t>
      </w:r>
      <w:r>
        <w:rPr>
          <w:rFonts w:ascii="Times New Roman" w:hAnsi="Times New Roman" w:cs="Times New Roman" w:eastAsia="Times New Roman" w:hint="default"/>
          <w:spacing w:val="6"/>
        </w:rPr>
        <w:t> </w:t>
      </w:r>
      <w:r>
        <w:rPr/>
        <w:t>股派发现金红利人民币</w:t>
      </w:r>
      <w:r>
        <w:rPr>
          <w:spacing w:val="-39"/>
        </w:rPr>
        <w:t> </w:t>
      </w:r>
      <w:r>
        <w:rPr>
          <w:rFonts w:ascii="Times New Roman" w:hAnsi="Times New Roman" w:cs="Times New Roman" w:eastAsia="Times New Roman" w:hint="default"/>
        </w:rPr>
        <w:t>0.25</w:t>
      </w:r>
      <w:r>
        <w:rPr>
          <w:rFonts w:ascii="Times New Roman" w:hAnsi="Times New Roman" w:cs="Times New Roman" w:eastAsia="Times New Roman" w:hint="default"/>
          <w:spacing w:val="7"/>
        </w:rPr>
        <w:t> </w:t>
      </w:r>
      <w:r>
        <w:rPr>
          <w:spacing w:val="-20"/>
        </w:rPr>
        <w:t>元（含</w:t>
      </w:r>
      <w:r>
        <w:rPr/>
        <w:t> </w:t>
      </w:r>
      <w:r>
        <w:rPr>
          <w:spacing w:val="-5"/>
        </w:rPr>
        <w:t>税），不送红股，也不以资本公积金转增股本，剩余未分配利润结转入下一年度。（现金分红金额以权益分配方案实施时扣除</w:t>
      </w:r>
      <w:r>
        <w:rPr>
          <w:spacing w:val="-80"/>
        </w:rPr>
        <w:t> </w:t>
      </w:r>
      <w:r>
        <w:rPr>
          <w:spacing w:val="-80"/>
        </w:rPr>
      </w:r>
      <w:r>
        <w:rPr/>
        <w:t>公司回购专户上已回购股份后的总股本</w:t>
      </w:r>
      <w:r>
        <w:rPr>
          <w:spacing w:val="-39"/>
        </w:rPr>
        <w:t> </w:t>
      </w:r>
      <w:r>
        <w:rPr>
          <w:rFonts w:ascii="Times New Roman" w:hAnsi="Times New Roman" w:cs="Times New Roman" w:eastAsia="Times New Roman" w:hint="default"/>
          <w:spacing w:val="-1"/>
        </w:rPr>
        <w:t>1,096,886,273</w:t>
      </w:r>
      <w:r>
        <w:rPr>
          <w:rFonts w:ascii="Times New Roman" w:hAnsi="Times New Roman" w:cs="Times New Roman" w:eastAsia="Times New Roman" w:hint="default"/>
          <w:spacing w:val="9"/>
        </w:rPr>
        <w:t> </w:t>
      </w:r>
      <w:r>
        <w:rPr>
          <w:spacing w:val="-1"/>
        </w:rPr>
        <w:t>股为基数计算，共计</w:t>
      </w:r>
      <w:r>
        <w:rPr>
          <w:spacing w:val="-40"/>
        </w:rPr>
        <w:t> </w:t>
      </w:r>
      <w:r>
        <w:rPr>
          <w:rFonts w:ascii="Times New Roman" w:hAnsi="Times New Roman" w:cs="Times New Roman" w:eastAsia="Times New Roman" w:hint="default"/>
          <w:spacing w:val="-1"/>
        </w:rPr>
        <w:t>27,422,156.83</w:t>
      </w:r>
      <w:r>
        <w:rPr>
          <w:rFonts w:ascii="Times New Roman" w:hAnsi="Times New Roman" w:cs="Times New Roman" w:eastAsia="Times New Roman" w:hint="default"/>
          <w:spacing w:val="8"/>
        </w:rPr>
        <w:t> </w:t>
      </w:r>
      <w:r>
        <w:rPr>
          <w:spacing w:val="-32"/>
        </w:rPr>
        <w:t>元。）</w:t>
      </w:r>
    </w:p>
    <w:p>
      <w:pPr>
        <w:pStyle w:val="BodyText"/>
        <w:spacing w:line="300" w:lineRule="auto" w:before="48"/>
        <w:ind w:right="1128" w:firstLine="360"/>
        <w:jc w:val="both"/>
      </w:pPr>
      <w:r>
        <w:rPr>
          <w:rFonts w:ascii="Times New Roman" w:hAnsi="Times New Roman" w:cs="Times New Roman" w:eastAsia="Times New Roman" w:hint="default"/>
          <w:spacing w:val="-12"/>
        </w:rPr>
        <w:t>3</w:t>
      </w:r>
      <w:r>
        <w:rPr>
          <w:spacing w:val="-12"/>
        </w:rPr>
        <w:t>、</w:t>
      </w:r>
      <w:r>
        <w:rPr>
          <w:rFonts w:ascii="Times New Roman" w:hAnsi="Times New Roman" w:cs="Times New Roman" w:eastAsia="Times New Roman" w:hint="default"/>
          <w:spacing w:val="-12"/>
        </w:rPr>
        <w:t>2020</w:t>
      </w:r>
      <w:r>
        <w:rPr>
          <w:rFonts w:ascii="Times New Roman" w:hAnsi="Times New Roman" w:cs="Times New Roman" w:eastAsia="Times New Roman" w:hint="default"/>
          <w:spacing w:val="4"/>
        </w:rPr>
        <w:t> </w:t>
      </w:r>
      <w:r>
        <w:rPr/>
        <w:t>年</w:t>
      </w:r>
      <w:r>
        <w:rPr>
          <w:spacing w:val="-44"/>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44"/>
        </w:rPr>
        <w:t> </w:t>
      </w:r>
      <w:r>
        <w:rPr>
          <w:rFonts w:ascii="Times New Roman" w:hAnsi="Times New Roman" w:cs="Times New Roman" w:eastAsia="Times New Roman" w:hint="default"/>
        </w:rPr>
        <w:t>27</w:t>
      </w:r>
      <w:r>
        <w:rPr>
          <w:rFonts w:ascii="Times New Roman" w:hAnsi="Times New Roman" w:cs="Times New Roman" w:eastAsia="Times New Roman" w:hint="default"/>
          <w:spacing w:val="4"/>
        </w:rPr>
        <w:t> </w:t>
      </w:r>
      <w:r>
        <w:rPr>
          <w:spacing w:val="-8"/>
        </w:rPr>
        <w:t>日，公司第七届董事会</w:t>
      </w:r>
      <w:r>
        <w:rPr>
          <w:spacing w:val="-41"/>
        </w:rPr>
        <w:t> </w:t>
      </w:r>
      <w:r>
        <w:rPr>
          <w:rFonts w:ascii="Times New Roman" w:hAnsi="Times New Roman" w:cs="Times New Roman" w:eastAsia="Times New Roman" w:hint="default"/>
        </w:rPr>
        <w:t>2020</w:t>
      </w:r>
      <w:r>
        <w:rPr>
          <w:rFonts w:ascii="Times New Roman" w:hAnsi="Times New Roman" w:cs="Times New Roman" w:eastAsia="Times New Roman" w:hint="default"/>
          <w:spacing w:val="5"/>
        </w:rPr>
        <w:t> </w:t>
      </w:r>
      <w:r>
        <w:rPr>
          <w:spacing w:val="-5"/>
        </w:rPr>
        <w:t>年第六次临时会议决议，</w:t>
      </w:r>
      <w:r>
        <w:rPr>
          <w:rFonts w:ascii="Times New Roman" w:hAnsi="Times New Roman" w:cs="Times New Roman" w:eastAsia="Times New Roman" w:hint="default"/>
          <w:spacing w:val="-5"/>
        </w:rPr>
        <w:t>2019</w:t>
      </w:r>
      <w:r>
        <w:rPr>
          <w:rFonts w:ascii="Times New Roman" w:hAnsi="Times New Roman" w:cs="Times New Roman" w:eastAsia="Times New Roman" w:hint="default"/>
          <w:spacing w:val="5"/>
        </w:rPr>
        <w:t> </w:t>
      </w:r>
      <w:r>
        <w:rPr>
          <w:spacing w:val="-4"/>
        </w:rPr>
        <w:t>年度公司利润分配预案：不派发现金红利，</w:t>
      </w:r>
      <w:r>
        <w:rPr/>
        <w:t> 不送红股，不以公积金转增股本。</w:t>
      </w:r>
    </w:p>
    <w:p>
      <w:pPr>
        <w:spacing w:line="240" w:lineRule="auto" w:before="12"/>
        <w:rPr>
          <w:rFonts w:ascii="宋体" w:hAnsi="宋体" w:cs="宋体" w:eastAsia="宋体" w:hint="default"/>
          <w:sz w:val="28"/>
          <w:szCs w:val="28"/>
        </w:rPr>
      </w:pPr>
    </w:p>
    <w:p>
      <w:pPr>
        <w:pStyle w:val="BodyText"/>
        <w:spacing w:line="240" w:lineRule="auto" w:before="44"/>
        <w:ind w:right="2602"/>
        <w:jc w:val="left"/>
      </w:pPr>
      <w:r>
        <w:rPr/>
        <w:t>公司近三年（包括本报告期）普通股现金分红情况表</w:t>
      </w:r>
    </w:p>
    <w:p>
      <w:pPr>
        <w:pStyle w:val="BodyText"/>
        <w:spacing w:line="240" w:lineRule="auto" w:before="117"/>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840"/>
        <w:gridCol w:w="1274"/>
        <w:gridCol w:w="1462"/>
        <w:gridCol w:w="1375"/>
        <w:gridCol w:w="1019"/>
        <w:gridCol w:w="1183"/>
        <w:gridCol w:w="1208"/>
        <w:gridCol w:w="1184"/>
      </w:tblGrid>
      <w:tr>
        <w:trPr>
          <w:trHeight w:val="163" w:hRule="exact"/>
        </w:trPr>
        <w:tc>
          <w:tcPr>
            <w:tcW w:w="840" w:type="dxa"/>
            <w:vMerge w:val="restart"/>
            <w:tcBorders>
              <w:top w:val="single" w:sz="4" w:space="0" w:color="000000"/>
              <w:left w:val="single" w:sz="4" w:space="0" w:color="000000"/>
              <w:right w:val="single" w:sz="4" w:space="0" w:color="000000"/>
            </w:tcBorders>
            <w:shd w:val="clear" w:color="auto" w:fill="D2D2D2"/>
          </w:tcPr>
          <w:p>
            <w:pPr/>
          </w:p>
        </w:tc>
        <w:tc>
          <w:tcPr>
            <w:tcW w:w="1274" w:type="dxa"/>
            <w:vMerge w:val="restart"/>
            <w:tcBorders>
              <w:top w:val="single" w:sz="4" w:space="0" w:color="000000"/>
              <w:left w:val="single" w:sz="4" w:space="0" w:color="000000"/>
              <w:right w:val="single" w:sz="4" w:space="0" w:color="000000"/>
            </w:tcBorders>
            <w:shd w:val="clear" w:color="auto" w:fill="D2D2D2"/>
          </w:tcPr>
          <w:p>
            <w:pPr/>
          </w:p>
        </w:tc>
        <w:tc>
          <w:tcPr>
            <w:tcW w:w="1462" w:type="dxa"/>
            <w:vMerge w:val="restart"/>
            <w:tcBorders>
              <w:top w:val="single" w:sz="4" w:space="0" w:color="000000"/>
              <w:left w:val="single" w:sz="4" w:space="0" w:color="000000"/>
              <w:right w:val="single" w:sz="4" w:space="0" w:color="000000"/>
            </w:tcBorders>
            <w:shd w:val="clear" w:color="auto" w:fill="D2D2D2"/>
          </w:tcPr>
          <w:p>
            <w:pPr/>
          </w:p>
        </w:tc>
        <w:tc>
          <w:tcPr>
            <w:tcW w:w="1375" w:type="dxa"/>
            <w:vMerge w:val="restart"/>
            <w:tcBorders>
              <w:top w:val="single" w:sz="4" w:space="0" w:color="000000"/>
              <w:left w:val="single" w:sz="4" w:space="0" w:color="000000"/>
              <w:right w:val="single" w:sz="4" w:space="0" w:color="000000"/>
            </w:tcBorders>
            <w:shd w:val="clear" w:color="auto" w:fill="D2D2D2"/>
          </w:tcPr>
          <w:p>
            <w:pPr/>
          </w:p>
        </w:tc>
        <w:tc>
          <w:tcPr>
            <w:tcW w:w="1019" w:type="dxa"/>
            <w:vMerge w:val="restart"/>
            <w:tcBorders>
              <w:top w:val="single" w:sz="4" w:space="0" w:color="000000"/>
              <w:left w:val="single" w:sz="4" w:space="0" w:color="000000"/>
              <w:right w:val="single" w:sz="4" w:space="0" w:color="000000"/>
            </w:tcBorders>
            <w:shd w:val="clear" w:color="auto" w:fill="D2D2D2"/>
          </w:tcPr>
          <w:p>
            <w:pPr/>
          </w:p>
        </w:tc>
        <w:tc>
          <w:tcPr>
            <w:tcW w:w="1183"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8" w:type="dxa"/>
            <w:vMerge w:val="restart"/>
            <w:tcBorders>
              <w:top w:val="single" w:sz="4" w:space="0" w:color="000000"/>
              <w:left w:val="single" w:sz="4" w:space="0" w:color="000000"/>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4"/>
              <w:ind w:left="51" w:right="41" w:firstLine="2"/>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r>
        <w:trPr>
          <w:trHeight w:val="156" w:hRule="exact"/>
        </w:trPr>
        <w:tc>
          <w:tcPr>
            <w:tcW w:w="840" w:type="dxa"/>
            <w:vMerge/>
            <w:tcBorders>
              <w:left w:val="single" w:sz="4" w:space="0" w:color="000000"/>
              <w:right w:val="single" w:sz="4" w:space="0" w:color="000000"/>
            </w:tcBorders>
            <w:shd w:val="clear" w:color="auto" w:fill="D2D2D2"/>
          </w:tcPr>
          <w:p>
            <w:pPr/>
          </w:p>
        </w:tc>
        <w:tc>
          <w:tcPr>
            <w:tcW w:w="1274" w:type="dxa"/>
            <w:vMerge/>
            <w:tcBorders>
              <w:left w:val="single" w:sz="4" w:space="0" w:color="000000"/>
              <w:right w:val="single" w:sz="4" w:space="0" w:color="000000"/>
            </w:tcBorders>
            <w:shd w:val="clear" w:color="auto" w:fill="D2D2D2"/>
          </w:tcPr>
          <w:p>
            <w:pPr/>
          </w:p>
        </w:tc>
        <w:tc>
          <w:tcPr>
            <w:tcW w:w="1462" w:type="dxa"/>
            <w:vMerge/>
            <w:tcBorders>
              <w:left w:val="single" w:sz="4" w:space="0" w:color="000000"/>
              <w:right w:val="single" w:sz="4" w:space="0" w:color="000000"/>
            </w:tcBorders>
            <w:shd w:val="clear" w:color="auto" w:fill="D2D2D2"/>
          </w:tcPr>
          <w:p>
            <w:pPr/>
          </w:p>
        </w:tc>
        <w:tc>
          <w:tcPr>
            <w:tcW w:w="1375" w:type="dxa"/>
            <w:vMerge/>
            <w:tcBorders>
              <w:left w:val="single" w:sz="4" w:space="0" w:color="000000"/>
              <w:bottom w:val="nil" w:sz="6" w:space="0" w:color="auto"/>
              <w:right w:val="single" w:sz="4" w:space="0" w:color="000000"/>
            </w:tcBorders>
            <w:shd w:val="clear" w:color="auto" w:fill="D2D2D2"/>
          </w:tcPr>
          <w:p>
            <w:pPr/>
          </w:p>
        </w:tc>
        <w:tc>
          <w:tcPr>
            <w:tcW w:w="1019" w:type="dxa"/>
            <w:vMerge/>
            <w:tcBorders>
              <w:left w:val="single" w:sz="4" w:space="0" w:color="000000"/>
              <w:right w:val="single" w:sz="4" w:space="0" w:color="000000"/>
            </w:tcBorders>
            <w:shd w:val="clear" w:color="auto" w:fill="D2D2D2"/>
          </w:tcPr>
          <w:p>
            <w:pPr/>
          </w:p>
        </w:tc>
        <w:tc>
          <w:tcPr>
            <w:tcW w:w="11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1" w:right="41"/>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840" w:type="dxa"/>
            <w:vMerge/>
            <w:tcBorders>
              <w:left w:val="single" w:sz="4" w:space="0" w:color="000000"/>
              <w:right w:val="single" w:sz="4" w:space="0" w:color="000000"/>
            </w:tcBorders>
            <w:shd w:val="clear" w:color="auto" w:fill="D2D2D2"/>
          </w:tcPr>
          <w:p>
            <w:pPr/>
          </w:p>
        </w:tc>
        <w:tc>
          <w:tcPr>
            <w:tcW w:w="1274" w:type="dxa"/>
            <w:vMerge/>
            <w:tcBorders>
              <w:left w:val="single" w:sz="4" w:space="0" w:color="000000"/>
              <w:right w:val="single" w:sz="4" w:space="0" w:color="000000"/>
            </w:tcBorders>
            <w:shd w:val="clear" w:color="auto" w:fill="D2D2D2"/>
          </w:tcPr>
          <w:p>
            <w:pPr/>
          </w:p>
        </w:tc>
        <w:tc>
          <w:tcPr>
            <w:tcW w:w="1462" w:type="dxa"/>
            <w:vMerge/>
            <w:tcBorders>
              <w:left w:val="single" w:sz="4" w:space="0" w:color="000000"/>
              <w:bottom w:val="nil" w:sz="6" w:space="0" w:color="auto"/>
              <w:right w:val="single" w:sz="4" w:space="0" w:color="000000"/>
            </w:tcBorders>
            <w:shd w:val="clear" w:color="auto" w:fill="D2D2D2"/>
          </w:tcPr>
          <w:p>
            <w:pPr/>
          </w:p>
        </w:tc>
        <w:tc>
          <w:tcPr>
            <w:tcW w:w="137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2" w:right="50"/>
              <w:jc w:val="center"/>
              <w:rPr>
                <w:rFonts w:ascii="宋体" w:hAnsi="宋体" w:cs="宋体" w:eastAsia="宋体" w:hint="default"/>
                <w:sz w:val="18"/>
                <w:szCs w:val="18"/>
              </w:rPr>
            </w:pPr>
            <w:r>
              <w:rPr>
                <w:rFonts w:ascii="宋体" w:hAnsi="宋体" w:cs="宋体" w:eastAsia="宋体" w:hint="default"/>
                <w:sz w:val="18"/>
                <w:szCs w:val="18"/>
              </w:rPr>
              <w:t>现金分红金额占 合并报表中归属 于上市公司普通 股股东的净利润 的比率</w:t>
            </w:r>
          </w:p>
        </w:tc>
        <w:tc>
          <w:tcPr>
            <w:tcW w:w="1019" w:type="dxa"/>
            <w:vMerge/>
            <w:tcBorders>
              <w:left w:val="single" w:sz="4" w:space="0" w:color="000000"/>
              <w:bottom w:val="nil" w:sz="6" w:space="0" w:color="auto"/>
              <w:right w:val="single" w:sz="4" w:space="0" w:color="000000"/>
            </w:tcBorders>
            <w:shd w:val="clear" w:color="auto" w:fill="D2D2D2"/>
          </w:tcPr>
          <w:p>
            <w:pPr/>
          </w:p>
        </w:tc>
        <w:tc>
          <w:tcPr>
            <w:tcW w:w="1183"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840" w:type="dxa"/>
            <w:vMerge/>
            <w:tcBorders>
              <w:left w:val="single" w:sz="4" w:space="0" w:color="000000"/>
              <w:right w:val="single" w:sz="4" w:space="0" w:color="000000"/>
            </w:tcBorders>
            <w:shd w:val="clear" w:color="auto" w:fill="D2D2D2"/>
          </w:tcPr>
          <w:p>
            <w:pPr/>
          </w:p>
        </w:tc>
        <w:tc>
          <w:tcPr>
            <w:tcW w:w="1274" w:type="dxa"/>
            <w:vMerge/>
            <w:tcBorders>
              <w:left w:val="single" w:sz="4" w:space="0" w:color="000000"/>
              <w:right w:val="single" w:sz="4" w:space="0" w:color="000000"/>
            </w:tcBorders>
            <w:shd w:val="clear" w:color="auto" w:fill="D2D2D2"/>
          </w:tcPr>
          <w:p>
            <w:pPr/>
          </w:p>
        </w:tc>
        <w:tc>
          <w:tcPr>
            <w:tcW w:w="146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95" w:right="94"/>
              <w:jc w:val="center"/>
              <w:rPr>
                <w:rFonts w:ascii="宋体" w:hAnsi="宋体" w:cs="宋体" w:eastAsia="宋体" w:hint="default"/>
                <w:sz w:val="18"/>
                <w:szCs w:val="18"/>
              </w:rPr>
            </w:pPr>
            <w:r>
              <w:rPr>
                <w:rFonts w:ascii="宋体" w:hAnsi="宋体" w:cs="宋体" w:eastAsia="宋体" w:hint="default"/>
                <w:sz w:val="18"/>
                <w:szCs w:val="18"/>
              </w:rPr>
              <w:t>分红年度合并报 表中归属于上市 公司普通股股东 的净利润</w:t>
            </w:r>
          </w:p>
        </w:tc>
        <w:tc>
          <w:tcPr>
            <w:tcW w:w="1375" w:type="dxa"/>
            <w:vMerge/>
            <w:tcBorders>
              <w:left w:val="single" w:sz="4" w:space="0" w:color="000000"/>
              <w:right w:val="single" w:sz="4" w:space="0" w:color="000000"/>
            </w:tcBorders>
            <w:shd w:val="clear" w:color="auto" w:fill="D2D2D2"/>
          </w:tcPr>
          <w:p>
            <w:pPr/>
          </w:p>
        </w:tc>
        <w:tc>
          <w:tcPr>
            <w:tcW w:w="101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55"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4"/>
              <w:ind w:left="55" w:right="52"/>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p>
        </w:tc>
        <w:tc>
          <w:tcPr>
            <w:tcW w:w="1183"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840" w:type="dxa"/>
            <w:vMerge/>
            <w:tcBorders>
              <w:left w:val="single" w:sz="4" w:space="0" w:color="000000"/>
              <w:right w:val="single" w:sz="4" w:space="0" w:color="000000"/>
            </w:tcBorders>
            <w:shd w:val="clear" w:color="auto" w:fill="D2D2D2"/>
          </w:tcPr>
          <w:p>
            <w:pPr/>
          </w:p>
        </w:tc>
        <w:tc>
          <w:tcPr>
            <w:tcW w:w="1274" w:type="dxa"/>
            <w:vMerge/>
            <w:tcBorders>
              <w:left w:val="single" w:sz="4" w:space="0" w:color="000000"/>
              <w:bottom w:val="nil" w:sz="6" w:space="0" w:color="auto"/>
              <w:right w:val="single" w:sz="4" w:space="0" w:color="000000"/>
            </w:tcBorders>
            <w:shd w:val="clear" w:color="auto" w:fill="D2D2D2"/>
          </w:tcPr>
          <w:p>
            <w:pPr/>
          </w:p>
        </w:tc>
        <w:tc>
          <w:tcPr>
            <w:tcW w:w="1462" w:type="dxa"/>
            <w:vMerge/>
            <w:tcBorders>
              <w:left w:val="single" w:sz="4" w:space="0" w:color="000000"/>
              <w:right w:val="single" w:sz="4" w:space="0" w:color="000000"/>
            </w:tcBorders>
            <w:shd w:val="clear" w:color="auto" w:fill="D2D2D2"/>
          </w:tcPr>
          <w:p>
            <w:pPr/>
          </w:p>
        </w:tc>
        <w:tc>
          <w:tcPr>
            <w:tcW w:w="1375" w:type="dxa"/>
            <w:vMerge/>
            <w:tcBorders>
              <w:left w:val="single" w:sz="4" w:space="0" w:color="000000"/>
              <w:right w:val="single" w:sz="4" w:space="0" w:color="000000"/>
            </w:tcBorders>
            <w:shd w:val="clear" w:color="auto" w:fill="D2D2D2"/>
          </w:tcPr>
          <w:p>
            <w:pPr/>
          </w:p>
        </w:tc>
        <w:tc>
          <w:tcPr>
            <w:tcW w:w="1019" w:type="dxa"/>
            <w:vMerge/>
            <w:tcBorders>
              <w:left w:val="single" w:sz="4" w:space="0" w:color="000000"/>
              <w:right w:val="single" w:sz="4" w:space="0" w:color="000000"/>
            </w:tcBorders>
            <w:shd w:val="clear" w:color="auto" w:fill="D2D2D2"/>
          </w:tcPr>
          <w:p>
            <w:pPr/>
          </w:p>
        </w:tc>
        <w:tc>
          <w:tcPr>
            <w:tcW w:w="1183"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3"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6" w:lineRule="auto" w:before="74"/>
              <w:ind w:left="423" w:right="141" w:hanging="269"/>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840" w:type="dxa"/>
            <w:vMerge/>
            <w:tcBorders>
              <w:left w:val="single" w:sz="4" w:space="0" w:color="000000"/>
              <w:bottom w:val="nil" w:sz="6" w:space="0" w:color="auto"/>
              <w:right w:val="single" w:sz="4" w:space="0" w:color="000000"/>
            </w:tcBorders>
            <w:shd w:val="clear" w:color="auto" w:fill="D2D2D2"/>
          </w:tcPr>
          <w:p>
            <w:pPr/>
          </w:p>
        </w:tc>
        <w:tc>
          <w:tcPr>
            <w:tcW w:w="12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4"/>
              <w:ind w:left="2" w:right="0"/>
              <w:jc w:val="center"/>
              <w:rPr>
                <w:rFonts w:ascii="宋体" w:hAnsi="宋体" w:cs="宋体" w:eastAsia="宋体" w:hint="default"/>
                <w:sz w:val="18"/>
                <w:szCs w:val="18"/>
              </w:rPr>
            </w:pPr>
            <w:r>
              <w:rPr>
                <w:rFonts w:ascii="宋体" w:hAnsi="宋体" w:cs="宋体" w:eastAsia="宋体" w:hint="default"/>
                <w:sz w:val="18"/>
                <w:szCs w:val="18"/>
              </w:rPr>
              <w:t>（含税）</w:t>
            </w:r>
          </w:p>
        </w:tc>
        <w:tc>
          <w:tcPr>
            <w:tcW w:w="1462" w:type="dxa"/>
            <w:vMerge/>
            <w:tcBorders>
              <w:left w:val="single" w:sz="4" w:space="0" w:color="000000"/>
              <w:right w:val="single" w:sz="4" w:space="0" w:color="000000"/>
            </w:tcBorders>
            <w:shd w:val="clear" w:color="auto" w:fill="D2D2D2"/>
          </w:tcPr>
          <w:p>
            <w:pPr/>
          </w:p>
        </w:tc>
        <w:tc>
          <w:tcPr>
            <w:tcW w:w="1375" w:type="dxa"/>
            <w:vMerge/>
            <w:tcBorders>
              <w:left w:val="single" w:sz="4" w:space="0" w:color="000000"/>
              <w:right w:val="single" w:sz="4" w:space="0" w:color="000000"/>
            </w:tcBorders>
            <w:shd w:val="clear" w:color="auto" w:fill="D2D2D2"/>
          </w:tcPr>
          <w:p>
            <w:pPr/>
          </w:p>
        </w:tc>
        <w:tc>
          <w:tcPr>
            <w:tcW w:w="1019" w:type="dxa"/>
            <w:vMerge/>
            <w:tcBorders>
              <w:left w:val="single" w:sz="4" w:space="0" w:color="000000"/>
              <w:right w:val="single" w:sz="4" w:space="0" w:color="000000"/>
            </w:tcBorders>
            <w:shd w:val="clear" w:color="auto" w:fill="D2D2D2"/>
          </w:tcPr>
          <w:p>
            <w:pPr/>
          </w:p>
        </w:tc>
        <w:tc>
          <w:tcPr>
            <w:tcW w:w="1183"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391" w:hRule="exact"/>
        </w:trPr>
        <w:tc>
          <w:tcPr>
            <w:tcW w:w="84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60"/>
              <w:jc w:val="right"/>
              <w:rPr>
                <w:rFonts w:ascii="宋体" w:hAnsi="宋体" w:cs="宋体" w:eastAsia="宋体" w:hint="default"/>
                <w:sz w:val="18"/>
                <w:szCs w:val="18"/>
              </w:rPr>
            </w:pPr>
            <w:r>
              <w:rPr>
                <w:rFonts w:ascii="宋体" w:hAnsi="宋体" w:cs="宋体" w:eastAsia="宋体" w:hint="default"/>
                <w:sz w:val="18"/>
                <w:szCs w:val="18"/>
              </w:rPr>
              <w:t>分红年度</w:t>
            </w:r>
          </w:p>
        </w:tc>
        <w:tc>
          <w:tcPr>
            <w:tcW w:w="1274" w:type="dxa"/>
            <w:vMerge/>
            <w:tcBorders>
              <w:left w:val="single" w:sz="4" w:space="0" w:color="000000"/>
              <w:right w:val="single" w:sz="4" w:space="0" w:color="000000"/>
            </w:tcBorders>
            <w:shd w:val="clear" w:color="auto" w:fill="D2D2D2"/>
          </w:tcPr>
          <w:p>
            <w:pPr/>
          </w:p>
        </w:tc>
        <w:tc>
          <w:tcPr>
            <w:tcW w:w="1462" w:type="dxa"/>
            <w:vMerge/>
            <w:tcBorders>
              <w:left w:val="single" w:sz="4" w:space="0" w:color="000000"/>
              <w:right w:val="single" w:sz="4" w:space="0" w:color="000000"/>
            </w:tcBorders>
            <w:shd w:val="clear" w:color="auto" w:fill="D2D2D2"/>
          </w:tcPr>
          <w:p>
            <w:pPr/>
          </w:p>
        </w:tc>
        <w:tc>
          <w:tcPr>
            <w:tcW w:w="1375" w:type="dxa"/>
            <w:vMerge/>
            <w:tcBorders>
              <w:left w:val="single" w:sz="4" w:space="0" w:color="000000"/>
              <w:right w:val="single" w:sz="4" w:space="0" w:color="000000"/>
            </w:tcBorders>
            <w:shd w:val="clear" w:color="auto" w:fill="D2D2D2"/>
          </w:tcPr>
          <w:p>
            <w:pPr/>
          </w:p>
        </w:tc>
        <w:tc>
          <w:tcPr>
            <w:tcW w:w="1019" w:type="dxa"/>
            <w:vMerge/>
            <w:tcBorders>
              <w:left w:val="single" w:sz="4" w:space="0" w:color="000000"/>
              <w:right w:val="single" w:sz="4" w:space="0" w:color="000000"/>
            </w:tcBorders>
            <w:shd w:val="clear" w:color="auto" w:fill="D2D2D2"/>
          </w:tcPr>
          <w:p>
            <w:pPr/>
          </w:p>
        </w:tc>
        <w:tc>
          <w:tcPr>
            <w:tcW w:w="1183"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840" w:type="dxa"/>
            <w:vMerge w:val="restart"/>
            <w:tcBorders>
              <w:top w:val="nil" w:sz="6" w:space="0" w:color="auto"/>
              <w:left w:val="single" w:sz="4" w:space="0" w:color="000000"/>
              <w:right w:val="single" w:sz="4" w:space="0" w:color="000000"/>
            </w:tcBorders>
            <w:shd w:val="clear" w:color="auto" w:fill="D2D2D2"/>
          </w:tcPr>
          <w:p>
            <w:pPr/>
          </w:p>
        </w:tc>
        <w:tc>
          <w:tcPr>
            <w:tcW w:w="1274" w:type="dxa"/>
            <w:vMerge/>
            <w:tcBorders>
              <w:left w:val="single" w:sz="4" w:space="0" w:color="000000"/>
              <w:bottom w:val="nil" w:sz="6" w:space="0" w:color="auto"/>
              <w:right w:val="single" w:sz="4" w:space="0" w:color="000000"/>
            </w:tcBorders>
            <w:shd w:val="clear" w:color="auto" w:fill="D2D2D2"/>
          </w:tcPr>
          <w:p>
            <w:pPr/>
          </w:p>
        </w:tc>
        <w:tc>
          <w:tcPr>
            <w:tcW w:w="1462" w:type="dxa"/>
            <w:vMerge/>
            <w:tcBorders>
              <w:left w:val="single" w:sz="4" w:space="0" w:color="000000"/>
              <w:right w:val="single" w:sz="4" w:space="0" w:color="000000"/>
            </w:tcBorders>
            <w:shd w:val="clear" w:color="auto" w:fill="D2D2D2"/>
          </w:tcPr>
          <w:p>
            <w:pPr/>
          </w:p>
        </w:tc>
        <w:tc>
          <w:tcPr>
            <w:tcW w:w="1375" w:type="dxa"/>
            <w:vMerge/>
            <w:tcBorders>
              <w:left w:val="single" w:sz="4" w:space="0" w:color="000000"/>
              <w:right w:val="single" w:sz="4" w:space="0" w:color="000000"/>
            </w:tcBorders>
            <w:shd w:val="clear" w:color="auto" w:fill="D2D2D2"/>
          </w:tcPr>
          <w:p>
            <w:pPr/>
          </w:p>
        </w:tc>
        <w:tc>
          <w:tcPr>
            <w:tcW w:w="1019" w:type="dxa"/>
            <w:vMerge/>
            <w:tcBorders>
              <w:left w:val="single" w:sz="4" w:space="0" w:color="000000"/>
              <w:right w:val="single" w:sz="4" w:space="0" w:color="000000"/>
            </w:tcBorders>
            <w:shd w:val="clear" w:color="auto" w:fill="D2D2D2"/>
          </w:tcPr>
          <w:p>
            <w:pPr/>
          </w:p>
        </w:tc>
        <w:tc>
          <w:tcPr>
            <w:tcW w:w="1183"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840" w:type="dxa"/>
            <w:vMerge/>
            <w:tcBorders>
              <w:left w:val="single" w:sz="4" w:space="0" w:color="000000"/>
              <w:right w:val="single" w:sz="4" w:space="0" w:color="000000"/>
            </w:tcBorders>
            <w:shd w:val="clear" w:color="auto" w:fill="D2D2D2"/>
          </w:tcPr>
          <w:p>
            <w:pPr/>
          </w:p>
        </w:tc>
        <w:tc>
          <w:tcPr>
            <w:tcW w:w="1274" w:type="dxa"/>
            <w:vMerge w:val="restart"/>
            <w:tcBorders>
              <w:top w:val="nil" w:sz="6" w:space="0" w:color="auto"/>
              <w:left w:val="single" w:sz="4" w:space="0" w:color="000000"/>
              <w:right w:val="single" w:sz="4" w:space="0" w:color="000000"/>
            </w:tcBorders>
            <w:shd w:val="clear" w:color="auto" w:fill="D2D2D2"/>
          </w:tcPr>
          <w:p>
            <w:pPr/>
          </w:p>
        </w:tc>
        <w:tc>
          <w:tcPr>
            <w:tcW w:w="1462" w:type="dxa"/>
            <w:vMerge/>
            <w:tcBorders>
              <w:left w:val="single" w:sz="4" w:space="0" w:color="000000"/>
              <w:right w:val="single" w:sz="4" w:space="0" w:color="000000"/>
            </w:tcBorders>
            <w:shd w:val="clear" w:color="auto" w:fill="D2D2D2"/>
          </w:tcPr>
          <w:p>
            <w:pPr/>
          </w:p>
        </w:tc>
        <w:tc>
          <w:tcPr>
            <w:tcW w:w="1375" w:type="dxa"/>
            <w:vMerge/>
            <w:tcBorders>
              <w:left w:val="single" w:sz="4" w:space="0" w:color="000000"/>
              <w:right w:val="single" w:sz="4" w:space="0" w:color="000000"/>
            </w:tcBorders>
            <w:shd w:val="clear" w:color="auto" w:fill="D2D2D2"/>
          </w:tcPr>
          <w:p>
            <w:pPr/>
          </w:p>
        </w:tc>
        <w:tc>
          <w:tcPr>
            <w:tcW w:w="1019" w:type="dxa"/>
            <w:vMerge/>
            <w:tcBorders>
              <w:left w:val="single" w:sz="4" w:space="0" w:color="000000"/>
              <w:right w:val="single" w:sz="4" w:space="0" w:color="000000"/>
            </w:tcBorders>
            <w:shd w:val="clear" w:color="auto" w:fill="D2D2D2"/>
          </w:tcPr>
          <w:p>
            <w:pPr/>
          </w:p>
        </w:tc>
        <w:tc>
          <w:tcPr>
            <w:tcW w:w="1183"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7" w:hRule="exact"/>
        </w:trPr>
        <w:tc>
          <w:tcPr>
            <w:tcW w:w="840" w:type="dxa"/>
            <w:vMerge/>
            <w:tcBorders>
              <w:left w:val="single" w:sz="4" w:space="0" w:color="000000"/>
              <w:right w:val="single" w:sz="4" w:space="0" w:color="000000"/>
            </w:tcBorders>
            <w:shd w:val="clear" w:color="auto" w:fill="D2D2D2"/>
          </w:tcPr>
          <w:p>
            <w:pPr/>
          </w:p>
        </w:tc>
        <w:tc>
          <w:tcPr>
            <w:tcW w:w="1274" w:type="dxa"/>
            <w:vMerge/>
            <w:tcBorders>
              <w:left w:val="single" w:sz="4" w:space="0" w:color="000000"/>
              <w:right w:val="single" w:sz="4" w:space="0" w:color="000000"/>
            </w:tcBorders>
            <w:shd w:val="clear" w:color="auto" w:fill="D2D2D2"/>
          </w:tcPr>
          <w:p>
            <w:pPr/>
          </w:p>
        </w:tc>
        <w:tc>
          <w:tcPr>
            <w:tcW w:w="1462" w:type="dxa"/>
            <w:vMerge/>
            <w:tcBorders>
              <w:left w:val="single" w:sz="4" w:space="0" w:color="000000"/>
              <w:bottom w:val="nil" w:sz="6" w:space="0" w:color="auto"/>
              <w:right w:val="single" w:sz="4" w:space="0" w:color="000000"/>
            </w:tcBorders>
            <w:shd w:val="clear" w:color="auto" w:fill="D2D2D2"/>
          </w:tcPr>
          <w:p>
            <w:pPr/>
          </w:p>
        </w:tc>
        <w:tc>
          <w:tcPr>
            <w:tcW w:w="1375" w:type="dxa"/>
            <w:vMerge/>
            <w:tcBorders>
              <w:left w:val="single" w:sz="4" w:space="0" w:color="000000"/>
              <w:right w:val="single" w:sz="4" w:space="0" w:color="000000"/>
            </w:tcBorders>
            <w:shd w:val="clear" w:color="auto" w:fill="D2D2D2"/>
          </w:tcPr>
          <w:p>
            <w:pPr/>
          </w:p>
        </w:tc>
        <w:tc>
          <w:tcPr>
            <w:tcW w:w="1019" w:type="dxa"/>
            <w:vMerge/>
            <w:tcBorders>
              <w:left w:val="single" w:sz="4" w:space="0" w:color="000000"/>
              <w:bottom w:val="nil" w:sz="6" w:space="0" w:color="auto"/>
              <w:right w:val="single" w:sz="4" w:space="0" w:color="000000"/>
            </w:tcBorders>
            <w:shd w:val="clear" w:color="auto" w:fill="D2D2D2"/>
          </w:tcPr>
          <w:p>
            <w:pPr/>
          </w:p>
        </w:tc>
        <w:tc>
          <w:tcPr>
            <w:tcW w:w="1183"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840" w:type="dxa"/>
            <w:vMerge/>
            <w:tcBorders>
              <w:left w:val="single" w:sz="4" w:space="0" w:color="000000"/>
              <w:right w:val="single" w:sz="4" w:space="0" w:color="000000"/>
            </w:tcBorders>
            <w:shd w:val="clear" w:color="auto" w:fill="D2D2D2"/>
          </w:tcPr>
          <w:p>
            <w:pPr/>
          </w:p>
        </w:tc>
        <w:tc>
          <w:tcPr>
            <w:tcW w:w="1274" w:type="dxa"/>
            <w:vMerge/>
            <w:tcBorders>
              <w:left w:val="single" w:sz="4" w:space="0" w:color="000000"/>
              <w:right w:val="single" w:sz="4" w:space="0" w:color="000000"/>
            </w:tcBorders>
            <w:shd w:val="clear" w:color="auto" w:fill="D2D2D2"/>
          </w:tcPr>
          <w:p>
            <w:pPr/>
          </w:p>
        </w:tc>
        <w:tc>
          <w:tcPr>
            <w:tcW w:w="1462" w:type="dxa"/>
            <w:vMerge w:val="restart"/>
            <w:tcBorders>
              <w:top w:val="nil" w:sz="6" w:space="0" w:color="auto"/>
              <w:left w:val="single" w:sz="4" w:space="0" w:color="000000"/>
              <w:right w:val="single" w:sz="4" w:space="0" w:color="000000"/>
            </w:tcBorders>
            <w:shd w:val="clear" w:color="auto" w:fill="D2D2D2"/>
          </w:tcPr>
          <w:p>
            <w:pPr/>
          </w:p>
        </w:tc>
        <w:tc>
          <w:tcPr>
            <w:tcW w:w="1375" w:type="dxa"/>
            <w:vMerge/>
            <w:tcBorders>
              <w:left w:val="single" w:sz="4" w:space="0" w:color="000000"/>
              <w:bottom w:val="nil" w:sz="6" w:space="0" w:color="auto"/>
              <w:right w:val="single" w:sz="4" w:space="0" w:color="000000"/>
            </w:tcBorders>
            <w:shd w:val="clear" w:color="auto" w:fill="D2D2D2"/>
          </w:tcPr>
          <w:p>
            <w:pPr/>
          </w:p>
        </w:tc>
        <w:tc>
          <w:tcPr>
            <w:tcW w:w="1019" w:type="dxa"/>
            <w:vMerge w:val="restart"/>
            <w:tcBorders>
              <w:top w:val="nil" w:sz="6" w:space="0" w:color="auto"/>
              <w:left w:val="single" w:sz="4" w:space="0" w:color="000000"/>
              <w:right w:val="single" w:sz="4" w:space="0" w:color="000000"/>
            </w:tcBorders>
            <w:shd w:val="clear" w:color="auto" w:fill="D2D2D2"/>
          </w:tcPr>
          <w:p>
            <w:pPr/>
          </w:p>
        </w:tc>
        <w:tc>
          <w:tcPr>
            <w:tcW w:w="1183"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840" w:type="dxa"/>
            <w:vMerge/>
            <w:tcBorders>
              <w:left w:val="single" w:sz="4" w:space="0" w:color="000000"/>
              <w:right w:val="single" w:sz="4" w:space="0" w:color="000000"/>
            </w:tcBorders>
            <w:shd w:val="clear" w:color="auto" w:fill="D2D2D2"/>
          </w:tcPr>
          <w:p>
            <w:pPr/>
          </w:p>
        </w:tc>
        <w:tc>
          <w:tcPr>
            <w:tcW w:w="1274" w:type="dxa"/>
            <w:vMerge/>
            <w:tcBorders>
              <w:left w:val="single" w:sz="4" w:space="0" w:color="000000"/>
              <w:right w:val="single" w:sz="4" w:space="0" w:color="000000"/>
            </w:tcBorders>
            <w:shd w:val="clear" w:color="auto" w:fill="D2D2D2"/>
          </w:tcPr>
          <w:p>
            <w:pPr/>
          </w:p>
        </w:tc>
        <w:tc>
          <w:tcPr>
            <w:tcW w:w="1462" w:type="dxa"/>
            <w:vMerge/>
            <w:tcBorders>
              <w:left w:val="single" w:sz="4" w:space="0" w:color="000000"/>
              <w:right w:val="single" w:sz="4" w:space="0" w:color="000000"/>
            </w:tcBorders>
            <w:shd w:val="clear" w:color="auto" w:fill="D2D2D2"/>
          </w:tcPr>
          <w:p>
            <w:pPr/>
          </w:p>
        </w:tc>
        <w:tc>
          <w:tcPr>
            <w:tcW w:w="1375" w:type="dxa"/>
            <w:vMerge w:val="restart"/>
            <w:tcBorders>
              <w:top w:val="nil" w:sz="6" w:space="0" w:color="auto"/>
              <w:left w:val="single" w:sz="4" w:space="0" w:color="000000"/>
              <w:right w:val="single" w:sz="4" w:space="0" w:color="000000"/>
            </w:tcBorders>
            <w:shd w:val="clear" w:color="auto" w:fill="D2D2D2"/>
          </w:tcPr>
          <w:p>
            <w:pPr/>
          </w:p>
        </w:tc>
        <w:tc>
          <w:tcPr>
            <w:tcW w:w="1019" w:type="dxa"/>
            <w:vMerge/>
            <w:tcBorders>
              <w:left w:val="single" w:sz="4" w:space="0" w:color="000000"/>
              <w:right w:val="single" w:sz="4" w:space="0" w:color="000000"/>
            </w:tcBorders>
            <w:shd w:val="clear" w:color="auto" w:fill="D2D2D2"/>
          </w:tcPr>
          <w:p>
            <w:pPr/>
          </w:p>
        </w:tc>
        <w:tc>
          <w:tcPr>
            <w:tcW w:w="1183" w:type="dxa"/>
            <w:vMerge/>
            <w:tcBorders>
              <w:left w:val="single" w:sz="4" w:space="0" w:color="000000"/>
              <w:bottom w:val="nil" w:sz="6" w:space="0" w:color="auto"/>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61" w:hRule="exact"/>
        </w:trPr>
        <w:tc>
          <w:tcPr>
            <w:tcW w:w="840"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462" w:type="dxa"/>
            <w:vMerge/>
            <w:tcBorders>
              <w:left w:val="single" w:sz="4" w:space="0" w:color="000000"/>
              <w:bottom w:val="single" w:sz="4" w:space="0" w:color="000000"/>
              <w:right w:val="single" w:sz="4" w:space="0" w:color="000000"/>
            </w:tcBorders>
            <w:shd w:val="clear" w:color="auto" w:fill="D2D2D2"/>
          </w:tcPr>
          <w:p>
            <w:pPr/>
          </w:p>
        </w:tc>
        <w:tc>
          <w:tcPr>
            <w:tcW w:w="1375" w:type="dxa"/>
            <w:vMerge/>
            <w:tcBorders>
              <w:left w:val="single" w:sz="4" w:space="0" w:color="000000"/>
              <w:bottom w:val="single" w:sz="4" w:space="0" w:color="000000"/>
              <w:right w:val="single" w:sz="4" w:space="0" w:color="000000"/>
            </w:tcBorders>
            <w:shd w:val="clear" w:color="auto" w:fill="D2D2D2"/>
          </w:tcPr>
          <w:p>
            <w:pPr/>
          </w:p>
        </w:tc>
        <w:tc>
          <w:tcPr>
            <w:tcW w:w="1019" w:type="dxa"/>
            <w:vMerge/>
            <w:tcBorders>
              <w:left w:val="single" w:sz="4" w:space="0" w:color="000000"/>
              <w:bottom w:val="single" w:sz="4" w:space="0" w:color="000000"/>
              <w:right w:val="single" w:sz="4" w:space="0" w:color="000000"/>
            </w:tcBorders>
            <w:shd w:val="clear" w:color="auto" w:fill="D2D2D2"/>
          </w:tcPr>
          <w:p>
            <w:pPr/>
          </w:p>
        </w:tc>
        <w:tc>
          <w:tcPr>
            <w:tcW w:w="11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8"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25"/>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-1,397,325,377.07</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5"/>
              <w:jc w:val="righ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27,422,156.83</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231,999,258.41</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11.82%</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0.00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8"/>
              <w:jc w:val="right"/>
              <w:rPr>
                <w:rFonts w:ascii="Times New Roman" w:hAnsi="Times New Roman" w:cs="Times New Roman" w:eastAsia="Times New Roman" w:hint="default"/>
                <w:sz w:val="18"/>
                <w:szCs w:val="18"/>
              </w:rPr>
            </w:pPr>
            <w:r>
              <w:rPr>
                <w:rFonts w:ascii="Times New Roman"/>
                <w:sz w:val="18"/>
              </w:rPr>
              <w:t>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27,422,156.83</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6"/>
              <w:jc w:val="right"/>
              <w:rPr>
                <w:rFonts w:ascii="Times New Roman" w:hAnsi="Times New Roman" w:cs="Times New Roman" w:eastAsia="Times New Roman" w:hint="default"/>
                <w:sz w:val="18"/>
                <w:szCs w:val="18"/>
              </w:rPr>
            </w:pPr>
            <w:r>
              <w:rPr>
                <w:rFonts w:ascii="Times New Roman"/>
                <w:spacing w:val="-1"/>
                <w:sz w:val="18"/>
              </w:rPr>
              <w:t>11.82%</w:t>
            </w:r>
          </w:p>
        </w:tc>
      </w:tr>
      <w:tr>
        <w:trPr>
          <w:trHeight w:val="403" w:hRule="exact"/>
        </w:trPr>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25"/>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39,181,140.40</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326,506,950.26</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12.00%</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39,181,140.40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12.00%</w:t>
            </w:r>
          </w:p>
        </w:tc>
      </w:tr>
    </w:tbl>
    <w:p>
      <w:pPr>
        <w:pStyle w:val="BodyText"/>
        <w:spacing w:line="240" w:lineRule="auto" w:before="49"/>
        <w:ind w:right="2602"/>
        <w:jc w:val="left"/>
      </w:pPr>
      <w:r>
        <w:rPr/>
        <w:t>公司报告期内盈利且母公司可供普通股股东分配利润为正但未提出普通股现金红利分配预案</w:t>
      </w:r>
    </w:p>
    <w:p>
      <w:pPr>
        <w:pStyle w:val="BodyText"/>
        <w:spacing w:line="240" w:lineRule="auto" w:before="115"/>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r>
        <w:rPr/>
        <w:pict>
          <v:group style="position:absolute;margin-left:439.75pt;margin-top:621.435974pt;width:42.05pt;height:70.25pt;mso-position-horizontal-relative:page;mso-position-vertical-relative:page;z-index:-1334032" coordorigin="8795,12429" coordsize="841,1405">
            <v:group style="position:absolute;left:8795;top:12429;width:841;height:1055" coordorigin="8795,12429" coordsize="841,1055">
              <v:shape style="position:absolute;left:8795;top:12429;width:841;height:1055" coordorigin="8795,12429" coordsize="841,1055" path="m8795,13483l9635,13483,9635,12429,8795,12429,8795,13483xe" filled="true" fillcolor="#ffffff" stroked="false">
                <v:path arrowok="t"/>
                <v:fill type="solid"/>
              </v:shape>
            </v:group>
            <v:group style="position:absolute;left:8820;top:13483;width:795;height:351" coordorigin="8820,13483" coordsize="795,351">
              <v:shape style="position:absolute;left:8820;top:13483;width:795;height:351" coordorigin="8820,13483" coordsize="795,351" path="m8820,13833l9614,13833,9614,13483,8820,13483,8820,13833xe" filled="true" fillcolor="#ffffff" stroked="false">
                <v:path arrowok="t"/>
                <v:fill type="solid"/>
              </v:shape>
            </v:group>
            <w10:wrap type="none"/>
          </v:group>
        </w:pict>
      </w:r>
    </w:p>
    <w:p>
      <w:pPr>
        <w:pStyle w:val="Heading2"/>
        <w:spacing w:line="240" w:lineRule="auto" w:before="26"/>
        <w:ind w:right="2602"/>
        <w:jc w:val="left"/>
        <w:rPr>
          <w:b w:val="0"/>
          <w:bCs w:val="0"/>
        </w:rPr>
      </w:pPr>
      <w:bookmarkStart w:name="二、承诺事项履行情况" w:id="67"/>
      <w:bookmarkEnd w:id="67"/>
      <w:r>
        <w:rPr>
          <w:b w:val="0"/>
          <w:bCs w:val="0"/>
        </w:rPr>
      </w:r>
      <w:r>
        <w:rPr/>
        <w:t>二、承诺事项履行情况</w:t>
      </w:r>
      <w:r>
        <w:rPr>
          <w:b w:val="0"/>
          <w:bCs w:val="0"/>
        </w:rPr>
      </w:r>
    </w:p>
    <w:p>
      <w:pPr>
        <w:spacing w:line="240" w:lineRule="auto" w:before="12"/>
        <w:rPr>
          <w:rFonts w:ascii="宋体" w:hAnsi="宋体" w:cs="宋体" w:eastAsia="宋体" w:hint="default"/>
          <w:b/>
          <w:bCs/>
          <w:sz w:val="24"/>
          <w:szCs w:val="24"/>
        </w:rPr>
      </w:pPr>
    </w:p>
    <w:p>
      <w:pPr>
        <w:pStyle w:val="Heading3"/>
        <w:spacing w:line="256" w:lineRule="auto"/>
        <w:ind w:right="0"/>
        <w:jc w:val="left"/>
        <w:rPr>
          <w:b w:val="0"/>
          <w:bCs w:val="0"/>
        </w:rPr>
      </w:pPr>
      <w:bookmarkStart w:name="1、公司实际控制人、股东、关联方、收购人以及公司等承诺相关方在报告期内履行完毕及" w:id="68"/>
      <w:bookmarkEnd w:id="68"/>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65"/>
        </w:rPr>
        <w:t> </w:t>
      </w:r>
      <w:r>
        <w:rPr>
          <w:spacing w:val="-65"/>
        </w:rPr>
      </w:r>
      <w:r>
        <w:rPr/>
        <w:t>尚未履行完毕的承诺事项</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702"/>
        <w:gridCol w:w="1275"/>
        <w:gridCol w:w="1135"/>
        <w:gridCol w:w="3545"/>
        <w:gridCol w:w="850"/>
        <w:gridCol w:w="566"/>
        <w:gridCol w:w="497"/>
      </w:tblGrid>
      <w:tr>
        <w:trPr>
          <w:trHeight w:val="161" w:hRule="exact"/>
        </w:trPr>
        <w:tc>
          <w:tcPr>
            <w:tcW w:w="1702"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5" w:type="dxa"/>
            <w:tcBorders>
              <w:top w:val="single" w:sz="4" w:space="0" w:color="000000"/>
              <w:left w:val="single" w:sz="4" w:space="0" w:color="000000"/>
              <w:bottom w:val="nil" w:sz="6" w:space="0" w:color="auto"/>
              <w:right w:val="single" w:sz="4" w:space="0" w:color="000000"/>
            </w:tcBorders>
            <w:shd w:val="clear" w:color="auto" w:fill="D2D2D2"/>
          </w:tcPr>
          <w:p>
            <w:pPr/>
          </w:p>
        </w:tc>
        <w:tc>
          <w:tcPr>
            <w:tcW w:w="3545" w:type="dxa"/>
            <w:tcBorders>
              <w:top w:val="single" w:sz="4" w:space="0" w:color="000000"/>
              <w:left w:val="single" w:sz="4" w:space="0" w:color="000000"/>
              <w:bottom w:val="nil" w:sz="6" w:space="0" w:color="auto"/>
              <w:right w:val="single" w:sz="4" w:space="0" w:color="000000"/>
            </w:tcBorders>
            <w:shd w:val="clear" w:color="auto" w:fill="D2D2D2"/>
          </w:tcPr>
          <w:p>
            <w:pPr/>
          </w:p>
        </w:tc>
        <w:tc>
          <w:tcPr>
            <w:tcW w:w="850" w:type="dxa"/>
            <w:tcBorders>
              <w:top w:val="nil" w:sz="6" w:space="0" w:color="auto"/>
              <w:left w:val="single" w:sz="4" w:space="0" w:color="000000"/>
              <w:bottom w:val="nil" w:sz="6" w:space="0" w:color="auto"/>
              <w:right w:val="single" w:sz="4" w:space="0" w:color="000000"/>
            </w:tcBorders>
            <w:shd w:val="clear" w:color="auto" w:fill="D2D2D2"/>
          </w:tcPr>
          <w:p>
            <w:pP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98" w:right="96"/>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4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64" w:right="60"/>
              <w:jc w:val="left"/>
              <w:rPr>
                <w:rFonts w:ascii="宋体" w:hAnsi="宋体" w:cs="宋体" w:eastAsia="宋体" w:hint="default"/>
                <w:sz w:val="18"/>
                <w:szCs w:val="18"/>
              </w:rPr>
            </w:pPr>
            <w:r>
              <w:rPr>
                <w:rFonts w:ascii="宋体" w:hAnsi="宋体" w:cs="宋体" w:eastAsia="宋体" w:hint="default"/>
                <w:sz w:val="18"/>
                <w:szCs w:val="18"/>
              </w:rPr>
              <w:t>履行 情况</w:t>
            </w:r>
          </w:p>
        </w:tc>
      </w:tr>
      <w:tr>
        <w:trPr>
          <w:trHeight w:val="394" w:hRule="exact"/>
        </w:trPr>
        <w:tc>
          <w:tcPr>
            <w:tcW w:w="17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485"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127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62"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35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85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60"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566" w:type="dxa"/>
            <w:vMerge/>
            <w:tcBorders>
              <w:left w:val="single" w:sz="4" w:space="0" w:color="000000"/>
              <w:right w:val="single" w:sz="4" w:space="0" w:color="000000"/>
            </w:tcBorders>
            <w:shd w:val="clear" w:color="auto" w:fill="D2D2D2"/>
          </w:tcPr>
          <w:p>
            <w:pPr/>
          </w:p>
        </w:tc>
        <w:tc>
          <w:tcPr>
            <w:tcW w:w="497" w:type="dxa"/>
            <w:vMerge/>
            <w:tcBorders>
              <w:left w:val="single" w:sz="4" w:space="0" w:color="000000"/>
              <w:right w:val="single" w:sz="4" w:space="0" w:color="000000"/>
            </w:tcBorders>
            <w:shd w:val="clear" w:color="auto" w:fill="D2D2D2"/>
          </w:tcPr>
          <w:p>
            <w:pPr/>
          </w:p>
        </w:tc>
      </w:tr>
      <w:tr>
        <w:trPr>
          <w:trHeight w:val="161" w:hRule="exact"/>
        </w:trPr>
        <w:tc>
          <w:tcPr>
            <w:tcW w:w="1702"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5" w:type="dxa"/>
            <w:tcBorders>
              <w:top w:val="nil" w:sz="6" w:space="0" w:color="auto"/>
              <w:left w:val="single" w:sz="4" w:space="0" w:color="000000"/>
              <w:bottom w:val="single" w:sz="4" w:space="0" w:color="000000"/>
              <w:right w:val="single" w:sz="4" w:space="0" w:color="000000"/>
            </w:tcBorders>
            <w:shd w:val="clear" w:color="auto" w:fill="D2D2D2"/>
          </w:tcPr>
          <w:p>
            <w:pPr/>
          </w:p>
        </w:tc>
        <w:tc>
          <w:tcPr>
            <w:tcW w:w="3545" w:type="dxa"/>
            <w:tcBorders>
              <w:top w:val="nil" w:sz="6" w:space="0" w:color="auto"/>
              <w:left w:val="single" w:sz="4" w:space="0" w:color="000000"/>
              <w:bottom w:val="single" w:sz="4" w:space="0" w:color="000000"/>
              <w:right w:val="single" w:sz="4" w:space="0" w:color="000000"/>
            </w:tcBorders>
            <w:shd w:val="clear" w:color="auto" w:fill="D2D2D2"/>
          </w:tcPr>
          <w:p>
            <w:pPr/>
          </w:p>
        </w:tc>
        <w:tc>
          <w:tcPr>
            <w:tcW w:w="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497" w:type="dxa"/>
            <w:vMerge/>
            <w:tcBorders>
              <w:left w:val="single" w:sz="4" w:space="0" w:color="000000"/>
              <w:bottom w:val="single" w:sz="4" w:space="0" w:color="000000"/>
              <w:right w:val="single" w:sz="4" w:space="0" w:color="000000"/>
            </w:tcBorders>
            <w:shd w:val="clear" w:color="auto" w:fill="D2D2D2"/>
          </w:tcPr>
          <w:p>
            <w:pPr/>
          </w:p>
        </w:tc>
      </w:tr>
      <w:tr>
        <w:trPr>
          <w:trHeight w:val="3010" w:hRule="exact"/>
        </w:trPr>
        <w:tc>
          <w:tcPr>
            <w:tcW w:w="1702"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5"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338" w:lineRule="auto"/>
              <w:ind w:left="17" w:right="159"/>
              <w:jc w:val="left"/>
              <w:rPr>
                <w:rFonts w:ascii="宋体" w:hAnsi="宋体" w:cs="宋体" w:eastAsia="宋体" w:hint="default"/>
                <w:sz w:val="18"/>
                <w:szCs w:val="18"/>
              </w:rPr>
            </w:pPr>
            <w:r>
              <w:rPr>
                <w:rFonts w:ascii="宋体" w:hAnsi="宋体" w:cs="宋体" w:eastAsia="宋体" w:hint="default"/>
                <w:sz w:val="18"/>
                <w:szCs w:val="18"/>
              </w:rPr>
              <w:t>上海万豪投资 有限公司； 史一兵</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1"/>
              <w:ind w:left="26" w:right="19"/>
              <w:jc w:val="left"/>
              <w:rPr>
                <w:rFonts w:ascii="宋体" w:hAnsi="宋体" w:cs="宋体" w:eastAsia="宋体" w:hint="default"/>
                <w:sz w:val="18"/>
                <w:szCs w:val="18"/>
              </w:rPr>
            </w:pPr>
            <w:r>
              <w:rPr>
                <w:rFonts w:ascii="宋体" w:hAnsi="宋体" w:cs="宋体" w:eastAsia="宋体" w:hint="default"/>
                <w:sz w:val="18"/>
                <w:szCs w:val="18"/>
              </w:rPr>
              <w:t>关于同业竞 争、关联交 易、资金占用 方面的承诺</w:t>
            </w:r>
          </w:p>
        </w:tc>
        <w:tc>
          <w:tcPr>
            <w:tcW w:w="3545" w:type="dxa"/>
            <w:vMerge w:val="restart"/>
            <w:tcBorders>
              <w:top w:val="single" w:sz="4" w:space="0" w:color="000000"/>
              <w:left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避免同业竞争的承诺</w:t>
            </w:r>
          </w:p>
          <w:p>
            <w:pPr>
              <w:pStyle w:val="TableParagraph"/>
              <w:spacing w:line="316" w:lineRule="auto" w:before="115"/>
              <w:ind w:left="23" w:right="2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、公司的控股股东万豪投资已出具了《避免</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5"/>
                <w:w w:val="100"/>
                <w:sz w:val="18"/>
                <w:szCs w:val="18"/>
              </w:rPr>
              <w:t>同业竞争的承诺函》，承诺如下：</w:t>
            </w:r>
            <w:r>
              <w:rPr>
                <w:rFonts w:ascii="Times New Roman" w:hAnsi="Times New Roman" w:cs="Times New Roman" w:eastAsia="Times New Roman" w:hint="default"/>
                <w:spacing w:val="-5"/>
                <w:w w:val="100"/>
                <w:sz w:val="18"/>
                <w:szCs w:val="18"/>
              </w:rPr>
              <w:t>“</w:t>
            </w:r>
            <w:r>
              <w:rPr>
                <w:rFonts w:ascii="宋体" w:hAnsi="宋体" w:cs="宋体" w:eastAsia="宋体" w:hint="default"/>
                <w:spacing w:val="-5"/>
                <w:w w:val="100"/>
                <w:sz w:val="18"/>
                <w:szCs w:val="18"/>
              </w:rPr>
              <w:t>本公司及</w:t>
            </w:r>
            <w:r>
              <w:rPr>
                <w:rFonts w:ascii="宋体" w:hAnsi="宋体" w:cs="宋体" w:eastAsia="宋体" w:hint="default"/>
                <w:spacing w:val="-82"/>
                <w:w w:val="100"/>
                <w:sz w:val="18"/>
                <w:szCs w:val="18"/>
              </w:rPr>
              <w:t> </w:t>
            </w:r>
            <w:r>
              <w:rPr>
                <w:rFonts w:ascii="宋体" w:hAnsi="宋体" w:cs="宋体" w:eastAsia="宋体" w:hint="default"/>
                <w:sz w:val="18"/>
                <w:szCs w:val="18"/>
              </w:rPr>
              <w:t>由本公司控制的公司或其他经营组织目前未 从事与万达信息股份有限公司及万达信息股 份有限公司下属控股子公司已生产经营或将 生产经营的产品具有同业竞争或潜在同业竞 争的产品的生产经营；将来也不从事与本公 司及本公司下属控股子公司已生产经营或将 生产经营的产品具有同业竞争或潜在同业竞 争的产品的生产经营。</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、公司的实际控制人史一兵先生已出具了</w:t>
            </w:r>
          </w:p>
          <w:p>
            <w:pPr>
              <w:pStyle w:val="TableParagraph"/>
              <w:spacing w:line="316" w:lineRule="auto"/>
              <w:ind w:left="23" w:right="89"/>
              <w:jc w:val="both"/>
              <w:rPr>
                <w:rFonts w:ascii="宋体" w:hAnsi="宋体" w:cs="宋体" w:eastAsia="宋体" w:hint="default"/>
                <w:sz w:val="18"/>
                <w:szCs w:val="18"/>
              </w:rPr>
            </w:pPr>
            <w:r>
              <w:rPr>
                <w:rFonts w:ascii="宋体" w:hAnsi="宋体" w:cs="宋体" w:eastAsia="宋体" w:hint="default"/>
                <w:spacing w:val="-5"/>
                <w:w w:val="100"/>
                <w:sz w:val="18"/>
                <w:szCs w:val="18"/>
              </w:rPr>
              <w:t>《避免同业竞争的承诺函》，承诺如下：</w:t>
            </w:r>
            <w:r>
              <w:rPr>
                <w:rFonts w:ascii="Times New Roman" w:hAnsi="Times New Roman" w:cs="Times New Roman" w:eastAsia="Times New Roman" w:hint="default"/>
                <w:spacing w:val="-5"/>
                <w:w w:val="100"/>
                <w:sz w:val="18"/>
                <w:szCs w:val="18"/>
              </w:rPr>
              <w:t>“</w:t>
            </w:r>
            <w:r>
              <w:rPr>
                <w:rFonts w:ascii="宋体" w:hAnsi="宋体" w:cs="宋体" w:eastAsia="宋体" w:hint="default"/>
                <w:spacing w:val="-5"/>
                <w:w w:val="100"/>
                <w:sz w:val="18"/>
                <w:szCs w:val="18"/>
              </w:rPr>
              <w:t>本</w:t>
            </w:r>
            <w:r>
              <w:rPr>
                <w:rFonts w:ascii="宋体" w:hAnsi="宋体" w:cs="宋体" w:eastAsia="宋体" w:hint="default"/>
                <w:spacing w:val="-82"/>
                <w:w w:val="100"/>
                <w:sz w:val="18"/>
                <w:szCs w:val="18"/>
              </w:rPr>
              <w:t> </w:t>
            </w:r>
            <w:r>
              <w:rPr>
                <w:rFonts w:ascii="宋体" w:hAnsi="宋体" w:cs="宋体" w:eastAsia="宋体" w:hint="default"/>
                <w:sz w:val="18"/>
                <w:szCs w:val="18"/>
              </w:rPr>
              <w:t>人及由本人控制的公司或其他经营组织目前 未从事与万达信息股份有限公司及万达信息 股份有限公司下属控股子公司已生产经营或 将生产经营的产品具有同业竞争或潜在同业 竞争的产品的生产经营；将来也不从事与本 公司及本公司下属控股子公司已生产经营或 将生产经营的产品具有同业竞争或潜在同业 竞争的产品的生产经营。</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49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3"/>
                <w:szCs w:val="23"/>
              </w:rPr>
            </w:pPr>
          </w:p>
          <w:p>
            <w:pPr>
              <w:pStyle w:val="TableParagraph"/>
              <w:spacing w:line="316" w:lineRule="auto"/>
              <w:ind w:left="23" w:right="101"/>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703" w:hRule="exact"/>
        </w:trPr>
        <w:tc>
          <w:tcPr>
            <w:tcW w:w="17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首次公开发行或再融 资时所作承诺</w:t>
            </w:r>
          </w:p>
        </w:tc>
        <w:tc>
          <w:tcPr>
            <w:tcW w:w="1275" w:type="dxa"/>
            <w:vMerge/>
            <w:tcBorders>
              <w:left w:val="single" w:sz="9" w:space="0" w:color="D2D2D2"/>
              <w:right w:val="single" w:sz="4" w:space="0" w:color="000000"/>
            </w:tcBorders>
          </w:tcPr>
          <w:p>
            <w:pPr/>
          </w:p>
        </w:tc>
        <w:tc>
          <w:tcPr>
            <w:tcW w:w="1135" w:type="dxa"/>
            <w:vMerge/>
            <w:tcBorders>
              <w:left w:val="single" w:sz="4" w:space="0" w:color="000000"/>
              <w:right w:val="single" w:sz="4" w:space="0" w:color="000000"/>
            </w:tcBorders>
          </w:tcPr>
          <w:p>
            <w:pPr/>
          </w:p>
        </w:tc>
        <w:tc>
          <w:tcPr>
            <w:tcW w:w="3545"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497" w:type="dxa"/>
            <w:vMerge/>
            <w:tcBorders>
              <w:left w:val="single" w:sz="4" w:space="0" w:color="000000"/>
              <w:right w:val="single" w:sz="4" w:space="0" w:color="000000"/>
            </w:tcBorders>
          </w:tcPr>
          <w:p>
            <w:pPr/>
          </w:p>
        </w:tc>
      </w:tr>
      <w:tr>
        <w:trPr>
          <w:trHeight w:val="3010" w:hRule="exact"/>
        </w:trPr>
        <w:tc>
          <w:tcPr>
            <w:tcW w:w="1702"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5" w:type="dxa"/>
            <w:vMerge/>
            <w:tcBorders>
              <w:left w:val="single" w:sz="9" w:space="0" w:color="D2D2D2"/>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3545"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497" w:type="dxa"/>
            <w:vMerge/>
            <w:tcBorders>
              <w:left w:val="single" w:sz="4" w:space="0" w:color="000000"/>
              <w:bottom w:val="single" w:sz="4" w:space="0" w:color="000000"/>
              <w:right w:val="single" w:sz="4" w:space="0" w:color="000000"/>
            </w:tcBorders>
          </w:tcPr>
          <w:p>
            <w:pPr/>
          </w:p>
        </w:tc>
      </w:tr>
      <w:tr>
        <w:trPr>
          <w:trHeight w:val="629" w:hRule="exact"/>
        </w:trPr>
        <w:tc>
          <w:tcPr>
            <w:tcW w:w="1702"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5"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4" w:lineRule="auto"/>
              <w:ind w:left="17" w:right="159"/>
              <w:jc w:val="left"/>
              <w:rPr>
                <w:rFonts w:ascii="宋体" w:hAnsi="宋体" w:cs="宋体" w:eastAsia="宋体" w:hint="default"/>
                <w:sz w:val="18"/>
                <w:szCs w:val="18"/>
              </w:rPr>
            </w:pPr>
            <w:r>
              <w:rPr>
                <w:rFonts w:ascii="宋体" w:hAnsi="宋体" w:cs="宋体" w:eastAsia="宋体" w:hint="default"/>
                <w:sz w:val="18"/>
                <w:szCs w:val="18"/>
              </w:rPr>
              <w:t>万达信息股份 有限公司</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3545" w:type="dxa"/>
            <w:vMerge w:val="restart"/>
            <w:tcBorders>
              <w:top w:val="single" w:sz="4" w:space="0" w:color="000000"/>
              <w:left w:val="single" w:sz="4" w:space="0" w:color="000000"/>
              <w:right w:val="single" w:sz="4" w:space="0" w:color="000000"/>
            </w:tcBorders>
          </w:tcPr>
          <w:p>
            <w:pPr>
              <w:pStyle w:val="TableParagraph"/>
              <w:spacing w:line="312" w:lineRule="auto" w:before="49"/>
              <w:ind w:left="23" w:right="43"/>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年股票期权激励计划》不为激励对象 提供财务资助的承诺：公司承诺不为激励对 象依据本激励计划获取有关权益提供贷款以 及其他任何形式的财务资助，包括为其贷款 提供担保。</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04</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2022</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9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01"/>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391" w:hRule="exact"/>
        </w:trPr>
        <w:tc>
          <w:tcPr>
            <w:tcW w:w="17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275" w:type="dxa"/>
            <w:vMerge/>
            <w:tcBorders>
              <w:left w:val="single" w:sz="9" w:space="0" w:color="D2D2D2"/>
              <w:right w:val="single" w:sz="4" w:space="0" w:color="000000"/>
            </w:tcBorders>
          </w:tcPr>
          <w:p>
            <w:pPr/>
          </w:p>
        </w:tc>
        <w:tc>
          <w:tcPr>
            <w:tcW w:w="1135" w:type="dxa"/>
            <w:vMerge/>
            <w:tcBorders>
              <w:left w:val="single" w:sz="4" w:space="0" w:color="000000"/>
              <w:right w:val="single" w:sz="4" w:space="0" w:color="000000"/>
            </w:tcBorders>
          </w:tcPr>
          <w:p>
            <w:pPr/>
          </w:p>
        </w:tc>
        <w:tc>
          <w:tcPr>
            <w:tcW w:w="3545"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497" w:type="dxa"/>
            <w:vMerge/>
            <w:tcBorders>
              <w:left w:val="single" w:sz="4" w:space="0" w:color="000000"/>
              <w:right w:val="single" w:sz="4" w:space="0" w:color="000000"/>
            </w:tcBorders>
          </w:tcPr>
          <w:p>
            <w:pPr/>
          </w:p>
        </w:tc>
      </w:tr>
      <w:tr>
        <w:trPr>
          <w:trHeight w:val="629" w:hRule="exact"/>
        </w:trPr>
        <w:tc>
          <w:tcPr>
            <w:tcW w:w="1702"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5" w:type="dxa"/>
            <w:vMerge/>
            <w:tcBorders>
              <w:left w:val="single" w:sz="9" w:space="0" w:color="D2D2D2"/>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3545"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497" w:type="dxa"/>
            <w:vMerge/>
            <w:tcBorders>
              <w:left w:val="single" w:sz="4" w:space="0" w:color="000000"/>
              <w:bottom w:val="single" w:sz="4" w:space="0" w:color="000000"/>
              <w:right w:val="single" w:sz="4" w:space="0" w:color="000000"/>
            </w:tcBorders>
          </w:tcPr>
          <w:p>
            <w:pPr/>
          </w:p>
        </w:tc>
      </w:tr>
      <w:tr>
        <w:trPr>
          <w:trHeight w:val="1059" w:hRule="exact"/>
        </w:trPr>
        <w:tc>
          <w:tcPr>
            <w:tcW w:w="1702"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5"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61"/>
              <w:ind w:left="17" w:right="159"/>
              <w:jc w:val="left"/>
              <w:rPr>
                <w:rFonts w:ascii="宋体" w:hAnsi="宋体" w:cs="宋体" w:eastAsia="宋体" w:hint="default"/>
                <w:sz w:val="18"/>
                <w:szCs w:val="18"/>
              </w:rPr>
            </w:pPr>
            <w:r>
              <w:rPr>
                <w:rFonts w:ascii="宋体" w:hAnsi="宋体" w:cs="宋体" w:eastAsia="宋体" w:hint="default"/>
                <w:sz w:val="18"/>
                <w:szCs w:val="18"/>
              </w:rPr>
              <w:t>万达信息股份 有限公司</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分红承诺</w:t>
            </w:r>
          </w:p>
        </w:tc>
        <w:tc>
          <w:tcPr>
            <w:tcW w:w="3545" w:type="dxa"/>
            <w:vMerge w:val="restart"/>
            <w:tcBorders>
              <w:top w:val="single" w:sz="4" w:space="0" w:color="000000"/>
              <w:left w:val="single" w:sz="4" w:space="0" w:color="000000"/>
              <w:right w:val="single" w:sz="10" w:space="0" w:color="FFFFFF"/>
            </w:tcBorders>
          </w:tcPr>
          <w:p>
            <w:pPr>
              <w:pStyle w:val="TableParagraph"/>
              <w:spacing w:line="309" w:lineRule="auto" w:before="8"/>
              <w:ind w:left="23" w:right="-36"/>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公司利润分配政策为：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一</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利润分配原则：公司利润分配应重视对投</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资者的合理投资回报，利润分配政策应保持 连续性和稳定性，并兼顾公司的可持续发展</w:t>
            </w: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二</w:t>
            </w:r>
            <w:r>
              <w:rPr>
                <w:rFonts w:ascii="Times New Roman" w:hAnsi="Times New Roman" w:cs="Times New Roman" w:eastAsia="Times New Roman" w:hint="default"/>
                <w:sz w:val="18"/>
                <w:szCs w:val="18"/>
              </w:rPr>
              <w:t>)</w:t>
            </w:r>
            <w:r>
              <w:rPr>
                <w:rFonts w:ascii="宋体" w:hAnsi="宋体" w:cs="宋体" w:eastAsia="宋体" w:hint="default"/>
                <w:sz w:val="18"/>
                <w:szCs w:val="18"/>
              </w:rPr>
              <w:t>利润分配条件：公司上一会计年度盈利， 累计可分配利润为正数，且不存在影响利润 分配的重大投资计划或现金支出事项；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三</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利润分配形式：公司可以采取现金、股票</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或者现金与股票相结合的方式分配股利，并</w:t>
            </w:r>
          </w:p>
        </w:tc>
        <w:tc>
          <w:tcPr>
            <w:tcW w:w="850" w:type="dxa"/>
            <w:vMerge w:val="restart"/>
            <w:tcBorders>
              <w:top w:val="single" w:sz="4" w:space="0" w:color="000000"/>
              <w:left w:val="single" w:sz="10" w:space="0" w:color="FFFFFF"/>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197" w:lineRule="exact"/>
              <w:ind w:left="-131"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11" w:lineRule="exact"/>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08</w:t>
            </w:r>
          </w:p>
          <w:p>
            <w:pPr>
              <w:pStyle w:val="TableParagraph"/>
              <w:spacing w:line="240" w:lineRule="auto" w:before="60"/>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49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316" w:lineRule="auto"/>
              <w:ind w:left="23" w:right="101"/>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703" w:hRule="exact"/>
        </w:trPr>
        <w:tc>
          <w:tcPr>
            <w:tcW w:w="17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其他对公司中小股东 所作承诺</w:t>
            </w:r>
          </w:p>
        </w:tc>
        <w:tc>
          <w:tcPr>
            <w:tcW w:w="1275" w:type="dxa"/>
            <w:vMerge/>
            <w:tcBorders>
              <w:left w:val="single" w:sz="9" w:space="0" w:color="D2D2D2"/>
              <w:right w:val="single" w:sz="4" w:space="0" w:color="000000"/>
            </w:tcBorders>
          </w:tcPr>
          <w:p>
            <w:pPr/>
          </w:p>
        </w:tc>
        <w:tc>
          <w:tcPr>
            <w:tcW w:w="1135" w:type="dxa"/>
            <w:vMerge/>
            <w:tcBorders>
              <w:left w:val="single" w:sz="4" w:space="0" w:color="000000"/>
              <w:right w:val="single" w:sz="4" w:space="0" w:color="000000"/>
            </w:tcBorders>
          </w:tcPr>
          <w:p>
            <w:pPr/>
          </w:p>
        </w:tc>
        <w:tc>
          <w:tcPr>
            <w:tcW w:w="3545" w:type="dxa"/>
            <w:vMerge/>
            <w:tcBorders>
              <w:left w:val="single" w:sz="4" w:space="0" w:color="000000"/>
              <w:right w:val="single" w:sz="10" w:space="0" w:color="FFFFFF"/>
            </w:tcBorders>
          </w:tcPr>
          <w:p>
            <w:pPr/>
          </w:p>
        </w:tc>
        <w:tc>
          <w:tcPr>
            <w:tcW w:w="850" w:type="dxa"/>
            <w:vMerge/>
            <w:tcBorders>
              <w:left w:val="single" w:sz="10" w:space="0" w:color="FFFFFF"/>
              <w:right w:val="single" w:sz="4" w:space="0" w:color="000000"/>
            </w:tcBorders>
          </w:tcPr>
          <w:p>
            <w:pPr/>
          </w:p>
        </w:tc>
        <w:tc>
          <w:tcPr>
            <w:tcW w:w="566" w:type="dxa"/>
            <w:vMerge/>
            <w:tcBorders>
              <w:left w:val="single" w:sz="4" w:space="0" w:color="000000"/>
              <w:right w:val="single" w:sz="4" w:space="0" w:color="000000"/>
            </w:tcBorders>
          </w:tcPr>
          <w:p>
            <w:pPr/>
          </w:p>
        </w:tc>
        <w:tc>
          <w:tcPr>
            <w:tcW w:w="497" w:type="dxa"/>
            <w:vMerge/>
            <w:tcBorders>
              <w:left w:val="single" w:sz="4" w:space="0" w:color="000000"/>
              <w:right w:val="single" w:sz="4" w:space="0" w:color="000000"/>
            </w:tcBorders>
          </w:tcPr>
          <w:p>
            <w:pPr/>
          </w:p>
        </w:tc>
      </w:tr>
      <w:tr>
        <w:trPr>
          <w:trHeight w:val="1056" w:hRule="exact"/>
        </w:trPr>
        <w:tc>
          <w:tcPr>
            <w:tcW w:w="1702"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5" w:type="dxa"/>
            <w:vMerge/>
            <w:tcBorders>
              <w:left w:val="single" w:sz="9" w:space="0" w:color="D2D2D2"/>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3545" w:type="dxa"/>
            <w:vMerge/>
            <w:tcBorders>
              <w:left w:val="single" w:sz="4" w:space="0" w:color="000000"/>
              <w:bottom w:val="single" w:sz="4" w:space="0" w:color="000000"/>
              <w:right w:val="single" w:sz="10" w:space="0" w:color="FFFFFF"/>
            </w:tcBorders>
          </w:tcPr>
          <w:p>
            <w:pPr/>
          </w:p>
        </w:tc>
        <w:tc>
          <w:tcPr>
            <w:tcW w:w="850" w:type="dxa"/>
            <w:vMerge/>
            <w:tcBorders>
              <w:left w:val="single" w:sz="10" w:space="0" w:color="FFFFFF"/>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497"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701"/>
        <w:gridCol w:w="1275"/>
        <w:gridCol w:w="1135"/>
        <w:gridCol w:w="3545"/>
        <w:gridCol w:w="850"/>
        <w:gridCol w:w="566"/>
        <w:gridCol w:w="497"/>
      </w:tblGrid>
      <w:tr>
        <w:trPr>
          <w:trHeight w:val="161" w:hRule="exact"/>
        </w:trPr>
        <w:tc>
          <w:tcPr>
            <w:tcW w:w="17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5" w:type="dxa"/>
            <w:tcBorders>
              <w:top w:val="single" w:sz="4" w:space="0" w:color="000000"/>
              <w:left w:val="single" w:sz="4" w:space="0" w:color="000000"/>
              <w:bottom w:val="nil" w:sz="6" w:space="0" w:color="auto"/>
              <w:right w:val="single" w:sz="4" w:space="0" w:color="000000"/>
            </w:tcBorders>
            <w:shd w:val="clear" w:color="auto" w:fill="D2D2D2"/>
          </w:tcPr>
          <w:p>
            <w:pPr/>
          </w:p>
        </w:tc>
        <w:tc>
          <w:tcPr>
            <w:tcW w:w="3545" w:type="dxa"/>
            <w:tcBorders>
              <w:top w:val="single" w:sz="4" w:space="0" w:color="000000"/>
              <w:left w:val="single" w:sz="4" w:space="0" w:color="000000"/>
              <w:bottom w:val="nil" w:sz="6" w:space="0" w:color="auto"/>
              <w:right w:val="single" w:sz="4" w:space="0" w:color="000000"/>
            </w:tcBorders>
            <w:shd w:val="clear" w:color="auto" w:fill="D2D2D2"/>
          </w:tcPr>
          <w:p>
            <w:pPr/>
          </w:p>
        </w:tc>
        <w:tc>
          <w:tcPr>
            <w:tcW w:w="850" w:type="dxa"/>
            <w:tcBorders>
              <w:top w:val="single" w:sz="4" w:space="0" w:color="000000"/>
              <w:left w:val="single" w:sz="4" w:space="0" w:color="000000"/>
              <w:bottom w:val="nil" w:sz="6" w:space="0" w:color="auto"/>
              <w:right w:val="single" w:sz="4" w:space="0" w:color="000000"/>
            </w:tcBorders>
            <w:shd w:val="clear" w:color="auto" w:fill="D2D2D2"/>
          </w:tcPr>
          <w:p>
            <w:pP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98" w:right="96"/>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497"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64" w:right="60"/>
              <w:jc w:val="left"/>
              <w:rPr>
                <w:rFonts w:ascii="宋体" w:hAnsi="宋体" w:cs="宋体" w:eastAsia="宋体" w:hint="default"/>
                <w:sz w:val="18"/>
                <w:szCs w:val="18"/>
              </w:rPr>
            </w:pPr>
            <w:r>
              <w:rPr>
                <w:rFonts w:ascii="宋体" w:hAnsi="宋体" w:cs="宋体" w:eastAsia="宋体" w:hint="default"/>
                <w:sz w:val="18"/>
                <w:szCs w:val="18"/>
              </w:rPr>
              <w:t>履行 情况</w:t>
            </w:r>
          </w:p>
        </w:tc>
      </w:tr>
      <w:tr>
        <w:trPr>
          <w:trHeight w:val="392" w:hRule="exact"/>
        </w:trPr>
        <w:tc>
          <w:tcPr>
            <w:tcW w:w="17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484"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127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62"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35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85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60"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566" w:type="dxa"/>
            <w:vMerge/>
            <w:tcBorders>
              <w:left w:val="single" w:sz="4" w:space="0" w:color="000000"/>
              <w:right w:val="single" w:sz="4" w:space="0" w:color="000000"/>
            </w:tcBorders>
            <w:shd w:val="clear" w:color="auto" w:fill="D2D2D2"/>
          </w:tcPr>
          <w:p>
            <w:pPr/>
          </w:p>
        </w:tc>
        <w:tc>
          <w:tcPr>
            <w:tcW w:w="497" w:type="dxa"/>
            <w:vMerge/>
            <w:tcBorders>
              <w:left w:val="single" w:sz="4" w:space="0" w:color="000000"/>
              <w:right w:val="single" w:sz="4" w:space="0" w:color="000000"/>
            </w:tcBorders>
            <w:shd w:val="clear" w:color="auto" w:fill="D2D2D2"/>
          </w:tcPr>
          <w:p>
            <w:pPr/>
          </w:p>
        </w:tc>
      </w:tr>
      <w:tr>
        <w:trPr>
          <w:trHeight w:val="161" w:hRule="exact"/>
        </w:trPr>
        <w:tc>
          <w:tcPr>
            <w:tcW w:w="17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5" w:type="dxa"/>
            <w:tcBorders>
              <w:top w:val="nil" w:sz="6" w:space="0" w:color="auto"/>
              <w:left w:val="single" w:sz="4" w:space="0" w:color="000000"/>
              <w:bottom w:val="single" w:sz="4" w:space="0" w:color="000000"/>
              <w:right w:val="single" w:sz="4" w:space="0" w:color="000000"/>
            </w:tcBorders>
            <w:shd w:val="clear" w:color="auto" w:fill="D2D2D2"/>
          </w:tcPr>
          <w:p>
            <w:pPr/>
          </w:p>
        </w:tc>
        <w:tc>
          <w:tcPr>
            <w:tcW w:w="3545" w:type="dxa"/>
            <w:tcBorders>
              <w:top w:val="nil" w:sz="6" w:space="0" w:color="auto"/>
              <w:left w:val="single" w:sz="4" w:space="0" w:color="000000"/>
              <w:bottom w:val="single" w:sz="4" w:space="0" w:color="000000"/>
              <w:right w:val="single" w:sz="4" w:space="0" w:color="000000"/>
            </w:tcBorders>
            <w:shd w:val="clear" w:color="auto" w:fill="D2D2D2"/>
          </w:tcPr>
          <w:p>
            <w:pPr/>
          </w:p>
        </w:tc>
        <w:tc>
          <w:tcPr>
            <w:tcW w:w="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497" w:type="dxa"/>
            <w:vMerge/>
            <w:tcBorders>
              <w:left w:val="single" w:sz="4" w:space="0" w:color="000000"/>
              <w:bottom w:val="single" w:sz="4" w:space="0" w:color="000000"/>
              <w:right w:val="single" w:sz="4" w:space="0" w:color="000000"/>
            </w:tcBorders>
            <w:shd w:val="clear" w:color="auto" w:fill="D2D2D2"/>
          </w:tcPr>
          <w:p>
            <w:pPr/>
          </w:p>
        </w:tc>
      </w:tr>
      <w:tr>
        <w:trPr>
          <w:trHeight w:val="7501" w:hRule="exact"/>
        </w:trPr>
        <w:tc>
          <w:tcPr>
            <w:tcW w:w="1701" w:type="dxa"/>
            <w:vMerge w:val="restart"/>
            <w:tcBorders>
              <w:top w:val="single" w:sz="4" w:space="0" w:color="000000"/>
              <w:left w:val="single" w:sz="4" w:space="0" w:color="000000"/>
              <w:right w:val="single" w:sz="4" w:space="0" w:color="000000"/>
            </w:tcBorders>
            <w:shd w:val="clear" w:color="auto" w:fill="D2D2D2"/>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23" w:right="22"/>
              <w:jc w:val="left"/>
              <w:rPr>
                <w:rFonts w:ascii="Times New Roman" w:hAnsi="Times New Roman" w:cs="Times New Roman" w:eastAsia="Times New Roman" w:hint="default"/>
                <w:sz w:val="18"/>
                <w:szCs w:val="18"/>
              </w:rPr>
            </w:pPr>
            <w:r>
              <w:rPr>
                <w:rFonts w:ascii="宋体" w:hAnsi="宋体" w:cs="宋体" w:eastAsia="宋体" w:hint="default"/>
                <w:sz w:val="18"/>
                <w:szCs w:val="18"/>
              </w:rPr>
              <w:t>积极推行以现金方式分配股利；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四</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利润分配期间：公司原则上按年进行利润</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分配；在有条件的情况下，公司可以进行中 期利润分配和特别利润分配； </w:t>
            </w:r>
            <w:r>
              <w:rPr>
                <w:rFonts w:ascii="Times New Roman" w:hAnsi="Times New Roman" w:cs="Times New Roman" w:eastAsia="Times New Roman" w:hint="default"/>
                <w:sz w:val="18"/>
                <w:szCs w:val="18"/>
              </w:rPr>
              <w:t>(</w:t>
            </w:r>
            <w:r>
              <w:rPr>
                <w:rFonts w:ascii="宋体" w:hAnsi="宋体" w:cs="宋体" w:eastAsia="宋体" w:hint="default"/>
                <w:sz w:val="18"/>
                <w:szCs w:val="18"/>
              </w:rPr>
              <w:t>五</w:t>
            </w:r>
            <w:r>
              <w:rPr>
                <w:rFonts w:ascii="Times New Roman" w:hAnsi="Times New Roman" w:cs="Times New Roman" w:eastAsia="Times New Roman" w:hint="default"/>
                <w:sz w:val="18"/>
                <w:szCs w:val="18"/>
              </w:rPr>
              <w:t>)</w:t>
            </w:r>
            <w:r>
              <w:rPr>
                <w:rFonts w:ascii="宋体" w:hAnsi="宋体" w:cs="宋体" w:eastAsia="宋体" w:hint="default"/>
                <w:sz w:val="18"/>
                <w:szCs w:val="18"/>
              </w:rPr>
              <w:t>现金分红条件：除非不符合本条第</w:t>
            </w:r>
            <w:r>
              <w:rPr>
                <w:rFonts w:ascii="Times New Roman" w:hAnsi="Times New Roman" w:cs="Times New Roman" w:eastAsia="Times New Roman" w:hint="default"/>
                <w:sz w:val="18"/>
                <w:szCs w:val="18"/>
              </w:rPr>
              <w:t>(</w:t>
            </w:r>
            <w:r>
              <w:rPr>
                <w:rFonts w:ascii="宋体" w:hAnsi="宋体" w:cs="宋体" w:eastAsia="宋体" w:hint="default"/>
                <w:sz w:val="18"/>
                <w:szCs w:val="18"/>
              </w:rPr>
              <w:t>二</w:t>
            </w:r>
            <w:r>
              <w:rPr>
                <w:rFonts w:ascii="Times New Roman" w:hAnsi="Times New Roman" w:cs="Times New Roman" w:eastAsia="Times New Roman" w:hint="default"/>
                <w:sz w:val="18"/>
                <w:szCs w:val="18"/>
              </w:rPr>
              <w:t>)</w:t>
            </w:r>
            <w:r>
              <w:rPr>
                <w:rFonts w:ascii="宋体" w:hAnsi="宋体" w:cs="宋体" w:eastAsia="宋体" w:hint="default"/>
                <w:sz w:val="18"/>
                <w:szCs w:val="18"/>
              </w:rPr>
              <w:t>款 规定的利润分配条件，否则公司每年应当至 少以现金方式分配利润一次；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六</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股票分红条件：公司根据盈利情况和现金</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流状况，为满足股本扩张的需要或合理调整 股本规模和股权结构，可以采取股票方式分 配利润；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现金分红比例：公司每年以现金形式分配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的利润不少于当年实现的可供分配利润的 </w:t>
            </w:r>
            <w:r>
              <w:rPr>
                <w:rFonts w:ascii="Times New Roman" w:hAnsi="Times New Roman" w:cs="Times New Roman" w:eastAsia="Times New Roman" w:hint="default"/>
                <w:spacing w:val="-5"/>
                <w:sz w:val="18"/>
                <w:szCs w:val="18"/>
              </w:rPr>
              <w:t>10%</w:t>
            </w:r>
            <w:r>
              <w:rPr>
                <w:rFonts w:ascii="宋体" w:hAnsi="宋体" w:cs="宋体" w:eastAsia="宋体" w:hint="default"/>
                <w:spacing w:val="-5"/>
                <w:sz w:val="18"/>
                <w:szCs w:val="18"/>
              </w:rPr>
              <w:t>；公司最近三年以现金形式累计分配的利</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润不少于最近三年实现的年均可供分配利润 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八</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若存在股东违规占用公司资金情况的，公</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司应当扣减该股东所分配的现金红利，以偿 还其占用的资金； </w:t>
            </w:r>
            <w:r>
              <w:rPr>
                <w:rFonts w:ascii="Times New Roman" w:hAnsi="Times New Roman" w:cs="Times New Roman" w:eastAsia="Times New Roman" w:hint="default"/>
                <w:sz w:val="18"/>
                <w:szCs w:val="18"/>
              </w:rPr>
              <w:t>(</w:t>
            </w:r>
            <w:r>
              <w:rPr>
                <w:rFonts w:ascii="宋体" w:hAnsi="宋体" w:cs="宋体" w:eastAsia="宋体" w:hint="default"/>
                <w:sz w:val="18"/>
                <w:szCs w:val="18"/>
              </w:rPr>
              <w:t>九</w:t>
            </w:r>
            <w:r>
              <w:rPr>
                <w:rFonts w:ascii="Times New Roman" w:hAnsi="Times New Roman" w:cs="Times New Roman" w:eastAsia="Times New Roman" w:hint="default"/>
                <w:sz w:val="18"/>
                <w:szCs w:val="18"/>
              </w:rPr>
              <w:t>)</w:t>
            </w:r>
            <w:r>
              <w:rPr>
                <w:rFonts w:ascii="宋体" w:hAnsi="宋体" w:cs="宋体" w:eastAsia="宋体" w:hint="default"/>
                <w:sz w:val="18"/>
                <w:szCs w:val="18"/>
              </w:rPr>
              <w:t>若公司上一会计年度盈利但董事会未做 出现金分红具体方案的</w:t>
            </w:r>
            <w:r>
              <w:rPr>
                <w:rFonts w:ascii="Times New Roman" w:hAnsi="Times New Roman" w:cs="Times New Roman" w:eastAsia="Times New Roman" w:hint="default"/>
                <w:sz w:val="18"/>
                <w:szCs w:val="18"/>
              </w:rPr>
              <w:t>,</w:t>
            </w:r>
            <w:r>
              <w:rPr>
                <w:rFonts w:ascii="宋体" w:hAnsi="宋体" w:cs="宋体" w:eastAsia="宋体" w:hint="default"/>
                <w:sz w:val="18"/>
                <w:szCs w:val="18"/>
              </w:rPr>
              <w:t>应在定期报告中说明 未进行现金分红的原因、未用于现金分红的 资金留存公司的用途和使用计划；独立董事 应对此发表独立意见。</w:t>
            </w:r>
            <w:r>
              <w:rPr>
                <w:rFonts w:ascii="Times New Roman" w:hAnsi="Times New Roman" w:cs="Times New Roman" w:eastAsia="Times New Roman" w:hint="default"/>
                <w:sz w:val="18"/>
                <w:szCs w:val="18"/>
              </w:rPr>
              <w:t>"</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r>
      <w:tr>
        <w:trPr>
          <w:trHeight w:val="3521" w:hRule="exact"/>
        </w:trPr>
        <w:tc>
          <w:tcPr>
            <w:tcW w:w="1701" w:type="dxa"/>
            <w:vMerge/>
            <w:tcBorders>
              <w:left w:val="single" w:sz="4" w:space="0" w:color="000000"/>
              <w:bottom w:val="single" w:sz="4" w:space="0" w:color="000000"/>
              <w:right w:val="single" w:sz="4" w:space="0" w:color="000000"/>
            </w:tcBorders>
            <w:shd w:val="clear" w:color="auto" w:fill="D2D2D2"/>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4" w:lineRule="auto"/>
              <w:ind w:left="23" w:right="159"/>
              <w:jc w:val="left"/>
              <w:rPr>
                <w:rFonts w:ascii="宋体" w:hAnsi="宋体" w:cs="宋体" w:eastAsia="宋体" w:hint="default"/>
                <w:sz w:val="18"/>
                <w:szCs w:val="18"/>
              </w:rPr>
            </w:pPr>
            <w:r>
              <w:rPr>
                <w:rFonts w:ascii="宋体" w:hAnsi="宋体" w:cs="宋体" w:eastAsia="宋体" w:hint="default"/>
                <w:sz w:val="18"/>
                <w:szCs w:val="18"/>
              </w:rPr>
              <w:t>上海万豪投资 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6"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89"/>
              <w:jc w:val="left"/>
              <w:rPr>
                <w:rFonts w:ascii="宋体" w:hAnsi="宋体" w:cs="宋体" w:eastAsia="宋体" w:hint="default"/>
                <w:sz w:val="18"/>
                <w:szCs w:val="18"/>
              </w:rPr>
            </w:pPr>
            <w:r>
              <w:rPr>
                <w:rFonts w:ascii="宋体" w:hAnsi="宋体" w:cs="宋体" w:eastAsia="宋体" w:hint="default"/>
                <w:sz w:val="18"/>
                <w:szCs w:val="18"/>
              </w:rPr>
              <w:t>上海万豪投资有限公司保证及承诺，自《关 于万达信息股份有限公司之股份转让协议》 签署日之日起，在凤凰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期存续期内，未经 中国人寿资产管理有限公司同意的情况下， 上海万豪投资有限公司不得以任何形式减 持、转让万达信息股份有限公司股份，本协 议项下约定转让的万达信息股份有限公司股 份除外。本次协议转让结束后，由于万达信 息股份有限公司送红股、转增股本等原因增 加的万达信息股份有限公司股份，亦应遵守 此约定。</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12</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left="23" w:right="0"/>
              <w:jc w:val="left"/>
              <w:rPr>
                <w:rFonts w:ascii="Times New Roman" w:hAnsi="Times New Roman" w:cs="Times New Roman" w:eastAsia="Times New Roman" w:hint="default"/>
                <w:sz w:val="18"/>
                <w:szCs w:val="18"/>
              </w:rPr>
            </w:pPr>
            <w:r>
              <w:rPr>
                <w:rFonts w:ascii="Times New Roman"/>
                <w:sz w:val="18"/>
              </w:rPr>
              <w:t>2021</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101"/>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403"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7869" w:type="dxa"/>
            <w:gridSpan w:val="6"/>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649"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46"/>
              <w:jc w:val="both"/>
              <w:rPr>
                <w:rFonts w:ascii="宋体" w:hAnsi="宋体" w:cs="宋体" w:eastAsia="宋体" w:hint="default"/>
                <w:sz w:val="18"/>
                <w:szCs w:val="18"/>
              </w:rPr>
            </w:pPr>
            <w:r>
              <w:rPr>
                <w:rFonts w:ascii="宋体" w:hAnsi="宋体" w:cs="宋体" w:eastAsia="宋体" w:hint="default"/>
                <w:sz w:val="18"/>
                <w:szCs w:val="18"/>
              </w:rPr>
              <w:t>如承诺超期未履行完 毕的，应当详细说明 未完成履行的具体原 因及下一步的工作计 划</w:t>
            </w:r>
          </w:p>
        </w:tc>
        <w:tc>
          <w:tcPr>
            <w:tcW w:w="7869" w:type="dxa"/>
            <w:gridSpan w:val="6"/>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2"/>
        <w:rPr>
          <w:rFonts w:ascii="Times New Roman" w:hAnsi="Times New Roman" w:cs="Times New Roman" w:eastAsia="Times New Roman" w:hint="default"/>
          <w:sz w:val="28"/>
          <w:szCs w:val="28"/>
        </w:rPr>
      </w:pPr>
    </w:p>
    <w:p>
      <w:pPr>
        <w:pStyle w:val="Heading3"/>
        <w:spacing w:line="259" w:lineRule="auto" w:before="36"/>
        <w:ind w:right="0"/>
        <w:jc w:val="left"/>
        <w:rPr>
          <w:b w:val="0"/>
          <w:bCs w:val="0"/>
        </w:rPr>
      </w:pPr>
      <w:bookmarkStart w:name="2、公司资产或项目存在盈利预测，且报告期仍处在盈利预测期间，公司就资产或项目达到" w:id="69"/>
      <w:bookmarkEnd w:id="69"/>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65"/>
        </w:rPr>
        <w:t> </w:t>
      </w:r>
      <w:r>
        <w:rPr>
          <w:spacing w:val="-65"/>
        </w:rPr>
      </w:r>
      <w:r>
        <w:rPr/>
        <w:t>其原因做出说明</w:t>
      </w:r>
      <w:r>
        <w:rPr>
          <w:b w:val="0"/>
          <w:bCs w:val="0"/>
        </w:rPr>
      </w:r>
    </w:p>
    <w:p>
      <w:pPr>
        <w:spacing w:line="240" w:lineRule="auto" w:before="1"/>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2602"/>
        <w:jc w:val="left"/>
        <w:rPr>
          <w:b w:val="0"/>
          <w:bCs w:val="0"/>
        </w:rPr>
      </w:pPr>
      <w:bookmarkStart w:name="三、控股股东及其关联方对上市公司的非经营性占用资金情况" w:id="70"/>
      <w:bookmarkEnd w:id="70"/>
      <w:r>
        <w:rPr>
          <w:b w:val="0"/>
          <w:bCs w:val="0"/>
        </w:rPr>
      </w:r>
      <w:r>
        <w:rPr/>
        <w:t>三、控股股东及其关联方对上市公司的非经营性占用资金情况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单位：万元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276"/>
        <w:gridCol w:w="850"/>
        <w:gridCol w:w="850"/>
        <w:gridCol w:w="994"/>
        <w:gridCol w:w="1133"/>
        <w:gridCol w:w="994"/>
        <w:gridCol w:w="598"/>
        <w:gridCol w:w="818"/>
        <w:gridCol w:w="853"/>
        <w:gridCol w:w="1207"/>
      </w:tblGrid>
      <w:tr>
        <w:trPr>
          <w:trHeight w:val="713"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52" w:right="93" w:hanging="361"/>
              <w:jc w:val="left"/>
              <w:rPr>
                <w:rFonts w:ascii="宋体" w:hAnsi="宋体" w:cs="宋体" w:eastAsia="宋体" w:hint="default"/>
                <w:sz w:val="18"/>
                <w:szCs w:val="18"/>
              </w:rPr>
            </w:pPr>
            <w:r>
              <w:rPr>
                <w:rFonts w:ascii="宋体" w:hAnsi="宋体" w:cs="宋体" w:eastAsia="宋体" w:hint="default"/>
                <w:sz w:val="18"/>
                <w:szCs w:val="18"/>
              </w:rPr>
              <w:t>股东或关联人 名称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9"/>
              <w:jc w:val="right"/>
              <w:rPr>
                <w:rFonts w:ascii="宋体" w:hAnsi="宋体" w:cs="宋体" w:eastAsia="宋体" w:hint="default"/>
                <w:sz w:val="18"/>
                <w:szCs w:val="18"/>
              </w:rPr>
            </w:pPr>
            <w:r>
              <w:rPr>
                <w:rFonts w:ascii="宋体" w:hAnsi="宋体" w:cs="宋体" w:eastAsia="宋体" w:hint="default"/>
                <w:sz w:val="18"/>
                <w:szCs w:val="18"/>
              </w:rPr>
              <w:t>占用时间</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发生原因</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01" w:right="108" w:hanging="89"/>
              <w:jc w:val="left"/>
              <w:rPr>
                <w:rFonts w:ascii="宋体" w:hAnsi="宋体" w:cs="宋体" w:eastAsia="宋体" w:hint="default"/>
                <w:sz w:val="18"/>
                <w:szCs w:val="18"/>
              </w:rPr>
            </w:pPr>
            <w:r>
              <w:rPr>
                <w:rFonts w:ascii="宋体" w:hAnsi="宋体" w:cs="宋体" w:eastAsia="宋体" w:hint="default"/>
                <w:sz w:val="18"/>
                <w:szCs w:val="18"/>
              </w:rPr>
              <w:t>报告期新增 占用金额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1" w:right="41" w:hanging="181"/>
              <w:jc w:val="left"/>
              <w:rPr>
                <w:rFonts w:ascii="宋体" w:hAnsi="宋体" w:cs="宋体" w:eastAsia="宋体" w:hint="default"/>
                <w:sz w:val="18"/>
                <w:szCs w:val="18"/>
              </w:rPr>
            </w:pPr>
            <w:r>
              <w:rPr>
                <w:rFonts w:ascii="宋体" w:hAnsi="宋体" w:cs="宋体" w:eastAsia="宋体" w:hint="default"/>
                <w:sz w:val="18"/>
                <w:szCs w:val="18"/>
              </w:rPr>
              <w:t>报告期偿还 总金额</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期末数</w:t>
            </w:r>
          </w:p>
        </w:tc>
        <w:tc>
          <w:tcPr>
            <w:tcW w:w="8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5" w:right="41" w:hanging="180"/>
              <w:jc w:val="left"/>
              <w:rPr>
                <w:rFonts w:ascii="宋体" w:hAnsi="宋体" w:cs="宋体" w:eastAsia="宋体" w:hint="default"/>
                <w:sz w:val="18"/>
                <w:szCs w:val="18"/>
              </w:rPr>
            </w:pPr>
            <w:r>
              <w:rPr>
                <w:rFonts w:ascii="宋体" w:hAnsi="宋体" w:cs="宋体" w:eastAsia="宋体" w:hint="default"/>
                <w:sz w:val="18"/>
                <w:szCs w:val="18"/>
              </w:rPr>
              <w:t>预计偿还 方式</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2" w:right="58" w:hanging="181"/>
              <w:jc w:val="left"/>
              <w:rPr>
                <w:rFonts w:ascii="宋体" w:hAnsi="宋体" w:cs="宋体" w:eastAsia="宋体" w:hint="default"/>
                <w:sz w:val="18"/>
                <w:szCs w:val="18"/>
              </w:rPr>
            </w:pPr>
            <w:r>
              <w:rPr>
                <w:rFonts w:ascii="宋体" w:hAnsi="宋体" w:cs="宋体" w:eastAsia="宋体" w:hint="default"/>
                <w:sz w:val="18"/>
                <w:szCs w:val="18"/>
              </w:rPr>
              <w:t>预计偿还 金额</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预计偿还时间</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（月份）</w:t>
            </w:r>
          </w:p>
        </w:tc>
      </w:tr>
      <w:tr>
        <w:trPr>
          <w:trHeight w:val="716"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上海万豪投资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22"/>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9" w:right="58" w:hanging="180"/>
              <w:jc w:val="left"/>
              <w:rPr>
                <w:rFonts w:ascii="宋体" w:hAnsi="宋体" w:cs="宋体" w:eastAsia="宋体" w:hint="default"/>
                <w:sz w:val="18"/>
                <w:szCs w:val="18"/>
              </w:rPr>
            </w:pPr>
            <w:r>
              <w:rPr>
                <w:rFonts w:ascii="宋体" w:hAnsi="宋体" w:cs="宋体" w:eastAsia="宋体" w:hint="default"/>
                <w:sz w:val="18"/>
                <w:szCs w:val="18"/>
              </w:rPr>
              <w:t>非经营性 占用</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74,350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74,350</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29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74,350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74,350</w:t>
            </w:r>
          </w:p>
        </w:tc>
        <w:tc>
          <w:tcPr>
            <w:tcW w:w="598"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w:t>
            </w:r>
          </w:p>
        </w:tc>
        <w:tc>
          <w:tcPr>
            <w:tcW w:w="8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715" w:hRule="exact"/>
        </w:trPr>
        <w:tc>
          <w:tcPr>
            <w:tcW w:w="29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期末合计值占最近一期经审计净资产 的比例</w:t>
            </w:r>
          </w:p>
        </w:tc>
        <w:tc>
          <w:tcPr>
            <w:tcW w:w="6596"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29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相关决策程序</w:t>
            </w:r>
          </w:p>
        </w:tc>
        <w:tc>
          <w:tcPr>
            <w:tcW w:w="6596"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5516" w:hRule="exact"/>
        </w:trPr>
        <w:tc>
          <w:tcPr>
            <w:tcW w:w="29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316" w:lineRule="auto"/>
              <w:ind w:left="22" w:right="61"/>
              <w:jc w:val="both"/>
              <w:rPr>
                <w:rFonts w:ascii="宋体" w:hAnsi="宋体" w:cs="宋体" w:eastAsia="宋体" w:hint="default"/>
                <w:sz w:val="18"/>
                <w:szCs w:val="18"/>
              </w:rPr>
            </w:pPr>
            <w:r>
              <w:rPr>
                <w:rFonts w:ascii="宋体" w:hAnsi="宋体" w:cs="宋体" w:eastAsia="宋体" w:hint="default"/>
                <w:sz w:val="18"/>
                <w:szCs w:val="18"/>
              </w:rPr>
              <w:t>当期新增大股东及其附属企业非经营 性资金占用情况的原因、责任人追究 及董事会拟定采取措施的情况说明</w:t>
            </w:r>
          </w:p>
        </w:tc>
        <w:tc>
          <w:tcPr>
            <w:tcW w:w="6596" w:type="dxa"/>
            <w:gridSpan w:val="7"/>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6" w:right="30"/>
              <w:jc w:val="both"/>
              <w:rPr>
                <w:rFonts w:ascii="Times New Roman" w:hAnsi="Times New Roman" w:cs="Times New Roman" w:eastAsia="Times New Roman" w:hint="default"/>
                <w:sz w:val="18"/>
                <w:szCs w:val="18"/>
              </w:rPr>
            </w:pPr>
            <w:r>
              <w:rPr>
                <w:rFonts w:ascii="宋体" w:hAnsi="宋体" w:cs="宋体" w:eastAsia="宋体" w:hint="default"/>
                <w:sz w:val="18"/>
                <w:szCs w:val="18"/>
              </w:rPr>
              <w:t>为了维护公司员工的稳定，保障员工利益，万豪投资承担了上市公司第一期员工持 股计划的全部损失、第三期员工持股计划的补仓以及优先级资金的替换，实际控制 人史一兵先生还逐步回购了核心骨干员工团队所持有的全部万豪投资股份。在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p>
          <w:p>
            <w:pPr>
              <w:pStyle w:val="TableParagraph"/>
              <w:spacing w:line="314" w:lineRule="auto"/>
              <w:ind w:left="26" w:right="78"/>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月向中国人寿资产管理有限公司转让部分股权之前，万豪投资未减持过万达信 息股票，上述资金均通过股票质押等融资方式筹措，也支付了大量的融资成本。随 着国家去杠杆政策的力度不断加强，公开市场融资愈发困难，二级市场也由于中美 贸易战、去杠杆等原因剧烈波动，导致万豪投资出现流动性危机，最终出现占用上 市公司资金的现象。</w:t>
            </w:r>
          </w:p>
          <w:p>
            <w:pPr>
              <w:pStyle w:val="TableParagraph"/>
              <w:spacing w:line="309" w:lineRule="auto" w:before="61"/>
              <w:ind w:left="26" w:right="29"/>
              <w:jc w:val="both"/>
              <w:rPr>
                <w:rFonts w:ascii="宋体" w:hAnsi="宋体" w:cs="宋体" w:eastAsia="宋体" w:hint="default"/>
                <w:sz w:val="18"/>
                <w:szCs w:val="18"/>
              </w:rPr>
            </w:pPr>
            <w:r>
              <w:rPr>
                <w:rFonts w:ascii="宋体" w:hAnsi="宋体" w:cs="宋体" w:eastAsia="宋体" w:hint="default"/>
                <w:sz w:val="18"/>
                <w:szCs w:val="18"/>
              </w:rPr>
              <w:t>万豪投资出具承诺，将通过资产处置、引入战略合作方等方式积极筹措资金用于返 还占用资金，也将尽最大努力敦促其合作方尽快返还占用资金，在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日前将占用资金全部返还。</w:t>
            </w:r>
          </w:p>
          <w:p>
            <w:pPr>
              <w:pStyle w:val="TableParagraph"/>
              <w:spacing w:line="316" w:lineRule="auto" w:before="65"/>
              <w:ind w:left="26" w:right="77"/>
              <w:jc w:val="both"/>
              <w:rPr>
                <w:rFonts w:ascii="宋体" w:hAnsi="宋体" w:cs="宋体" w:eastAsia="宋体" w:hint="default"/>
                <w:sz w:val="18"/>
                <w:szCs w:val="18"/>
              </w:rPr>
            </w:pPr>
            <w:r>
              <w:rPr>
                <w:rFonts w:ascii="宋体" w:hAnsi="宋体" w:cs="宋体" w:eastAsia="宋体" w:hint="default"/>
                <w:sz w:val="18"/>
                <w:szCs w:val="18"/>
              </w:rPr>
              <w:t>公司持续保持与万豪投资的密切沟通，及时、充分了解其财产状况，采取各种措施 积极督促万豪投资尽快采取有效措施解决违规占用资金问题，同时积极整理相关资 料，准备向万豪投资破产管理人主张权利要求万豪投资偿还占用的资金，切实维护 公司及投资者的利益。</w:t>
            </w:r>
          </w:p>
          <w:p>
            <w:pPr>
              <w:pStyle w:val="TableParagraph"/>
              <w:spacing w:line="300" w:lineRule="auto" w:before="57"/>
              <w:ind w:left="26" w:right="-12"/>
              <w:jc w:val="both"/>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日，原控股股东万豪投资非经营性占用资金已全部归还完毕， 非经营性占用资金余额为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w:t>
            </w:r>
            <w:r>
              <w:rPr>
                <w:rFonts w:ascii="宋体" w:hAnsi="宋体" w:cs="宋体" w:eastAsia="宋体" w:hint="default"/>
                <w:sz w:val="18"/>
                <w:szCs w:val="18"/>
              </w:rPr>
              <w:t>。</w:t>
            </w:r>
          </w:p>
        </w:tc>
      </w:tr>
      <w:tr>
        <w:trPr>
          <w:trHeight w:val="1025" w:hRule="exact"/>
        </w:trPr>
        <w:tc>
          <w:tcPr>
            <w:tcW w:w="29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61"/>
              <w:jc w:val="both"/>
              <w:rPr>
                <w:rFonts w:ascii="宋体" w:hAnsi="宋体" w:cs="宋体" w:eastAsia="宋体" w:hint="default"/>
                <w:sz w:val="18"/>
                <w:szCs w:val="18"/>
              </w:rPr>
            </w:pPr>
            <w:r>
              <w:rPr>
                <w:rFonts w:ascii="宋体" w:hAnsi="宋体" w:cs="宋体" w:eastAsia="宋体" w:hint="default"/>
                <w:sz w:val="18"/>
                <w:szCs w:val="18"/>
              </w:rPr>
              <w:t>未能按计划清偿非经营性资金占用的 原因、责任追究情况及董事会拟定采 取的措施说明</w:t>
            </w:r>
          </w:p>
        </w:tc>
        <w:tc>
          <w:tcPr>
            <w:tcW w:w="6596"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29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注册会计师对资金占用的专项审核意 见的披露日期</w:t>
            </w:r>
          </w:p>
        </w:tc>
        <w:tc>
          <w:tcPr>
            <w:tcW w:w="6596"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r>
      <w:tr>
        <w:trPr>
          <w:trHeight w:val="715" w:hRule="exact"/>
        </w:trPr>
        <w:tc>
          <w:tcPr>
            <w:tcW w:w="29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61"/>
              <w:jc w:val="left"/>
              <w:rPr>
                <w:rFonts w:ascii="宋体" w:hAnsi="宋体" w:cs="宋体" w:eastAsia="宋体" w:hint="default"/>
                <w:sz w:val="18"/>
                <w:szCs w:val="18"/>
              </w:rPr>
            </w:pPr>
            <w:r>
              <w:rPr>
                <w:rFonts w:ascii="宋体" w:hAnsi="宋体" w:cs="宋体" w:eastAsia="宋体" w:hint="default"/>
                <w:sz w:val="18"/>
                <w:szCs w:val="18"/>
              </w:rPr>
              <w:t>注册会计师对资金占用的专项审核意 见的披露索引</w:t>
            </w:r>
          </w:p>
        </w:tc>
        <w:tc>
          <w:tcPr>
            <w:tcW w:w="6596"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10"/>
              <w:jc w:val="left"/>
              <w:rPr>
                <w:rFonts w:ascii="宋体" w:hAnsi="宋体" w:cs="宋体" w:eastAsia="宋体" w:hint="default"/>
                <w:sz w:val="18"/>
                <w:szCs w:val="18"/>
              </w:rPr>
            </w:pPr>
            <w:r>
              <w:rPr>
                <w:rFonts w:ascii="宋体" w:hAnsi="宋体" w:cs="宋体" w:eastAsia="宋体" w:hint="default"/>
                <w:sz w:val="18"/>
                <w:szCs w:val="18"/>
              </w:rPr>
              <w:t>《关于对公司控股股东及其他关联方占用资金情况的专项审计说明</w:t>
            </w:r>
            <w:r>
              <w:rPr>
                <w:rFonts w:ascii="宋体" w:hAnsi="宋体" w:cs="宋体" w:eastAsia="宋体" w:hint="default"/>
                <w:spacing w:val="-91"/>
                <w:sz w:val="18"/>
                <w:szCs w:val="18"/>
              </w:rPr>
              <w:t>》</w:t>
            </w:r>
            <w:r>
              <w:rPr>
                <w:rFonts w:ascii="宋体" w:hAnsi="宋体" w:cs="宋体" w:eastAsia="宋体" w:hint="default"/>
                <w:sz w:val="18"/>
                <w:szCs w:val="18"/>
              </w:rPr>
              <w:t>，巨潮资讯网。</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四、董事会对最近一期“非标准审计报告”相关情况的说明" w:id="71"/>
      <w:bookmarkEnd w:id="71"/>
      <w:r>
        <w:rPr>
          <w:b w:val="0"/>
          <w:bCs w:val="0"/>
        </w:rPr>
      </w: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2"/>
        <w:rPr>
          <w:rFonts w:ascii="宋体" w:hAnsi="宋体" w:cs="宋体" w:eastAsia="宋体" w:hint="default"/>
          <w:b/>
          <w:bCs/>
          <w:sz w:val="25"/>
          <w:szCs w:val="25"/>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五、董事会、监事会、独立董事（如有）对会计师事务所本报告期“非标准审计报告”的说" w:id="72"/>
      <w:bookmarkEnd w:id="72"/>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1"/>
        <w:rPr>
          <w:rFonts w:ascii="宋体" w:hAnsi="宋体" w:cs="宋体" w:eastAsia="宋体" w:hint="default"/>
          <w:b/>
          <w:bCs/>
          <w:sz w:val="25"/>
          <w:szCs w:val="25"/>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2602"/>
        <w:jc w:val="left"/>
        <w:rPr>
          <w:b w:val="0"/>
          <w:bCs w:val="0"/>
        </w:rPr>
      </w:pPr>
      <w:bookmarkStart w:name="六、董事会关于报告期会计政策、会计估计变更或重大会计差错更正的说明" w:id="73"/>
      <w:bookmarkEnd w:id="73"/>
      <w:r>
        <w:rPr>
          <w:b w:val="0"/>
          <w:bCs w:val="0"/>
        </w:rPr>
      </w:r>
      <w:r>
        <w:rPr/>
        <w:t>六、董事会关于报告期会计政策、会计估计变更或重大会计差错更正的说明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13"/>
          <w:szCs w:val="13"/>
        </w:rPr>
      </w:pPr>
    </w:p>
    <w:p>
      <w:pPr>
        <w:pStyle w:val="BodyText"/>
        <w:spacing w:line="312" w:lineRule="auto"/>
        <w:ind w:right="1130" w:firstLine="360"/>
        <w:jc w:val="both"/>
      </w:pPr>
      <w:r>
        <w:rPr>
          <w:rFonts w:ascii="Times New Roman" w:hAnsi="Times New Roman" w:cs="Times New Roman" w:eastAsia="Times New Roman" w:hint="default"/>
        </w:rPr>
        <w:t>1</w:t>
      </w:r>
      <w:r>
        <w:rPr/>
        <w:t>、公司于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4 </w:t>
      </w:r>
      <w:r>
        <w:rPr/>
        <w:t>月</w:t>
      </w:r>
      <w:r>
        <w:rPr>
          <w:spacing w:val="-46"/>
        </w:rPr>
        <w:t> </w:t>
      </w:r>
      <w:r>
        <w:rPr>
          <w:rFonts w:ascii="Times New Roman" w:hAnsi="Times New Roman" w:cs="Times New Roman" w:eastAsia="Times New Roman" w:hint="default"/>
        </w:rPr>
        <w:t>24 </w:t>
      </w:r>
      <w:r>
        <w:rPr/>
        <w:t>日召开第六届董事会</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年第八次临时会议及第六届监事会</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年第二次临时会议，审议 </w:t>
      </w:r>
      <w:r>
        <w:rPr>
          <w:spacing w:val="-2"/>
        </w:rPr>
        <w:t>通过了《关于会计政策变更的议案》。本次变更后，公司将执行财政部修订并发布的新金融工具准则，其他未变更部分，仍</w:t>
      </w:r>
      <w:r>
        <w:rPr>
          <w:spacing w:val="-65"/>
        </w:rPr>
        <w:t> </w:t>
      </w:r>
      <w:r>
        <w:rPr>
          <w:spacing w:val="-65"/>
        </w:rPr>
      </w:r>
      <w:r>
        <w:rPr>
          <w:spacing w:val="-2"/>
        </w:rPr>
        <w:t>按照财政部前期颁布的《企业会计准则——基本准则》和各项具体会计准则、企业会计准则应用指南、企业会计准则解释公</w:t>
      </w:r>
      <w:r>
        <w:rPr>
          <w:spacing w:val="-64"/>
        </w:rPr>
        <w:t> </w:t>
      </w:r>
      <w:r>
        <w:rPr>
          <w:spacing w:val="-64"/>
        </w:rPr>
      </w:r>
      <w:r>
        <w:rPr/>
        <w:t>告以及其他相关规定执行。</w:t>
      </w:r>
    </w:p>
    <w:p>
      <w:pPr>
        <w:pStyle w:val="BodyText"/>
        <w:spacing w:line="309" w:lineRule="auto" w:before="61"/>
        <w:ind w:right="1130" w:firstLine="360"/>
        <w:jc w:val="both"/>
      </w:pPr>
      <w:r>
        <w:rPr/>
        <w:t>公司自</w:t>
      </w:r>
      <w:r>
        <w:rPr>
          <w:spacing w:val="-5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年</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7"/>
        </w:rPr>
        <w:t> </w:t>
      </w:r>
      <w:r>
        <w:rPr/>
        <w:t>月</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3"/>
        </w:rPr>
        <w:t>日开始执行新金融工具准则，并自</w:t>
      </w:r>
      <w:r>
        <w:rPr>
          <w:spacing w:val="-5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年第一季度起按新准则要求进行会计报表披露。根据新旧 </w:t>
      </w:r>
      <w:r>
        <w:rPr>
          <w:spacing w:val="-2"/>
        </w:rPr>
        <w:t>准则衔接规定，企业无需重述前期可比数，比较财务报表列报的信息与新准则要求不一致的无须调整，本次会计政策变更不</w:t>
      </w:r>
      <w:r>
        <w:rPr>
          <w:spacing w:val="-63"/>
        </w:rPr>
        <w:t> </w:t>
      </w:r>
      <w:r>
        <w:rPr>
          <w:spacing w:val="-63"/>
        </w:rPr>
      </w:r>
      <w:r>
        <w:rPr/>
        <w:t>影响公司</w:t>
      </w:r>
      <w:r>
        <w:rPr>
          <w:spacing w:val="-46"/>
        </w:rPr>
        <w:t> </w:t>
      </w:r>
      <w:r>
        <w:rPr>
          <w:rFonts w:ascii="Times New Roman" w:hAnsi="Times New Roman" w:cs="Times New Roman" w:eastAsia="Times New Roman" w:hint="default"/>
        </w:rPr>
        <w:t>2018 </w:t>
      </w:r>
      <w:r>
        <w:rPr/>
        <w:t>年度相关财务指标。</w:t>
      </w:r>
    </w:p>
    <w:p>
      <w:pPr>
        <w:pStyle w:val="BodyText"/>
        <w:spacing w:line="240" w:lineRule="auto" w:before="127"/>
        <w:ind w:left="513" w:right="0"/>
        <w:jc w:val="left"/>
      </w:pPr>
      <w:r>
        <w:rPr>
          <w:rFonts w:ascii="Times New Roman" w:hAnsi="Times New Roman" w:cs="Times New Roman" w:eastAsia="Times New Roman" w:hint="default"/>
          <w:spacing w:val="1"/>
        </w:rPr>
        <w:t>2</w:t>
      </w:r>
      <w:r>
        <w:rPr/>
        <w:t>、公司于</w:t>
      </w:r>
      <w:r>
        <w:rPr>
          <w:spacing w:val="-38"/>
        </w:rPr>
        <w:t> </w:t>
      </w:r>
      <w:r>
        <w:rPr>
          <w:rFonts w:ascii="Times New Roman" w:hAnsi="Times New Roman" w:cs="Times New Roman" w:eastAsia="Times New Roman" w:hint="default"/>
          <w:spacing w:val="-2"/>
        </w:rPr>
        <w:t>2</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9"/>
        </w:rPr>
        <w:t> </w:t>
      </w:r>
      <w:r>
        <w:rPr/>
        <w:t>年</w:t>
      </w:r>
      <w:r>
        <w:rPr>
          <w:spacing w:val="-38"/>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t>月</w:t>
      </w:r>
      <w:r>
        <w:rPr>
          <w:spacing w:val="-40"/>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6</w:t>
      </w:r>
      <w:r>
        <w:rPr>
          <w:rFonts w:ascii="Times New Roman" w:hAnsi="Times New Roman" w:cs="Times New Roman" w:eastAsia="Times New Roman" w:hint="default"/>
          <w:spacing w:val="9"/>
        </w:rPr>
        <w:t> </w:t>
      </w:r>
      <w:r>
        <w:rPr/>
        <w:t>日披露了《</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9"/>
        </w:rPr>
        <w:t> </w:t>
      </w:r>
      <w:r>
        <w:rPr/>
        <w:t>年第一季度报</w:t>
      </w:r>
      <w:r>
        <w:rPr>
          <w:spacing w:val="-3"/>
        </w:rPr>
        <w:t>告</w:t>
      </w:r>
      <w:r>
        <w:rPr/>
        <w:t>全文</w:t>
      </w:r>
      <w:r>
        <w:rPr>
          <w:spacing w:val="-92"/>
        </w:rPr>
        <w:t>》</w:t>
      </w:r>
      <w:r>
        <w:rPr/>
        <w:t>。经公司自查，公司存</w:t>
      </w:r>
      <w:r>
        <w:rPr>
          <w:spacing w:val="2"/>
        </w:rPr>
        <w:t>在</w:t>
      </w:r>
      <w:r>
        <w:rPr/>
        <w:t>控股股东非经营性资金占用</w:t>
      </w:r>
    </w:p>
    <w:p>
      <w:pPr>
        <w:pStyle w:val="BodyText"/>
        <w:spacing w:line="240" w:lineRule="auto" w:before="60"/>
        <w:ind w:right="0"/>
        <w:jc w:val="left"/>
      </w:pPr>
      <w:r>
        <w:rPr/>
        <w:t>情况，因此公司需对已披露的《</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年第一季度报告》中涉及的相关财务数据作为会计差错进行更正。公司于</w:t>
      </w:r>
      <w:r>
        <w:rPr>
          <w:spacing w:val="-5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w:t>
      </w:r>
      <w:r>
        <w:rPr>
          <w:spacing w:val="-54"/>
        </w:rPr>
        <w:t> </w:t>
      </w:r>
      <w:r>
        <w:rPr>
          <w:rFonts w:ascii="Times New Roman" w:hAnsi="Times New Roman" w:cs="Times New Roman" w:eastAsia="Times New Roman" w:hint="default"/>
        </w:rPr>
        <w:t>8</w:t>
      </w:r>
      <w:r>
        <w:rPr>
          <w:rFonts w:ascii="Times New Roman" w:hAnsi="Times New Roman" w:cs="Times New Roman" w:eastAsia="Times New Roman" w:hint="default"/>
          <w:spacing w:val="-10"/>
        </w:rPr>
        <w:t> </w:t>
      </w:r>
      <w:r>
        <w:rPr/>
        <w:t>月</w:t>
      </w:r>
    </w:p>
    <w:p>
      <w:pPr>
        <w:pStyle w:val="BodyText"/>
        <w:spacing w:line="240" w:lineRule="auto" w:before="63"/>
        <w:ind w:right="0"/>
        <w:jc w:val="left"/>
      </w:pPr>
      <w:r>
        <w:rPr>
          <w:rFonts w:ascii="Times New Roman" w:hAnsi="Times New Roman" w:cs="Times New Roman" w:eastAsia="Times New Roman" w:hint="default"/>
        </w:rPr>
        <w:t>25</w:t>
      </w:r>
      <w:r>
        <w:rPr>
          <w:rFonts w:ascii="Times New Roman" w:hAnsi="Times New Roman" w:cs="Times New Roman" w:eastAsia="Times New Roman" w:hint="default"/>
          <w:spacing w:val="10"/>
        </w:rPr>
        <w:t> </w:t>
      </w:r>
      <w:r>
        <w:rPr/>
        <w:t>日召开第六届董事会</w:t>
      </w:r>
      <w:r>
        <w:rPr>
          <w:spacing w:val="-3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8"/>
        </w:rPr>
        <w:t> </w:t>
      </w:r>
      <w:r>
        <w:rPr/>
        <w:t>年第十三次临时会议及第六届监事会</w:t>
      </w:r>
      <w:r>
        <w:rPr>
          <w:spacing w:val="-3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年第五次临时会议，审议通过了《关于公司前期会</w:t>
      </w:r>
    </w:p>
    <w:p>
      <w:pPr>
        <w:pStyle w:val="BodyText"/>
        <w:spacing w:line="240" w:lineRule="auto" w:before="63"/>
        <w:ind w:right="0"/>
        <w:jc w:val="left"/>
      </w:pPr>
      <w:r>
        <w:rPr/>
        <w:t>计差错更正的议案</w:t>
      </w:r>
      <w:r>
        <w:rPr>
          <w:spacing w:val="-92"/>
        </w:rPr>
        <w:t>》</w:t>
      </w:r>
      <w:r>
        <w:rPr>
          <w:spacing w:val="-17"/>
        </w:rPr>
        <w:t>，</w:t>
      </w:r>
      <w:r>
        <w:rPr/>
        <w:t>根</w:t>
      </w:r>
      <w:r>
        <w:rPr>
          <w:spacing w:val="-17"/>
        </w:rPr>
        <w:t>据</w:t>
      </w:r>
      <w:r>
        <w:rPr/>
        <w:t>《</w:t>
      </w:r>
      <w:r>
        <w:rPr>
          <w:spacing w:val="2"/>
        </w:rPr>
        <w:t>企</w:t>
      </w:r>
      <w:r>
        <w:rPr/>
        <w:t>业会计准则第</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号——会计</w:t>
      </w:r>
      <w:r>
        <w:rPr>
          <w:spacing w:val="-3"/>
        </w:rPr>
        <w:t>政</w:t>
      </w:r>
      <w:r>
        <w:rPr/>
        <w:t>策</w:t>
      </w:r>
      <w:r>
        <w:rPr>
          <w:spacing w:val="-17"/>
        </w:rPr>
        <w:t>、</w:t>
      </w:r>
      <w:r>
        <w:rPr/>
        <w:t>会计估计变更和差错更正</w:t>
      </w:r>
      <w:r>
        <w:rPr>
          <w:spacing w:val="-17"/>
        </w:rPr>
        <w:t>》</w:t>
      </w:r>
      <w:r>
        <w:rPr/>
        <w:t>及中国证监</w:t>
      </w:r>
      <w:r>
        <w:rPr>
          <w:spacing w:val="-17"/>
        </w:rPr>
        <w:t>会</w:t>
      </w:r>
      <w:r>
        <w:rPr/>
        <w:t>《公开发行证券</w:t>
      </w:r>
    </w:p>
    <w:p>
      <w:pPr>
        <w:pStyle w:val="BodyText"/>
        <w:spacing w:line="340" w:lineRule="auto" w:before="63"/>
        <w:ind w:left="513" w:right="0" w:hanging="361"/>
        <w:jc w:val="left"/>
      </w:pPr>
      <w:r>
        <w:rPr/>
        <w:t>的公司信息披露编报规则第</w:t>
      </w:r>
      <w:r>
        <w:rPr>
          <w:spacing w:val="-44"/>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号——财务信息的更正及相关披露》的相关规定和要求，对公司前期会计差错进行更正。 </w:t>
      </w:r>
      <w:r>
        <w:rPr>
          <w:spacing w:val="5"/>
        </w:rPr>
        <w:t>会计差错更正事项对公司财务状况和经营成果的影响具体内容详见《关于前期会计差错更正的公告》（公告编号：</w:t>
      </w:r>
    </w:p>
    <w:p>
      <w:pPr>
        <w:pStyle w:val="BodyText"/>
        <w:spacing w:line="240" w:lineRule="auto" w:before="1"/>
        <w:ind w:right="2602"/>
        <w:jc w:val="left"/>
      </w:pP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spacing w:val="1"/>
        </w:rPr>
        <w:t>9</w:t>
      </w:r>
      <w:r>
        <w:rPr>
          <w:rFonts w:ascii="Times New Roman" w:hAnsi="Times New Roman" w:cs="Times New Roman" w:eastAsia="Times New Roman" w:hint="default"/>
        </w:rPr>
        <w:t>-</w:t>
      </w:r>
      <w:r>
        <w:rPr>
          <w:rFonts w:ascii="Times New Roman" w:hAnsi="Times New Roman" w:cs="Times New Roman" w:eastAsia="Times New Roman" w:hint="default"/>
          <w:spacing w:val="-9"/>
        </w:rPr>
        <w:t>1</w:t>
      </w:r>
      <w:r>
        <w:rPr>
          <w:rFonts w:ascii="Times New Roman" w:hAnsi="Times New Roman" w:cs="Times New Roman" w:eastAsia="Times New Roman" w:hint="default"/>
          <w:spacing w:val="1"/>
        </w:rPr>
        <w:t>12</w:t>
      </w:r>
      <w:r>
        <w:rPr>
          <w:spacing w:val="-92"/>
        </w:rPr>
        <w:t>）</w:t>
      </w:r>
      <w:r>
        <w:rPr/>
        <w:t>。</w:t>
      </w:r>
    </w:p>
    <w:p>
      <w:pPr>
        <w:spacing w:line="240" w:lineRule="auto" w:before="2"/>
        <w:rPr>
          <w:rFonts w:ascii="宋体" w:hAnsi="宋体" w:cs="宋体" w:eastAsia="宋体" w:hint="default"/>
          <w:sz w:val="14"/>
          <w:szCs w:val="14"/>
        </w:rPr>
      </w:pPr>
    </w:p>
    <w:p>
      <w:pPr>
        <w:pStyle w:val="BodyText"/>
        <w:spacing w:line="240" w:lineRule="auto"/>
        <w:ind w:left="513" w:right="0"/>
        <w:jc w:val="left"/>
      </w:pPr>
      <w:r>
        <w:rPr>
          <w:rFonts w:ascii="Times New Roman" w:hAnsi="Times New Roman" w:cs="Times New Roman" w:eastAsia="Times New Roman" w:hint="default"/>
        </w:rPr>
        <w:t>3</w:t>
      </w:r>
      <w:r>
        <w:rPr/>
        <w:t>、公司于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8 </w:t>
      </w:r>
      <w:r>
        <w:rPr/>
        <w:t>月</w:t>
      </w:r>
      <w:r>
        <w:rPr>
          <w:spacing w:val="-46"/>
        </w:rPr>
        <w:t> </w:t>
      </w:r>
      <w:r>
        <w:rPr>
          <w:rFonts w:ascii="Times New Roman" w:hAnsi="Times New Roman" w:cs="Times New Roman" w:eastAsia="Times New Roman" w:hint="default"/>
        </w:rPr>
        <w:t>25 </w:t>
      </w:r>
      <w:r>
        <w:rPr/>
        <w:t>日召开第六届董事会</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年第十三次临时会议及第六届监事会</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年第五次临时会议，审</w:t>
      </w:r>
    </w:p>
    <w:p>
      <w:pPr>
        <w:pStyle w:val="BodyText"/>
        <w:spacing w:line="240" w:lineRule="auto" w:before="60"/>
        <w:ind w:right="0"/>
        <w:jc w:val="left"/>
      </w:pPr>
      <w:r>
        <w:rPr/>
        <w:t>议通过</w:t>
      </w:r>
      <w:r>
        <w:rPr>
          <w:spacing w:val="-22"/>
        </w:rPr>
        <w:t>了</w:t>
      </w:r>
      <w:r>
        <w:rPr/>
        <w:t>《关于会计政策变</w:t>
      </w:r>
      <w:r>
        <w:rPr>
          <w:spacing w:val="2"/>
        </w:rPr>
        <w:t>更</w:t>
      </w:r>
      <w:r>
        <w:rPr/>
        <w:t>的议案</w:t>
      </w:r>
      <w:r>
        <w:rPr>
          <w:spacing w:val="-92"/>
        </w:rPr>
        <w:t>》</w:t>
      </w:r>
      <w:r>
        <w:rPr>
          <w:spacing w:val="-22"/>
        </w:rPr>
        <w:t>。</w:t>
      </w:r>
      <w:r>
        <w:rPr/>
        <w:t>本次变更后</w:t>
      </w:r>
      <w:r>
        <w:rPr>
          <w:spacing w:val="-22"/>
        </w:rPr>
        <w:t>，</w:t>
      </w:r>
      <w:r>
        <w:rPr/>
        <w:t>公司</w:t>
      </w:r>
      <w:r>
        <w:rPr>
          <w:spacing w:val="2"/>
        </w:rPr>
        <w:t>将</w:t>
      </w:r>
      <w:r>
        <w:rPr/>
        <w:t>按照财政</w:t>
      </w:r>
      <w:r>
        <w:rPr>
          <w:spacing w:val="-22"/>
        </w:rPr>
        <w:t>部</w:t>
      </w:r>
      <w:r>
        <w:rPr/>
        <w:t>《关于修订印发</w:t>
      </w:r>
      <w:r>
        <w:rPr>
          <w:spacing w:val="-43"/>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年度一般企业财务报表格</w:t>
      </w:r>
      <w:r>
        <w:rPr>
          <w:spacing w:val="-3"/>
        </w:rPr>
        <w:t>式</w:t>
      </w:r>
      <w:r>
        <w:rPr/>
        <w:t>的</w:t>
      </w:r>
    </w:p>
    <w:p>
      <w:pPr>
        <w:pStyle w:val="BodyText"/>
        <w:spacing w:line="300" w:lineRule="auto" w:before="63"/>
        <w:ind w:right="1117"/>
        <w:jc w:val="left"/>
      </w:pPr>
      <w:r>
        <w:rPr/>
        <w:t>通知》的相关要求编制</w:t>
      </w:r>
      <w:r>
        <w:rPr>
          <w:spacing w:val="-4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年度中期财务报表和年度财务报表及以后期间的财务报表。其余未变更部分仍执行财政部前期 颁布的各项具体会计准则、企业会计准则应用指南、企业会计准则解释公告及其他相关规定。</w:t>
      </w:r>
    </w:p>
    <w:p>
      <w:pPr>
        <w:pStyle w:val="BodyText"/>
        <w:spacing w:line="316" w:lineRule="auto" w:before="72"/>
        <w:ind w:right="1130" w:firstLine="360"/>
        <w:jc w:val="both"/>
      </w:pPr>
      <w:r>
        <w:rPr>
          <w:spacing w:val="-2"/>
        </w:rPr>
        <w:t>本项会计政策变更仅对财务报表项目列示进行调整，并调整可比会计期间的比较数据，不影响公司净资产、净利润等相</w:t>
      </w:r>
      <w:r>
        <w:rPr/>
        <w:t> 关财务指标。</w:t>
      </w:r>
    </w:p>
    <w:p>
      <w:pPr>
        <w:spacing w:line="240" w:lineRule="auto" w:before="9"/>
        <w:rPr>
          <w:rFonts w:ascii="宋体" w:hAnsi="宋体" w:cs="宋体" w:eastAsia="宋体" w:hint="default"/>
          <w:sz w:val="20"/>
          <w:szCs w:val="20"/>
        </w:rPr>
      </w:pPr>
    </w:p>
    <w:p>
      <w:pPr>
        <w:pStyle w:val="Heading2"/>
        <w:spacing w:line="240" w:lineRule="auto"/>
        <w:ind w:right="2602"/>
        <w:jc w:val="left"/>
        <w:rPr>
          <w:b w:val="0"/>
          <w:bCs w:val="0"/>
        </w:rPr>
      </w:pPr>
      <w:bookmarkStart w:name="七、与上年度财务报告相比，合并报表范围发生变化的情况说明" w:id="74"/>
      <w:bookmarkEnd w:id="74"/>
      <w:r>
        <w:rPr>
          <w:b w:val="0"/>
          <w:bCs w:val="0"/>
        </w:rPr>
      </w:r>
      <w:r>
        <w:rPr/>
        <w:t>七、与上年度财务报告相比，合并报表范围发生变化的情况说明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23"/>
          <w:szCs w:val="23"/>
        </w:rPr>
      </w:pPr>
    </w:p>
    <w:p>
      <w:pPr>
        <w:pStyle w:val="BodyText"/>
        <w:spacing w:line="240" w:lineRule="auto"/>
        <w:ind w:left="513" w:right="0"/>
        <w:jc w:val="left"/>
      </w:pPr>
      <w:r>
        <w:rPr/>
        <w:t>本公司于</w:t>
      </w:r>
      <w:r>
        <w:rPr>
          <w:spacing w:val="-5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年</w:t>
      </w:r>
      <w:r>
        <w:rPr>
          <w:spacing w:val="-51"/>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t>月</w:t>
      </w:r>
      <w:r>
        <w:rPr>
          <w:spacing w:val="-51"/>
        </w:rPr>
        <w:t> </w:t>
      </w:r>
      <w:r>
        <w:rPr>
          <w:rFonts w:ascii="Times New Roman" w:hAnsi="Times New Roman" w:cs="Times New Roman" w:eastAsia="Times New Roman" w:hint="default"/>
        </w:rPr>
        <w:t>22</w:t>
      </w:r>
      <w:r>
        <w:rPr>
          <w:rFonts w:ascii="Times New Roman" w:hAnsi="Times New Roman" w:cs="Times New Roman" w:eastAsia="Times New Roman" w:hint="default"/>
          <w:spacing w:val="-5"/>
        </w:rPr>
        <w:t> </w:t>
      </w:r>
      <w:r>
        <w:rPr/>
        <w:t>日投</w:t>
      </w:r>
      <w:hyperlink r:id="rId28">
        <w:r>
          <w:rPr/>
          <w:t>资设立上海爱可及医疗科技有限公司</w:t>
        </w:r>
      </w:hyperlink>
      <w:r>
        <w:rPr/>
        <w:t>，注册资本人民币</w:t>
      </w:r>
      <w:r>
        <w:rPr>
          <w:spacing w:val="-51"/>
        </w:rPr>
        <w:t> </w:t>
      </w:r>
      <w:r>
        <w:rPr>
          <w:rFonts w:ascii="Times New Roman" w:hAnsi="Times New Roman" w:cs="Times New Roman" w:eastAsia="Times New Roman" w:hint="default"/>
        </w:rPr>
        <w:t>2,000.00</w:t>
      </w:r>
      <w:r>
        <w:rPr>
          <w:rFonts w:ascii="Times New Roman" w:hAnsi="Times New Roman" w:cs="Times New Roman" w:eastAsia="Times New Roman" w:hint="default"/>
          <w:spacing w:val="-4"/>
        </w:rPr>
        <w:t> </w:t>
      </w:r>
      <w:r>
        <w:rPr>
          <w:spacing w:val="-4"/>
        </w:rPr>
        <w:t>万元，本公司出资人民币</w:t>
      </w:r>
    </w:p>
    <w:p>
      <w:pPr>
        <w:pStyle w:val="BodyText"/>
        <w:spacing w:line="300" w:lineRule="auto" w:before="60"/>
        <w:ind w:right="1129"/>
        <w:jc w:val="left"/>
      </w:pPr>
      <w:r>
        <w:rPr>
          <w:rFonts w:ascii="Times New Roman" w:hAnsi="Times New Roman" w:cs="Times New Roman" w:eastAsia="Times New Roman" w:hint="default"/>
        </w:rPr>
        <w:t>1,200.00</w:t>
      </w:r>
      <w:r>
        <w:rPr>
          <w:rFonts w:ascii="Times New Roman" w:hAnsi="Times New Roman" w:cs="Times New Roman" w:eastAsia="Times New Roman" w:hint="default"/>
          <w:spacing w:val="-2"/>
        </w:rPr>
        <w:t> </w:t>
      </w:r>
      <w:r>
        <w:rPr>
          <w:spacing w:val="-4"/>
        </w:rPr>
        <w:t>万元，持股比例</w:t>
      </w:r>
      <w:r>
        <w:rPr>
          <w:spacing w:val="-50"/>
        </w:rPr>
        <w:t> </w:t>
      </w:r>
      <w:r>
        <w:rPr>
          <w:rFonts w:ascii="Times New Roman" w:hAnsi="Times New Roman" w:cs="Times New Roman" w:eastAsia="Times New Roman" w:hint="default"/>
        </w:rPr>
        <w:t>60%</w:t>
      </w:r>
      <w:r>
        <w:rPr/>
        <w:t>，</w:t>
      </w:r>
      <w:hyperlink r:id="rId28">
        <w:r>
          <w:rPr/>
          <w:t>上海爱可及医疗科技有限公司</w:t>
        </w:r>
      </w:hyperlink>
      <w:r>
        <w:rPr/>
        <w:t>已于</w:t>
      </w:r>
      <w:r>
        <w:rPr>
          <w:spacing w:val="-4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w:t>
      </w:r>
      <w:r>
        <w:rPr>
          <w:spacing w:val="-50"/>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月</w:t>
      </w:r>
      <w:r>
        <w:rPr>
          <w:spacing w:val="-50"/>
        </w:rPr>
        <w:t> </w:t>
      </w:r>
      <w:r>
        <w:rPr>
          <w:rFonts w:ascii="Times New Roman" w:hAnsi="Times New Roman" w:cs="Times New Roman" w:eastAsia="Times New Roman" w:hint="default"/>
        </w:rPr>
        <w:t>22</w:t>
      </w:r>
      <w:r>
        <w:rPr>
          <w:rFonts w:ascii="Times New Roman" w:hAnsi="Times New Roman" w:cs="Times New Roman" w:eastAsia="Times New Roman" w:hint="default"/>
          <w:spacing w:val="-4"/>
        </w:rPr>
        <w:t> </w:t>
      </w:r>
      <w:r>
        <w:rPr/>
        <w:t>日办妥工商登记手续并领取了统一社会信 用代码为</w:t>
      </w:r>
      <w:r>
        <w:rPr>
          <w:spacing w:val="-51"/>
        </w:rPr>
        <w:t> </w:t>
      </w:r>
      <w:r>
        <w:rPr>
          <w:rFonts w:ascii="Times New Roman" w:hAnsi="Times New Roman" w:cs="Times New Roman" w:eastAsia="Times New Roman" w:hint="default"/>
        </w:rPr>
        <w:t>91310115MA1K4AXJ1L</w:t>
      </w:r>
      <w:r>
        <w:rPr>
          <w:rFonts w:ascii="Times New Roman" w:hAnsi="Times New Roman" w:cs="Times New Roman" w:eastAsia="Times New Roman" w:hint="default"/>
          <w:spacing w:val="-6"/>
        </w:rPr>
        <w:t> </w:t>
      </w:r>
      <w:r>
        <w:rPr/>
        <w:t>号营业执照。</w:t>
      </w:r>
    </w:p>
    <w:p>
      <w:pPr>
        <w:pStyle w:val="BodyText"/>
        <w:spacing w:line="240" w:lineRule="auto" w:before="53"/>
        <w:ind w:left="513" w:right="0"/>
        <w:jc w:val="left"/>
      </w:pPr>
      <w:r>
        <w:rPr/>
        <w:t>本公司于</w:t>
      </w:r>
      <w:r>
        <w:rPr>
          <w:spacing w:val="-4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年</w:t>
      </w:r>
      <w:r>
        <w:rPr>
          <w:spacing w:val="-42"/>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r>
        <w:rPr>
          <w:spacing w:val="-40"/>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t>日投资设立上海资哲企业管理有限责任公司，注册资本人民币</w:t>
      </w:r>
      <w:r>
        <w:rPr>
          <w:spacing w:val="-39"/>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7"/>
        </w:rPr>
        <w:t> </w:t>
      </w:r>
      <w:r>
        <w:rPr/>
        <w:t>万元，本公司出资人民</w:t>
      </w:r>
    </w:p>
    <w:p>
      <w:pPr>
        <w:pStyle w:val="BodyText"/>
        <w:spacing w:line="300" w:lineRule="auto" w:before="63"/>
        <w:ind w:right="1127"/>
        <w:jc w:val="left"/>
      </w:pPr>
      <w:r>
        <w:rPr/>
        <w:t>币</w:t>
      </w:r>
      <w:r>
        <w:rPr>
          <w:spacing w:val="-48"/>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2"/>
        </w:rPr>
        <w:t> </w:t>
      </w:r>
      <w:r>
        <w:rPr>
          <w:spacing w:val="-4"/>
        </w:rPr>
        <w:t>万元，持股比例</w:t>
      </w:r>
      <w:r>
        <w:rPr>
          <w:spacing w:val="-51"/>
        </w:rPr>
        <w:t> </w:t>
      </w:r>
      <w:r>
        <w:rPr>
          <w:rFonts w:ascii="Times New Roman" w:hAnsi="Times New Roman" w:cs="Times New Roman" w:eastAsia="Times New Roman" w:hint="default"/>
        </w:rPr>
        <w:t>100%</w:t>
      </w:r>
      <w:r>
        <w:rPr/>
        <w:t>，上海资哲企业管理有限责任公司已于</w:t>
      </w:r>
      <w:r>
        <w:rPr>
          <w:spacing w:val="-4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w:t>
      </w:r>
      <w:r>
        <w:rPr>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49"/>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日办妥工商登记手续并领取了统一社 会信用代码为</w:t>
      </w:r>
      <w:r>
        <w:rPr>
          <w:spacing w:val="-49"/>
        </w:rPr>
        <w:t> </w:t>
      </w:r>
      <w:r>
        <w:rPr>
          <w:rFonts w:ascii="Times New Roman" w:hAnsi="Times New Roman" w:cs="Times New Roman" w:eastAsia="Times New Roman" w:hint="default"/>
        </w:rPr>
        <w:t>91310104MA1FRHMG7L</w:t>
      </w:r>
      <w:r>
        <w:rPr>
          <w:rFonts w:ascii="Times New Roman" w:hAnsi="Times New Roman" w:cs="Times New Roman" w:eastAsia="Times New Roman" w:hint="default"/>
          <w:spacing w:val="-5"/>
        </w:rPr>
        <w:t> </w:t>
      </w:r>
      <w:r>
        <w:rPr/>
        <w:t>号营业执照。</w:t>
      </w:r>
    </w:p>
    <w:p>
      <w:pPr>
        <w:pStyle w:val="BodyText"/>
        <w:spacing w:line="240" w:lineRule="auto" w:before="51"/>
        <w:ind w:left="513" w:right="0"/>
        <w:jc w:val="left"/>
      </w:pPr>
      <w:r>
        <w:rPr/>
        <w:t>本公司于</w:t>
      </w:r>
      <w:r>
        <w:rPr>
          <w:spacing w:val="-2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9"/>
        </w:rPr>
        <w:t> </w:t>
      </w:r>
      <w:r>
        <w:rPr/>
        <w:t>年</w:t>
      </w:r>
      <w:r>
        <w:rPr>
          <w:spacing w:val="-30"/>
        </w:rPr>
        <w:t> </w:t>
      </w:r>
      <w:r>
        <w:rPr>
          <w:rFonts w:ascii="Times New Roman" w:hAnsi="Times New Roman" w:cs="Times New Roman" w:eastAsia="Times New Roman" w:hint="default"/>
        </w:rPr>
        <w:t>10</w:t>
      </w:r>
      <w:r>
        <w:rPr>
          <w:rFonts w:ascii="Times New Roman" w:hAnsi="Times New Roman" w:cs="Times New Roman" w:eastAsia="Times New Roman" w:hint="default"/>
          <w:spacing w:val="19"/>
        </w:rPr>
        <w:t> </w:t>
      </w:r>
      <w:r>
        <w:rPr/>
        <w:t>月</w:t>
      </w:r>
      <w:r>
        <w:rPr>
          <w:spacing w:val="-28"/>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9"/>
        </w:rPr>
        <w:t> </w:t>
      </w:r>
      <w:r>
        <w:rPr/>
        <w:t>日投资设立上海蛮牛健康管理有限公司，注册资本人民币</w:t>
      </w:r>
      <w:r>
        <w:rPr>
          <w:spacing w:val="-27"/>
        </w:rPr>
        <w:t> </w:t>
      </w:r>
      <w:r>
        <w:rPr>
          <w:rFonts w:ascii="Times New Roman" w:hAnsi="Times New Roman" w:cs="Times New Roman" w:eastAsia="Times New Roman" w:hint="default"/>
        </w:rPr>
        <w:t>500.00</w:t>
      </w:r>
      <w:r>
        <w:rPr>
          <w:rFonts w:ascii="Times New Roman" w:hAnsi="Times New Roman" w:cs="Times New Roman" w:eastAsia="Times New Roman" w:hint="default"/>
          <w:spacing w:val="19"/>
        </w:rPr>
        <w:t> </w:t>
      </w:r>
      <w:r>
        <w:rPr/>
        <w:t>万元，本公司出资人民币</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right="1119"/>
        <w:jc w:val="left"/>
      </w:pPr>
      <w:r>
        <w:rPr>
          <w:rFonts w:ascii="Times New Roman" w:hAnsi="Times New Roman" w:cs="Times New Roman" w:eastAsia="Times New Roman" w:hint="default"/>
        </w:rPr>
        <w:t>350.00 </w:t>
      </w:r>
      <w:r>
        <w:rPr/>
        <w:t>万元，持股比例</w:t>
      </w:r>
      <w:r>
        <w:rPr>
          <w:spacing w:val="-48"/>
        </w:rPr>
        <w:t> </w:t>
      </w:r>
      <w:r>
        <w:rPr>
          <w:rFonts w:ascii="Times New Roman" w:hAnsi="Times New Roman" w:cs="Times New Roman" w:eastAsia="Times New Roman" w:hint="default"/>
        </w:rPr>
        <w:t>70%</w:t>
      </w:r>
      <w:r>
        <w:rPr/>
        <w:t>，上海蛮牛健康管理有限公司已于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t>日办妥工商登记手续并领取了统一社会信用 代码为</w:t>
      </w:r>
      <w:r>
        <w:rPr>
          <w:spacing w:val="-48"/>
        </w:rPr>
        <w:t> </w:t>
      </w:r>
      <w:r>
        <w:rPr>
          <w:rFonts w:ascii="Times New Roman" w:hAnsi="Times New Roman" w:cs="Times New Roman" w:eastAsia="Times New Roman" w:hint="default"/>
        </w:rPr>
        <w:t>91310104MA1FRJBR2W</w:t>
      </w:r>
      <w:r>
        <w:rPr>
          <w:rFonts w:ascii="Times New Roman" w:hAnsi="Times New Roman" w:cs="Times New Roman" w:eastAsia="Times New Roman" w:hint="default"/>
          <w:spacing w:val="-4"/>
        </w:rPr>
        <w:t> </w:t>
      </w:r>
      <w:r>
        <w:rPr/>
        <w:t>号营业执照。</w:t>
      </w:r>
    </w:p>
    <w:p>
      <w:pPr>
        <w:pStyle w:val="BodyText"/>
        <w:spacing w:line="240" w:lineRule="auto" w:before="53"/>
        <w:ind w:left="513" w:right="0"/>
        <w:jc w:val="left"/>
      </w:pPr>
      <w:r>
        <w:rPr/>
        <w:t>本公司于</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
        </w:rPr>
        <w:t> </w:t>
      </w:r>
      <w:r>
        <w:rPr/>
        <w:t>月</w:t>
      </w:r>
      <w:r>
        <w:rPr>
          <w:spacing w:val="-47"/>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t>日投资设立蛮牛健康管理服务有限公司，注册资本人民币</w:t>
      </w:r>
      <w:r>
        <w:rPr>
          <w:spacing w:val="-44"/>
        </w:rPr>
        <w:t> </w:t>
      </w:r>
      <w:r>
        <w:rPr>
          <w:rFonts w:ascii="Times New Roman" w:hAnsi="Times New Roman" w:cs="Times New Roman" w:eastAsia="Times New Roman" w:hint="default"/>
        </w:rPr>
        <w:t>5,000.00</w:t>
      </w:r>
      <w:r>
        <w:rPr>
          <w:rFonts w:ascii="Times New Roman" w:hAnsi="Times New Roman" w:cs="Times New Roman" w:eastAsia="Times New Roman" w:hint="default"/>
          <w:spacing w:val="2"/>
        </w:rPr>
        <w:t> </w:t>
      </w:r>
      <w:r>
        <w:rPr/>
        <w:t>万元，本公司出资人民币</w:t>
      </w:r>
    </w:p>
    <w:p>
      <w:pPr>
        <w:pStyle w:val="BodyText"/>
        <w:spacing w:line="300" w:lineRule="auto" w:before="63"/>
        <w:ind w:right="1126"/>
        <w:jc w:val="left"/>
      </w:pPr>
      <w:r>
        <w:rPr>
          <w:rFonts w:ascii="Times New Roman" w:hAnsi="Times New Roman" w:cs="Times New Roman" w:eastAsia="Times New Roman" w:hint="default"/>
        </w:rPr>
        <w:t>3,500.00</w:t>
      </w:r>
      <w:r>
        <w:rPr>
          <w:rFonts w:ascii="Times New Roman" w:hAnsi="Times New Roman" w:cs="Times New Roman" w:eastAsia="Times New Roman" w:hint="default"/>
          <w:spacing w:val="6"/>
        </w:rPr>
        <w:t> </w:t>
      </w:r>
      <w:r>
        <w:rPr/>
        <w:t>万元，持股比例</w:t>
      </w:r>
      <w:r>
        <w:rPr>
          <w:spacing w:val="-44"/>
        </w:rPr>
        <w:t> </w:t>
      </w:r>
      <w:r>
        <w:rPr>
          <w:rFonts w:ascii="Times New Roman" w:hAnsi="Times New Roman" w:cs="Times New Roman" w:eastAsia="Times New Roman" w:hint="default"/>
        </w:rPr>
        <w:t>70%</w:t>
      </w:r>
      <w:r>
        <w:rPr/>
        <w:t>，蛮牛健康管理服务有限公司已于</w:t>
      </w:r>
      <w:r>
        <w:rPr>
          <w:spacing w:val="-4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w:t>
      </w:r>
      <w:r>
        <w:rPr>
          <w:spacing w:val="-41"/>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5"/>
        </w:rPr>
        <w:t> </w:t>
      </w:r>
      <w:r>
        <w:rPr/>
        <w:t>月</w:t>
      </w:r>
      <w:r>
        <w:rPr>
          <w:spacing w:val="-43"/>
        </w:rPr>
        <w:t> </w:t>
      </w:r>
      <w:r>
        <w:rPr>
          <w:rFonts w:ascii="Times New Roman" w:hAnsi="Times New Roman" w:cs="Times New Roman" w:eastAsia="Times New Roman" w:hint="default"/>
        </w:rPr>
        <w:t>15</w:t>
      </w:r>
      <w:r>
        <w:rPr>
          <w:rFonts w:ascii="Times New Roman" w:hAnsi="Times New Roman" w:cs="Times New Roman" w:eastAsia="Times New Roman" w:hint="default"/>
          <w:spacing w:val="5"/>
        </w:rPr>
        <w:t> </w:t>
      </w:r>
      <w:r>
        <w:rPr/>
        <w:t>日办妥工商登记手续并领取了统一社会信 用代码为</w:t>
      </w:r>
      <w:r>
        <w:rPr>
          <w:spacing w:val="-48"/>
        </w:rPr>
        <w:t> </w:t>
      </w:r>
      <w:r>
        <w:rPr>
          <w:rFonts w:ascii="Times New Roman" w:hAnsi="Times New Roman" w:cs="Times New Roman" w:eastAsia="Times New Roman" w:hint="default"/>
        </w:rPr>
        <w:t>91310104MA1FRJMX1N</w:t>
      </w:r>
      <w:r>
        <w:rPr>
          <w:rFonts w:ascii="Times New Roman" w:hAnsi="Times New Roman" w:cs="Times New Roman" w:eastAsia="Times New Roman" w:hint="default"/>
          <w:spacing w:val="-2"/>
        </w:rPr>
        <w:t> </w:t>
      </w:r>
      <w:r>
        <w:rPr/>
        <w:t>号营业执照。</w:t>
      </w:r>
    </w:p>
    <w:p>
      <w:pPr>
        <w:spacing w:line="240" w:lineRule="auto" w:before="3"/>
        <w:rPr>
          <w:rFonts w:ascii="宋体" w:hAnsi="宋体" w:cs="宋体" w:eastAsia="宋体" w:hint="default"/>
          <w:sz w:val="20"/>
          <w:szCs w:val="20"/>
        </w:rPr>
      </w:pPr>
    </w:p>
    <w:p>
      <w:pPr>
        <w:pStyle w:val="Heading2"/>
        <w:spacing w:line="240" w:lineRule="auto"/>
        <w:ind w:right="2602"/>
        <w:jc w:val="left"/>
        <w:rPr>
          <w:b w:val="0"/>
          <w:bCs w:val="0"/>
        </w:rPr>
      </w:pPr>
      <w:bookmarkStart w:name="八、聘任、解聘会计师事务所情况" w:id="75"/>
      <w:bookmarkEnd w:id="75"/>
      <w:r>
        <w:rPr>
          <w:b w:val="0"/>
          <w:bCs w:val="0"/>
        </w:rPr>
      </w:r>
      <w:r>
        <w:rPr/>
        <w:t>八、聘任、解聘会计师事务所情况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t>现聘任的会计事务所</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90"/>
        <w:gridCol w:w="4779"/>
      </w:tblGrid>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105</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黄晔、赵敏</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黄晔</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年、赵敏</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bl>
    <w:p>
      <w:pPr>
        <w:pStyle w:val="BodyText"/>
        <w:spacing w:line="240" w:lineRule="auto" w:before="49"/>
        <w:ind w:right="2602"/>
        <w:jc w:val="left"/>
      </w:pPr>
      <w:r>
        <w:rPr/>
        <w:t>是否改聘会计师事务所</w:t>
      </w:r>
    </w:p>
    <w:p>
      <w:pPr>
        <w:pStyle w:val="BodyText"/>
        <w:spacing w:line="340" w:lineRule="auto" w:before="115"/>
        <w:ind w:right="625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聘请内部控制审计会计师事务所、财务顾问或保荐人情况</w:t>
      </w:r>
    </w:p>
    <w:p>
      <w:pPr>
        <w:pStyle w:val="BodyText"/>
        <w:spacing w:line="240" w:lineRule="auto" w:before="39"/>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2602"/>
        <w:jc w:val="left"/>
        <w:rPr>
          <w:b w:val="0"/>
          <w:bCs w:val="0"/>
        </w:rPr>
      </w:pPr>
      <w:bookmarkStart w:name="九、年度报告披露后面临暂停上市和终止上市情况" w:id="76"/>
      <w:bookmarkEnd w:id="76"/>
      <w:r>
        <w:rPr>
          <w:b w:val="0"/>
          <w:bCs w:val="0"/>
        </w:rPr>
      </w:r>
      <w:r>
        <w:rPr/>
        <w:t>九、年度报告披露后面临暂停上市和终止上市情况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
        <w:rPr>
          <w:rFonts w:ascii="宋体" w:hAnsi="宋体" w:cs="宋体" w:eastAsia="宋体" w:hint="default"/>
          <w:sz w:val="24"/>
          <w:szCs w:val="24"/>
        </w:rPr>
      </w:pPr>
    </w:p>
    <w:p>
      <w:pPr>
        <w:pStyle w:val="Heading2"/>
        <w:spacing w:line="240" w:lineRule="auto"/>
        <w:ind w:right="2602"/>
        <w:jc w:val="left"/>
        <w:rPr>
          <w:b w:val="0"/>
          <w:bCs w:val="0"/>
        </w:rPr>
      </w:pPr>
      <w:bookmarkStart w:name="十、破产重整相关事项" w:id="77"/>
      <w:bookmarkEnd w:id="77"/>
      <w:r>
        <w:rPr>
          <w:b w:val="0"/>
          <w:bCs w:val="0"/>
        </w:rPr>
      </w:r>
      <w:r>
        <w:rPr/>
        <w:t>十、破产重整相关事项</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7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公司报告期未发生破产重整相关事项。</w:t>
      </w:r>
    </w:p>
    <w:p>
      <w:pPr>
        <w:spacing w:line="240" w:lineRule="auto" w:before="6"/>
        <w:rPr>
          <w:rFonts w:ascii="宋体" w:hAnsi="宋体" w:cs="宋体" w:eastAsia="宋体" w:hint="default"/>
          <w:sz w:val="19"/>
          <w:szCs w:val="19"/>
        </w:rPr>
      </w:pPr>
    </w:p>
    <w:p>
      <w:pPr>
        <w:pStyle w:val="Heading2"/>
        <w:spacing w:line="240" w:lineRule="auto"/>
        <w:ind w:right="2602"/>
        <w:jc w:val="left"/>
        <w:rPr>
          <w:b w:val="0"/>
          <w:bCs w:val="0"/>
        </w:rPr>
      </w:pPr>
      <w:bookmarkStart w:name="十一、重大诉讼、仲裁事项" w:id="78"/>
      <w:bookmarkEnd w:id="78"/>
      <w:r>
        <w:rPr>
          <w:b w:val="0"/>
          <w:bCs w:val="0"/>
        </w:rPr>
      </w:r>
      <w:r>
        <w:rPr/>
        <w:t>十一、重大诉讼、仲裁事项</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78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本年度公司无重大诉讼、仲裁事项。</w:t>
      </w:r>
    </w:p>
    <w:p>
      <w:pPr>
        <w:spacing w:line="240" w:lineRule="auto" w:before="7"/>
        <w:rPr>
          <w:rFonts w:ascii="宋体" w:hAnsi="宋体" w:cs="宋体" w:eastAsia="宋体" w:hint="default"/>
          <w:sz w:val="19"/>
          <w:szCs w:val="19"/>
        </w:rPr>
      </w:pPr>
    </w:p>
    <w:p>
      <w:pPr>
        <w:pStyle w:val="Heading2"/>
        <w:spacing w:line="240" w:lineRule="auto"/>
        <w:ind w:right="2602"/>
        <w:jc w:val="left"/>
        <w:rPr>
          <w:b w:val="0"/>
          <w:bCs w:val="0"/>
        </w:rPr>
      </w:pPr>
      <w:bookmarkStart w:name="十二、处罚及整改情况" w:id="79"/>
      <w:bookmarkEnd w:id="79"/>
      <w:r>
        <w:rPr>
          <w:b w:val="0"/>
          <w:bCs w:val="0"/>
        </w:rPr>
      </w:r>
      <w:r>
        <w:rPr/>
        <w:t>十二、处罚及整改情况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pict>
          <v:shape style="position:absolute;margin-left:133.580002pt;margin-top:53.111713pt;width:171.05pt;height:22.45pt;mso-position-horizontal-relative:page;mso-position-vertical-relative:paragraph;z-index:-1333984" type="#_x0000_t202" filled="false" stroked="false">
            <v:textbox inset="0,0,0,0">
              <w:txbxContent>
                <w:p>
                  <w:pPr>
                    <w:pStyle w:val="BodyText"/>
                    <w:spacing w:line="240" w:lineRule="auto" w:before="49"/>
                    <w:ind w:left="0" w:right="0"/>
                    <w:jc w:val="left"/>
                  </w:pPr>
                  <w:r>
                    <w:rPr/>
                    <w:t>、原控股股东非经营性占用公司资金，</w:t>
                  </w:r>
                </w:p>
              </w:txbxContent>
            </v:textbox>
            <w10:wrap type="none"/>
          </v:shape>
        </w:pict>
      </w: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852"/>
        <w:gridCol w:w="566"/>
        <w:gridCol w:w="3118"/>
        <w:gridCol w:w="427"/>
        <w:gridCol w:w="2977"/>
        <w:gridCol w:w="566"/>
        <w:gridCol w:w="1066"/>
      </w:tblGrid>
      <w:tr>
        <w:trPr>
          <w:trHeight w:val="704"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6" w:right="0"/>
              <w:jc w:val="left"/>
              <w:rPr>
                <w:rFonts w:ascii="宋体" w:hAnsi="宋体" w:cs="宋体" w:eastAsia="宋体" w:hint="default"/>
                <w:sz w:val="18"/>
                <w:szCs w:val="18"/>
              </w:rPr>
            </w:pPr>
            <w:r>
              <w:rPr>
                <w:rFonts w:ascii="宋体" w:hAnsi="宋体" w:cs="宋体" w:eastAsia="宋体" w:hint="default"/>
                <w:sz w:val="18"/>
                <w:szCs w:val="18"/>
              </w:rPr>
              <w:t>名称</w:t>
            </w:r>
            <w:r>
              <w:rPr>
                <w:rFonts w:ascii="Times New Roman" w:hAnsi="Times New Roman" w:cs="Times New Roman" w:eastAsia="Times New Roman" w:hint="default"/>
                <w:sz w:val="18"/>
                <w:szCs w:val="18"/>
              </w:rPr>
              <w:t>/</w:t>
            </w:r>
            <w:r>
              <w:rPr>
                <w:rFonts w:ascii="宋体" w:hAnsi="宋体" w:cs="宋体" w:eastAsia="宋体" w:hint="default"/>
                <w:sz w:val="18"/>
                <w:szCs w:val="18"/>
              </w:rPr>
              <w:t>姓名</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原因</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28" w:right="0"/>
              <w:jc w:val="left"/>
              <w:rPr>
                <w:rFonts w:ascii="宋体" w:hAnsi="宋体" w:cs="宋体" w:eastAsia="宋体" w:hint="default"/>
                <w:sz w:val="18"/>
                <w:szCs w:val="18"/>
              </w:rPr>
            </w:pPr>
            <w:r>
              <w:rPr>
                <w:rFonts w:ascii="宋体" w:hAnsi="宋体" w:cs="宋体" w:eastAsia="宋体" w:hint="default"/>
                <w:sz w:val="18"/>
                <w:szCs w:val="18"/>
              </w:rPr>
              <w:t>调查</w:t>
            </w:r>
          </w:p>
          <w:p>
            <w:pPr>
              <w:pStyle w:val="TableParagraph"/>
              <w:spacing w:line="232" w:lineRule="exact" w:before="23"/>
              <w:ind w:left="28" w:right="26"/>
              <w:jc w:val="left"/>
              <w:rPr>
                <w:rFonts w:ascii="宋体" w:hAnsi="宋体" w:cs="宋体" w:eastAsia="宋体" w:hint="default"/>
                <w:sz w:val="18"/>
                <w:szCs w:val="18"/>
              </w:rPr>
            </w:pPr>
            <w:r>
              <w:rPr>
                <w:rFonts w:ascii="宋体" w:hAnsi="宋体" w:cs="宋体" w:eastAsia="宋体" w:hint="default"/>
                <w:sz w:val="18"/>
                <w:szCs w:val="18"/>
              </w:rPr>
              <w:t>处罚 类型</w:t>
            </w:r>
          </w:p>
        </w:tc>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43" w:right="0"/>
              <w:jc w:val="left"/>
              <w:rPr>
                <w:rFonts w:ascii="宋体" w:hAnsi="宋体" w:cs="宋体" w:eastAsia="宋体" w:hint="default"/>
                <w:sz w:val="18"/>
                <w:szCs w:val="18"/>
              </w:rPr>
            </w:pPr>
            <w:r>
              <w:rPr>
                <w:rFonts w:ascii="宋体" w:hAnsi="宋体" w:cs="宋体" w:eastAsia="宋体" w:hint="default"/>
                <w:sz w:val="18"/>
                <w:szCs w:val="18"/>
              </w:rPr>
              <w:t>结论（如有）</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0"/>
              <w:ind w:left="98" w:right="96"/>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3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316" w:lineRule="auto"/>
              <w:ind w:left="24" w:right="96"/>
              <w:jc w:val="both"/>
              <w:rPr>
                <w:rFonts w:ascii="宋体" w:hAnsi="宋体" w:cs="宋体" w:eastAsia="宋体" w:hint="default"/>
                <w:sz w:val="18"/>
                <w:szCs w:val="18"/>
              </w:rPr>
            </w:pPr>
            <w:r>
              <w:rPr>
                <w:rFonts w:ascii="宋体" w:hAnsi="宋体" w:cs="宋体" w:eastAsia="宋体" w:hint="default"/>
                <w:sz w:val="18"/>
                <w:szCs w:val="18"/>
              </w:rPr>
              <w:t>万达信息 股份有限 公司</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both"/>
              <w:rPr>
                <w:rFonts w:ascii="Times New Roman" w:hAnsi="Times New Roman" w:cs="Times New Roman" w:eastAsia="Times New Roman" w:hint="default"/>
                <w:sz w:val="18"/>
                <w:szCs w:val="18"/>
              </w:rPr>
            </w:pPr>
            <w:r>
              <w:rPr>
                <w:rFonts w:ascii="Times New Roman"/>
                <w:sz w:val="18"/>
              </w:rPr>
              <w:t>1</w:t>
            </w:r>
          </w:p>
          <w:p>
            <w:pPr>
              <w:pStyle w:val="TableParagraph"/>
              <w:spacing w:line="309" w:lineRule="auto" w:before="63"/>
              <w:ind w:left="23" w:right="19"/>
              <w:jc w:val="both"/>
              <w:rPr>
                <w:rFonts w:ascii="宋体" w:hAnsi="宋体" w:cs="宋体" w:eastAsia="宋体" w:hint="default"/>
                <w:sz w:val="18"/>
                <w:szCs w:val="18"/>
              </w:rPr>
            </w:pPr>
            <w:r>
              <w:rPr>
                <w:rFonts w:ascii="宋体" w:hAnsi="宋体" w:cs="宋体" w:eastAsia="宋体" w:hint="default"/>
                <w:sz w:val="18"/>
                <w:szCs w:val="18"/>
              </w:rPr>
              <w:t>公司未及时披露关联方非经营性资金占 </w:t>
            </w:r>
            <w:r>
              <w:rPr>
                <w:rFonts w:ascii="宋体" w:hAnsi="宋体" w:cs="宋体" w:eastAsia="宋体" w:hint="default"/>
                <w:spacing w:val="-3"/>
                <w:sz w:val="18"/>
                <w:szCs w:val="18"/>
              </w:rPr>
              <w:t>用事项。</w:t>
            </w:r>
            <w:r>
              <w:rPr>
                <w:rFonts w:ascii="Times New Roman" w:hAnsi="Times New Roman" w:cs="Times New Roman" w:eastAsia="Times New Roman" w:hint="default"/>
                <w:spacing w:val="-3"/>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月，你公司通</w:t>
            </w:r>
            <w:r>
              <w:rPr>
                <w:rFonts w:ascii="宋体" w:hAnsi="宋体" w:cs="宋体" w:eastAsia="宋体" w:hint="default"/>
                <w:sz w:val="18"/>
                <w:szCs w:val="18"/>
              </w:rPr>
              <w:t> 过第三方银行账户向原控股股东万豪投</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448" w:lineRule="exact"/>
              <w:ind w:left="2" w:right="-51"/>
              <w:jc w:val="left"/>
              <w:rPr>
                <w:rFonts w:ascii="宋体" w:hAnsi="宋体" w:cs="宋体" w:eastAsia="宋体" w:hint="default"/>
                <w:sz w:val="20"/>
                <w:szCs w:val="20"/>
              </w:rPr>
            </w:pPr>
            <w:r>
              <w:rPr>
                <w:rFonts w:ascii="宋体" w:hAnsi="宋体" w:cs="宋体" w:eastAsia="宋体" w:hint="default"/>
                <w:position w:val="-8"/>
                <w:sz w:val="20"/>
                <w:szCs w:val="20"/>
              </w:rPr>
              <w:pict>
                <v:group style="width:20.8pt;height:22.45pt;mso-position-horizontal-relative:char;mso-position-vertical-relative:line" coordorigin="0,0" coordsize="416,449">
                  <v:group style="position:absolute;left:0;top:0;width:416;height:449" coordorigin="0,0" coordsize="416,449">
                    <v:shape style="position:absolute;left:0;top:0;width:416;height:449" coordorigin="0,0" coordsize="416,449" path="m0,449l415,449,415,0,0,0,0,449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23" w:right="2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、前述行为构成万豪投资非经营性占</w:t>
            </w:r>
            <w:r>
              <w:rPr>
                <w:rFonts w:ascii="宋体" w:hAnsi="宋体" w:cs="宋体" w:eastAsia="宋体" w:hint="default"/>
                <w:sz w:val="18"/>
                <w:szCs w:val="18"/>
              </w:rPr>
              <w:t> 用你公司资金，违反了《关于规范上 市公司与关联方资金往来及上市公司 </w:t>
            </w:r>
            <w:r>
              <w:rPr>
                <w:rFonts w:ascii="宋体" w:hAnsi="宋体" w:cs="宋体" w:eastAsia="宋体" w:hint="default"/>
                <w:spacing w:val="-6"/>
                <w:sz w:val="18"/>
                <w:szCs w:val="18"/>
              </w:rPr>
              <w:t>对外担保若干问题的通知》（证监发</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131"/>
              <w:jc w:val="both"/>
              <w:rPr>
                <w:rFonts w:ascii="宋体" w:hAnsi="宋体" w:cs="宋体" w:eastAsia="宋体" w:hint="default"/>
                <w:sz w:val="18"/>
                <w:szCs w:val="18"/>
              </w:rPr>
            </w:pPr>
            <w:r>
              <w:rPr>
                <w:rFonts w:ascii="宋体" w:hAnsi="宋体" w:cs="宋体" w:eastAsia="宋体" w:hint="default"/>
                <w:sz w:val="18"/>
                <w:szCs w:val="18"/>
              </w:rPr>
              <w:t>《关于收到 中国证监会 上海监管局 行政监管措</w:t>
            </w:r>
          </w:p>
        </w:tc>
      </w:tr>
    </w:tbl>
    <w:p>
      <w:pPr>
        <w:spacing w:after="0" w:line="316" w:lineRule="auto"/>
        <w:jc w:val="both"/>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宋体" w:hAnsi="宋体" w:cs="宋体" w:eastAsia="宋体" w:hint="default"/>
          <w:sz w:val="20"/>
          <w:szCs w:val="20"/>
        </w:rPr>
      </w:pPr>
      <w:r>
        <w:rPr/>
        <w:pict>
          <v:shape style="position:absolute;margin-left:420.766998pt;margin-top:670.415955pt;width:61.05pt;height:85.8pt;mso-position-horizontal-relative:page;mso-position-vertical-relative:page;z-index:-1333888"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7"/>
                      <w:szCs w:val="17"/>
                    </w:rPr>
                  </w:pPr>
                </w:p>
                <w:p>
                  <w:pPr>
                    <w:pStyle w:val="BodyText"/>
                    <w:spacing w:line="240" w:lineRule="auto"/>
                    <w:ind w:left="0" w:right="0"/>
                    <w:jc w:val="left"/>
                  </w:pPr>
                  <w:r>
                    <w:rPr/>
                    <w:t>理办法》</w:t>
                  </w:r>
                </w:p>
              </w:txbxContent>
            </v:textbox>
            <w10:wrap type="none"/>
          </v:shape>
        </w:pict>
      </w:r>
      <w:r>
        <w:rPr/>
        <w:pict>
          <v:shape style="position:absolute;margin-left:56.400002pt;margin-top:71.999985pt;width:479.4pt;height:684.7pt;mso-position-horizontal-relative:page;mso-position-vertical-relative:page;z-index:1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52"/>
                    <w:gridCol w:w="566"/>
                    <w:gridCol w:w="3118"/>
                    <w:gridCol w:w="427"/>
                    <w:gridCol w:w="2977"/>
                    <w:gridCol w:w="566"/>
                    <w:gridCol w:w="1066"/>
                  </w:tblGrid>
                  <w:tr>
                    <w:trPr>
                      <w:trHeight w:val="706"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6" w:right="0"/>
                          <w:jc w:val="left"/>
                          <w:rPr>
                            <w:rFonts w:ascii="宋体" w:hAnsi="宋体" w:cs="宋体" w:eastAsia="宋体" w:hint="default"/>
                            <w:sz w:val="18"/>
                            <w:szCs w:val="18"/>
                          </w:rPr>
                        </w:pPr>
                        <w:r>
                          <w:rPr>
                            <w:rFonts w:ascii="宋体" w:hAnsi="宋体" w:cs="宋体" w:eastAsia="宋体" w:hint="default"/>
                            <w:sz w:val="18"/>
                            <w:szCs w:val="18"/>
                          </w:rPr>
                          <w:t>名称</w:t>
                        </w:r>
                        <w:r>
                          <w:rPr>
                            <w:rFonts w:ascii="Times New Roman" w:hAnsi="Times New Roman" w:cs="Times New Roman" w:eastAsia="Times New Roman" w:hint="default"/>
                            <w:sz w:val="18"/>
                            <w:szCs w:val="18"/>
                          </w:rPr>
                          <w:t>/</w:t>
                        </w:r>
                        <w:r>
                          <w:rPr>
                            <w:rFonts w:ascii="宋体" w:hAnsi="宋体" w:cs="宋体" w:eastAsia="宋体" w:hint="default"/>
                            <w:sz w:val="18"/>
                            <w:szCs w:val="18"/>
                          </w:rPr>
                          <w:t>姓名</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原因</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28" w:right="0"/>
                          <w:jc w:val="left"/>
                          <w:rPr>
                            <w:rFonts w:ascii="宋体" w:hAnsi="宋体" w:cs="宋体" w:eastAsia="宋体" w:hint="default"/>
                            <w:sz w:val="18"/>
                            <w:szCs w:val="18"/>
                          </w:rPr>
                        </w:pPr>
                        <w:r>
                          <w:rPr>
                            <w:rFonts w:ascii="宋体" w:hAnsi="宋体" w:cs="宋体" w:eastAsia="宋体" w:hint="default"/>
                            <w:sz w:val="18"/>
                            <w:szCs w:val="18"/>
                          </w:rPr>
                          <w:t>调查</w:t>
                        </w:r>
                      </w:p>
                      <w:p>
                        <w:pPr>
                          <w:pStyle w:val="TableParagraph"/>
                          <w:spacing w:line="240" w:lineRule="auto"/>
                          <w:ind w:left="28" w:right="26"/>
                          <w:jc w:val="left"/>
                          <w:rPr>
                            <w:rFonts w:ascii="宋体" w:hAnsi="宋体" w:cs="宋体" w:eastAsia="宋体" w:hint="default"/>
                            <w:sz w:val="18"/>
                            <w:szCs w:val="18"/>
                          </w:rPr>
                        </w:pPr>
                        <w:r>
                          <w:rPr>
                            <w:rFonts w:ascii="宋体" w:hAnsi="宋体" w:cs="宋体" w:eastAsia="宋体" w:hint="default"/>
                            <w:sz w:val="18"/>
                            <w:szCs w:val="18"/>
                          </w:rPr>
                          <w:t>处罚 类型</w:t>
                        </w:r>
                      </w:p>
                    </w:tc>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43" w:right="0"/>
                          <w:jc w:val="left"/>
                          <w:rPr>
                            <w:rFonts w:ascii="宋体" w:hAnsi="宋体" w:cs="宋体" w:eastAsia="宋体" w:hint="default"/>
                            <w:sz w:val="18"/>
                            <w:szCs w:val="18"/>
                          </w:rPr>
                        </w:pPr>
                        <w:r>
                          <w:rPr>
                            <w:rFonts w:ascii="宋体" w:hAnsi="宋体" w:cs="宋体" w:eastAsia="宋体" w:hint="default"/>
                            <w:sz w:val="18"/>
                            <w:szCs w:val="18"/>
                          </w:rPr>
                          <w:t>结论（如有）</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10"/>
                          <w:ind w:left="98" w:right="96"/>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324" w:hRule="exact"/>
                    </w:trPr>
                    <w:tc>
                      <w:tcPr>
                        <w:tcW w:w="852" w:type="dxa"/>
                        <w:vMerge w:val="restart"/>
                        <w:tcBorders>
                          <w:top w:val="single" w:sz="4" w:space="0" w:color="000000"/>
                          <w:left w:val="single" w:sz="4" w:space="0" w:color="000000"/>
                          <w:right w:val="single" w:sz="4" w:space="0" w:color="000000"/>
                        </w:tcBorders>
                      </w:tcPr>
                      <w:p>
                        <w:pPr/>
                      </w:p>
                    </w:tc>
                    <w:tc>
                      <w:tcPr>
                        <w:tcW w:w="566" w:type="dxa"/>
                        <w:vMerge w:val="restart"/>
                        <w:tcBorders>
                          <w:top w:val="single" w:sz="4" w:space="0" w:color="000000"/>
                          <w:left w:val="single" w:sz="4" w:space="0" w:color="000000"/>
                          <w:right w:val="single" w:sz="4" w:space="0" w:color="000000"/>
                        </w:tcBorders>
                      </w:tcPr>
                      <w:p>
                        <w:pPr/>
                      </w:p>
                    </w:tc>
                    <w:tc>
                      <w:tcPr>
                        <w:tcW w:w="31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资累计转出资金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亿元，向万豪投资</w:t>
                        </w:r>
                      </w:p>
                    </w:tc>
                    <w:tc>
                      <w:tcPr>
                        <w:tcW w:w="42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6"/>
                            <w:szCs w:val="26"/>
                          </w:rPr>
                        </w:pPr>
                      </w:p>
                    </w:tc>
                    <w:tc>
                      <w:tcPr>
                        <w:tcW w:w="29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[2003]56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号，经证监会公告</w:t>
                        </w:r>
                        <w:r>
                          <w:rPr>
                            <w:rFonts w:ascii="Times New Roman" w:hAnsi="Times New Roman" w:cs="Times New Roman" w:eastAsia="Times New Roman" w:hint="default"/>
                            <w:sz w:val="18"/>
                            <w:szCs w:val="18"/>
                          </w:rPr>
                          <w:t>[2017]16</w:t>
                        </w:r>
                      </w:p>
                    </w:tc>
                    <w:tc>
                      <w:tcPr>
                        <w:tcW w:w="5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5"/>
                          <w:ind w:left="23" w:right="0"/>
                          <w:jc w:val="left"/>
                          <w:rPr>
                            <w:rFonts w:ascii="Times New Roman" w:hAnsi="Times New Roman" w:cs="Times New Roman" w:eastAsia="Times New Roman" w:hint="default"/>
                            <w:sz w:val="18"/>
                            <w:szCs w:val="18"/>
                          </w:rPr>
                        </w:pPr>
                        <w:r>
                          <w:rPr>
                            <w:rFonts w:ascii="Times New Roman"/>
                            <w:sz w:val="18"/>
                          </w:rPr>
                          <w:t>2020</w:t>
                        </w:r>
                      </w:p>
                    </w:tc>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施决定书的</w:t>
                        </w: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合作方累计转出资金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2.035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亿元，转出</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号修改</w:t>
                        </w:r>
                        <w:r>
                          <w:rPr>
                            <w:rFonts w:ascii="宋体" w:hAnsi="宋体" w:cs="宋体" w:eastAsia="宋体" w:hint="default"/>
                            <w:spacing w:val="-24"/>
                            <w:sz w:val="18"/>
                            <w:szCs w:val="18"/>
                          </w:rPr>
                          <w:t>）</w:t>
                        </w:r>
                        <w:r>
                          <w:rPr>
                            <w:rFonts w:ascii="宋体" w:hAnsi="宋体" w:cs="宋体" w:eastAsia="宋体" w:hint="default"/>
                            <w:sz w:val="18"/>
                            <w:szCs w:val="18"/>
                          </w:rPr>
                          <w:t>第一条第一款第二项</w:t>
                        </w:r>
                        <w:r>
                          <w:rPr>
                            <w:rFonts w:ascii="宋体" w:hAnsi="宋体" w:cs="宋体" w:eastAsia="宋体" w:hint="default"/>
                            <w:spacing w:val="-116"/>
                            <w:sz w:val="18"/>
                            <w:szCs w:val="18"/>
                          </w:rPr>
                          <w:t>、</w:t>
                        </w:r>
                        <w:r>
                          <w:rPr>
                            <w:rFonts w:ascii="宋体" w:hAnsi="宋体" w:cs="宋体" w:eastAsia="宋体" w:hint="default"/>
                            <w:sz w:val="18"/>
                            <w:szCs w:val="18"/>
                          </w:rPr>
                          <w:t>《上市</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公告</w:t>
                        </w:r>
                        <w:r>
                          <w:rPr>
                            <w:rFonts w:ascii="宋体" w:hAnsi="宋体" w:cs="宋体" w:eastAsia="宋体" w:hint="default"/>
                            <w:spacing w:val="-92"/>
                            <w:sz w:val="18"/>
                            <w:szCs w:val="18"/>
                          </w:rPr>
                          <w:t>》</w:t>
                        </w:r>
                        <w:r>
                          <w:rPr>
                            <w:rFonts w:ascii="宋体" w:hAnsi="宋体" w:cs="宋体" w:eastAsia="宋体" w:hint="default"/>
                            <w:sz w:val="18"/>
                            <w:szCs w:val="18"/>
                          </w:rPr>
                          <w:t>，公告</w:t>
                        </w: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资金发生额共计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7.435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亿元，收回资金</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公司治理准则</w:t>
                        </w:r>
                        <w:r>
                          <w:rPr>
                            <w:rFonts w:ascii="宋体" w:hAnsi="宋体" w:cs="宋体" w:eastAsia="宋体" w:hint="default"/>
                            <w:spacing w:val="-92"/>
                            <w:sz w:val="18"/>
                            <w:szCs w:val="18"/>
                          </w:rPr>
                          <w:t>》</w:t>
                        </w:r>
                        <w:r>
                          <w:rPr>
                            <w:rFonts w:ascii="宋体" w:hAnsi="宋体" w:cs="宋体" w:eastAsia="宋体" w:hint="default"/>
                            <w:sz w:val="18"/>
                            <w:szCs w:val="18"/>
                          </w:rPr>
                          <w:t>（证监会公告</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01</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9</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编号</w:t>
                        </w: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亿元，余额</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亿元。公司未及</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号）第七十条第二款的规定。前述行</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2019-161</w:t>
                        </w:r>
                        <w:r>
                          <w:rPr>
                            <w:rFonts w:ascii="宋体" w:hAnsi="宋体" w:cs="宋体" w:eastAsia="宋体" w:hint="default"/>
                            <w:sz w:val="18"/>
                            <w:szCs w:val="18"/>
                          </w:rPr>
                          <w:t>；</w:t>
                        </w:r>
                      </w:p>
                    </w:tc>
                  </w:tr>
                  <w:tr>
                    <w:trPr>
                      <w:trHeight w:val="327"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时履行信息披露义务，直至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为违反了《上市公司信息披露管理办</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3" w:right="0"/>
                          <w:jc w:val="left"/>
                          <w:rPr>
                            <w:rFonts w:ascii="宋体" w:hAnsi="宋体" w:cs="宋体" w:eastAsia="宋体" w:hint="default"/>
                            <w:sz w:val="18"/>
                            <w:szCs w:val="18"/>
                          </w:rPr>
                        </w:pPr>
                        <w:r>
                          <w:rPr>
                            <w:rFonts w:ascii="宋体" w:hAnsi="宋体" w:cs="宋体" w:eastAsia="宋体" w:hint="default"/>
                            <w:sz w:val="18"/>
                            <w:szCs w:val="18"/>
                          </w:rPr>
                          <w:t>《关于上海</w:t>
                        </w:r>
                      </w:p>
                    </w:tc>
                  </w:tr>
                  <w:tr>
                    <w:trPr>
                      <w:trHeight w:val="317"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日才披露万豪投资非经营性资金</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23" w:right="0"/>
                          <w:jc w:val="left"/>
                          <w:rPr>
                            <w:rFonts w:ascii="宋体" w:hAnsi="宋体" w:cs="宋体" w:eastAsia="宋体" w:hint="default"/>
                            <w:sz w:val="18"/>
                            <w:szCs w:val="18"/>
                          </w:rPr>
                        </w:pPr>
                        <w:r>
                          <w:rPr>
                            <w:rFonts w:ascii="宋体" w:hAnsi="宋体" w:cs="宋体" w:eastAsia="宋体" w:hint="default"/>
                            <w:sz w:val="18"/>
                            <w:szCs w:val="18"/>
                          </w:rPr>
                          <w:t>法</w:t>
                        </w:r>
                        <w:r>
                          <w:rPr>
                            <w:rFonts w:ascii="宋体" w:hAnsi="宋体" w:cs="宋体" w:eastAsia="宋体" w:hint="default"/>
                            <w:spacing w:val="-92"/>
                            <w:sz w:val="18"/>
                            <w:szCs w:val="18"/>
                          </w:rPr>
                          <w:t>》</w:t>
                        </w:r>
                        <w:r>
                          <w:rPr>
                            <w:rFonts w:ascii="宋体" w:hAnsi="宋体" w:cs="宋体" w:eastAsia="宋体" w:hint="default"/>
                            <w:sz w:val="18"/>
                            <w:szCs w:val="18"/>
                          </w:rPr>
                          <w:t>（证监会令第</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号）第</w:t>
                        </w:r>
                        <w:r>
                          <w:rPr>
                            <w:rFonts w:ascii="宋体" w:hAnsi="宋体" w:cs="宋体" w:eastAsia="宋体" w:hint="default"/>
                            <w:spacing w:val="-3"/>
                            <w:sz w:val="18"/>
                            <w:szCs w:val="18"/>
                          </w:rPr>
                          <w:t>二</w:t>
                        </w:r>
                        <w:r>
                          <w:rPr>
                            <w:rFonts w:ascii="宋体" w:hAnsi="宋体" w:cs="宋体" w:eastAsia="宋体" w:hint="default"/>
                            <w:sz w:val="18"/>
                            <w:szCs w:val="18"/>
                          </w:rPr>
                          <w:t>条第一</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证监局</w:t>
                        </w:r>
                        <w:r>
                          <w:rPr>
                            <w:rFonts w:ascii="Times New Roman" w:hAnsi="Times New Roman" w:cs="Times New Roman" w:eastAsia="Times New Roman" w:hint="default"/>
                            <w:sz w:val="18"/>
                            <w:szCs w:val="18"/>
                          </w:rPr>
                          <w:t>&lt;</w:t>
                        </w:r>
                        <w:r>
                          <w:rPr>
                            <w:rFonts w:ascii="宋体" w:hAnsi="宋体" w:cs="宋体" w:eastAsia="宋体" w:hint="default"/>
                            <w:sz w:val="18"/>
                            <w:szCs w:val="18"/>
                          </w:rPr>
                          <w:t>行政</w:t>
                        </w:r>
                      </w:p>
                    </w:tc>
                  </w:tr>
                  <w:tr>
                    <w:trPr>
                      <w:trHeight w:val="307"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占用事项</w:t>
                        </w:r>
                        <w:r>
                          <w:rPr>
                            <w:rFonts w:ascii="宋体" w:hAnsi="宋体" w:cs="宋体" w:eastAsia="宋体" w:hint="default"/>
                            <w:spacing w:val="-89"/>
                            <w:sz w:val="18"/>
                            <w:szCs w:val="18"/>
                          </w:rPr>
                          <w:t>，</w:t>
                        </w:r>
                        <w:r>
                          <w:rPr>
                            <w:rFonts w:ascii="宋体" w:hAnsi="宋体" w:cs="宋体" w:eastAsia="宋体" w:hint="default"/>
                            <w:sz w:val="18"/>
                            <w:szCs w:val="18"/>
                          </w:rPr>
                          <w:t>公司也未在</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第一季度</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z w:val="18"/>
                            <w:szCs w:val="18"/>
                          </w:rPr>
                          <w:t>款、第十九条第一款、第三十条第一</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宋体" w:hAnsi="宋体" w:cs="宋体" w:eastAsia="宋体" w:hint="default"/>
                            <w:sz w:val="18"/>
                            <w:szCs w:val="18"/>
                          </w:rPr>
                          <w:t>监管措施决</w:t>
                        </w:r>
                      </w:p>
                    </w:tc>
                  </w:tr>
                  <w:tr>
                    <w:trPr>
                      <w:trHeight w:val="317"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23" w:right="0"/>
                          <w:jc w:val="left"/>
                          <w:rPr>
                            <w:rFonts w:ascii="宋体" w:hAnsi="宋体" w:cs="宋体" w:eastAsia="宋体" w:hint="default"/>
                            <w:sz w:val="18"/>
                            <w:szCs w:val="18"/>
                          </w:rPr>
                        </w:pPr>
                        <w:r>
                          <w:rPr>
                            <w:rFonts w:ascii="宋体" w:hAnsi="宋体" w:cs="宋体" w:eastAsia="宋体" w:hint="default"/>
                            <w:sz w:val="18"/>
                            <w:szCs w:val="18"/>
                          </w:rPr>
                          <w:t>报告中就该事项进行披露。</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23" w:right="0"/>
                          <w:jc w:val="left"/>
                          <w:rPr>
                            <w:rFonts w:ascii="宋体" w:hAnsi="宋体" w:cs="宋体" w:eastAsia="宋体" w:hint="default"/>
                            <w:sz w:val="18"/>
                            <w:szCs w:val="18"/>
                          </w:rPr>
                        </w:pPr>
                        <w:r>
                          <w:rPr>
                            <w:rFonts w:ascii="宋体" w:hAnsi="宋体" w:cs="宋体" w:eastAsia="宋体" w:hint="default"/>
                            <w:sz w:val="18"/>
                            <w:szCs w:val="18"/>
                          </w:rPr>
                          <w:t>款、第四十八条及《公开发行证券的</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定书</w:t>
                        </w:r>
                        <w:r>
                          <w:rPr>
                            <w:rFonts w:ascii="Times New Roman" w:hAnsi="Times New Roman" w:cs="Times New Roman" w:eastAsia="Times New Roman" w:hint="default"/>
                            <w:sz w:val="18"/>
                            <w:szCs w:val="18"/>
                          </w:rPr>
                          <w:t>&gt;</w:t>
                        </w:r>
                        <w:r>
                          <w:rPr>
                            <w:rFonts w:ascii="宋体" w:hAnsi="宋体" w:cs="宋体" w:eastAsia="宋体" w:hint="default"/>
                            <w:sz w:val="18"/>
                            <w:szCs w:val="18"/>
                          </w:rPr>
                          <w:t>涉及事</w:t>
                        </w: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年第一季度财务报告披露</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公司信息披露内容与格式准则第</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13</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宋体" w:hAnsi="宋体" w:cs="宋体" w:eastAsia="宋体" w:hint="default"/>
                            <w:sz w:val="18"/>
                            <w:szCs w:val="18"/>
                          </w:rPr>
                          <w:t>项的整改报</w:t>
                        </w: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宋体" w:hAnsi="宋体" w:cs="宋体" w:eastAsia="宋体" w:hint="default"/>
                            <w:spacing w:val="-8"/>
                            <w:sz w:val="18"/>
                            <w:szCs w:val="18"/>
                          </w:rPr>
                          <w:t>不真实、不准确。公司未在</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年第一</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季度报告的内容与格式</w:t>
                        </w:r>
                        <w:r>
                          <w:rPr>
                            <w:rFonts w:ascii="宋体" w:hAnsi="宋体" w:cs="宋体" w:eastAsia="宋体" w:hint="default"/>
                            <w:spacing w:val="-140"/>
                            <w:sz w:val="18"/>
                            <w:szCs w:val="18"/>
                          </w:rPr>
                          <w:t>》</w:t>
                        </w:r>
                        <w:r>
                          <w:rPr>
                            <w:rFonts w:ascii="宋体" w:hAnsi="宋体" w:cs="宋体" w:eastAsia="宋体" w:hint="default"/>
                            <w:sz w:val="18"/>
                            <w:szCs w:val="18"/>
                          </w:rPr>
                          <w:t>（证监</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宋体" w:hAnsi="宋体" w:cs="宋体" w:eastAsia="宋体" w:hint="default"/>
                            <w:sz w:val="18"/>
                            <w:szCs w:val="18"/>
                          </w:rPr>
                          <w:t>告</w:t>
                        </w:r>
                        <w:r>
                          <w:rPr>
                            <w:rFonts w:ascii="宋体" w:hAnsi="宋体" w:cs="宋体" w:eastAsia="宋体" w:hint="default"/>
                            <w:spacing w:val="-92"/>
                            <w:sz w:val="18"/>
                            <w:szCs w:val="18"/>
                          </w:rPr>
                          <w:t>》</w:t>
                        </w:r>
                        <w:r>
                          <w:rPr>
                            <w:rFonts w:ascii="宋体" w:hAnsi="宋体" w:cs="宋体" w:eastAsia="宋体" w:hint="default"/>
                            <w:sz w:val="18"/>
                            <w:szCs w:val="18"/>
                          </w:rPr>
                          <w:t>，公告编</w:t>
                        </w: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宋体" w:hAnsi="宋体" w:cs="宋体" w:eastAsia="宋体" w:hint="default"/>
                            <w:sz w:val="18"/>
                            <w:szCs w:val="18"/>
                          </w:rPr>
                          <w:t>季度财务报告中反映万豪投资非经营性</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3" w:right="0"/>
                          <w:jc w:val="left"/>
                          <w:rPr>
                            <w:rFonts w:ascii="宋体" w:hAnsi="宋体" w:cs="宋体" w:eastAsia="宋体" w:hint="default"/>
                            <w:sz w:val="18"/>
                            <w:szCs w:val="18"/>
                          </w:rPr>
                        </w:pPr>
                        <w:r>
                          <w:rPr>
                            <w:rFonts w:ascii="宋体" w:hAnsi="宋体" w:cs="宋体" w:eastAsia="宋体" w:hint="default"/>
                            <w:sz w:val="18"/>
                            <w:szCs w:val="18"/>
                          </w:rPr>
                          <w:t>会公告</w:t>
                        </w:r>
                        <w:r>
                          <w:rPr>
                            <w:rFonts w:ascii="Times New Roman" w:hAnsi="Times New Roman" w:cs="Times New Roman" w:eastAsia="Times New Roman" w:hint="default"/>
                            <w:sz w:val="18"/>
                            <w:szCs w:val="18"/>
                          </w:rPr>
                          <w:t>[2016]33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号）第三条第一款、</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号</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2020-005</w:t>
                        </w:r>
                      </w:p>
                    </w:tc>
                  </w:tr>
                  <w:tr>
                    <w:trPr>
                      <w:trHeight w:val="327"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宋体" w:hAnsi="宋体" w:cs="宋体" w:eastAsia="宋体" w:hint="default"/>
                            <w:sz w:val="18"/>
                            <w:szCs w:val="18"/>
                          </w:rPr>
                          <w:t>资金占用事项，合并资产负债表其他应</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z w:val="18"/>
                            <w:szCs w:val="18"/>
                          </w:rPr>
                          <w:t>第十二条的规定。</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收款和短期借款同时少计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5.805 </w:t>
                        </w:r>
                        <w:r>
                          <w:rPr>
                            <w:rFonts w:ascii="宋体" w:hAnsi="宋体" w:cs="宋体" w:eastAsia="宋体" w:hint="default"/>
                            <w:sz w:val="18"/>
                            <w:szCs w:val="18"/>
                          </w:rPr>
                          <w:t>亿元；</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、公司未真实、准确披露</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母公司资产负债表货币资金少计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亿</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一季度财务报告，违反了《上市公司</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元，其他应收款少计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4.105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亿元，短期</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pacing w:val="-9"/>
                            <w:sz w:val="18"/>
                            <w:szCs w:val="18"/>
                          </w:rPr>
                          <w:t>信息披露管理办法》第二条第一款。</w:t>
                        </w:r>
                        <w:r>
                          <w:rPr>
                            <w:rFonts w:ascii="Times New Roman" w:hAnsi="Times New Roman" w:cs="Times New Roman" w:eastAsia="Times New Roman" w:hint="default"/>
                            <w:spacing w:val="-9"/>
                            <w:sz w:val="18"/>
                            <w:szCs w:val="18"/>
                          </w:rPr>
                          <w:t>3</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借款少计</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亿元；合并现金流量表</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根据《上市公司信息披露管理办法》</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支付其他与经营活动有关的现金少计</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第五十九条第一款第一项的规定，中</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亿元，偿还债务支付的现金多计</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国证监会上海监管局对公司采取责令</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w:t>
                        </w:r>
                        <w:r>
                          <w:rPr>
                            <w:rFonts w:ascii="宋体" w:hAnsi="宋体" w:cs="宋体" w:eastAsia="宋体" w:hint="default"/>
                            <w:spacing w:val="-89"/>
                            <w:sz w:val="18"/>
                            <w:szCs w:val="18"/>
                          </w:rPr>
                          <w:t>；</w:t>
                        </w:r>
                        <w:r>
                          <w:rPr>
                            <w:rFonts w:ascii="宋体" w:hAnsi="宋体" w:cs="宋体" w:eastAsia="宋体" w:hint="default"/>
                            <w:sz w:val="18"/>
                            <w:szCs w:val="18"/>
                          </w:rPr>
                          <w:t>母公司现金流量</w:t>
                        </w:r>
                        <w:r>
                          <w:rPr>
                            <w:rFonts w:ascii="宋体" w:hAnsi="宋体" w:cs="宋体" w:eastAsia="宋体" w:hint="default"/>
                            <w:spacing w:val="-3"/>
                            <w:sz w:val="18"/>
                            <w:szCs w:val="18"/>
                          </w:rPr>
                          <w:t>表</w:t>
                        </w:r>
                        <w:r>
                          <w:rPr>
                            <w:rFonts w:ascii="宋体" w:hAnsi="宋体" w:cs="宋体" w:eastAsia="宋体" w:hint="default"/>
                            <w:sz w:val="18"/>
                            <w:szCs w:val="18"/>
                          </w:rPr>
                          <w:t>支付其他</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改正的监管措施。公司应当在收到决</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与经营活动有关的现金少计</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4.105</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亿元</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定书之日起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日内向证监局提交书</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偿还债务支付的现金多计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5.805 </w:t>
                        </w:r>
                        <w:r>
                          <w:rPr>
                            <w:rFonts w:ascii="宋体" w:hAnsi="宋体" w:cs="宋体" w:eastAsia="宋体" w:hint="default"/>
                            <w:sz w:val="18"/>
                            <w:szCs w:val="18"/>
                          </w:rPr>
                          <w:t>亿元，</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面整改报告。</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期末现金及现金等价物余额少计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亿</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元，不符合《企业会计准则</w:t>
                        </w:r>
                        <w:r>
                          <w:rPr>
                            <w:rFonts w:ascii="Times New Roman" w:hAnsi="Times New Roman" w:cs="Times New Roman" w:eastAsia="Times New Roman" w:hint="default"/>
                            <w:sz w:val="18"/>
                            <w:szCs w:val="18"/>
                          </w:rPr>
                          <w:t>——</w:t>
                        </w:r>
                        <w:r>
                          <w:rPr>
                            <w:rFonts w:ascii="宋体" w:hAnsi="宋体" w:cs="宋体" w:eastAsia="宋体" w:hint="default"/>
                            <w:sz w:val="18"/>
                            <w:szCs w:val="18"/>
                          </w:rPr>
                          <w:t>基本准</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则》第十二条的规定。公司于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5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日披</w:t>
                        </w:r>
                        <w:r>
                          <w:rPr>
                            <w:rFonts w:ascii="宋体" w:hAnsi="宋体" w:cs="宋体" w:eastAsia="宋体" w:hint="default"/>
                            <w:spacing w:val="-89"/>
                            <w:sz w:val="18"/>
                            <w:szCs w:val="18"/>
                          </w:rPr>
                          <w:t>露</w:t>
                        </w:r>
                        <w:r>
                          <w:rPr>
                            <w:rFonts w:ascii="宋体" w:hAnsi="宋体" w:cs="宋体" w:eastAsia="宋体" w:hint="default"/>
                            <w:sz w:val="18"/>
                            <w:szCs w:val="18"/>
                          </w:rPr>
                          <w:t>《关于前期会计</w:t>
                        </w:r>
                        <w:r>
                          <w:rPr>
                            <w:rFonts w:ascii="宋体" w:hAnsi="宋体" w:cs="宋体" w:eastAsia="宋体" w:hint="default"/>
                            <w:spacing w:val="-3"/>
                            <w:sz w:val="18"/>
                            <w:szCs w:val="18"/>
                          </w:rPr>
                          <w:t>差</w:t>
                        </w:r>
                        <w:r>
                          <w:rPr>
                            <w:rFonts w:ascii="宋体" w:hAnsi="宋体" w:cs="宋体" w:eastAsia="宋体" w:hint="default"/>
                            <w:sz w:val="18"/>
                            <w:szCs w:val="18"/>
                          </w:rPr>
                          <w:t>错更正的</w:t>
                        </w:r>
                      </w:p>
                    </w:tc>
                    <w:tc>
                      <w:tcPr>
                        <w:tcW w:w="427" w:type="dxa"/>
                        <w:vMerge/>
                        <w:tcBorders>
                          <w:left w:val="single" w:sz="4" w:space="0" w:color="000000"/>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3" w:hRule="exact"/>
                    </w:trPr>
                    <w:tc>
                      <w:tcPr>
                        <w:tcW w:w="852" w:type="dxa"/>
                        <w:vMerge/>
                        <w:tcBorders>
                          <w:left w:val="single" w:sz="4" w:space="0" w:color="000000"/>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31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公告</w:t>
                        </w:r>
                        <w:r>
                          <w:rPr>
                            <w:rFonts w:ascii="宋体" w:hAnsi="宋体" w:cs="宋体" w:eastAsia="宋体" w:hint="default"/>
                            <w:spacing w:val="-92"/>
                            <w:sz w:val="18"/>
                            <w:szCs w:val="18"/>
                          </w:rPr>
                          <w:t>》</w:t>
                        </w:r>
                        <w:r>
                          <w:rPr>
                            <w:rFonts w:ascii="宋体" w:hAnsi="宋体" w:cs="宋体" w:eastAsia="宋体" w:hint="default"/>
                            <w:sz w:val="18"/>
                            <w:szCs w:val="18"/>
                          </w:rPr>
                          <w:t>，对上述事项予以更正。</w:t>
                        </w:r>
                      </w:p>
                    </w:tc>
                    <w:tc>
                      <w:tcPr>
                        <w:tcW w:w="427" w:type="dxa"/>
                        <w:vMerge/>
                        <w:tcBorders>
                          <w:left w:val="single" w:sz="4" w:space="0" w:color="000000"/>
                          <w:bottom w:val="single" w:sz="4" w:space="0" w:color="000000"/>
                          <w:right w:val="single" w:sz="4" w:space="0" w:color="000000"/>
                        </w:tcBorders>
                      </w:tcPr>
                      <w:p>
                        <w:pPr/>
                      </w:p>
                    </w:tc>
                    <w:tc>
                      <w:tcPr>
                        <w:tcW w:w="2977" w:type="dxa"/>
                        <w:tcBorders>
                          <w:top w:val="nil" w:sz="6" w:space="0" w:color="auto"/>
                          <w:left w:val="single" w:sz="4" w:space="0" w:color="000000"/>
                          <w:bottom w:val="single" w:sz="4" w:space="0" w:color="000000"/>
                          <w:right w:val="single" w:sz="4" w:space="0" w:color="000000"/>
                        </w:tcBorders>
                      </w:tcPr>
                      <w:p>
                        <w:pPr/>
                      </w:p>
                    </w:tc>
                    <w:tc>
                      <w:tcPr>
                        <w:tcW w:w="566"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61" w:hRule="exact"/>
                    </w:trPr>
                    <w:tc>
                      <w:tcPr>
                        <w:tcW w:w="852" w:type="dxa"/>
                        <w:tcBorders>
                          <w:top w:val="single" w:sz="4" w:space="0" w:color="000000"/>
                          <w:left w:val="single" w:sz="4" w:space="0" w:color="000000"/>
                          <w:bottom w:val="nil" w:sz="6" w:space="0" w:color="auto"/>
                          <w:right w:val="single" w:sz="4" w:space="0" w:color="000000"/>
                        </w:tcBorders>
                      </w:tcPr>
                      <w:p>
                        <w:pPr/>
                      </w:p>
                    </w:tc>
                    <w:tc>
                      <w:tcPr>
                        <w:tcW w:w="566" w:type="dxa"/>
                        <w:tcBorders>
                          <w:top w:val="single" w:sz="4" w:space="0" w:color="000000"/>
                          <w:left w:val="single" w:sz="4" w:space="0" w:color="000000"/>
                          <w:bottom w:val="nil" w:sz="6" w:space="0" w:color="auto"/>
                          <w:right w:val="single" w:sz="4" w:space="0" w:color="000000"/>
                        </w:tcBorders>
                      </w:tcPr>
                      <w:p>
                        <w:pPr/>
                      </w:p>
                    </w:tc>
                    <w:tc>
                      <w:tcPr>
                        <w:tcW w:w="3118" w:type="dxa"/>
                        <w:tcBorders>
                          <w:top w:val="single" w:sz="4" w:space="0" w:color="000000"/>
                          <w:left w:val="single" w:sz="4" w:space="0" w:color="000000"/>
                          <w:bottom w:val="nil" w:sz="6" w:space="0" w:color="auto"/>
                          <w:right w:val="single" w:sz="4" w:space="0" w:color="000000"/>
                        </w:tcBorders>
                      </w:tcPr>
                      <w:p>
                        <w:pPr/>
                      </w:p>
                    </w:tc>
                    <w:tc>
                      <w:tcPr>
                        <w:tcW w:w="427" w:type="dxa"/>
                        <w:tcBorders>
                          <w:top w:val="single" w:sz="4" w:space="0" w:color="000000"/>
                          <w:left w:val="single" w:sz="4" w:space="0" w:color="000000"/>
                          <w:bottom w:val="nil" w:sz="6" w:space="0" w:color="auto"/>
                          <w:right w:val="single" w:sz="4" w:space="0" w:color="000000"/>
                        </w:tcBorders>
                      </w:tcPr>
                      <w:p>
                        <w:pPr/>
                      </w:p>
                    </w:tc>
                    <w:tc>
                      <w:tcPr>
                        <w:tcW w:w="29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、作为万达信息原控股股东，非经营</w:t>
                        </w:r>
                      </w:p>
                    </w:tc>
                    <w:tc>
                      <w:tcPr>
                        <w:tcW w:w="566"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06" w:hRule="exact"/>
                    </w:trPr>
                    <w:tc>
                      <w:tcPr>
                        <w:tcW w:w="852"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
                    </w:tc>
                    <w:tc>
                      <w:tcPr>
                        <w:tcW w:w="427"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性占用万达信息资金，违反了《关于</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852"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
                    </w:tc>
                    <w:tc>
                      <w:tcPr>
                        <w:tcW w:w="427"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规范上市公司与关联方资金往来及上</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2818" w:hRule="exact"/>
                    </w:trPr>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24" w:right="96"/>
                          <w:jc w:val="both"/>
                          <w:rPr>
                            <w:rFonts w:ascii="宋体" w:hAnsi="宋体" w:cs="宋体" w:eastAsia="宋体" w:hint="default"/>
                            <w:sz w:val="18"/>
                            <w:szCs w:val="18"/>
                          </w:rPr>
                        </w:pPr>
                        <w:r>
                          <w:rPr>
                            <w:rFonts w:ascii="宋体" w:hAnsi="宋体" w:cs="宋体" w:eastAsia="宋体" w:hint="default"/>
                            <w:sz w:val="18"/>
                            <w:szCs w:val="18"/>
                          </w:rPr>
                          <w:t>上海万豪 投资有限 公司</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312" w:lineRule="auto"/>
                          <w:ind w:left="23" w:right="110"/>
                          <w:jc w:val="left"/>
                          <w:rPr>
                            <w:rFonts w:ascii="宋体" w:hAnsi="宋体" w:cs="宋体" w:eastAsia="宋体" w:hint="default"/>
                            <w:sz w:val="18"/>
                            <w:szCs w:val="18"/>
                          </w:rPr>
                        </w:pPr>
                        <w:r>
                          <w:rPr>
                            <w:rFonts w:ascii="宋体" w:hAnsi="宋体" w:cs="宋体" w:eastAsia="宋体" w:hint="default"/>
                            <w:sz w:val="18"/>
                            <w:szCs w:val="18"/>
                          </w:rPr>
                          <w:t>持股 </w:t>
                        </w:r>
                        <w:r>
                          <w:rPr>
                            <w:rFonts w:ascii="Times New Roman" w:hAnsi="Times New Roman" w:cs="Times New Roman" w:eastAsia="Times New Roman" w:hint="default"/>
                            <w:sz w:val="18"/>
                            <w:szCs w:val="18"/>
                          </w:rPr>
                          <w:t>5%</w:t>
                        </w:r>
                        <w:r>
                          <w:rPr>
                            <w:rFonts w:ascii="宋体" w:hAnsi="宋体" w:cs="宋体" w:eastAsia="宋体" w:hint="default"/>
                            <w:sz w:val="18"/>
                            <w:szCs w:val="18"/>
                          </w:rPr>
                          <w:t>以 上的 股东</w:t>
                        </w: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300" w:lineRule="auto" w:before="1"/>
                          <w:ind w:left="23" w:right="2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、非经营性占用万达信息资金，且未按</w:t>
                        </w:r>
                        <w:r>
                          <w:rPr>
                            <w:rFonts w:ascii="宋体" w:hAnsi="宋体" w:cs="宋体" w:eastAsia="宋体" w:hint="default"/>
                            <w:sz w:val="18"/>
                            <w:szCs w:val="18"/>
                          </w:rPr>
                          <w:t> 规定配合万达信息履行信息披露义务。</w:t>
                        </w:r>
                      </w:p>
                      <w:p>
                        <w:pPr>
                          <w:pStyle w:val="TableParagraph"/>
                          <w:spacing w:line="240" w:lineRule="auto" w:before="7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、未按期履行承诺。万豪投资于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日公开承诺于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日前返还占用资金不低于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日前返还占用资金不低</w:t>
                        </w:r>
                      </w:p>
                      <w:p>
                        <w:pPr>
                          <w:pStyle w:val="TableParagraph"/>
                          <w:spacing w:line="300" w:lineRule="auto" w:before="63"/>
                          <w:ind w:left="23" w:right="19"/>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pacing w:val="-7"/>
                            <w:sz w:val="18"/>
                            <w:szCs w:val="18"/>
                          </w:rPr>
                          <w:t>亿元，</w:t>
                        </w:r>
                        <w:r>
                          <w:rPr>
                            <w:rFonts w:ascii="Times New Roman" w:hAnsi="Times New Roman" w:cs="Times New Roman" w:eastAsia="Times New Roman" w:hint="default"/>
                            <w:spacing w:val="-7"/>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日前将占用 资金全部返还。但未按期履行该承诺。</w:t>
                        </w:r>
                      </w:p>
                    </w:tc>
                    <w:tc>
                      <w:tcPr>
                        <w:tcW w:w="42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312" w:lineRule="auto" w:before="20"/>
                          <w:ind w:left="23" w:right="20"/>
                          <w:jc w:val="left"/>
                          <w:rPr>
                            <w:rFonts w:ascii="宋体" w:hAnsi="宋体" w:cs="宋体" w:eastAsia="宋体" w:hint="default"/>
                            <w:sz w:val="18"/>
                            <w:szCs w:val="18"/>
                          </w:rPr>
                        </w:pPr>
                        <w:r>
                          <w:rPr>
                            <w:rFonts w:ascii="宋体" w:hAnsi="宋体" w:cs="宋体" w:eastAsia="宋体" w:hint="default"/>
                            <w:spacing w:val="-9"/>
                            <w:sz w:val="18"/>
                            <w:szCs w:val="18"/>
                          </w:rPr>
                          <w:t>市公司对外担保若干问题的通知》（证</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监发</w:t>
                        </w:r>
                        <w:r>
                          <w:rPr>
                            <w:rFonts w:ascii="Times New Roman" w:hAnsi="Times New Roman" w:cs="Times New Roman" w:eastAsia="Times New Roman" w:hint="default"/>
                            <w:sz w:val="18"/>
                            <w:szCs w:val="18"/>
                          </w:rPr>
                          <w:t>[2003]56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号，经证监会公告 </w:t>
                        </w:r>
                        <w:r>
                          <w:rPr>
                            <w:rFonts w:ascii="Times New Roman" w:hAnsi="Times New Roman" w:cs="Times New Roman" w:eastAsia="Times New Roman" w:hint="default"/>
                            <w:sz w:val="18"/>
                            <w:szCs w:val="18"/>
                          </w:rPr>
                          <w:t>[2017]16 </w:t>
                        </w:r>
                        <w:r>
                          <w:rPr>
                            <w:rFonts w:ascii="宋体" w:hAnsi="宋体" w:cs="宋体" w:eastAsia="宋体" w:hint="default"/>
                            <w:sz w:val="18"/>
                            <w:szCs w:val="18"/>
                          </w:rPr>
                          <w:t>号修改）第一条第一款第二 </w:t>
                        </w:r>
                        <w:r>
                          <w:rPr>
                            <w:rFonts w:ascii="宋体" w:hAnsi="宋体" w:cs="宋体" w:eastAsia="宋体" w:hint="default"/>
                            <w:spacing w:val="-11"/>
                            <w:sz w:val="18"/>
                            <w:szCs w:val="18"/>
                          </w:rPr>
                          <w:t>项、《上市公司治理准则》（证监会公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告</w:t>
                        </w:r>
                        <w:r>
                          <w:rPr>
                            <w:rFonts w:ascii="Times New Roman" w:hAnsi="Times New Roman" w:cs="Times New Roman" w:eastAsia="Times New Roman" w:hint="default"/>
                            <w:sz w:val="18"/>
                            <w:szCs w:val="18"/>
                          </w:rPr>
                          <w:t>[2018]29 </w:t>
                        </w:r>
                        <w:r>
                          <w:rPr>
                            <w:rFonts w:ascii="宋体" w:hAnsi="宋体" w:cs="宋体" w:eastAsia="宋体" w:hint="default"/>
                            <w:sz w:val="18"/>
                            <w:szCs w:val="18"/>
                          </w:rPr>
                          <w:t>号）第七十条第二款的规 定。在上述事项发生时，未主动告知 万达信息董事会，未配合万达信息按 规定履行信息披露义务，违反了《上 </w:t>
                        </w:r>
                        <w:r>
                          <w:rPr>
                            <w:rFonts w:ascii="宋体" w:hAnsi="宋体" w:cs="宋体" w:eastAsia="宋体" w:hint="default"/>
                            <w:spacing w:val="-9"/>
                            <w:sz w:val="18"/>
                            <w:szCs w:val="18"/>
                          </w:rPr>
                          <w:t>市公司信息披露管理办法》（证监会令</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2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316" w:lineRule="auto"/>
                          <w:ind w:left="23" w:right="41"/>
                          <w:jc w:val="left"/>
                          <w:rPr>
                            <w:rFonts w:ascii="宋体" w:hAnsi="宋体" w:cs="宋体" w:eastAsia="宋体" w:hint="default"/>
                            <w:sz w:val="18"/>
                            <w:szCs w:val="18"/>
                          </w:rPr>
                        </w:pPr>
                        <w:r>
                          <w:rPr>
                            <w:rFonts w:ascii="宋体" w:hAnsi="宋体" w:cs="宋体" w:eastAsia="宋体" w:hint="default"/>
                            <w:sz w:val="18"/>
                            <w:szCs w:val="18"/>
                          </w:rPr>
                          <w:t>《关于收到 中国证监会 上海监管局 行政监管措 施决定书的 </w:t>
                        </w:r>
                        <w:r>
                          <w:rPr>
                            <w:rFonts w:ascii="宋体" w:hAnsi="宋体" w:cs="宋体" w:eastAsia="宋体" w:hint="default"/>
                            <w:spacing w:val="-16"/>
                            <w:sz w:val="18"/>
                            <w:szCs w:val="18"/>
                          </w:rPr>
                          <w:t>公告》，公告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编号</w:t>
                        </w:r>
                      </w:p>
                      <w:p>
                        <w:pPr>
                          <w:pStyle w:val="TableParagraph"/>
                          <w:spacing w:line="240" w:lineRule="auto" w:before="1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2019-161</w:t>
                        </w:r>
                        <w:r>
                          <w:rPr>
                            <w:rFonts w:ascii="宋体" w:hAnsi="宋体" w:cs="宋体" w:eastAsia="宋体" w:hint="default"/>
                            <w:sz w:val="18"/>
                            <w:szCs w:val="18"/>
                          </w:rPr>
                          <w:t>。</w:t>
                        </w:r>
                      </w:p>
                    </w:tc>
                  </w:tr>
                  <w:tr>
                    <w:trPr>
                      <w:trHeight w:val="317" w:hRule="exact"/>
                    </w:trPr>
                    <w:tc>
                      <w:tcPr>
                        <w:tcW w:w="852"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
                    </w:tc>
                    <w:tc>
                      <w:tcPr>
                        <w:tcW w:w="427"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29"/>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40 </w:t>
                        </w:r>
                        <w:r>
                          <w:rPr>
                            <w:rFonts w:ascii="宋体" w:hAnsi="宋体" w:cs="宋体" w:eastAsia="宋体" w:hint="default"/>
                            <w:sz w:val="18"/>
                            <w:szCs w:val="18"/>
                          </w:rPr>
                          <w:t>号）第四十六条第一款第四项、</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852"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3118" w:type="dxa"/>
                        <w:tcBorders>
                          <w:top w:val="nil" w:sz="6" w:space="0" w:color="auto"/>
                          <w:left w:val="single" w:sz="4" w:space="0" w:color="000000"/>
                          <w:bottom w:val="nil" w:sz="6" w:space="0" w:color="auto"/>
                          <w:right w:val="single" w:sz="4" w:space="0" w:color="000000"/>
                        </w:tcBorders>
                      </w:tcPr>
                      <w:p>
                        <w:pPr/>
                      </w:p>
                    </w:tc>
                    <w:tc>
                      <w:tcPr>
                        <w:tcW w:w="427" w:type="dxa"/>
                        <w:tcBorders>
                          <w:top w:val="nil" w:sz="6" w:space="0" w:color="auto"/>
                          <w:left w:val="single" w:sz="4" w:space="0" w:color="000000"/>
                          <w:bottom w:val="nil" w:sz="6" w:space="0" w:color="auto"/>
                          <w:right w:val="single" w:sz="4" w:space="0" w:color="000000"/>
                        </w:tcBorders>
                      </w:tcPr>
                      <w:p>
                        <w:pPr/>
                      </w:p>
                    </w:tc>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第四十八条的规定。</w:t>
                        </w:r>
                      </w:p>
                    </w:tc>
                    <w:tc>
                      <w:tcPr>
                        <w:tcW w:w="566"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39" w:hRule="exact"/>
                    </w:trPr>
                    <w:tc>
                      <w:tcPr>
                        <w:tcW w:w="852" w:type="dxa"/>
                        <w:tcBorders>
                          <w:top w:val="nil" w:sz="6" w:space="0" w:color="auto"/>
                          <w:left w:val="single" w:sz="4" w:space="0" w:color="000000"/>
                          <w:bottom w:val="single" w:sz="4" w:space="0" w:color="000000"/>
                          <w:right w:val="single" w:sz="4" w:space="0" w:color="000000"/>
                        </w:tcBorders>
                      </w:tcPr>
                      <w:p>
                        <w:pPr/>
                      </w:p>
                    </w:tc>
                    <w:tc>
                      <w:tcPr>
                        <w:tcW w:w="566" w:type="dxa"/>
                        <w:tcBorders>
                          <w:top w:val="nil" w:sz="6" w:space="0" w:color="auto"/>
                          <w:left w:val="single" w:sz="4" w:space="0" w:color="000000"/>
                          <w:bottom w:val="single" w:sz="4" w:space="0" w:color="000000"/>
                          <w:right w:val="single" w:sz="4" w:space="0" w:color="000000"/>
                        </w:tcBorders>
                      </w:tcPr>
                      <w:p>
                        <w:pPr/>
                      </w:p>
                    </w:tc>
                    <w:tc>
                      <w:tcPr>
                        <w:tcW w:w="3118" w:type="dxa"/>
                        <w:tcBorders>
                          <w:top w:val="nil" w:sz="6" w:space="0" w:color="auto"/>
                          <w:left w:val="single" w:sz="4" w:space="0" w:color="000000"/>
                          <w:bottom w:val="single" w:sz="4" w:space="0" w:color="000000"/>
                          <w:right w:val="single" w:sz="4" w:space="0" w:color="000000"/>
                        </w:tcBorders>
                      </w:tcPr>
                      <w:p>
                        <w:pPr/>
                      </w:p>
                    </w:tc>
                    <w:tc>
                      <w:tcPr>
                        <w:tcW w:w="427" w:type="dxa"/>
                        <w:tcBorders>
                          <w:top w:val="nil" w:sz="6" w:space="0" w:color="auto"/>
                          <w:left w:val="single" w:sz="4" w:space="0" w:color="000000"/>
                          <w:bottom w:val="single" w:sz="4" w:space="0" w:color="000000"/>
                          <w:right w:val="single" w:sz="4" w:space="0" w:color="000000"/>
                        </w:tcBorders>
                      </w:tcPr>
                      <w:p>
                        <w:pPr/>
                      </w:p>
                    </w:tc>
                    <w:tc>
                      <w:tcPr>
                        <w:tcW w:w="29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Times New Roman" w:hAnsi="Times New Roman" w:cs="Times New Roman" w:eastAsia="Times New Roman" w:hint="default"/>
                            <w:spacing w:val="-10"/>
                            <w:sz w:val="18"/>
                            <w:szCs w:val="18"/>
                          </w:rPr>
                          <w:t>2</w:t>
                        </w:r>
                        <w:r>
                          <w:rPr>
                            <w:rFonts w:ascii="宋体" w:hAnsi="宋体" w:cs="宋体" w:eastAsia="宋体" w:hint="default"/>
                            <w:spacing w:val="-10"/>
                            <w:sz w:val="18"/>
                            <w:szCs w:val="18"/>
                          </w:rPr>
                          <w:t>、根据《上市公司信息披露管</w:t>
                        </w:r>
                      </w:p>
                    </w:tc>
                    <w:tc>
                      <w:tcPr>
                        <w:tcW w:w="566"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pStyle w:val="BodyText"/>
        <w:spacing w:line="240" w:lineRule="auto" w:before="85"/>
        <w:ind w:left="0" w:right="1138"/>
        <w:jc w:val="right"/>
      </w:pPr>
      <w:r>
        <w:rPr/>
        <w:pict>
          <v:shape style="position:absolute;margin-left:277.850006pt;margin-top:-154.228302pt;width:26.8pt;height:409.65pt;mso-position-horizontal-relative:page;mso-position-vertical-relative:paragraph;z-index:-133393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4"/>
                      <w:szCs w:val="24"/>
                    </w:rPr>
                  </w:pPr>
                </w:p>
                <w:p>
                  <w:pPr>
                    <w:pStyle w:val="BodyText"/>
                    <w:spacing w:line="240" w:lineRule="auto"/>
                    <w:ind w:left="0" w:right="0"/>
                    <w:jc w:val="left"/>
                  </w:pPr>
                  <w:r>
                    <w:rPr/>
                    <w:t>，</w:t>
                  </w:r>
                </w:p>
              </w:txbxContent>
            </v:textbox>
            <w10:wrap type="none"/>
          </v:shape>
        </w:pict>
      </w:r>
      <w:r>
        <w:rPr/>
        <w:pict>
          <v:shape style="position:absolute;margin-left:447.940002pt;margin-top:-89.788307pt;width:33.85pt;height:345.2pt;mso-position-horizontal-relative:page;mso-position-vertical-relative:paragraph;z-index:-133391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3"/>
                      <w:szCs w:val="23"/>
                    </w:rPr>
                  </w:pPr>
                </w:p>
                <w:p>
                  <w:pPr>
                    <w:pStyle w:val="BodyText"/>
                    <w:spacing w:line="240" w:lineRule="auto"/>
                    <w:ind w:left="0" w:right="0"/>
                    <w:jc w:val="left"/>
                  </w:pPr>
                  <w:r>
                    <w:rPr/>
                    <w:t>、</w:t>
                  </w:r>
                </w:p>
              </w:txbxContent>
            </v:textbox>
            <w10:wrap type="none"/>
          </v:shape>
        </w:pict>
      </w:r>
      <w:r>
        <w:rPr/>
        <w:pict>
          <v:group style="position:absolute;margin-left:283.850006pt;margin-top:-154.228302pt;width:20.8pt;height:409.65pt;mso-position-horizontal-relative:page;mso-position-vertical-relative:paragraph;z-index:1696" coordorigin="5677,-3085" coordsize="416,8193">
            <v:shape style="position:absolute;left:5677;top:-3085;width:416;height:8193" coordorigin="5677,-3085" coordsize="416,8193" path="m5677,5108l6092,5108,6092,-3085,5677,-3085,5677,5108xe" filled="true" fillcolor="#ffffff" stroked="false">
              <v:path arrowok="t"/>
              <v:fill type="solid"/>
            </v:shape>
            <w10:wrap type="none"/>
          </v:group>
        </w:pict>
      </w:r>
      <w:r>
        <w:rPr/>
        <w:pict>
          <v:group style="position:absolute;margin-left:453.940002pt;margin-top:-89.788307pt;width:27.85pt;height:345.2pt;mso-position-horizontal-relative:page;mso-position-vertical-relative:paragraph;z-index:1720" coordorigin="9079,-1796" coordsize="557,6904">
            <v:shape style="position:absolute;left:9079;top:-1796;width:557;height:6904" coordorigin="9079,-1796" coordsize="557,6904" path="m9079,5108l9636,5108,9636,-1796,9079,-1796,9079,5108xe" filled="true" fillcolor="#ffffff" stroked="false">
              <v:path arrowok="t"/>
              <v:fill type="solid"/>
            </v:shape>
            <w10:wrap type="none"/>
          </v:group>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1716" w:lineRule="exact"/>
        <w:ind w:left="8098"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27.85pt;height:85.8pt;mso-position-horizontal-relative:char;mso-position-vertical-relative:line" coordorigin="0,0" coordsize="557,1716">
            <v:group style="position:absolute;left:0;top:0;width:557;height:1716" coordorigin="0,0" coordsize="557,1716">
              <v:shape style="position:absolute;left:0;top:0;width:557;height:1716" coordorigin="0,0" coordsize="557,1716" path="m0,1716l557,1716,557,0,0,0,0,1716xe" filled="true" fillcolor="#ffffff" stroked="false">
                <v:path arrowok="t"/>
                <v:fill type="solid"/>
              </v:shape>
            </v:group>
          </v:group>
        </w:pict>
      </w:r>
      <w:r>
        <w:rPr>
          <w:rFonts w:ascii="宋体" w:hAnsi="宋体" w:cs="宋体" w:eastAsia="宋体" w:hint="default"/>
          <w:position w:val="-33"/>
          <w:sz w:val="20"/>
          <w:szCs w:val="20"/>
        </w:rPr>
      </w:r>
    </w:p>
    <w:p>
      <w:pPr>
        <w:spacing w:after="0" w:line="1716" w:lineRule="exact"/>
        <w:rPr>
          <w:rFonts w:ascii="宋体" w:hAnsi="宋体" w:cs="宋体" w:eastAsia="宋体" w:hint="default"/>
          <w:sz w:val="20"/>
          <w:szCs w:val="20"/>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277.850006pt;margin-top:250.949982pt;width:26.8pt;height:165.9pt;mso-position-horizontal-relative:page;mso-position-vertical-relative:page;z-index:-133372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25"/>
                      <w:szCs w:val="25"/>
                    </w:rPr>
                  </w:pPr>
                </w:p>
                <w:p>
                  <w:pPr>
                    <w:pStyle w:val="BodyText"/>
                    <w:spacing w:line="240" w:lineRule="auto"/>
                    <w:ind w:left="0" w:right="0"/>
                    <w:jc w:val="left"/>
                  </w:pPr>
                  <w:r>
                    <w:rPr/>
                    <w:t>。</w:t>
                  </w:r>
                </w:p>
              </w:txbxContent>
            </v:textbox>
            <w10:wrap type="none"/>
          </v:shape>
        </w:pict>
      </w:r>
      <w:r>
        <w:rPr/>
        <w:pict>
          <v:shape style="position:absolute;margin-left:420.766998pt;margin-top:459.789978pt;width:61.05pt;height:142.450pt;mso-position-horizontal-relative:page;mso-position-vertical-relative:page;z-index:-133369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1"/>
                    <w:rPr>
                      <w:rFonts w:ascii="Times New Roman" w:hAnsi="Times New Roman" w:cs="Times New Roman" w:eastAsia="Times New Roman" w:hint="default"/>
                      <w:sz w:val="18"/>
                      <w:szCs w:val="18"/>
                    </w:rPr>
                  </w:pPr>
                </w:p>
                <w:p>
                  <w:pPr>
                    <w:pStyle w:val="BodyText"/>
                    <w:spacing w:line="240" w:lineRule="auto"/>
                    <w:ind w:left="0" w:right="0"/>
                    <w:jc w:val="left"/>
                  </w:pPr>
                  <w:r>
                    <w:rPr/>
                    <w:t>理办法》</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852"/>
        <w:gridCol w:w="566"/>
        <w:gridCol w:w="3118"/>
        <w:gridCol w:w="427"/>
        <w:gridCol w:w="2977"/>
        <w:gridCol w:w="566"/>
        <w:gridCol w:w="1066"/>
      </w:tblGrid>
      <w:tr>
        <w:trPr>
          <w:trHeight w:val="711"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36" w:right="0"/>
              <w:jc w:val="left"/>
              <w:rPr>
                <w:rFonts w:ascii="宋体" w:hAnsi="宋体" w:cs="宋体" w:eastAsia="宋体" w:hint="default"/>
                <w:sz w:val="18"/>
                <w:szCs w:val="18"/>
              </w:rPr>
            </w:pPr>
            <w:r>
              <w:rPr>
                <w:rFonts w:ascii="宋体" w:hAnsi="宋体" w:cs="宋体" w:eastAsia="宋体" w:hint="default"/>
                <w:sz w:val="18"/>
                <w:szCs w:val="18"/>
              </w:rPr>
              <w:t>名称</w:t>
            </w:r>
            <w:r>
              <w:rPr>
                <w:rFonts w:ascii="Times New Roman" w:hAnsi="Times New Roman" w:cs="Times New Roman" w:eastAsia="Times New Roman" w:hint="default"/>
                <w:sz w:val="18"/>
                <w:szCs w:val="18"/>
              </w:rPr>
              <w:t>/</w:t>
            </w:r>
            <w:r>
              <w:rPr>
                <w:rFonts w:ascii="宋体" w:hAnsi="宋体" w:cs="宋体" w:eastAsia="宋体" w:hint="default"/>
                <w:sz w:val="18"/>
                <w:szCs w:val="18"/>
              </w:rPr>
              <w:t>姓名</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原因</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28" w:right="0"/>
              <w:jc w:val="left"/>
              <w:rPr>
                <w:rFonts w:ascii="宋体" w:hAnsi="宋体" w:cs="宋体" w:eastAsia="宋体" w:hint="default"/>
                <w:sz w:val="18"/>
                <w:szCs w:val="18"/>
              </w:rPr>
            </w:pPr>
            <w:r>
              <w:rPr>
                <w:rFonts w:ascii="宋体" w:hAnsi="宋体" w:cs="宋体" w:eastAsia="宋体" w:hint="default"/>
                <w:sz w:val="18"/>
                <w:szCs w:val="18"/>
              </w:rPr>
              <w:t>调查</w:t>
            </w:r>
          </w:p>
          <w:p>
            <w:pPr>
              <w:pStyle w:val="TableParagraph"/>
              <w:spacing w:line="240" w:lineRule="auto"/>
              <w:ind w:left="28" w:right="26"/>
              <w:jc w:val="left"/>
              <w:rPr>
                <w:rFonts w:ascii="宋体" w:hAnsi="宋体" w:cs="宋体" w:eastAsia="宋体" w:hint="default"/>
                <w:sz w:val="18"/>
                <w:szCs w:val="18"/>
              </w:rPr>
            </w:pPr>
            <w:r>
              <w:rPr>
                <w:rFonts w:ascii="宋体" w:hAnsi="宋体" w:cs="宋体" w:eastAsia="宋体" w:hint="default"/>
                <w:sz w:val="18"/>
                <w:szCs w:val="18"/>
              </w:rPr>
              <w:t>处罚 类型</w:t>
            </w:r>
          </w:p>
        </w:tc>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943" w:right="0"/>
              <w:jc w:val="left"/>
              <w:rPr>
                <w:rFonts w:ascii="宋体" w:hAnsi="宋体" w:cs="宋体" w:eastAsia="宋体" w:hint="default"/>
                <w:sz w:val="18"/>
                <w:szCs w:val="18"/>
              </w:rPr>
            </w:pPr>
            <w:r>
              <w:rPr>
                <w:rFonts w:ascii="宋体" w:hAnsi="宋体" w:cs="宋体" w:eastAsia="宋体" w:hint="default"/>
                <w:sz w:val="18"/>
                <w:szCs w:val="18"/>
              </w:rPr>
              <w:t>结论（如有）</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10"/>
              <w:ind w:left="98" w:right="96"/>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858" w:hRule="exact"/>
        </w:trPr>
        <w:tc>
          <w:tcPr>
            <w:tcW w:w="85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8"/>
              <w:ind w:left="23" w:right="20"/>
              <w:jc w:val="left"/>
              <w:rPr>
                <w:rFonts w:ascii="宋体" w:hAnsi="宋体" w:cs="宋体" w:eastAsia="宋体" w:hint="default"/>
                <w:sz w:val="18"/>
                <w:szCs w:val="18"/>
              </w:rPr>
            </w:pPr>
            <w:r>
              <w:rPr>
                <w:rFonts w:ascii="宋体" w:hAnsi="宋体" w:cs="宋体" w:eastAsia="宋体" w:hint="default"/>
                <w:spacing w:val="-9"/>
                <w:sz w:val="18"/>
                <w:szCs w:val="18"/>
              </w:rPr>
              <w:t>第五十九条第一款第一项、《上市公司</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监管指引第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上市公司实际控 制人、股东、关联方、收购人以及上 </w:t>
            </w:r>
            <w:r>
              <w:rPr>
                <w:rFonts w:ascii="宋体" w:hAnsi="宋体" w:cs="宋体" w:eastAsia="宋体" w:hint="default"/>
                <w:spacing w:val="-6"/>
                <w:sz w:val="18"/>
                <w:szCs w:val="18"/>
              </w:rPr>
              <w:t>市公司承诺及履行》（证监会公告</w:t>
            </w:r>
            <w:r>
              <w:rPr>
                <w:rFonts w:ascii="宋体" w:hAnsi="宋体" w:cs="宋体" w:eastAsia="宋体" w:hint="default"/>
                <w:sz w:val="18"/>
                <w:szCs w:val="18"/>
              </w:rPr>
              <w:t> </w:t>
            </w:r>
            <w:r>
              <w:rPr>
                <w:rFonts w:ascii="Times New Roman" w:hAnsi="Times New Roman" w:cs="Times New Roman" w:eastAsia="Times New Roman" w:hint="default"/>
                <w:sz w:val="18"/>
                <w:szCs w:val="18"/>
              </w:rPr>
              <w:t>[2013]55 </w:t>
            </w:r>
            <w:r>
              <w:rPr>
                <w:rFonts w:ascii="宋体" w:hAnsi="宋体" w:cs="宋体" w:eastAsia="宋体" w:hint="default"/>
                <w:sz w:val="18"/>
                <w:szCs w:val="18"/>
              </w:rPr>
              <w:t>号）第六条第一款的规定， 中国证监会上海监管局对公司采取责 令改正的监管措施。公司应当在收到 本决定书之日起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日内向证监局提 交书面整改报告。</w:t>
            </w:r>
          </w:p>
        </w:tc>
        <w:tc>
          <w:tcPr>
            <w:tcW w:w="56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03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史一兵</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309" w:lineRule="auto"/>
              <w:ind w:left="23" w:right="23"/>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月，万达信息通过 第三方银行账户向万达信息原控股股东 万豪投资累计转出资金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亿元；向万</w:t>
            </w:r>
          </w:p>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豪投资合作方累计转出资金</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2.035</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亿元</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转出资金发生额共计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7.435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亿元，收回</w:t>
            </w:r>
          </w:p>
          <w:p>
            <w:pPr>
              <w:pStyle w:val="TableParagraph"/>
              <w:spacing w:line="316" w:lineRule="auto" w:before="63"/>
              <w:ind w:left="23" w:right="20"/>
              <w:jc w:val="left"/>
              <w:rPr>
                <w:rFonts w:ascii="宋体" w:hAnsi="宋体" w:cs="宋体" w:eastAsia="宋体" w:hint="default"/>
                <w:sz w:val="18"/>
                <w:szCs w:val="18"/>
              </w:rPr>
            </w:pPr>
            <w:r>
              <w:rPr>
                <w:rFonts w:ascii="宋体" w:hAnsi="宋体" w:cs="宋体" w:eastAsia="宋体" w:hint="default"/>
                <w:sz w:val="18"/>
                <w:szCs w:val="18"/>
              </w:rPr>
              <w:t>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亿元，余额</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 </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、未及时向万达信息董事会报告上述事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项，未按规定配合万达信息履行信息披 露义务，对万达信息未按规定披露万豪 投资非经营性资金占用事项，未真实、 准确披露</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pacing w:val="-9"/>
                <w:sz w:val="18"/>
                <w:szCs w:val="18"/>
              </w:rPr>
              <w:t>年第一季度财务报告，负</w:t>
            </w:r>
            <w:r>
              <w:rPr>
                <w:rFonts w:ascii="宋体" w:hAnsi="宋体" w:cs="宋体" w:eastAsia="宋体" w:hint="default"/>
                <w:sz w:val="18"/>
                <w:szCs w:val="18"/>
              </w:rPr>
              <w:t> 有主要责任。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3317" w:lineRule="exact"/>
              <w:ind w:left="2"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5"/>
                <w:sz w:val="20"/>
                <w:szCs w:val="20"/>
              </w:rPr>
              <w:pict>
                <v:group style="width:20.8pt;height:165.9pt;mso-position-horizontal-relative:char;mso-position-vertical-relative:line" coordorigin="0,0" coordsize="416,3318">
                  <v:group style="position:absolute;left:0;top:0;width:416;height:3318" coordorigin="0,0" coordsize="416,3318">
                    <v:shape style="position:absolute;left:0;top:0;width:416;height:3318" coordorigin="0,0" coordsize="416,3318" path="m0,3317l415,3317,415,0,0,0,0,3317xe" filled="true" fillcolor="#ffffff" stroked="false">
                      <v:path arrowok="t"/>
                      <v:fill type="solid"/>
                    </v:shape>
                  </v:group>
                </v:group>
              </w:pict>
            </w:r>
            <w:r>
              <w:rPr>
                <w:rFonts w:ascii="Times New Roman" w:hAnsi="Times New Roman" w:cs="Times New Roman" w:eastAsia="Times New Roman" w:hint="default"/>
                <w:position w:val="-65"/>
                <w:sz w:val="20"/>
                <w:szCs w:val="20"/>
              </w:rPr>
            </w:r>
          </w:p>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其他</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17"/>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、万豪投资非经营性占用万达信息的</w:t>
            </w:r>
            <w:r>
              <w:rPr>
                <w:rFonts w:ascii="宋体" w:hAnsi="宋体" w:cs="宋体" w:eastAsia="宋体" w:hint="default"/>
                <w:sz w:val="18"/>
                <w:szCs w:val="18"/>
              </w:rPr>
              <w:t> 资金违反了《关于规范上市公司与关 联方资金往来及上市公司对外担保若 </w:t>
            </w:r>
            <w:r>
              <w:rPr>
                <w:rFonts w:ascii="宋体" w:hAnsi="宋体" w:cs="宋体" w:eastAsia="宋体" w:hint="default"/>
                <w:spacing w:val="-5"/>
                <w:sz w:val="18"/>
                <w:szCs w:val="18"/>
              </w:rPr>
              <w:t>干问题的通知》（证监发</w:t>
            </w:r>
            <w:r>
              <w:rPr>
                <w:rFonts w:ascii="Times New Roman" w:hAnsi="Times New Roman" w:cs="Times New Roman" w:eastAsia="Times New Roman" w:hint="default"/>
                <w:spacing w:val="-5"/>
                <w:sz w:val="18"/>
                <w:szCs w:val="18"/>
              </w:rPr>
              <w:t>[2003]56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号， 经证监会公告</w:t>
            </w:r>
            <w:r>
              <w:rPr>
                <w:rFonts w:ascii="Times New Roman" w:hAnsi="Times New Roman" w:cs="Times New Roman" w:eastAsia="Times New Roman" w:hint="default"/>
                <w:sz w:val="18"/>
                <w:szCs w:val="18"/>
              </w:rPr>
              <w:t>[2017]16 </w:t>
            </w:r>
            <w:r>
              <w:rPr>
                <w:rFonts w:ascii="宋体" w:hAnsi="宋体" w:cs="宋体" w:eastAsia="宋体" w:hint="default"/>
                <w:sz w:val="18"/>
                <w:szCs w:val="18"/>
              </w:rPr>
              <w:t>号修改）第一 </w:t>
            </w:r>
            <w:r>
              <w:rPr>
                <w:rFonts w:ascii="宋体" w:hAnsi="宋体" w:cs="宋体" w:eastAsia="宋体" w:hint="default"/>
                <w:spacing w:val="-6"/>
                <w:sz w:val="18"/>
                <w:szCs w:val="18"/>
              </w:rPr>
              <w:t>条第一款第二项、《上市公司治理准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7"/>
                <w:sz w:val="18"/>
                <w:szCs w:val="18"/>
              </w:rPr>
              <w:t>则》（证监会公告</w:t>
            </w:r>
            <w:r>
              <w:rPr>
                <w:rFonts w:ascii="Times New Roman" w:hAnsi="Times New Roman" w:cs="Times New Roman" w:eastAsia="Times New Roman" w:hint="default"/>
                <w:spacing w:val="-7"/>
                <w:sz w:val="18"/>
                <w:szCs w:val="18"/>
              </w:rPr>
              <w:t>[2018]29</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号）第七十</w:t>
            </w:r>
            <w:r>
              <w:rPr>
                <w:rFonts w:ascii="宋体" w:hAnsi="宋体" w:cs="宋体" w:eastAsia="宋体" w:hint="default"/>
                <w:sz w:val="18"/>
                <w:szCs w:val="18"/>
              </w:rPr>
              <w:t> 条第二款的规定。史一兵作为万达信 息原实际控制人、董事长、总裁，同 时是万豪投资实际控制人、法定代表 人，对上述行为负有主要责任。</w:t>
            </w:r>
          </w:p>
          <w:p>
            <w:pPr>
              <w:pStyle w:val="TableParagraph"/>
              <w:spacing w:line="307" w:lineRule="auto" w:before="61"/>
              <w:ind w:left="23" w:right="2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、前述行为违反了《上市公司信息披</w:t>
            </w:r>
            <w:r>
              <w:rPr>
                <w:rFonts w:ascii="宋体" w:hAnsi="宋体" w:cs="宋体" w:eastAsia="宋体" w:hint="default"/>
                <w:sz w:val="18"/>
                <w:szCs w:val="18"/>
              </w:rPr>
              <w:t> </w:t>
            </w:r>
            <w:r>
              <w:rPr>
                <w:rFonts w:ascii="宋体" w:hAnsi="宋体" w:cs="宋体" w:eastAsia="宋体" w:hint="default"/>
                <w:spacing w:val="-8"/>
                <w:sz w:val="18"/>
                <w:szCs w:val="18"/>
              </w:rPr>
              <w:t>露管理办法》（证监会令第</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40 </w:t>
            </w:r>
            <w:r>
              <w:rPr>
                <w:rFonts w:ascii="宋体" w:hAnsi="宋体" w:cs="宋体" w:eastAsia="宋体" w:hint="default"/>
                <w:sz w:val="18"/>
                <w:szCs w:val="18"/>
              </w:rPr>
              <w:t>号）第 三条、第四十条、第四十六条第一款 第四项的规定。</w:t>
            </w:r>
          </w:p>
          <w:p>
            <w:pPr>
              <w:pStyle w:val="TableParagraph"/>
              <w:spacing w:line="312" w:lineRule="auto" w:before="67"/>
              <w:ind w:left="23" w:right="61"/>
              <w:jc w:val="left"/>
              <w:rPr>
                <w:rFonts w:ascii="宋体" w:hAnsi="宋体" w:cs="宋体" w:eastAsia="宋体" w:hint="default"/>
                <w:sz w:val="18"/>
                <w:szCs w:val="18"/>
              </w:rPr>
            </w:pPr>
            <w:r>
              <w:rPr>
                <w:rFonts w:ascii="Times New Roman" w:hAnsi="Times New Roman" w:cs="Times New Roman" w:eastAsia="Times New Roman" w:hint="default"/>
                <w:spacing w:val="-10"/>
                <w:sz w:val="18"/>
                <w:szCs w:val="18"/>
              </w:rPr>
              <w:t>3</w:t>
            </w:r>
            <w:r>
              <w:rPr>
                <w:rFonts w:ascii="宋体" w:hAnsi="宋体" w:cs="宋体" w:eastAsia="宋体" w:hint="default"/>
                <w:spacing w:val="-10"/>
                <w:sz w:val="18"/>
                <w:szCs w:val="18"/>
              </w:rPr>
              <w:t>、根据《上市公司信息披露管</w:t>
            </w:r>
            <w:r>
              <w:rPr>
                <w:rFonts w:ascii="宋体" w:hAnsi="宋体" w:cs="宋体" w:eastAsia="宋体" w:hint="default"/>
                <w:sz w:val="18"/>
                <w:szCs w:val="18"/>
              </w:rPr>
              <w:t> 第五十八条和第五十九条第一款第一 项的规定，中国证监会上海监管局决 定对史一兵采取责令改正的监管措 施。史一兵应当在收到本决定书之日 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日内向证监局提交书面整改报 告。</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84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6"/>
                <w:sz w:val="20"/>
                <w:szCs w:val="20"/>
              </w:rPr>
              <w:pict>
                <v:group style="width:27.85pt;height:142.450pt;mso-position-horizontal-relative:char;mso-position-vertical-relative:line" coordorigin="0,0" coordsize="557,2849">
                  <v:group style="position:absolute;left:0;top:0;width:557;height:2849" coordorigin="0,0" coordsize="557,2849">
                    <v:shape style="position:absolute;left:0;top:0;width:557;height:2849" coordorigin="0,0" coordsize="557,2849" path="m0,2849l557,2849,557,0,0,0,0,2849xe" filled="true" fillcolor="#ffffff" stroked="false">
                      <v:path arrowok="t"/>
                      <v:fill type="solid"/>
                    </v:shape>
                  </v:group>
                </v:group>
              </w:pict>
            </w:r>
            <w:r>
              <w:rPr>
                <w:rFonts w:ascii="Times New Roman" w:hAnsi="Times New Roman" w:cs="Times New Roman" w:eastAsia="Times New Roman" w:hint="default"/>
                <w:position w:val="-56"/>
                <w:sz w:val="20"/>
                <w:szCs w:val="20"/>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41"/>
              <w:jc w:val="left"/>
              <w:rPr>
                <w:rFonts w:ascii="宋体" w:hAnsi="宋体" w:cs="宋体" w:eastAsia="宋体" w:hint="default"/>
                <w:sz w:val="18"/>
                <w:szCs w:val="18"/>
              </w:rPr>
            </w:pPr>
            <w:r>
              <w:rPr>
                <w:rFonts w:ascii="宋体" w:hAnsi="宋体" w:cs="宋体" w:eastAsia="宋体" w:hint="default"/>
                <w:sz w:val="18"/>
                <w:szCs w:val="18"/>
              </w:rPr>
              <w:t>《关于收到 中国证监会 上海监管局 行政监管措 施决定书的 </w:t>
            </w:r>
            <w:r>
              <w:rPr>
                <w:rFonts w:ascii="宋体" w:hAnsi="宋体" w:cs="宋体" w:eastAsia="宋体" w:hint="default"/>
                <w:spacing w:val="-16"/>
                <w:sz w:val="18"/>
                <w:szCs w:val="18"/>
              </w:rPr>
              <w:t>公告》，公告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编号</w:t>
            </w:r>
          </w:p>
          <w:p>
            <w:pPr>
              <w:pStyle w:val="TableParagraph"/>
              <w:spacing w:line="240" w:lineRule="auto" w:before="1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2019-161</w:t>
            </w:r>
            <w:r>
              <w:rPr>
                <w:rFonts w:ascii="宋体" w:hAnsi="宋体" w:cs="宋体" w:eastAsia="宋体" w:hint="default"/>
                <w:sz w:val="18"/>
                <w:szCs w:val="18"/>
              </w:rPr>
              <w:t>。</w:t>
            </w:r>
          </w:p>
        </w:tc>
      </w:tr>
      <w:tr>
        <w:trPr>
          <w:trHeight w:val="258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4" w:right="0"/>
              <w:jc w:val="left"/>
              <w:rPr>
                <w:rFonts w:ascii="宋体" w:hAnsi="宋体" w:cs="宋体" w:eastAsia="宋体" w:hint="default"/>
                <w:sz w:val="18"/>
                <w:szCs w:val="18"/>
              </w:rPr>
            </w:pPr>
            <w:r>
              <w:rPr>
                <w:rFonts w:ascii="宋体" w:hAnsi="宋体" w:cs="宋体" w:eastAsia="宋体" w:hint="default"/>
                <w:sz w:val="18"/>
                <w:szCs w:val="18"/>
              </w:rPr>
              <w:t>张令庆</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03"/>
              <w:ind w:left="23" w:right="-34"/>
              <w:jc w:val="both"/>
              <w:rPr>
                <w:rFonts w:ascii="宋体" w:hAnsi="宋体" w:cs="宋体" w:eastAsia="宋体" w:hint="default"/>
                <w:sz w:val="18"/>
                <w:szCs w:val="18"/>
              </w:rPr>
            </w:pPr>
            <w:r>
              <w:rPr>
                <w:rFonts w:ascii="宋体" w:hAnsi="宋体" w:cs="宋体" w:eastAsia="宋体" w:hint="default"/>
                <w:sz w:val="18"/>
                <w:szCs w:val="18"/>
              </w:rPr>
              <w:t>作为万达信息原董事会秘书，对万达信 息未按规定披露万达信息原控股股东万 </w:t>
            </w:r>
            <w:r>
              <w:rPr>
                <w:rFonts w:ascii="宋体" w:hAnsi="宋体" w:cs="宋体" w:eastAsia="宋体" w:hint="default"/>
                <w:spacing w:val="-7"/>
                <w:sz w:val="18"/>
                <w:szCs w:val="18"/>
              </w:rPr>
              <w:t>豪投资非经营性资金占用事项，未真实、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准确披露</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pacing w:val="-9"/>
                <w:sz w:val="18"/>
                <w:szCs w:val="18"/>
              </w:rPr>
              <w:t>年第一季度财务报告，负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有责任。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7"/>
              <w:jc w:val="center"/>
              <w:rPr>
                <w:rFonts w:ascii="宋体" w:hAnsi="宋体" w:cs="宋体" w:eastAsia="宋体" w:hint="default"/>
                <w:sz w:val="18"/>
                <w:szCs w:val="18"/>
              </w:rPr>
            </w:pPr>
            <w:r>
              <w:rPr>
                <w:rFonts w:ascii="宋体" w:hAnsi="宋体" w:cs="宋体" w:eastAsia="宋体" w:hint="default"/>
                <w:sz w:val="18"/>
                <w:szCs w:val="18"/>
              </w:rPr>
              <w:t>其他</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412" w:lineRule="exact"/>
              <w:ind w:left="2" w:right="-15"/>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pict>
                <v:group style="width:19.6pt;height:20.65pt;mso-position-horizontal-relative:char;mso-position-vertical-relative:line" coordorigin="0,0" coordsize="392,413">
                  <v:group style="position:absolute;left:11;top:11;width:2;height:392" coordorigin="11,11" coordsize="2,392">
                    <v:shape style="position:absolute;left:11;top:11;width:2;height:392" coordorigin="11,11" coordsize="0,392" path="m11,11l11,402e" filled="false" stroked="true" strokeweight="1.08pt" strokecolor="#ffffff">
                      <v:path arrowok="t"/>
                    </v:shape>
                  </v:group>
                  <v:group style="position:absolute;left:22;top:11;width:370;height:392" coordorigin="22,11" coordsize="370,392">
                    <v:shape style="position:absolute;left:22;top:11;width:370;height:392" coordorigin="22,11" coordsize="370,392" path="m22,402l391,402,391,11,22,11,22,402xe" filled="true" fillcolor="#ffffff" stroked="false">
                      <v:path arrowok="t"/>
                      <v:fill type="solid"/>
                    </v:shape>
                  </v:group>
                </v:group>
              </w:pict>
            </w:r>
            <w:r>
              <w:rPr>
                <w:rFonts w:ascii="Times New Roman" w:hAnsi="Times New Roman" w:cs="Times New Roman" w:eastAsia="Times New Roman" w:hint="default"/>
                <w:position w:val="-7"/>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4" w:lineRule="auto"/>
              <w:ind w:left="23" w:right="60"/>
              <w:jc w:val="left"/>
              <w:rPr>
                <w:rFonts w:ascii="宋体" w:hAnsi="宋体" w:cs="宋体" w:eastAsia="宋体" w:hint="default"/>
                <w:sz w:val="18"/>
                <w:szCs w:val="18"/>
              </w:rPr>
            </w:pPr>
            <w:r>
              <w:rPr>
                <w:rFonts w:ascii="宋体" w:hAnsi="宋体" w:cs="宋体" w:eastAsia="宋体" w:hint="default"/>
                <w:sz w:val="18"/>
                <w:szCs w:val="18"/>
              </w:rPr>
              <w:t>上述行为违反了《上市公司信息披露 </w:t>
            </w:r>
            <w:r>
              <w:rPr>
                <w:rFonts w:ascii="宋体" w:hAnsi="宋体" w:cs="宋体" w:eastAsia="宋体" w:hint="default"/>
                <w:spacing w:val="-9"/>
                <w:sz w:val="18"/>
                <w:szCs w:val="18"/>
              </w:rPr>
              <w:t>管理办法》（证监会令第</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40</w:t>
            </w:r>
            <w:r>
              <w:rPr>
                <w:rFonts w:ascii="Times New Roman" w:hAnsi="Times New Roman" w:cs="Times New Roman" w:eastAsia="Times New Roman" w:hint="default"/>
                <w:spacing w:val="4"/>
                <w:sz w:val="18"/>
                <w:szCs w:val="18"/>
              </w:rPr>
              <w:t> </w:t>
            </w:r>
            <w:r>
              <w:rPr>
                <w:rFonts w:ascii="宋体" w:hAnsi="宋体" w:cs="宋体" w:eastAsia="宋体" w:hint="default"/>
                <w:spacing w:val="-1"/>
                <w:sz w:val="18"/>
                <w:szCs w:val="18"/>
              </w:rPr>
              <w:t>号）第三</w:t>
            </w:r>
            <w:r>
              <w:rPr>
                <w:rFonts w:ascii="宋体" w:hAnsi="宋体" w:cs="宋体" w:eastAsia="宋体" w:hint="default"/>
                <w:sz w:val="18"/>
                <w:szCs w:val="18"/>
              </w:rPr>
              <w:t> 条的规定。根据《上市公司信息披露 管理办法》第五十八条第一款、第二 款和第五十九条第一款第三项的规 定，中国证监会上海监管局决定对其 采取出具警示函的监管措施。</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《关于收到 中国证监会 上海监管局 行政监管措 施决定书的 </w:t>
            </w:r>
            <w:r>
              <w:rPr>
                <w:rFonts w:ascii="宋体" w:hAnsi="宋体" w:cs="宋体" w:eastAsia="宋体" w:hint="default"/>
                <w:spacing w:val="-16"/>
                <w:sz w:val="18"/>
                <w:szCs w:val="18"/>
              </w:rPr>
              <w:t>公告》，公告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编号</w:t>
            </w:r>
          </w:p>
          <w:p>
            <w:pPr>
              <w:pStyle w:val="TableParagraph"/>
              <w:spacing w:line="240" w:lineRule="auto" w:before="1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2019-161</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852"/>
        <w:gridCol w:w="566"/>
        <w:gridCol w:w="3118"/>
        <w:gridCol w:w="427"/>
        <w:gridCol w:w="2977"/>
        <w:gridCol w:w="566"/>
        <w:gridCol w:w="1066"/>
      </w:tblGrid>
      <w:tr>
        <w:trPr>
          <w:trHeight w:val="711"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36" w:right="0"/>
              <w:jc w:val="left"/>
              <w:rPr>
                <w:rFonts w:ascii="宋体" w:hAnsi="宋体" w:cs="宋体" w:eastAsia="宋体" w:hint="default"/>
                <w:sz w:val="18"/>
                <w:szCs w:val="18"/>
              </w:rPr>
            </w:pPr>
            <w:r>
              <w:rPr>
                <w:rFonts w:ascii="宋体" w:hAnsi="宋体" w:cs="宋体" w:eastAsia="宋体" w:hint="default"/>
                <w:sz w:val="18"/>
                <w:szCs w:val="18"/>
              </w:rPr>
              <w:t>名称</w:t>
            </w:r>
            <w:r>
              <w:rPr>
                <w:rFonts w:ascii="Times New Roman" w:hAnsi="Times New Roman" w:cs="Times New Roman" w:eastAsia="Times New Roman" w:hint="default"/>
                <w:sz w:val="18"/>
                <w:szCs w:val="18"/>
              </w:rPr>
              <w:t>/</w:t>
            </w:r>
            <w:r>
              <w:rPr>
                <w:rFonts w:ascii="宋体" w:hAnsi="宋体" w:cs="宋体" w:eastAsia="宋体" w:hint="default"/>
                <w:sz w:val="18"/>
                <w:szCs w:val="18"/>
              </w:rPr>
              <w:t>姓名</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原因</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28" w:right="0"/>
              <w:jc w:val="left"/>
              <w:rPr>
                <w:rFonts w:ascii="宋体" w:hAnsi="宋体" w:cs="宋体" w:eastAsia="宋体" w:hint="default"/>
                <w:sz w:val="18"/>
                <w:szCs w:val="18"/>
              </w:rPr>
            </w:pPr>
            <w:r>
              <w:rPr>
                <w:rFonts w:ascii="宋体" w:hAnsi="宋体" w:cs="宋体" w:eastAsia="宋体" w:hint="default"/>
                <w:sz w:val="18"/>
                <w:szCs w:val="18"/>
              </w:rPr>
              <w:t>调查</w:t>
            </w:r>
          </w:p>
          <w:p>
            <w:pPr>
              <w:pStyle w:val="TableParagraph"/>
              <w:spacing w:line="240" w:lineRule="auto"/>
              <w:ind w:left="28" w:right="26"/>
              <w:jc w:val="left"/>
              <w:rPr>
                <w:rFonts w:ascii="宋体" w:hAnsi="宋体" w:cs="宋体" w:eastAsia="宋体" w:hint="default"/>
                <w:sz w:val="18"/>
                <w:szCs w:val="18"/>
              </w:rPr>
            </w:pPr>
            <w:r>
              <w:rPr>
                <w:rFonts w:ascii="宋体" w:hAnsi="宋体" w:cs="宋体" w:eastAsia="宋体" w:hint="default"/>
                <w:sz w:val="18"/>
                <w:szCs w:val="18"/>
              </w:rPr>
              <w:t>处罚 类型</w:t>
            </w:r>
          </w:p>
        </w:tc>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943" w:right="0"/>
              <w:jc w:val="left"/>
              <w:rPr>
                <w:rFonts w:ascii="宋体" w:hAnsi="宋体" w:cs="宋体" w:eastAsia="宋体" w:hint="default"/>
                <w:sz w:val="18"/>
                <w:szCs w:val="18"/>
              </w:rPr>
            </w:pPr>
            <w:r>
              <w:rPr>
                <w:rFonts w:ascii="宋体" w:hAnsi="宋体" w:cs="宋体" w:eastAsia="宋体" w:hint="default"/>
                <w:sz w:val="18"/>
                <w:szCs w:val="18"/>
              </w:rPr>
              <w:t>结论（如有）</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10"/>
              <w:ind w:left="98" w:right="96"/>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666"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4" w:right="0"/>
              <w:jc w:val="left"/>
              <w:rPr>
                <w:rFonts w:ascii="宋体" w:hAnsi="宋体" w:cs="宋体" w:eastAsia="宋体" w:hint="default"/>
                <w:sz w:val="18"/>
                <w:szCs w:val="18"/>
              </w:rPr>
            </w:pPr>
            <w:r>
              <w:rPr>
                <w:rFonts w:ascii="宋体" w:hAnsi="宋体" w:cs="宋体" w:eastAsia="宋体" w:hint="default"/>
                <w:sz w:val="18"/>
                <w:szCs w:val="18"/>
              </w:rPr>
              <w:t>卞世军</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44"/>
              <w:ind w:left="23" w:right="20"/>
              <w:jc w:val="both"/>
              <w:rPr>
                <w:rFonts w:ascii="宋体" w:hAnsi="宋体" w:cs="宋体" w:eastAsia="宋体" w:hint="default"/>
                <w:sz w:val="18"/>
                <w:szCs w:val="18"/>
              </w:rPr>
            </w:pPr>
            <w:r>
              <w:rPr>
                <w:rFonts w:ascii="宋体" w:hAnsi="宋体" w:cs="宋体" w:eastAsia="宋体" w:hint="default"/>
                <w:sz w:val="18"/>
                <w:szCs w:val="18"/>
              </w:rPr>
              <w:t>作为万达信息原财务总监，对万达信息 未按规定披露万达信息原控股股东万豪 投资非经营性资金占用事项，未真实、 准确披露</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pacing w:val="-9"/>
                <w:sz w:val="18"/>
                <w:szCs w:val="18"/>
              </w:rPr>
              <w:t>年第一季度财务报告，负</w:t>
            </w:r>
            <w:r>
              <w:rPr>
                <w:rFonts w:ascii="宋体" w:hAnsi="宋体" w:cs="宋体" w:eastAsia="宋体" w:hint="default"/>
                <w:sz w:val="18"/>
                <w:szCs w:val="18"/>
              </w:rPr>
              <w:t> 有责任。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314" w:lineRule="auto"/>
              <w:ind w:left="23" w:right="60"/>
              <w:jc w:val="left"/>
              <w:rPr>
                <w:rFonts w:ascii="宋体" w:hAnsi="宋体" w:cs="宋体" w:eastAsia="宋体" w:hint="default"/>
                <w:sz w:val="18"/>
                <w:szCs w:val="18"/>
              </w:rPr>
            </w:pPr>
            <w:r>
              <w:rPr>
                <w:rFonts w:ascii="宋体" w:hAnsi="宋体" w:cs="宋体" w:eastAsia="宋体" w:hint="default"/>
                <w:sz w:val="18"/>
                <w:szCs w:val="18"/>
              </w:rPr>
              <w:t>上述行为违反了《上市公司信息披露 </w:t>
            </w:r>
            <w:r>
              <w:rPr>
                <w:rFonts w:ascii="宋体" w:hAnsi="宋体" w:cs="宋体" w:eastAsia="宋体" w:hint="default"/>
                <w:spacing w:val="-9"/>
                <w:sz w:val="18"/>
                <w:szCs w:val="18"/>
              </w:rPr>
              <w:t>管理办法》（证监会令第</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40</w:t>
            </w:r>
            <w:r>
              <w:rPr>
                <w:rFonts w:ascii="Times New Roman" w:hAnsi="Times New Roman" w:cs="Times New Roman" w:eastAsia="Times New Roman" w:hint="default"/>
                <w:spacing w:val="4"/>
                <w:sz w:val="18"/>
                <w:szCs w:val="18"/>
              </w:rPr>
              <w:t> </w:t>
            </w:r>
            <w:r>
              <w:rPr>
                <w:rFonts w:ascii="宋体" w:hAnsi="宋体" w:cs="宋体" w:eastAsia="宋体" w:hint="default"/>
                <w:spacing w:val="-1"/>
                <w:sz w:val="18"/>
                <w:szCs w:val="18"/>
              </w:rPr>
              <w:t>号）第三</w:t>
            </w:r>
            <w:r>
              <w:rPr>
                <w:rFonts w:ascii="宋体" w:hAnsi="宋体" w:cs="宋体" w:eastAsia="宋体" w:hint="default"/>
                <w:sz w:val="18"/>
                <w:szCs w:val="18"/>
              </w:rPr>
              <w:t> 条的规定。根据《上市公司信息披露 管理办法》第五十八条第一款、第二 款和第五十九条第一款第三项的规 定，中国证监会上海监管局决定对其 采取出具警示函的监管措施。</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5"/>
              <w:ind w:left="2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9"/>
              <w:ind w:left="23" w:right="41"/>
              <w:jc w:val="left"/>
              <w:rPr>
                <w:rFonts w:ascii="宋体" w:hAnsi="宋体" w:cs="宋体" w:eastAsia="宋体" w:hint="default"/>
                <w:sz w:val="18"/>
                <w:szCs w:val="18"/>
              </w:rPr>
            </w:pPr>
            <w:r>
              <w:rPr>
                <w:rFonts w:ascii="宋体" w:hAnsi="宋体" w:cs="宋体" w:eastAsia="宋体" w:hint="default"/>
                <w:sz w:val="18"/>
                <w:szCs w:val="18"/>
              </w:rPr>
              <w:t>《关于收到 中国证监会 上海监管局 行政监管措 施决定书的 </w:t>
            </w:r>
            <w:r>
              <w:rPr>
                <w:rFonts w:ascii="宋体" w:hAnsi="宋体" w:cs="宋体" w:eastAsia="宋体" w:hint="default"/>
                <w:spacing w:val="-16"/>
                <w:sz w:val="18"/>
                <w:szCs w:val="18"/>
              </w:rPr>
              <w:t>公告》，公告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编号</w:t>
            </w:r>
          </w:p>
          <w:p>
            <w:pPr>
              <w:pStyle w:val="TableParagraph"/>
              <w:spacing w:line="240" w:lineRule="auto" w:before="1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2019-161</w:t>
            </w:r>
            <w:r>
              <w:rPr>
                <w:rFonts w:ascii="宋体" w:hAnsi="宋体" w:cs="宋体" w:eastAsia="宋体" w:hint="default"/>
                <w:sz w:val="18"/>
                <w:szCs w:val="18"/>
              </w:rPr>
              <w:t>。</w:t>
            </w:r>
          </w:p>
        </w:tc>
      </w:tr>
    </w:tbl>
    <w:p>
      <w:pPr>
        <w:pStyle w:val="BodyText"/>
        <w:spacing w:line="240" w:lineRule="auto" w:before="49"/>
        <w:ind w:right="2602"/>
        <w:jc w:val="left"/>
      </w:pPr>
      <w:r>
        <w:rPr/>
        <w:t>整改情况说明</w:t>
      </w:r>
    </w:p>
    <w:p>
      <w:pPr>
        <w:pStyle w:val="BodyText"/>
        <w:spacing w:line="240" w:lineRule="auto" w:before="115"/>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14"/>
          <w:szCs w:val="14"/>
        </w:rPr>
      </w:pPr>
    </w:p>
    <w:p>
      <w:pPr>
        <w:pStyle w:val="BodyText"/>
        <w:spacing w:line="304" w:lineRule="auto"/>
        <w:ind w:right="1131" w:firstLine="360"/>
        <w:jc w:val="both"/>
      </w:pPr>
      <w:r>
        <w:rPr/>
        <w:t>万达信息股份有限公司于</w:t>
      </w:r>
      <w:r>
        <w:rPr>
          <w:spacing w:val="-45"/>
        </w:rPr>
        <w:t> </w:t>
      </w:r>
      <w:r>
        <w:rPr>
          <w:rFonts w:ascii="Times New Roman" w:hAnsi="Times New Roman" w:cs="Times New Roman" w:eastAsia="Times New Roman" w:hint="default"/>
        </w:rPr>
        <w:t>2019 </w:t>
      </w:r>
      <w:r>
        <w:rPr/>
        <w:t>年</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t>日收到中国证券监督管理委员会上海监管局下发的《关于对万达信息股份有 </w:t>
      </w:r>
      <w:r>
        <w:rPr>
          <w:spacing w:val="-4"/>
        </w:rPr>
        <w:t>限公司采取责令改正措施的决定》（沪证监决〔</w:t>
      </w:r>
      <w:r>
        <w:rPr>
          <w:rFonts w:ascii="Times New Roman" w:hAnsi="Times New Roman" w:cs="Times New Roman" w:eastAsia="Times New Roman" w:hint="default"/>
          <w:spacing w:val="-4"/>
        </w:rPr>
        <w:t>2019</w:t>
      </w:r>
      <w:r>
        <w:rPr>
          <w:spacing w:val="-4"/>
        </w:rPr>
        <w:t>〕</w:t>
      </w:r>
      <w:r>
        <w:rPr>
          <w:rFonts w:ascii="Times New Roman" w:hAnsi="Times New Roman" w:cs="Times New Roman" w:eastAsia="Times New Roman" w:hint="default"/>
          <w:spacing w:val="-4"/>
        </w:rPr>
        <w:t>189</w:t>
      </w:r>
      <w:r>
        <w:rPr>
          <w:rFonts w:ascii="Times New Roman" w:hAnsi="Times New Roman" w:cs="Times New Roman" w:eastAsia="Times New Roman" w:hint="default"/>
          <w:spacing w:val="21"/>
        </w:rPr>
        <w:t> </w:t>
      </w:r>
      <w:r>
        <w:rPr>
          <w:spacing w:val="-16"/>
        </w:rPr>
        <w:t>号）（以下简称“《决定书》”），就公司原控股股东非经营性占用资</w:t>
      </w:r>
      <w:r>
        <w:rPr>
          <w:spacing w:val="-84"/>
        </w:rPr>
        <w:t> </w:t>
      </w:r>
      <w:r>
        <w:rPr>
          <w:spacing w:val="-84"/>
        </w:rPr>
      </w:r>
      <w:r>
        <w:rPr/>
        <w:t>金、公司未及时披露关联方非经营性资金占用事项，以及受此影响的公司</w:t>
      </w:r>
      <w:r>
        <w:rPr>
          <w:spacing w:val="-4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年第一季度财务报告披露不真实、不准确的 </w:t>
      </w:r>
      <w:r>
        <w:rPr>
          <w:spacing w:val="-2"/>
        </w:rPr>
        <w:t>事项，对公司采取责令改正的监管措施。《决定书》要求公司积极采取有效措施，督促原实际控制人、原控股股东限期解决</w:t>
      </w:r>
      <w:r>
        <w:rPr>
          <w:spacing w:val="-65"/>
        </w:rPr>
        <w:t> </w:t>
      </w:r>
      <w:r>
        <w:rPr>
          <w:spacing w:val="-65"/>
        </w:rPr>
      </w:r>
      <w:r>
        <w:rPr/>
        <w:t>违规资金占用问题；要求公司强化依法合规意识，切实做好信息披露工作；同时要求公司在收到决定书之日起</w:t>
      </w:r>
      <w:r>
        <w:rPr>
          <w:spacing w:val="-40"/>
        </w:rPr>
        <w:t> </w:t>
      </w:r>
      <w:r>
        <w:rPr>
          <w:rFonts w:ascii="Times New Roman" w:hAnsi="Times New Roman" w:cs="Times New Roman" w:eastAsia="Times New Roman" w:hint="default"/>
        </w:rPr>
        <w:t>30</w:t>
      </w:r>
      <w:r>
        <w:rPr>
          <w:rFonts w:ascii="Times New Roman" w:hAnsi="Times New Roman" w:cs="Times New Roman" w:eastAsia="Times New Roman" w:hint="default"/>
          <w:spacing w:val="4"/>
        </w:rPr>
        <w:t> </w:t>
      </w:r>
      <w:r>
        <w:rPr/>
        <w:t>日内提交 </w:t>
      </w:r>
      <w:r>
        <w:rPr>
          <w:spacing w:val="-2"/>
        </w:rPr>
        <w:t>书面整改报告。具体内容详见公司于同日在中国证监会指定信息披露网站披露的《关于收到中国证监会上海监管局行政监管</w:t>
      </w:r>
      <w:r>
        <w:rPr>
          <w:spacing w:val="-64"/>
        </w:rPr>
        <w:t> </w:t>
      </w:r>
      <w:r>
        <w:rPr>
          <w:spacing w:val="-64"/>
        </w:rPr>
      </w:r>
      <w:r>
        <w:rPr>
          <w:spacing w:val="-7"/>
        </w:rPr>
        <w:t>措施决定书的公告》（公告编号</w:t>
      </w:r>
      <w:r>
        <w:rPr>
          <w:spacing w:val="-31"/>
        </w:rPr>
        <w:t> </w:t>
      </w:r>
      <w:r>
        <w:rPr>
          <w:rFonts w:ascii="Times New Roman" w:hAnsi="Times New Roman" w:cs="Times New Roman" w:eastAsia="Times New Roman" w:hint="default"/>
          <w:spacing w:val="-19"/>
        </w:rPr>
        <w:t>2019-161</w:t>
      </w:r>
      <w:r>
        <w:rPr>
          <w:spacing w:val="-19"/>
        </w:rPr>
        <w:t>）。</w:t>
      </w:r>
      <w:r>
        <w:rPr/>
      </w:r>
    </w:p>
    <w:p>
      <w:pPr>
        <w:pStyle w:val="BodyText"/>
        <w:spacing w:line="316" w:lineRule="auto" w:before="50"/>
        <w:ind w:right="0" w:firstLine="360"/>
        <w:jc w:val="left"/>
      </w:pPr>
      <w:r>
        <w:rPr>
          <w:spacing w:val="-9"/>
        </w:rPr>
        <w:t>收到《决定书》后，公司高度重视并依据《公司法》、《证券法》、《关于规范上市公司与关联方资金往来及上市公司对外</w:t>
      </w:r>
      <w:r>
        <w:rPr/>
        <w:t> </w:t>
      </w:r>
      <w:r>
        <w:rPr>
          <w:spacing w:val="-4"/>
        </w:rPr>
        <w:t>担保若干问题的通知》、《上市公司治理准则》及《公司章程》等相关法律、法规及规范性文件的要求，结合公司实际情况，</w:t>
      </w:r>
      <w:r>
        <w:rPr>
          <w:spacing w:val="-42"/>
        </w:rPr>
        <w:t> </w:t>
      </w:r>
      <w:r>
        <w:rPr>
          <w:spacing w:val="-42"/>
        </w:rPr>
      </w:r>
      <w:r>
        <w:rPr/>
        <w:t>就《决定书》中提出的问题和要求切实进行了整改，现将公司具体整改情况报告如下：</w:t>
      </w:r>
    </w:p>
    <w:p>
      <w:pPr>
        <w:pStyle w:val="BodyText"/>
        <w:spacing w:line="240" w:lineRule="auto" w:before="60"/>
        <w:ind w:left="513" w:right="2602"/>
        <w:jc w:val="left"/>
      </w:pPr>
      <w:r>
        <w:rPr/>
        <w:t>（一）非经营性资金占用问题</w:t>
      </w:r>
    </w:p>
    <w:p>
      <w:pPr>
        <w:pStyle w:val="BodyText"/>
        <w:spacing w:line="240" w:lineRule="auto" w:before="115"/>
        <w:ind w:left="513" w:right="2602"/>
        <w:jc w:val="left"/>
      </w:pPr>
      <w:r>
        <w:rPr>
          <w:rFonts w:ascii="Times New Roman" w:hAnsi="Times New Roman" w:cs="Times New Roman" w:eastAsia="Times New Roman" w:hint="default"/>
        </w:rPr>
        <w:t>1</w:t>
      </w:r>
      <w:r>
        <w:rPr/>
        <w:t>、原控股股东非经营性资金占用情况</w:t>
      </w:r>
    </w:p>
    <w:p>
      <w:pPr>
        <w:pStyle w:val="BodyText"/>
        <w:spacing w:line="240" w:lineRule="auto" w:before="103"/>
        <w:ind w:left="513" w:right="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 </w:t>
      </w:r>
      <w:r>
        <w:rPr/>
        <w:t>月至</w:t>
      </w:r>
      <w:r>
        <w:rPr>
          <w:spacing w:val="-46"/>
        </w:rPr>
        <w:t> </w:t>
      </w:r>
      <w:r>
        <w:rPr>
          <w:rFonts w:ascii="Times New Roman" w:hAnsi="Times New Roman" w:cs="Times New Roman" w:eastAsia="Times New Roman" w:hint="default"/>
        </w:rPr>
        <w:t>3 </w:t>
      </w:r>
      <w:r>
        <w:rPr/>
        <w:t>月，公司通过第三方账户向原控股股东上海万豪投资有限公司累计转出资金</w:t>
      </w:r>
      <w:r>
        <w:rPr>
          <w:spacing w:val="-45"/>
        </w:rPr>
        <w:t> </w:t>
      </w:r>
      <w:r>
        <w:rPr>
          <w:rFonts w:ascii="Times New Roman" w:hAnsi="Times New Roman" w:cs="Times New Roman" w:eastAsia="Times New Roman" w:hint="default"/>
        </w:rPr>
        <w:t>54,000</w:t>
      </w:r>
      <w:r>
        <w:rPr>
          <w:rFonts w:ascii="Times New Roman" w:hAnsi="Times New Roman" w:cs="Times New Roman" w:eastAsia="Times New Roman" w:hint="default"/>
          <w:spacing w:val="1"/>
        </w:rPr>
        <w:t> </w:t>
      </w:r>
      <w:r>
        <w:rPr/>
        <w:t>万元，向万豪投资</w:t>
      </w:r>
    </w:p>
    <w:p>
      <w:pPr>
        <w:pStyle w:val="BodyText"/>
        <w:spacing w:line="240" w:lineRule="auto" w:before="63"/>
        <w:ind w:right="0"/>
        <w:jc w:val="left"/>
      </w:pPr>
      <w:r>
        <w:rPr/>
        <w:t>合作方转出累计转出资金</w:t>
      </w:r>
      <w:r>
        <w:rPr>
          <w:spacing w:val="-33"/>
        </w:rPr>
        <w:t> </w:t>
      </w:r>
      <w:r>
        <w:rPr>
          <w:rFonts w:ascii="Times New Roman" w:hAnsi="Times New Roman" w:cs="Times New Roman" w:eastAsia="Times New Roman" w:hint="default"/>
        </w:rPr>
        <w:t>20,350</w:t>
      </w:r>
      <w:r>
        <w:rPr>
          <w:rFonts w:ascii="Times New Roman" w:hAnsi="Times New Roman" w:cs="Times New Roman" w:eastAsia="Times New Roman" w:hint="default"/>
          <w:spacing w:val="13"/>
        </w:rPr>
        <w:t> </w:t>
      </w:r>
      <w:r>
        <w:rPr/>
        <w:t>万元，转出资金发生额共计</w:t>
      </w:r>
      <w:r>
        <w:rPr>
          <w:spacing w:val="-33"/>
        </w:rPr>
        <w:t> </w:t>
      </w:r>
      <w:r>
        <w:rPr>
          <w:rFonts w:ascii="Times New Roman" w:hAnsi="Times New Roman" w:cs="Times New Roman" w:eastAsia="Times New Roman" w:hint="default"/>
        </w:rPr>
        <w:t>74,350</w:t>
      </w:r>
      <w:r>
        <w:rPr>
          <w:rFonts w:ascii="Times New Roman" w:hAnsi="Times New Roman" w:cs="Times New Roman" w:eastAsia="Times New Roman" w:hint="default"/>
          <w:spacing w:val="13"/>
        </w:rPr>
        <w:t> </w:t>
      </w:r>
      <w:r>
        <w:rPr/>
        <w:t>万元，收回资金</w:t>
      </w:r>
      <w:r>
        <w:rPr>
          <w:spacing w:val="-36"/>
        </w:rPr>
        <w:t> </w:t>
      </w:r>
      <w:r>
        <w:rPr>
          <w:rFonts w:ascii="Times New Roman" w:hAnsi="Times New Roman" w:cs="Times New Roman" w:eastAsia="Times New Roman" w:hint="default"/>
        </w:rPr>
        <w:t>16,300</w:t>
      </w:r>
      <w:r>
        <w:rPr>
          <w:rFonts w:ascii="Times New Roman" w:hAnsi="Times New Roman" w:cs="Times New Roman" w:eastAsia="Times New Roman" w:hint="default"/>
          <w:spacing w:val="11"/>
        </w:rPr>
        <w:t> </w:t>
      </w:r>
      <w:r>
        <w:rPr/>
        <w:t>万元，余额</w:t>
      </w:r>
      <w:r>
        <w:rPr>
          <w:spacing w:val="-33"/>
        </w:rPr>
        <w:t> </w:t>
      </w:r>
      <w:r>
        <w:rPr>
          <w:rFonts w:ascii="Times New Roman" w:hAnsi="Times New Roman" w:cs="Times New Roman" w:eastAsia="Times New Roman" w:hint="default"/>
        </w:rPr>
        <w:t>58,050</w:t>
      </w:r>
      <w:r>
        <w:rPr>
          <w:rFonts w:ascii="Times New Roman" w:hAnsi="Times New Roman" w:cs="Times New Roman" w:eastAsia="Times New Roman" w:hint="default"/>
          <w:spacing w:val="13"/>
        </w:rPr>
        <w:t> </w:t>
      </w:r>
      <w:r>
        <w:rPr/>
        <w:t>万元。截至</w:t>
      </w:r>
    </w:p>
    <w:p>
      <w:pPr>
        <w:pStyle w:val="BodyText"/>
        <w:spacing w:line="240" w:lineRule="auto" w:before="63"/>
        <w:ind w:right="0"/>
        <w:jc w:val="left"/>
        <w:rPr>
          <w:rFonts w:ascii="Times New Roman" w:hAnsi="Times New Roman" w:cs="Times New Roman" w:eastAsia="Times New Roman" w:hint="default"/>
        </w:rPr>
      </w:pPr>
      <w:r>
        <w:rPr>
          <w:rFonts w:ascii="Times New Roman" w:hAnsi="Times New Roman" w:cs="Times New Roman" w:eastAsia="Times New Roman" w:hint="default"/>
        </w:rPr>
        <w:t>2019</w:t>
      </w:r>
      <w:r>
        <w:rPr>
          <w:rFonts w:ascii="Times New Roman" w:hAnsi="Times New Roman" w:cs="Times New Roman" w:eastAsia="Times New Roman" w:hint="default"/>
          <w:spacing w:val="13"/>
        </w:rPr>
        <w:t> </w:t>
      </w:r>
      <w:r>
        <w:rPr/>
        <w:t>年</w:t>
      </w:r>
      <w:r>
        <w:rPr>
          <w:spacing w:val="-36"/>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36"/>
        </w:rPr>
        <w:t> </w:t>
      </w:r>
      <w:r>
        <w:rPr>
          <w:rFonts w:ascii="Times New Roman" w:hAnsi="Times New Roman" w:cs="Times New Roman" w:eastAsia="Times New Roman" w:hint="default"/>
        </w:rPr>
        <w:t>22</w:t>
      </w:r>
      <w:r>
        <w:rPr>
          <w:rFonts w:ascii="Times New Roman" w:hAnsi="Times New Roman" w:cs="Times New Roman" w:eastAsia="Times New Roman" w:hint="default"/>
          <w:spacing w:val="12"/>
        </w:rPr>
        <w:t> </w:t>
      </w:r>
      <w:r>
        <w:rPr/>
        <w:t>日公司首次自查前，万豪投资非经营性占用公司资金共计发生</w:t>
      </w:r>
      <w:r>
        <w:rPr>
          <w:spacing w:val="-33"/>
        </w:rPr>
        <w:t> </w:t>
      </w:r>
      <w:r>
        <w:rPr>
          <w:rFonts w:ascii="Times New Roman" w:hAnsi="Times New Roman" w:cs="Times New Roman" w:eastAsia="Times New Roman" w:hint="default"/>
        </w:rPr>
        <w:t>74,350</w:t>
      </w:r>
      <w:r>
        <w:rPr>
          <w:rFonts w:ascii="Times New Roman" w:hAnsi="Times New Roman" w:cs="Times New Roman" w:eastAsia="Times New Roman" w:hint="default"/>
          <w:spacing w:val="13"/>
        </w:rPr>
        <w:t> </w:t>
      </w:r>
      <w:r>
        <w:rPr/>
        <w:t>万元，日最高占用资金余额为</w:t>
      </w:r>
      <w:r>
        <w:rPr>
          <w:spacing w:val="-33"/>
        </w:rPr>
        <w:t> </w:t>
      </w:r>
      <w:r>
        <w:rPr>
          <w:rFonts w:ascii="Times New Roman" w:hAnsi="Times New Roman" w:cs="Times New Roman" w:eastAsia="Times New Roman" w:hint="default"/>
        </w:rPr>
        <w:t>60,050</w:t>
      </w:r>
    </w:p>
    <w:p>
      <w:pPr>
        <w:pStyle w:val="BodyText"/>
        <w:spacing w:line="240" w:lineRule="auto" w:before="63"/>
        <w:ind w:right="2602"/>
        <w:jc w:val="left"/>
      </w:pPr>
      <w:r>
        <w:rPr/>
        <w:t>万元，非经营性占用资金余额</w:t>
      </w:r>
      <w:r>
        <w:rPr>
          <w:spacing w:val="-45"/>
        </w:rPr>
        <w:t> </w:t>
      </w:r>
      <w:r>
        <w:rPr>
          <w:rFonts w:ascii="Times New Roman" w:hAnsi="Times New Roman" w:cs="Times New Roman" w:eastAsia="Times New Roman" w:hint="default"/>
        </w:rPr>
        <w:t>58,050</w:t>
      </w:r>
      <w:r>
        <w:rPr>
          <w:rFonts w:ascii="Times New Roman" w:hAnsi="Times New Roman" w:cs="Times New Roman" w:eastAsia="Times New Roman" w:hint="default"/>
          <w:spacing w:val="1"/>
        </w:rPr>
        <w:t> </w:t>
      </w:r>
      <w:r>
        <w:rPr/>
        <w:t>万元。</w:t>
      </w:r>
    </w:p>
    <w:p>
      <w:pPr>
        <w:pStyle w:val="BodyText"/>
        <w:spacing w:line="338" w:lineRule="auto" w:before="103"/>
        <w:ind w:left="513" w:right="0"/>
        <w:jc w:val="left"/>
      </w:pPr>
      <w:r>
        <w:rPr>
          <w:rFonts w:ascii="Times New Roman" w:hAnsi="Times New Roman" w:cs="Times New Roman" w:eastAsia="Times New Roman" w:hint="default"/>
        </w:rPr>
        <w:t>2</w:t>
      </w:r>
      <w:r>
        <w:rPr/>
        <w:t>、公司为解决非经营性资金占用问题所采取的措施 </w:t>
      </w:r>
      <w:r>
        <w:rPr>
          <w:spacing w:val="-2"/>
        </w:rPr>
        <w:t>自发现原控股股东万豪投资非经营性资金占用问题以来，公司董事会、监事会及管理层高度重视，并积极与万豪投资沟</w:t>
      </w:r>
    </w:p>
    <w:p>
      <w:pPr>
        <w:pStyle w:val="BodyText"/>
        <w:spacing w:line="240" w:lineRule="auto" w:before="2"/>
        <w:ind w:right="2602"/>
        <w:jc w:val="left"/>
      </w:pPr>
      <w:r>
        <w:rPr/>
        <w:t>通，督促万豪投资尽快解决非经营性资金占用问题。</w:t>
      </w:r>
    </w:p>
    <w:p>
      <w:pPr>
        <w:pStyle w:val="BodyText"/>
        <w:spacing w:line="309" w:lineRule="auto" w:before="117"/>
        <w:ind w:right="1132" w:firstLine="360"/>
        <w:jc w:val="both"/>
      </w:pPr>
      <w:r>
        <w:rPr/>
        <w:t>（</w:t>
      </w:r>
      <w:r>
        <w:rPr>
          <w:rFonts w:ascii="Times New Roman" w:hAnsi="Times New Roman" w:cs="Times New Roman" w:eastAsia="Times New Roman" w:hint="default"/>
        </w:rPr>
        <w:t>1</w:t>
      </w:r>
      <w:r>
        <w:rPr/>
        <w:t>）公司时任董事、监事、高级管理人员在获悉原控股股东存在资金占用事项的第一时间，向原实际控制人递送书面 </w:t>
      </w:r>
      <w:r>
        <w:rPr>
          <w:spacing w:val="-2"/>
        </w:rPr>
        <w:t>函件，要求原控股股东及原实际控制人书面报告资金占用的具体情况及资金去向，同时要求原控股股东及原实际控制人承诺</w:t>
      </w:r>
      <w:r>
        <w:rPr>
          <w:spacing w:val="-64"/>
        </w:rPr>
        <w:t> </w:t>
      </w:r>
      <w:r>
        <w:rPr>
          <w:spacing w:val="-64"/>
        </w:rPr>
      </w:r>
      <w:r>
        <w:rPr/>
        <w:t>尽快全额归还占用资金。</w:t>
      </w:r>
    </w:p>
    <w:p>
      <w:pPr>
        <w:pStyle w:val="BodyText"/>
        <w:spacing w:line="309" w:lineRule="auto" w:before="65"/>
        <w:ind w:right="1131" w:firstLine="360"/>
        <w:jc w:val="both"/>
      </w:pPr>
      <w:r>
        <w:rPr>
          <w:spacing w:val="-4"/>
        </w:rPr>
        <w:t>（</w:t>
      </w:r>
      <w:r>
        <w:rPr>
          <w:rFonts w:ascii="Times New Roman" w:hAnsi="Times New Roman" w:cs="Times New Roman" w:eastAsia="Times New Roman" w:hint="default"/>
          <w:spacing w:val="-4"/>
        </w:rPr>
        <w:t>2</w:t>
      </w:r>
      <w:r>
        <w:rPr>
          <w:spacing w:val="-4"/>
        </w:rPr>
        <w:t>）公司要求万豪投资就限期解决违规占用资金问题制定还款计划并出具书面承诺。万豪投资承诺，将通过资产处置、</w:t>
      </w:r>
      <w:r>
        <w:rPr/>
        <w:t> </w:t>
      </w:r>
      <w:r>
        <w:rPr>
          <w:spacing w:val="-2"/>
        </w:rPr>
        <w:t>引入战略合作方等方式积极筹措资金用于返还占用资金，也将尽最大努力敦促其合作方尽快返还占用资金，具体的返还计划</w:t>
      </w:r>
      <w:r>
        <w:rPr>
          <w:spacing w:val="-64"/>
        </w:rPr>
        <w:t> </w:t>
      </w:r>
      <w:r>
        <w:rPr>
          <w:spacing w:val="-64"/>
        </w:rPr>
      </w:r>
      <w:r>
        <w:rPr/>
        <w:t>为：</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w:t>
      </w:r>
      <w:r>
        <w:rPr>
          <w:spacing w:val="-41"/>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月</w:t>
      </w:r>
      <w:r>
        <w:rPr>
          <w:spacing w:val="-41"/>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日前返还占用资金不低于</w:t>
      </w:r>
      <w:r>
        <w:rPr>
          <w:spacing w:val="-41"/>
        </w:rPr>
        <w:t> </w:t>
      </w:r>
      <w:r>
        <w:rPr>
          <w:rFonts w:ascii="Times New Roman" w:hAnsi="Times New Roman" w:cs="Times New Roman" w:eastAsia="Times New Roman" w:hint="default"/>
        </w:rPr>
        <w:t>1.5</w:t>
      </w:r>
      <w:r>
        <w:rPr>
          <w:rFonts w:ascii="Times New Roman" w:hAnsi="Times New Roman" w:cs="Times New Roman" w:eastAsia="Times New Roman" w:hint="default"/>
          <w:spacing w:val="5"/>
        </w:rPr>
        <w:t> </w:t>
      </w:r>
      <w:r>
        <w:rPr/>
        <w:t>亿元，</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w:t>
      </w:r>
      <w:r>
        <w:rPr>
          <w:spacing w:val="-41"/>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5"/>
        </w:rPr>
        <w:t> </w:t>
      </w:r>
      <w:r>
        <w:rPr/>
        <w:t>月</w:t>
      </w:r>
      <w:r>
        <w:rPr>
          <w:spacing w:val="-41"/>
        </w:rPr>
        <w:t> </w:t>
      </w:r>
      <w:r>
        <w:rPr>
          <w:rFonts w:ascii="Times New Roman" w:hAnsi="Times New Roman" w:cs="Times New Roman" w:eastAsia="Times New Roman" w:hint="default"/>
        </w:rPr>
        <w:t>30</w:t>
      </w:r>
      <w:r>
        <w:rPr>
          <w:rFonts w:ascii="Times New Roman" w:hAnsi="Times New Roman" w:cs="Times New Roman" w:eastAsia="Times New Roman" w:hint="default"/>
          <w:spacing w:val="5"/>
        </w:rPr>
        <w:t> </w:t>
      </w:r>
      <w:r>
        <w:rPr/>
        <w:t>日前返还占用资金不低于</w:t>
      </w:r>
      <w:r>
        <w:rPr>
          <w:spacing w:val="-41"/>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亿元，</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w:t>
      </w:r>
      <w:r>
        <w:rPr>
          <w:spacing w:val="-4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p>
    <w:p>
      <w:pPr>
        <w:pStyle w:val="BodyText"/>
        <w:spacing w:line="240" w:lineRule="auto" w:before="5"/>
        <w:ind w:right="2602"/>
        <w:jc w:val="left"/>
      </w:pP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日前将占用资金全部返还。</w:t>
      </w:r>
    </w:p>
    <w:p>
      <w:pPr>
        <w:pStyle w:val="BodyText"/>
        <w:spacing w:line="300" w:lineRule="auto" w:before="101"/>
        <w:ind w:right="1132" w:firstLine="360"/>
        <w:jc w:val="both"/>
      </w:pPr>
      <w:r>
        <w:rPr>
          <w:spacing w:val="-5"/>
        </w:rPr>
        <w:t>（</w:t>
      </w:r>
      <w:r>
        <w:rPr>
          <w:rFonts w:ascii="Times New Roman" w:hAnsi="Times New Roman" w:cs="Times New Roman" w:eastAsia="Times New Roman" w:hint="default"/>
          <w:spacing w:val="-5"/>
        </w:rPr>
        <w:t>3</w:t>
      </w:r>
      <w:r>
        <w:rPr>
          <w:spacing w:val="-5"/>
        </w:rPr>
        <w:t>）公司分别于</w:t>
      </w:r>
      <w:r>
        <w:rPr>
          <w:spacing w:val="-5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月</w:t>
      </w:r>
      <w:r>
        <w:rPr>
          <w:spacing w:val="-49"/>
        </w:rPr>
        <w:t> </w:t>
      </w:r>
      <w:r>
        <w:rPr>
          <w:rFonts w:ascii="Times New Roman" w:hAnsi="Times New Roman" w:cs="Times New Roman" w:eastAsia="Times New Roman" w:hint="default"/>
        </w:rPr>
        <w:t>18</w:t>
      </w:r>
      <w:r>
        <w:rPr>
          <w:rFonts w:ascii="Times New Roman" w:hAnsi="Times New Roman" w:cs="Times New Roman" w:eastAsia="Times New Roman" w:hint="default"/>
          <w:spacing w:val="-4"/>
        </w:rPr>
        <w:t> </w:t>
      </w:r>
      <w:r>
        <w:rPr/>
        <w:t>日及</w:t>
      </w:r>
      <w:r>
        <w:rPr>
          <w:spacing w:val="-50"/>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4"/>
        </w:rPr>
        <w:t> </w:t>
      </w:r>
      <w:r>
        <w:rPr/>
        <w:t>月</w:t>
      </w:r>
      <w:r>
        <w:rPr>
          <w:spacing w:val="-51"/>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日要求万豪投资就上海证监局、深圳证券交易所相关问询函件涉及的问题 提供书面说明及证明材料。</w:t>
      </w:r>
    </w:p>
    <w:p>
      <w:pPr>
        <w:pStyle w:val="BodyText"/>
        <w:spacing w:line="240" w:lineRule="auto" w:before="72"/>
        <w:ind w:left="513" w:right="0"/>
        <w:jc w:val="left"/>
      </w:pPr>
      <w:r>
        <w:rPr/>
        <w:t>（</w:t>
      </w:r>
      <w:r>
        <w:rPr>
          <w:rFonts w:ascii="Times New Roman" w:hAnsi="Times New Roman" w:cs="Times New Roman" w:eastAsia="Times New Roman" w:hint="default"/>
          <w:spacing w:val="1"/>
        </w:rPr>
        <w:t>4</w:t>
      </w:r>
      <w:r>
        <w:rPr>
          <w:spacing w:val="-92"/>
        </w:rPr>
        <w:t>）</w:t>
      </w:r>
      <w:r>
        <w:rPr/>
        <w:t>公司分别于</w:t>
      </w:r>
      <w:r>
        <w:rPr>
          <w:spacing w:val="-55"/>
        </w:rPr>
        <w:t> </w:t>
      </w:r>
      <w:r>
        <w:rPr>
          <w:rFonts w:ascii="Times New Roman" w:hAnsi="Times New Roman" w:cs="Times New Roman" w:eastAsia="Times New Roman" w:hint="default"/>
          <w:spacing w:val="1"/>
        </w:rPr>
        <w:t>201</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年</w:t>
      </w:r>
      <w:r>
        <w:rPr>
          <w:spacing w:val="-54"/>
        </w:rPr>
        <w:t> </w:t>
      </w:r>
      <w:r>
        <w:rPr>
          <w:rFonts w:ascii="Times New Roman" w:hAnsi="Times New Roman" w:cs="Times New Roman" w:eastAsia="Times New Roman" w:hint="default"/>
          <w:spacing w:val="-2"/>
        </w:rPr>
        <w:t>1</w:t>
      </w:r>
      <w:r>
        <w:rPr>
          <w:rFonts w:ascii="Times New Roman" w:hAnsi="Times New Roman" w:cs="Times New Roman" w:eastAsia="Times New Roman" w:hint="default"/>
        </w:rPr>
        <w:t>0</w:t>
      </w:r>
      <w:r>
        <w:rPr>
          <w:rFonts w:ascii="Times New Roman" w:hAnsi="Times New Roman" w:cs="Times New Roman" w:eastAsia="Times New Roman" w:hint="default"/>
          <w:spacing w:val="-8"/>
        </w:rPr>
        <w:t> </w:t>
      </w:r>
      <w:r>
        <w:rPr/>
        <w:t>月</w:t>
      </w:r>
      <w:r>
        <w:rPr>
          <w:spacing w:val="-54"/>
        </w:rPr>
        <w:t> </w:t>
      </w:r>
      <w:r>
        <w:rPr>
          <w:rFonts w:ascii="Times New Roman" w:hAnsi="Times New Roman" w:cs="Times New Roman" w:eastAsia="Times New Roman" w:hint="default"/>
          <w:spacing w:val="-2"/>
        </w:rPr>
        <w:t>3</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日及</w:t>
      </w:r>
      <w:r>
        <w:rPr>
          <w:spacing w:val="-54"/>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2</w:t>
      </w:r>
      <w:r>
        <w:rPr>
          <w:rFonts w:ascii="Times New Roman" w:hAnsi="Times New Roman" w:cs="Times New Roman" w:eastAsia="Times New Roman" w:hint="default"/>
          <w:spacing w:val="-8"/>
        </w:rPr>
        <w:t> </w:t>
      </w:r>
      <w:r>
        <w:rPr/>
        <w:t>月</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8"/>
        </w:rPr>
        <w:t> </w:t>
      </w:r>
      <w:r>
        <w:rPr/>
        <w:t>日要求万豪投资就欠款归还的进展情况及已采取的相关措施出具告知函。</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513" w:right="2602"/>
        <w:jc w:val="left"/>
      </w:pPr>
      <w:r>
        <w:rPr>
          <w:rFonts w:ascii="Times New Roman" w:hAnsi="Times New Roman" w:cs="Times New Roman" w:eastAsia="Times New Roman" w:hint="default"/>
        </w:rPr>
        <w:t>3</w:t>
      </w:r>
      <w:r>
        <w:rPr/>
        <w:t>、非经营性占用资金的归还情况</w:t>
      </w:r>
    </w:p>
    <w:p>
      <w:pPr>
        <w:pStyle w:val="BodyText"/>
        <w:spacing w:line="240" w:lineRule="auto" w:before="104"/>
        <w:ind w:left="513" w:right="0"/>
        <w:jc w:val="left"/>
        <w:rPr>
          <w:rFonts w:ascii="Times New Roman" w:hAnsi="Times New Roman" w:cs="Times New Roman" w:eastAsia="Times New Roman" w:hint="default"/>
        </w:rPr>
      </w:pPr>
      <w:r>
        <w:rPr/>
        <w:t>原控股股东于</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spacing w:val="-2"/>
        </w:rPr>
        <w:t>1</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6 </w:t>
      </w:r>
      <w:r>
        <w:rPr/>
        <w:t>日</w:t>
      </w:r>
      <w:r>
        <w:rPr>
          <w:spacing w:val="-87"/>
        </w:rPr>
        <w:t>、</w:t>
      </w:r>
      <w:r>
        <w:rPr>
          <w:rFonts w:ascii="Times New Roman" w:hAnsi="Times New Roman" w:cs="Times New Roman" w:eastAsia="Times New Roman" w:hint="default"/>
          <w:spacing w:val="-2"/>
        </w:rPr>
        <w:t>1</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日分别归还占款</w:t>
      </w:r>
      <w:r>
        <w:rPr>
          <w:spacing w:val="-47"/>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0</w:t>
      </w:r>
      <w:r>
        <w:rPr>
          <w:rFonts w:ascii="Times New Roman" w:hAnsi="Times New Roman" w:cs="Times New Roman" w:eastAsia="Times New Roman" w:hint="default"/>
        </w:rPr>
        <w:t>0</w:t>
      </w:r>
      <w:r>
        <w:rPr>
          <w:rFonts w:ascii="Times New Roman" w:hAnsi="Times New Roman" w:cs="Times New Roman" w:eastAsia="Times New Roman" w:hint="default"/>
          <w:spacing w:val="2"/>
        </w:rPr>
        <w:t> </w:t>
      </w:r>
      <w:r>
        <w:rPr/>
        <w:t>万元</w:t>
      </w:r>
      <w:r>
        <w:rPr>
          <w:spacing w:val="-89"/>
        </w:rPr>
        <w:t>、</w:t>
      </w:r>
      <w:r>
        <w:rPr>
          <w:rFonts w:ascii="Times New Roman" w:hAnsi="Times New Roman" w:cs="Times New Roman" w:eastAsia="Times New Roman" w:hint="default"/>
          <w:spacing w:val="1"/>
        </w:rPr>
        <w:t>3</w:t>
      </w:r>
      <w:r>
        <w:rPr>
          <w:rFonts w:ascii="Times New Roman" w:hAnsi="Times New Roman" w:cs="Times New Roman" w:eastAsia="Times New Roman" w:hint="default"/>
          <w:spacing w:val="-2"/>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5</w:t>
      </w:r>
      <w:r>
        <w:rPr>
          <w:rFonts w:ascii="Times New Roman" w:hAnsi="Times New Roman" w:cs="Times New Roman" w:eastAsia="Times New Roman" w:hint="default"/>
        </w:rPr>
        <w:t>0</w:t>
      </w:r>
      <w:r>
        <w:rPr>
          <w:rFonts w:ascii="Times New Roman" w:hAnsi="Times New Roman" w:cs="Times New Roman" w:eastAsia="Times New Roman" w:hint="default"/>
          <w:spacing w:val="2"/>
        </w:rPr>
        <w:t> </w:t>
      </w:r>
      <w:r>
        <w:rPr/>
        <w:t>万</w:t>
      </w:r>
      <w:r>
        <w:rPr>
          <w:spacing w:val="-3"/>
        </w:rPr>
        <w:t>元</w:t>
      </w:r>
      <w:r>
        <w:rPr>
          <w:spacing w:val="-87"/>
        </w:rPr>
        <w:t>，</w:t>
      </w:r>
      <w:r>
        <w:rPr/>
        <w:t>合计</w:t>
      </w:r>
      <w:r>
        <w:rPr>
          <w:spacing w:val="-3"/>
        </w:rPr>
        <w:t>归</w:t>
      </w:r>
      <w:r>
        <w:rPr/>
        <w:t>还非经营性占用资金</w:t>
      </w:r>
      <w:r>
        <w:rPr>
          <w:spacing w:val="-44"/>
        </w:rPr>
        <w:t> </w:t>
      </w:r>
      <w:r>
        <w:rPr>
          <w:rFonts w:ascii="Times New Roman" w:hAnsi="Times New Roman" w:cs="Times New Roman" w:eastAsia="Times New Roman" w:hint="default"/>
          <w:spacing w:val="1"/>
        </w:rPr>
        <w:t>58</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5</w:t>
      </w:r>
      <w:r>
        <w:rPr>
          <w:rFonts w:ascii="Times New Roman" w:hAnsi="Times New Roman" w:cs="Times New Roman" w:eastAsia="Times New Roman" w:hint="default"/>
        </w:rPr>
        <w:t>0</w:t>
      </w:r>
    </w:p>
    <w:p>
      <w:pPr>
        <w:pStyle w:val="BodyText"/>
        <w:spacing w:line="338" w:lineRule="auto" w:before="63"/>
        <w:ind w:left="513" w:right="2074" w:hanging="361"/>
        <w:jc w:val="left"/>
      </w:pPr>
      <w:r>
        <w:rPr/>
        <w:t>万元。截至</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rPr>
        <w:t>12 </w:t>
      </w:r>
      <w:r>
        <w:rPr/>
        <w:t>月</w:t>
      </w:r>
      <w:r>
        <w:rPr>
          <w:spacing w:val="-48"/>
        </w:rPr>
        <w:t> </w:t>
      </w:r>
      <w:r>
        <w:rPr>
          <w:rFonts w:ascii="Times New Roman" w:hAnsi="Times New Roman" w:cs="Times New Roman" w:eastAsia="Times New Roman" w:hint="default"/>
        </w:rPr>
        <w:t>31 </w:t>
      </w:r>
      <w:r>
        <w:rPr/>
        <w:t>日，原控股股东非经营性占用资金已全部归还完毕，非经营性占用资金余额为</w:t>
      </w:r>
      <w:r>
        <w:rPr>
          <w:spacing w:val="-44"/>
        </w:rPr>
        <w:t> </w:t>
      </w:r>
      <w:r>
        <w:rPr>
          <w:rFonts w:ascii="Times New Roman" w:hAnsi="Times New Roman" w:cs="Times New Roman" w:eastAsia="Times New Roman" w:hint="default"/>
        </w:rPr>
        <w:t>0</w:t>
      </w:r>
      <w:r>
        <w:rPr/>
        <w:t>。 综上，经公司积极督促，原控股股东已于还款承诺最后期限届满前将占用资金全额归还。</w:t>
      </w:r>
    </w:p>
    <w:p>
      <w:pPr>
        <w:pStyle w:val="BodyText"/>
        <w:spacing w:line="240" w:lineRule="auto" w:before="43"/>
        <w:ind w:left="513" w:right="2602"/>
        <w:jc w:val="left"/>
      </w:pPr>
      <w:r>
        <w:rPr/>
        <w:t>（二）信息披露问题</w:t>
      </w:r>
    </w:p>
    <w:p>
      <w:pPr>
        <w:pStyle w:val="BodyText"/>
        <w:spacing w:line="240" w:lineRule="auto" w:before="117"/>
        <w:ind w:left="513" w:right="2602"/>
        <w:jc w:val="left"/>
      </w:pPr>
      <w:r>
        <w:rPr>
          <w:rFonts w:ascii="Times New Roman" w:hAnsi="Times New Roman" w:cs="Times New Roman" w:eastAsia="Times New Roman" w:hint="default"/>
        </w:rPr>
        <w:t>1</w:t>
      </w:r>
      <w:r>
        <w:rPr/>
        <w:t>、未及时披露原控股股东非经营性资金占用情况</w:t>
      </w:r>
    </w:p>
    <w:p>
      <w:pPr>
        <w:pStyle w:val="BodyText"/>
        <w:spacing w:line="240" w:lineRule="auto" w:before="101"/>
        <w:ind w:left="513" w:right="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1 </w:t>
      </w:r>
      <w:r>
        <w:rPr/>
        <w:t>月至</w:t>
      </w:r>
      <w:r>
        <w:rPr>
          <w:spacing w:val="-48"/>
        </w:rPr>
        <w:t> </w:t>
      </w:r>
      <w:r>
        <w:rPr>
          <w:rFonts w:ascii="Times New Roman" w:hAnsi="Times New Roman" w:cs="Times New Roman" w:eastAsia="Times New Roman" w:hint="default"/>
        </w:rPr>
        <w:t>3 </w:t>
      </w:r>
      <w:r>
        <w:rPr/>
        <w:t>月，公司原控股股东存在非经营性资金占用情况，公司未及时履行信息披露义务。</w:t>
      </w:r>
    </w:p>
    <w:p>
      <w:pPr>
        <w:pStyle w:val="BodyText"/>
        <w:spacing w:line="300" w:lineRule="auto" w:before="103"/>
        <w:ind w:right="1129" w:firstLine="360"/>
        <w:jc w:val="left"/>
      </w:pPr>
      <w:r>
        <w:rPr/>
        <w:t>公司于</w:t>
      </w:r>
      <w:r>
        <w:rPr>
          <w:spacing w:val="-4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w:t>
      </w:r>
      <w:r>
        <w:rPr>
          <w:spacing w:val="-40"/>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40"/>
        </w:rPr>
        <w:t> </w:t>
      </w:r>
      <w:r>
        <w:rPr>
          <w:rFonts w:ascii="Times New Roman" w:hAnsi="Times New Roman" w:cs="Times New Roman" w:eastAsia="Times New Roman" w:hint="default"/>
          <w:spacing w:val="-1"/>
        </w:rPr>
        <w:t>23</w:t>
      </w:r>
      <w:r>
        <w:rPr>
          <w:rFonts w:ascii="Times New Roman" w:hAnsi="Times New Roman" w:cs="Times New Roman" w:eastAsia="Times New Roman" w:hint="default"/>
          <w:spacing w:val="6"/>
        </w:rPr>
        <w:t> </w:t>
      </w:r>
      <w:r>
        <w:rPr>
          <w:spacing w:val="-3"/>
        </w:rPr>
        <w:t>日发布了《关于公司自查控股股东非经营性资金占用情况的提示性公告》，对万豪投资非经营性</w:t>
      </w:r>
      <w:r>
        <w:rPr/>
        <w:t> 资金占用事项予以了披露。</w:t>
      </w:r>
    </w:p>
    <w:p>
      <w:pPr>
        <w:pStyle w:val="BodyText"/>
        <w:spacing w:line="240" w:lineRule="auto" w:before="72"/>
        <w:ind w:left="513" w:right="2602"/>
        <w:jc w:val="left"/>
      </w:pPr>
      <w:r>
        <w:rPr>
          <w:rFonts w:ascii="Times New Roman" w:hAnsi="Times New Roman" w:cs="Times New Roman" w:eastAsia="Times New Roman" w:hint="default"/>
        </w:rPr>
        <w:t>2</w:t>
      </w:r>
      <w:r>
        <w:rPr/>
        <w:t>、未真实、准确披露</w:t>
      </w:r>
      <w:r>
        <w:rPr>
          <w:spacing w:val="-4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年第一季度财务报告</w:t>
      </w:r>
    </w:p>
    <w:p>
      <w:pPr>
        <w:pStyle w:val="BodyText"/>
        <w:spacing w:line="240" w:lineRule="auto" w:before="101"/>
        <w:ind w:left="513" w:right="0"/>
        <w:jc w:val="left"/>
      </w:pPr>
      <w:r>
        <w:rPr/>
        <w:t>公司未在</w:t>
      </w:r>
      <w:r>
        <w:rPr>
          <w:spacing w:val="-4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年第一季度财务报告中反映万豪投资非经营性资金占用事项，合并资产负债表其他应收款和短期借款同</w:t>
      </w:r>
    </w:p>
    <w:p>
      <w:pPr>
        <w:pStyle w:val="BodyText"/>
        <w:spacing w:line="240" w:lineRule="auto" w:before="63"/>
        <w:ind w:right="0"/>
        <w:jc w:val="both"/>
      </w:pPr>
      <w:r>
        <w:rPr/>
        <w:t>时少计</w:t>
      </w:r>
      <w:r>
        <w:rPr>
          <w:spacing w:val="-46"/>
        </w:rPr>
        <w:t> </w:t>
      </w:r>
      <w:r>
        <w:rPr>
          <w:rFonts w:ascii="Times New Roman" w:hAnsi="Times New Roman" w:cs="Times New Roman" w:eastAsia="Times New Roman" w:hint="default"/>
        </w:rPr>
        <w:t>5.805</w:t>
      </w:r>
      <w:r>
        <w:rPr>
          <w:rFonts w:ascii="Times New Roman" w:hAnsi="Times New Roman" w:cs="Times New Roman" w:eastAsia="Times New Roman" w:hint="default"/>
          <w:spacing w:val="-1"/>
        </w:rPr>
        <w:t> </w:t>
      </w:r>
      <w:r>
        <w:rPr/>
        <w:t>亿元；母公司资产负债表货币资金少计</w:t>
      </w:r>
      <w:r>
        <w:rPr>
          <w:spacing w:val="-46"/>
        </w:rPr>
        <w:t> </w:t>
      </w:r>
      <w:r>
        <w:rPr>
          <w:rFonts w:ascii="Times New Roman" w:hAnsi="Times New Roman" w:cs="Times New Roman" w:eastAsia="Times New Roman" w:hint="default"/>
        </w:rPr>
        <w:t>1.7</w:t>
      </w:r>
      <w:r>
        <w:rPr>
          <w:rFonts w:ascii="Times New Roman" w:hAnsi="Times New Roman" w:cs="Times New Roman" w:eastAsia="Times New Roman" w:hint="default"/>
          <w:spacing w:val="-1"/>
        </w:rPr>
        <w:t> </w:t>
      </w:r>
      <w:r>
        <w:rPr>
          <w:spacing w:val="-3"/>
        </w:rPr>
        <w:t>亿元，其他应收款少计</w:t>
      </w:r>
      <w:r>
        <w:rPr>
          <w:spacing w:val="-46"/>
        </w:rPr>
        <w:t> </w:t>
      </w:r>
      <w:r>
        <w:rPr>
          <w:rFonts w:ascii="Times New Roman" w:hAnsi="Times New Roman" w:cs="Times New Roman" w:eastAsia="Times New Roman" w:hint="default"/>
        </w:rPr>
        <w:t>4.105</w:t>
      </w:r>
      <w:r>
        <w:rPr>
          <w:rFonts w:ascii="Times New Roman" w:hAnsi="Times New Roman" w:cs="Times New Roman" w:eastAsia="Times New Roman" w:hint="default"/>
          <w:spacing w:val="-1"/>
        </w:rPr>
        <w:t> </w:t>
      </w:r>
      <w:r>
        <w:rPr>
          <w:spacing w:val="-3"/>
        </w:rPr>
        <w:t>亿元，短期借款少计</w:t>
      </w:r>
      <w:r>
        <w:rPr>
          <w:spacing w:val="-46"/>
        </w:rPr>
        <w:t> </w:t>
      </w:r>
      <w:r>
        <w:rPr>
          <w:rFonts w:ascii="Times New Roman" w:hAnsi="Times New Roman" w:cs="Times New Roman" w:eastAsia="Times New Roman" w:hint="default"/>
        </w:rPr>
        <w:t>5.805</w:t>
      </w:r>
      <w:r>
        <w:rPr>
          <w:rFonts w:ascii="Times New Roman" w:hAnsi="Times New Roman" w:cs="Times New Roman" w:eastAsia="Times New Roman" w:hint="default"/>
          <w:spacing w:val="-1"/>
        </w:rPr>
        <w:t> </w:t>
      </w:r>
      <w:r>
        <w:rPr>
          <w:spacing w:val="-5"/>
        </w:rPr>
        <w:t>亿元；合并</w:t>
      </w:r>
    </w:p>
    <w:p>
      <w:pPr>
        <w:pStyle w:val="BodyText"/>
        <w:spacing w:line="240" w:lineRule="auto" w:before="63"/>
        <w:ind w:right="0"/>
        <w:jc w:val="both"/>
      </w:pPr>
      <w:r>
        <w:rPr/>
        <w:t>现金流量表支付其他与经营活动有关的现金少计</w:t>
      </w:r>
      <w:r>
        <w:rPr>
          <w:spacing w:val="-44"/>
        </w:rPr>
        <w:t> </w:t>
      </w:r>
      <w:r>
        <w:rPr>
          <w:rFonts w:ascii="Times New Roman" w:hAnsi="Times New Roman" w:cs="Times New Roman" w:eastAsia="Times New Roman" w:hint="default"/>
        </w:rPr>
        <w:t>5.805</w:t>
      </w:r>
      <w:r>
        <w:rPr>
          <w:rFonts w:ascii="Times New Roman" w:hAnsi="Times New Roman" w:cs="Times New Roman" w:eastAsia="Times New Roman" w:hint="default"/>
          <w:spacing w:val="1"/>
        </w:rPr>
        <w:t> </w:t>
      </w:r>
      <w:r>
        <w:rPr/>
        <w:t>亿元，偿还债务支付的现金多计</w:t>
      </w:r>
      <w:r>
        <w:rPr>
          <w:spacing w:val="-45"/>
        </w:rPr>
        <w:t> </w:t>
      </w:r>
      <w:r>
        <w:rPr>
          <w:rFonts w:ascii="Times New Roman" w:hAnsi="Times New Roman" w:cs="Times New Roman" w:eastAsia="Times New Roman" w:hint="default"/>
        </w:rPr>
        <w:t>5.805</w:t>
      </w:r>
      <w:r>
        <w:rPr>
          <w:rFonts w:ascii="Times New Roman" w:hAnsi="Times New Roman" w:cs="Times New Roman" w:eastAsia="Times New Roman" w:hint="default"/>
          <w:spacing w:val="1"/>
        </w:rPr>
        <w:t> </w:t>
      </w:r>
      <w:r>
        <w:rPr/>
        <w:t>亿元；母公司现金流量表支付</w:t>
      </w:r>
    </w:p>
    <w:p>
      <w:pPr>
        <w:pStyle w:val="BodyText"/>
        <w:spacing w:line="300" w:lineRule="auto" w:before="63"/>
        <w:ind w:right="1128"/>
        <w:jc w:val="both"/>
      </w:pPr>
      <w:r>
        <w:rPr/>
        <w:t>其他与经营活动有关的现金少计</w:t>
      </w:r>
      <w:r>
        <w:rPr>
          <w:spacing w:val="-37"/>
        </w:rPr>
        <w:t> </w:t>
      </w:r>
      <w:r>
        <w:rPr>
          <w:rFonts w:ascii="Times New Roman" w:hAnsi="Times New Roman" w:cs="Times New Roman" w:eastAsia="Times New Roman" w:hint="default"/>
        </w:rPr>
        <w:t>4.105</w:t>
      </w:r>
      <w:r>
        <w:rPr>
          <w:rFonts w:ascii="Times New Roman" w:hAnsi="Times New Roman" w:cs="Times New Roman" w:eastAsia="Times New Roman" w:hint="default"/>
          <w:spacing w:val="10"/>
        </w:rPr>
        <w:t> </w:t>
      </w:r>
      <w:r>
        <w:rPr/>
        <w:t>亿元，偿还债务支付的现金多计</w:t>
      </w:r>
      <w:r>
        <w:rPr>
          <w:spacing w:val="-37"/>
        </w:rPr>
        <w:t> </w:t>
      </w:r>
      <w:r>
        <w:rPr>
          <w:rFonts w:ascii="Times New Roman" w:hAnsi="Times New Roman" w:cs="Times New Roman" w:eastAsia="Times New Roman" w:hint="default"/>
        </w:rPr>
        <w:t>5.805</w:t>
      </w:r>
      <w:r>
        <w:rPr>
          <w:rFonts w:ascii="Times New Roman" w:hAnsi="Times New Roman" w:cs="Times New Roman" w:eastAsia="Times New Roman" w:hint="default"/>
          <w:spacing w:val="9"/>
        </w:rPr>
        <w:t> </w:t>
      </w:r>
      <w:r>
        <w:rPr/>
        <w:t>亿元，期末现金及现金等价物余额少计</w:t>
      </w:r>
      <w:r>
        <w:rPr>
          <w:spacing w:val="-37"/>
        </w:rPr>
        <w:t> </w:t>
      </w:r>
      <w:r>
        <w:rPr>
          <w:rFonts w:ascii="Times New Roman" w:hAnsi="Times New Roman" w:cs="Times New Roman" w:eastAsia="Times New Roman" w:hint="default"/>
        </w:rPr>
        <w:t>1.7</w:t>
      </w:r>
      <w:r>
        <w:rPr>
          <w:rFonts w:ascii="Times New Roman" w:hAnsi="Times New Roman" w:cs="Times New Roman" w:eastAsia="Times New Roman" w:hint="default"/>
          <w:spacing w:val="9"/>
        </w:rPr>
        <w:t> </w:t>
      </w:r>
      <w:r>
        <w:rPr/>
        <w:t>亿 元，不符合《企业会计准则——基本准则》第十二条的规定。</w:t>
      </w:r>
    </w:p>
    <w:p>
      <w:pPr>
        <w:pStyle w:val="BodyText"/>
        <w:spacing w:line="240" w:lineRule="auto" w:before="72"/>
        <w:ind w:left="513" w:right="2602"/>
        <w:jc w:val="left"/>
      </w:pPr>
      <w:r>
        <w:rPr/>
        <w:t>公司于</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日发</w:t>
      </w:r>
      <w:r>
        <w:rPr>
          <w:spacing w:val="-3"/>
        </w:rPr>
        <w:t>布</w:t>
      </w:r>
      <w:r>
        <w:rPr/>
        <w:t>了《关于前期会计差错更正的公告</w:t>
      </w:r>
      <w:r>
        <w:rPr>
          <w:spacing w:val="-92"/>
        </w:rPr>
        <w:t>》</w:t>
      </w:r>
      <w:r>
        <w:rPr/>
        <w:t>，对上述事项予以了更</w:t>
      </w:r>
      <w:r>
        <w:rPr>
          <w:spacing w:val="2"/>
        </w:rPr>
        <w:t>正</w:t>
      </w:r>
      <w:r>
        <w:rPr/>
        <w:t>。</w:t>
      </w:r>
    </w:p>
    <w:p>
      <w:pPr>
        <w:pStyle w:val="BodyText"/>
        <w:spacing w:line="357" w:lineRule="auto" w:before="103"/>
        <w:ind w:left="513" w:right="0"/>
        <w:jc w:val="left"/>
      </w:pPr>
      <w:r>
        <w:rPr/>
        <w:t>（三）后续进一步整改措施 </w:t>
      </w:r>
      <w:r>
        <w:rPr>
          <w:spacing w:val="-2"/>
        </w:rPr>
        <w:t>在收到《决定书》后，公司组织现任董事、监事、高级管理人员进行学习及培训，学习及培训内容包括上市公司治理准</w:t>
      </w:r>
    </w:p>
    <w:p>
      <w:pPr>
        <w:pStyle w:val="BodyText"/>
        <w:spacing w:line="224" w:lineRule="exact"/>
        <w:ind w:right="0"/>
        <w:jc w:val="both"/>
      </w:pPr>
      <w:r>
        <w:rPr/>
        <w:t>则及相关证券法律法规。未来公司将至少每半年组织一次对公司董事、监事及高级管理人员关于上市公司规范运作的专项学</w:t>
      </w:r>
    </w:p>
    <w:p>
      <w:pPr>
        <w:pStyle w:val="BodyText"/>
        <w:spacing w:line="319" w:lineRule="auto" w:before="76"/>
        <w:ind w:right="1131"/>
        <w:jc w:val="both"/>
      </w:pPr>
      <w:r>
        <w:rPr>
          <w:spacing w:val="-8"/>
        </w:rPr>
        <w:t>习和培训。通过持续定期学习《证券法》、《关于规范上市公司与关联方资金往来及上市公司对外担保若干问题的通知》、《上</w:t>
      </w:r>
      <w:r>
        <w:rPr>
          <w:spacing w:val="-88"/>
        </w:rPr>
        <w:t> </w:t>
      </w:r>
      <w:r>
        <w:rPr>
          <w:spacing w:val="-88"/>
        </w:rPr>
      </w:r>
      <w:r>
        <w:rPr>
          <w:spacing w:val="-11"/>
        </w:rPr>
        <w:t>市公司治理准则》、《上市公司信息披露管理办法》、《深圳证券交易所创业板股票上市规则》、《深圳证券交易所创业板上市公</w:t>
      </w:r>
      <w:r>
        <w:rPr>
          <w:spacing w:val="-86"/>
        </w:rPr>
        <w:t> </w:t>
      </w:r>
      <w:r>
        <w:rPr>
          <w:spacing w:val="-86"/>
        </w:rPr>
      </w:r>
      <w:r>
        <w:rPr>
          <w:spacing w:val="-2"/>
        </w:rPr>
        <w:t>司规范运作指引》等法律、法规及规范性文件，不断加强上述人员的合规意识，责任意识和风险意识，提升公司规范运作水</w:t>
      </w:r>
      <w:r>
        <w:rPr>
          <w:spacing w:val="-66"/>
        </w:rPr>
        <w:t> </w:t>
      </w:r>
      <w:r>
        <w:rPr>
          <w:spacing w:val="-66"/>
        </w:rPr>
      </w:r>
      <w:r>
        <w:rPr/>
        <w:t>平。</w:t>
      </w:r>
    </w:p>
    <w:p>
      <w:pPr>
        <w:pStyle w:val="BodyText"/>
        <w:spacing w:line="316" w:lineRule="auto" w:before="58"/>
        <w:ind w:right="1131" w:firstLine="360"/>
        <w:jc w:val="both"/>
      </w:pPr>
      <w:r>
        <w:rPr>
          <w:spacing w:val="-2"/>
        </w:rPr>
        <w:t>今后，公司将在上海证监局、深圳证券交易所等有关部门的监督指导下，在广大投资者的共同关心支持下，深入学习相</w:t>
      </w:r>
      <w:r>
        <w:rPr/>
        <w:t> </w:t>
      </w:r>
      <w:r>
        <w:rPr>
          <w:spacing w:val="-2"/>
        </w:rPr>
        <w:t>关法律法规，严格监督执行公司的各项业务的合规性，强化公司内部控制治理，及时准确全面地做好信息披露工作，进一步</w:t>
      </w:r>
      <w:r>
        <w:rPr>
          <w:spacing w:val="-65"/>
        </w:rPr>
        <w:t> </w:t>
      </w:r>
      <w:r>
        <w:rPr>
          <w:spacing w:val="-65"/>
        </w:rPr>
      </w:r>
      <w:r>
        <w:rPr/>
        <w:t>提高公司质量，促进公司持续健康稳定地发展。</w:t>
      </w:r>
    </w:p>
    <w:p>
      <w:pPr>
        <w:pStyle w:val="BodyText"/>
        <w:spacing w:line="300" w:lineRule="auto" w:before="59"/>
        <w:ind w:right="1133" w:firstLine="360"/>
        <w:jc w:val="both"/>
      </w:pPr>
      <w:r>
        <w:rPr>
          <w:spacing w:val="-3"/>
        </w:rPr>
        <w:t>《关于上海证监局</w:t>
      </w:r>
      <w:r>
        <w:rPr>
          <w:rFonts w:ascii="Times New Roman" w:hAnsi="Times New Roman" w:cs="Times New Roman" w:eastAsia="Times New Roman" w:hint="default"/>
          <w:spacing w:val="-3"/>
        </w:rPr>
        <w:t>&lt;</w:t>
      </w:r>
      <w:r>
        <w:rPr>
          <w:spacing w:val="-3"/>
        </w:rPr>
        <w:t>行政监管措施决定书</w:t>
      </w:r>
      <w:r>
        <w:rPr>
          <w:rFonts w:ascii="Times New Roman" w:hAnsi="Times New Roman" w:cs="Times New Roman" w:eastAsia="Times New Roman" w:hint="default"/>
          <w:spacing w:val="-3"/>
        </w:rPr>
        <w:t>&gt;</w:t>
      </w:r>
      <w:r>
        <w:rPr>
          <w:spacing w:val="-3"/>
        </w:rPr>
        <w:t>涉及事项的整改报告》（公告编号</w:t>
      </w:r>
      <w:r>
        <w:rPr>
          <w:spacing w:val="-36"/>
        </w:rPr>
        <w:t> </w:t>
      </w:r>
      <w:r>
        <w:rPr>
          <w:rFonts w:ascii="Times New Roman" w:hAnsi="Times New Roman" w:cs="Times New Roman" w:eastAsia="Times New Roman" w:hint="default"/>
        </w:rPr>
        <w:t>2020-005</w:t>
      </w:r>
      <w:r>
        <w:rPr/>
        <w:t>）于</w:t>
      </w:r>
      <w:r>
        <w:rPr>
          <w:spacing w:val="-37"/>
        </w:rPr>
        <w:t> </w:t>
      </w:r>
      <w:r>
        <w:rPr>
          <w:rFonts w:ascii="Times New Roman" w:hAnsi="Times New Roman" w:cs="Times New Roman" w:eastAsia="Times New Roman" w:hint="default"/>
          <w:spacing w:val="-1"/>
        </w:rPr>
        <w:t>2020</w:t>
      </w:r>
      <w:r>
        <w:rPr>
          <w:rFonts w:ascii="Times New Roman" w:hAnsi="Times New Roman" w:cs="Times New Roman" w:eastAsia="Times New Roman" w:hint="default"/>
          <w:spacing w:val="10"/>
        </w:rPr>
        <w:t> </w:t>
      </w:r>
      <w:r>
        <w:rPr/>
        <w:t>年</w:t>
      </w:r>
      <w:r>
        <w:rPr>
          <w:spacing w:val="-37"/>
        </w:rPr>
        <w:t> </w:t>
      </w:r>
      <w:r>
        <w:rPr>
          <w:rFonts w:ascii="Times New Roman" w:hAnsi="Times New Roman" w:cs="Times New Roman" w:eastAsia="Times New Roman" w:hint="default"/>
        </w:rPr>
        <w:t>1</w:t>
      </w:r>
      <w:r>
        <w:rPr>
          <w:rFonts w:ascii="Times New Roman" w:hAnsi="Times New Roman" w:cs="Times New Roman" w:eastAsia="Times New Roman" w:hint="default"/>
          <w:spacing w:val="10"/>
        </w:rPr>
        <w:t> </w:t>
      </w:r>
      <w:r>
        <w:rPr/>
        <w:t>月</w:t>
      </w:r>
      <w:r>
        <w:rPr>
          <w:spacing w:val="-37"/>
        </w:rPr>
        <w:t> </w:t>
      </w:r>
      <w:r>
        <w:rPr>
          <w:rFonts w:ascii="Times New Roman" w:hAnsi="Times New Roman" w:cs="Times New Roman" w:eastAsia="Times New Roman" w:hint="default"/>
        </w:rPr>
        <w:t>4</w:t>
      </w:r>
      <w:r>
        <w:rPr>
          <w:rFonts w:ascii="Times New Roman" w:hAnsi="Times New Roman" w:cs="Times New Roman" w:eastAsia="Times New Roman" w:hint="default"/>
          <w:spacing w:val="10"/>
        </w:rPr>
        <w:t> </w:t>
      </w:r>
      <w:r>
        <w:rPr/>
        <w:t>日在证监会指 定信息露网站巨潮资讯网披露。</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4"/>
          <w:szCs w:val="14"/>
        </w:rPr>
      </w:pPr>
    </w:p>
    <w:p>
      <w:pPr>
        <w:pStyle w:val="BodyText"/>
        <w:spacing w:line="240" w:lineRule="auto"/>
        <w:ind w:right="2602"/>
        <w:jc w:val="left"/>
      </w:pPr>
      <w:r>
        <w:rPr/>
        <w:t>董事、监事、高级管理人员、持股</w:t>
      </w:r>
      <w:r>
        <w:rPr>
          <w:spacing w:val="-45"/>
        </w:rPr>
        <w:t> </w:t>
      </w:r>
      <w:r>
        <w:rPr>
          <w:rFonts w:ascii="Times New Roman" w:hAnsi="Times New Roman" w:cs="Times New Roman" w:eastAsia="Times New Roman" w:hint="default"/>
        </w:rPr>
        <w:t>5%</w:t>
      </w:r>
      <w:r>
        <w:rPr/>
        <w:t>以上的股东违规买卖公司股票情况</w:t>
      </w:r>
    </w:p>
    <w:p>
      <w:pPr>
        <w:pStyle w:val="BodyText"/>
        <w:spacing w:line="240" w:lineRule="auto" w:before="103"/>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2602"/>
        <w:jc w:val="left"/>
        <w:rPr>
          <w:b w:val="0"/>
          <w:bCs w:val="0"/>
        </w:rPr>
      </w:pPr>
      <w:bookmarkStart w:name="十三、公司及其控股股东、实际控制人的诚信状况" w:id="80"/>
      <w:bookmarkEnd w:id="80"/>
      <w:r>
        <w:rPr>
          <w:b w:val="0"/>
          <w:bCs w:val="0"/>
        </w:rPr>
      </w:r>
      <w:r>
        <w:rPr/>
        <w:t>十三、公司及其控股股东、实际控制人的诚信状况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14"/>
          <w:szCs w:val="14"/>
        </w:rPr>
      </w:pPr>
    </w:p>
    <w:p>
      <w:pPr>
        <w:pStyle w:val="BodyText"/>
        <w:spacing w:line="307" w:lineRule="auto"/>
        <w:ind w:right="1126" w:firstLine="360"/>
        <w:jc w:val="both"/>
      </w:pPr>
      <w:r>
        <w:rPr/>
        <w:t>公司于</w:t>
      </w:r>
      <w:r>
        <w:rPr>
          <w:spacing w:val="-34"/>
        </w:rPr>
        <w:t> </w:t>
      </w:r>
      <w:r>
        <w:rPr>
          <w:rFonts w:ascii="Times New Roman" w:hAnsi="Times New Roman" w:cs="Times New Roman" w:eastAsia="Times New Roman" w:hint="default"/>
          <w:spacing w:val="-1"/>
        </w:rPr>
        <w:t>2019</w:t>
      </w:r>
      <w:r>
        <w:rPr>
          <w:rFonts w:ascii="Times New Roman" w:hAnsi="Times New Roman" w:cs="Times New Roman" w:eastAsia="Times New Roman" w:hint="default"/>
          <w:spacing w:val="12"/>
        </w:rPr>
        <w:t> </w:t>
      </w:r>
      <w:r>
        <w:rPr/>
        <w:t>年</w:t>
      </w:r>
      <w:r>
        <w:rPr>
          <w:spacing w:val="-3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2"/>
        </w:rPr>
        <w:t> </w:t>
      </w:r>
      <w:r>
        <w:rPr/>
        <w:t>月</w:t>
      </w:r>
      <w:r>
        <w:rPr>
          <w:spacing w:val="-37"/>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spacing w:val="-5"/>
        </w:rPr>
        <w:t>日披露《关于法院受理公司第一大股东破产清算申请的公告》（公告编号：</w:t>
      </w:r>
      <w:r>
        <w:rPr>
          <w:rFonts w:ascii="Times New Roman" w:hAnsi="Times New Roman" w:cs="Times New Roman" w:eastAsia="Times New Roman" w:hint="default"/>
          <w:spacing w:val="-5"/>
        </w:rPr>
        <w:t>2019-148</w:t>
      </w:r>
      <w:r>
        <w:rPr>
          <w:spacing w:val="-5"/>
        </w:rPr>
        <w:t>），公司</w:t>
      </w:r>
      <w:r>
        <w:rPr>
          <w:spacing w:val="-37"/>
        </w:rPr>
        <w:t> </w:t>
      </w:r>
      <w:r>
        <w:rPr>
          <w:rFonts w:ascii="Times New Roman" w:hAnsi="Times New Roman" w:cs="Times New Roman" w:eastAsia="Times New Roman" w:hint="default"/>
          <w:spacing w:val="1"/>
        </w:rPr>
        <w:t>5% </w:t>
      </w:r>
      <w:r>
        <w:rPr>
          <w:spacing w:val="-2"/>
        </w:rPr>
        <w:t>以上股东（原第一大股东）上海万豪投资有限公司以不能清偿到期债务并且资产不足以清偿全部债务为由向上海铁路运输法</w:t>
      </w:r>
      <w:r>
        <w:rPr>
          <w:spacing w:val="-64"/>
        </w:rPr>
        <w:t> </w:t>
      </w:r>
      <w:r>
        <w:rPr>
          <w:spacing w:val="-64"/>
        </w:rPr>
      </w:r>
      <w:r>
        <w:rPr/>
        <w:t>院（以下简称</w:t>
      </w:r>
      <w:r>
        <w:rPr>
          <w:rFonts w:ascii="Times New Roman" w:hAnsi="Times New Roman" w:cs="Times New Roman" w:eastAsia="Times New Roman" w:hint="default"/>
        </w:rPr>
        <w:t>“</w:t>
      </w:r>
      <w:r>
        <w:rPr/>
        <w:t>法院</w:t>
      </w:r>
      <w:r>
        <w:rPr>
          <w:rFonts w:ascii="Times New Roman" w:hAnsi="Times New Roman" w:cs="Times New Roman" w:eastAsia="Times New Roman" w:hint="default"/>
        </w:rPr>
        <w:t>”</w:t>
      </w:r>
      <w:r>
        <w:rPr/>
        <w:t>）申请进行破产清算，法院于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28 </w:t>
      </w:r>
      <w:r>
        <w:rPr/>
        <w:t>日裁定受理万豪投资的破产清算申请。</w:t>
      </w:r>
    </w:p>
    <w:p>
      <w:pPr>
        <w:pStyle w:val="BodyText"/>
        <w:spacing w:line="240" w:lineRule="auto" w:before="48"/>
        <w:ind w:left="513" w:right="0"/>
        <w:jc w:val="left"/>
      </w:pPr>
      <w:r>
        <w:rPr/>
        <w:t>公司于</w:t>
      </w:r>
      <w:r>
        <w:rPr>
          <w:spacing w:val="-43"/>
        </w:rPr>
        <w:t> </w:t>
      </w:r>
      <w:r>
        <w:rPr>
          <w:rFonts w:ascii="Times New Roman" w:hAnsi="Times New Roman" w:cs="Times New Roman" w:eastAsia="Times New Roman" w:hint="default"/>
          <w:spacing w:val="1"/>
        </w:rPr>
        <w:t>201</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年</w:t>
      </w:r>
      <w:r>
        <w:rPr>
          <w:spacing w:val="-42"/>
        </w:rPr>
        <w:t> </w:t>
      </w:r>
      <w:r>
        <w:rPr>
          <w:rFonts w:ascii="Times New Roman" w:hAnsi="Times New Roman" w:cs="Times New Roman" w:eastAsia="Times New Roman" w:hint="default"/>
          <w:spacing w:val="-6"/>
        </w:rPr>
        <w:t>1</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42"/>
        </w:rPr>
        <w:t> </w:t>
      </w:r>
      <w:r>
        <w:rPr>
          <w:rFonts w:ascii="Times New Roman" w:hAnsi="Times New Roman" w:cs="Times New Roman" w:eastAsia="Times New Roman" w:hint="default"/>
          <w:spacing w:val="-6"/>
        </w:rPr>
        <w:t>1</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日披</w:t>
      </w:r>
      <w:r>
        <w:rPr>
          <w:spacing w:val="-3"/>
        </w:rPr>
        <w:t>露</w:t>
      </w:r>
      <w:r>
        <w:rPr/>
        <w:t>《关于公司</w:t>
      </w:r>
      <w:r>
        <w:rPr>
          <w:spacing w:val="-42"/>
        </w:rPr>
        <w:t> </w:t>
      </w:r>
      <w:r>
        <w:rPr>
          <w:rFonts w:ascii="Times New Roman" w:hAnsi="Times New Roman" w:cs="Times New Roman" w:eastAsia="Times New Roman" w:hint="default"/>
          <w:spacing w:val="1"/>
        </w:rPr>
        <w:t>5</w:t>
      </w:r>
      <w:r>
        <w:rPr>
          <w:rFonts w:ascii="Times New Roman" w:hAnsi="Times New Roman" w:cs="Times New Roman" w:eastAsia="Times New Roman" w:hint="default"/>
          <w:spacing w:val="-2"/>
        </w:rPr>
        <w:t>%</w:t>
      </w:r>
      <w:r>
        <w:rPr/>
        <w:t>以上股东破产清算进展的公告</w:t>
      </w:r>
      <w:r>
        <w:rPr>
          <w:spacing w:val="-92"/>
        </w:rPr>
        <w:t>》</w:t>
      </w:r>
      <w:r>
        <w:rPr/>
        <w:t>（公告编号：</w:t>
      </w:r>
      <w:r>
        <w:rPr>
          <w:rFonts w:ascii="Times New Roman" w:hAnsi="Times New Roman" w:cs="Times New Roman" w:eastAsia="Times New Roman" w:hint="default"/>
          <w:spacing w:val="1"/>
        </w:rPr>
        <w:t>2019</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5</w:t>
      </w:r>
      <w:r>
        <w:rPr>
          <w:rFonts w:ascii="Times New Roman" w:hAnsi="Times New Roman" w:cs="Times New Roman" w:eastAsia="Times New Roman" w:hint="default"/>
          <w:spacing w:val="1"/>
        </w:rPr>
        <w:t>3</w:t>
      </w:r>
      <w:r>
        <w:rPr>
          <w:spacing w:val="-92"/>
        </w:rPr>
        <w:t>）</w:t>
      </w:r>
      <w:r>
        <w:rPr/>
        <w:t>，法院于</w:t>
      </w:r>
      <w:r>
        <w:rPr>
          <w:spacing w:val="-42"/>
        </w:rPr>
        <w:t> </w:t>
      </w:r>
      <w:r>
        <w:rPr>
          <w:rFonts w:ascii="Times New Roman" w:hAnsi="Times New Roman" w:cs="Times New Roman" w:eastAsia="Times New Roman" w:hint="default"/>
          <w:spacing w:val="1"/>
        </w:rPr>
        <w:t>201</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年</w:t>
      </w:r>
    </w:p>
    <w:p>
      <w:pPr>
        <w:pStyle w:val="BodyText"/>
        <w:spacing w:line="240" w:lineRule="auto" w:before="63"/>
        <w:ind w:right="0"/>
        <w:jc w:val="left"/>
      </w:pP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w:t>
      </w:r>
      <w:r>
        <w:rPr>
          <w:spacing w:val="-52"/>
        </w:rPr>
        <w:t> </w:t>
      </w:r>
      <w:r>
        <w:rPr>
          <w:rFonts w:ascii="Times New Roman" w:hAnsi="Times New Roman" w:cs="Times New Roman" w:eastAsia="Times New Roman" w:hint="default"/>
        </w:rPr>
        <w:t>28</w:t>
      </w:r>
      <w:r>
        <w:rPr>
          <w:rFonts w:ascii="Times New Roman" w:hAnsi="Times New Roman" w:cs="Times New Roman" w:eastAsia="Times New Roman" w:hint="default"/>
          <w:spacing w:val="-4"/>
        </w:rPr>
        <w:t> </w:t>
      </w:r>
      <w:r>
        <w:rPr/>
        <w:t>日根据万豪投资的申请裁定受理万豪投资破产清算议案，并于</w:t>
      </w:r>
      <w:r>
        <w:rPr>
          <w:spacing w:val="-4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52"/>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6"/>
        </w:rPr>
        <w:t> </w:t>
      </w:r>
      <w:r>
        <w:rPr/>
        <w:t>月</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日指定上海市金茂律师事务所作为万</w:t>
      </w:r>
    </w:p>
    <w:p>
      <w:pPr>
        <w:pStyle w:val="BodyText"/>
        <w:spacing w:line="240" w:lineRule="auto" w:before="62"/>
        <w:ind w:right="2602"/>
        <w:jc w:val="left"/>
      </w:pPr>
      <w:r>
        <w:rPr/>
        <w:t>豪投资管理人。第一次债权人会议定于</w:t>
      </w:r>
      <w:r>
        <w:rPr>
          <w:spacing w:val="-45"/>
        </w:rPr>
        <w:t> </w:t>
      </w:r>
      <w:r>
        <w:rPr>
          <w:rFonts w:ascii="Times New Roman" w:hAnsi="Times New Roman" w:cs="Times New Roman" w:eastAsia="Times New Roman" w:hint="default"/>
        </w:rPr>
        <w:t>2020</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月</w:t>
      </w:r>
      <w:r>
        <w:rPr>
          <w:spacing w:val="-46"/>
        </w:rPr>
        <w:t> </w:t>
      </w:r>
      <w:r>
        <w:rPr>
          <w:rFonts w:ascii="Times New Roman" w:hAnsi="Times New Roman" w:cs="Times New Roman" w:eastAsia="Times New Roman" w:hint="default"/>
        </w:rPr>
        <w:t>13 </w:t>
      </w:r>
      <w:r>
        <w:rPr/>
        <w:t>日</w:t>
      </w:r>
      <w:r>
        <w:rPr>
          <w:spacing w:val="-48"/>
        </w:rPr>
        <w:t> </w:t>
      </w:r>
      <w:r>
        <w:rPr>
          <w:rFonts w:ascii="Times New Roman" w:hAnsi="Times New Roman" w:cs="Times New Roman" w:eastAsia="Times New Roman" w:hint="default"/>
        </w:rPr>
        <w:t>14</w:t>
      </w:r>
      <w:r>
        <w:rPr>
          <w:rFonts w:ascii="Times New Roman" w:hAnsi="Times New Roman" w:cs="Times New Roman" w:eastAsia="Times New Roman" w:hint="default"/>
          <w:spacing w:val="-2"/>
        </w:rPr>
        <w:t> </w:t>
      </w:r>
      <w:r>
        <w:rPr/>
        <w:t>时在上海铁路运输法院召开。</w:t>
      </w:r>
    </w:p>
    <w:p>
      <w:pPr>
        <w:pStyle w:val="BodyText"/>
        <w:spacing w:line="240" w:lineRule="auto" w:before="101"/>
        <w:ind w:left="513" w:right="0"/>
        <w:jc w:val="left"/>
      </w:pPr>
      <w:r>
        <w:rPr/>
        <w:t>公司于</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日披</w:t>
      </w:r>
      <w:r>
        <w:rPr>
          <w:spacing w:val="-24"/>
        </w:rPr>
        <w:t>露</w:t>
      </w:r>
      <w:r>
        <w:rPr/>
        <w:t>《关于公司</w:t>
      </w:r>
      <w:r>
        <w:rPr>
          <w:spacing w:val="-44"/>
        </w:rPr>
        <w:t> </w:t>
      </w:r>
      <w:r>
        <w:rPr>
          <w:rFonts w:ascii="Times New Roman" w:hAnsi="Times New Roman" w:cs="Times New Roman" w:eastAsia="Times New Roman" w:hint="default"/>
          <w:spacing w:val="1"/>
        </w:rPr>
        <w:t>5</w:t>
      </w:r>
      <w:r>
        <w:rPr>
          <w:rFonts w:ascii="Times New Roman" w:hAnsi="Times New Roman" w:cs="Times New Roman" w:eastAsia="Times New Roman" w:hint="default"/>
          <w:spacing w:val="-2"/>
        </w:rPr>
        <w:t>%</w:t>
      </w:r>
      <w:r>
        <w:rPr/>
        <w:t>以上股东破产清算进展的公告</w:t>
      </w:r>
      <w:r>
        <w:rPr>
          <w:spacing w:val="-113"/>
        </w:rPr>
        <w:t>》</w:t>
      </w:r>
      <w:r>
        <w:rPr/>
        <w:t>（公告编</w:t>
      </w:r>
      <w:r>
        <w:rPr>
          <w:spacing w:val="2"/>
        </w:rPr>
        <w:t>号</w:t>
      </w:r>
      <w:r>
        <w:rPr>
          <w:spacing w:val="-21"/>
        </w:rPr>
        <w:t>：</w:t>
      </w:r>
      <w:r>
        <w:rPr>
          <w:rFonts w:ascii="Times New Roman" w:hAnsi="Times New Roman" w:cs="Times New Roman" w:eastAsia="Times New Roman" w:hint="default"/>
          <w:spacing w:val="1"/>
        </w:rPr>
        <w:t>2020</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1"/>
        </w:rPr>
        <w:t>5</w:t>
      </w:r>
      <w:r>
        <w:rPr>
          <w:spacing w:val="-92"/>
        </w:rPr>
        <w:t>）</w:t>
      </w:r>
      <w:r>
        <w:rPr>
          <w:spacing w:val="-22"/>
        </w:rPr>
        <w:t>，</w:t>
      </w:r>
      <w:r>
        <w:rPr/>
        <w:t>接公司</w:t>
      </w:r>
      <w:r>
        <w:rPr>
          <w:spacing w:val="-45"/>
        </w:rPr>
        <w:t> </w:t>
      </w:r>
      <w:r>
        <w:rPr>
          <w:rFonts w:ascii="Times New Roman" w:hAnsi="Times New Roman" w:cs="Times New Roman" w:eastAsia="Times New Roman" w:hint="default"/>
          <w:spacing w:val="1"/>
        </w:rPr>
        <w:t>5</w:t>
      </w:r>
      <w:r>
        <w:rPr>
          <w:rFonts w:ascii="Times New Roman" w:hAnsi="Times New Roman" w:cs="Times New Roman" w:eastAsia="Times New Roman" w:hint="default"/>
          <w:spacing w:val="-2"/>
        </w:rPr>
        <w:t>%</w:t>
      </w:r>
      <w:r>
        <w:rPr/>
        <w:t>以上股</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0"/>
        <w:jc w:val="left"/>
        <w:rPr>
          <w:rFonts w:ascii="Times New Roman" w:hAnsi="Times New Roman" w:cs="Times New Roman" w:eastAsia="Times New Roman" w:hint="default"/>
        </w:rPr>
      </w:pPr>
      <w:r>
        <w:rPr/>
        <w:t>东万豪投资管理人上海市金茂律师事务所发来的上海铁路运输法</w:t>
      </w:r>
      <w:r>
        <w:rPr>
          <w:spacing w:val="-10"/>
        </w:rPr>
        <w:t>院</w:t>
      </w:r>
      <w:r>
        <w:rPr>
          <w:spacing w:val="1"/>
        </w:rPr>
        <w:t>（</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spacing w:val="1"/>
        </w:rPr>
        <w:t>9</w:t>
      </w:r>
      <w:r>
        <w:rPr>
          <w:spacing w:val="-10"/>
        </w:rPr>
        <w:t>）</w:t>
      </w:r>
      <w:r>
        <w:rPr/>
        <w:t>沪</w:t>
      </w:r>
      <w:r>
        <w:rPr>
          <w:spacing w:val="-45"/>
        </w:rPr>
        <w:t> </w:t>
      </w:r>
      <w:r>
        <w:rPr>
          <w:rFonts w:ascii="Times New Roman" w:hAnsi="Times New Roman" w:cs="Times New Roman" w:eastAsia="Times New Roman" w:hint="default"/>
          <w:spacing w:val="-2"/>
        </w:rPr>
        <w:t>7</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0</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破</w:t>
      </w:r>
      <w:r>
        <w:rPr>
          <w:spacing w:val="-47"/>
        </w:rPr>
        <w:t> </w:t>
      </w:r>
      <w:r>
        <w:rPr>
          <w:rFonts w:ascii="Times New Roman" w:hAnsi="Times New Roman" w:cs="Times New Roman" w:eastAsia="Times New Roman" w:hint="default"/>
          <w:spacing w:val="-2"/>
        </w:rPr>
        <w:t>7</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号之</w:t>
      </w:r>
      <w:r>
        <w:rPr>
          <w:spacing w:val="-10"/>
        </w:rPr>
        <w:t>二</w:t>
      </w:r>
      <w:r>
        <w:rPr/>
        <w:t>《公告</w:t>
      </w:r>
      <w:r>
        <w:rPr>
          <w:spacing w:val="-92"/>
        </w:rPr>
        <w:t>》</w:t>
      </w:r>
      <w:r>
        <w:rPr>
          <w:spacing w:val="-10"/>
        </w:rPr>
        <w:t>，</w:t>
      </w:r>
      <w:r>
        <w:rPr/>
        <w:t>原定于</w:t>
      </w:r>
      <w:r>
        <w:rPr>
          <w:spacing w:val="-44"/>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2</w:t>
      </w:r>
    </w:p>
    <w:p>
      <w:pPr>
        <w:pStyle w:val="BodyText"/>
        <w:spacing w:line="240" w:lineRule="auto" w:before="63"/>
        <w:ind w:right="0"/>
        <w:jc w:val="left"/>
        <w:rPr>
          <w:rFonts w:ascii="Times New Roman" w:hAnsi="Times New Roman" w:cs="Times New Roman" w:eastAsia="Times New Roman" w:hint="default"/>
        </w:rPr>
      </w:pPr>
      <w:r>
        <w:rPr/>
        <w:t>月</w:t>
      </w:r>
      <w:r>
        <w:rPr>
          <w:spacing w:val="-38"/>
        </w:rPr>
        <w:t> </w:t>
      </w:r>
      <w:r>
        <w:rPr>
          <w:rFonts w:ascii="Times New Roman" w:hAnsi="Times New Roman" w:cs="Times New Roman" w:eastAsia="Times New Roman" w:hint="default"/>
        </w:rPr>
        <w:t>13</w:t>
      </w:r>
      <w:r>
        <w:rPr>
          <w:rFonts w:ascii="Times New Roman" w:hAnsi="Times New Roman" w:cs="Times New Roman" w:eastAsia="Times New Roman" w:hint="default"/>
          <w:spacing w:val="8"/>
        </w:rPr>
        <w:t> </w:t>
      </w:r>
      <w:r>
        <w:rPr/>
        <w:t>日</w:t>
      </w:r>
      <w:r>
        <w:rPr>
          <w:spacing w:val="-41"/>
        </w:rPr>
        <w:t> </w:t>
      </w:r>
      <w:r>
        <w:rPr>
          <w:rFonts w:ascii="Times New Roman" w:hAnsi="Times New Roman" w:cs="Times New Roman" w:eastAsia="Times New Roman" w:hint="default"/>
        </w:rPr>
        <w:t>14</w:t>
      </w:r>
      <w:r>
        <w:rPr>
          <w:rFonts w:ascii="Times New Roman" w:hAnsi="Times New Roman" w:cs="Times New Roman" w:eastAsia="Times New Roman" w:hint="default"/>
          <w:spacing w:val="7"/>
        </w:rPr>
        <w:t> </w:t>
      </w:r>
      <w:r>
        <w:rPr/>
        <w:t>时在法院第十九法庭召开的第一次债权人会议因受到新型冠状病毒肺炎疫情影响而取消，法院决定于</w:t>
      </w:r>
      <w:r>
        <w:rPr>
          <w:spacing w:val="-38"/>
        </w:rPr>
        <w:t> </w:t>
      </w:r>
      <w:r>
        <w:rPr>
          <w:rFonts w:ascii="Times New Roman" w:hAnsi="Times New Roman" w:cs="Times New Roman" w:eastAsia="Times New Roman" w:hint="default"/>
        </w:rPr>
        <w:t>2020</w:t>
      </w:r>
      <w:r>
        <w:rPr>
          <w:rFonts w:ascii="Times New Roman" w:hAnsi="Times New Roman" w:cs="Times New Roman" w:eastAsia="Times New Roman" w:hint="default"/>
          <w:spacing w:val="5"/>
        </w:rPr>
        <w:t> </w:t>
      </w:r>
      <w:r>
        <w:rPr/>
        <w:t>年</w:t>
      </w:r>
      <w:r>
        <w:rPr>
          <w:spacing w:val="-39"/>
        </w:rPr>
        <w:t> </w:t>
      </w:r>
      <w:r>
        <w:rPr>
          <w:rFonts w:ascii="Times New Roman" w:hAnsi="Times New Roman" w:cs="Times New Roman" w:eastAsia="Times New Roman" w:hint="default"/>
        </w:rPr>
        <w:t>4</w:t>
      </w:r>
    </w:p>
    <w:p>
      <w:pPr>
        <w:pStyle w:val="BodyText"/>
        <w:spacing w:line="240" w:lineRule="auto" w:before="63"/>
        <w:ind w:right="2602"/>
        <w:jc w:val="left"/>
      </w:pPr>
      <w:r>
        <w:rPr/>
        <w:t>月</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日下午</w:t>
      </w:r>
      <w:r>
        <w:rPr>
          <w:spacing w:val="-47"/>
        </w:rPr>
        <w:t> </w:t>
      </w:r>
      <w:r>
        <w:rPr>
          <w:rFonts w:ascii="Times New Roman" w:hAnsi="Times New Roman" w:cs="Times New Roman" w:eastAsia="Times New Roman" w:hint="default"/>
        </w:rPr>
        <w:t>14</w:t>
      </w:r>
      <w:r>
        <w:rPr>
          <w:rFonts w:ascii="Times New Roman" w:hAnsi="Times New Roman" w:cs="Times New Roman" w:eastAsia="Times New Roman" w:hint="default"/>
          <w:spacing w:val="-1"/>
        </w:rPr>
        <w:t> </w:t>
      </w:r>
      <w:r>
        <w:rPr/>
        <w:t>时以网络会议方式召开万豪投资第一次债权人会议。</w:t>
      </w:r>
    </w:p>
    <w:p>
      <w:pPr>
        <w:pStyle w:val="BodyText"/>
        <w:spacing w:line="309" w:lineRule="auto" w:before="103"/>
        <w:ind w:right="1130" w:firstLine="360"/>
        <w:jc w:val="both"/>
      </w:pPr>
      <w:r>
        <w:rPr/>
        <w:t>万豪投资持有公司股份</w:t>
      </w:r>
      <w:r>
        <w:rPr>
          <w:spacing w:val="-64"/>
        </w:rPr>
        <w:t> </w:t>
      </w:r>
      <w:r>
        <w:rPr>
          <w:rFonts w:ascii="Times New Roman" w:hAnsi="Times New Roman" w:cs="Times New Roman" w:eastAsia="Times New Roman" w:hint="default"/>
        </w:rPr>
        <w:t>200,588,800</w:t>
      </w:r>
      <w:r>
        <w:rPr>
          <w:rFonts w:ascii="Times New Roman" w:hAnsi="Times New Roman" w:cs="Times New Roman" w:eastAsia="Times New Roman" w:hint="default"/>
          <w:spacing w:val="-17"/>
        </w:rPr>
        <w:t> </w:t>
      </w:r>
      <w:r>
        <w:rPr/>
        <w:t>股，占报告期末公司总股本比例为</w:t>
      </w:r>
      <w:r>
        <w:rPr>
          <w:spacing w:val="-63"/>
        </w:rPr>
        <w:t> </w:t>
      </w:r>
      <w:r>
        <w:rPr>
          <w:rFonts w:ascii="Times New Roman" w:hAnsi="Times New Roman" w:cs="Times New Roman" w:eastAsia="Times New Roman" w:hint="default"/>
        </w:rPr>
        <w:t>17.74%</w:t>
      </w:r>
      <w:r>
        <w:rPr/>
        <w:t>。公司现第一大股东为中国人寿保险股份 </w:t>
      </w:r>
      <w:r>
        <w:rPr>
          <w:spacing w:val="-2"/>
        </w:rPr>
        <w:t>有限公司及其一致行动人，万豪投资进入破产程序后，对公司的生产经营无直接影响。公司董事会将持续关注上述事项的进</w:t>
      </w:r>
      <w:r>
        <w:rPr>
          <w:spacing w:val="-63"/>
        </w:rPr>
        <w:t> </w:t>
      </w:r>
      <w:r>
        <w:rPr>
          <w:spacing w:val="-63"/>
        </w:rPr>
      </w:r>
      <w:r>
        <w:rPr/>
        <w:t>展，并督促万豪投资管理人按照相关法律法规要求及时履行信息披露义务。</w:t>
      </w:r>
    </w:p>
    <w:p>
      <w:pPr>
        <w:spacing w:line="240" w:lineRule="auto" w:before="1"/>
        <w:rPr>
          <w:rFonts w:ascii="宋体" w:hAnsi="宋体" w:cs="宋体" w:eastAsia="宋体" w:hint="default"/>
          <w:sz w:val="21"/>
          <w:szCs w:val="21"/>
        </w:rPr>
      </w:pPr>
    </w:p>
    <w:p>
      <w:pPr>
        <w:pStyle w:val="Heading2"/>
        <w:spacing w:line="240" w:lineRule="auto"/>
        <w:ind w:right="2602"/>
        <w:jc w:val="left"/>
        <w:rPr>
          <w:b w:val="0"/>
          <w:bCs w:val="0"/>
        </w:rPr>
      </w:pPr>
      <w:bookmarkStart w:name="十四、公司股权激励计划、员工持股计划或其他员工激励措施的实施情况" w:id="81"/>
      <w:bookmarkEnd w:id="81"/>
      <w:r>
        <w:rPr>
          <w:b w:val="0"/>
          <w:bCs w:val="0"/>
        </w:rPr>
      </w:r>
      <w:r>
        <w:rPr/>
        <w:t>十四、公司股权激励计划、员工持股计划或其他员工激励措施的实施情况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23"/>
          <w:szCs w:val="23"/>
        </w:rPr>
      </w:pPr>
    </w:p>
    <w:p>
      <w:pPr>
        <w:pStyle w:val="BodyText"/>
        <w:spacing w:line="360" w:lineRule="auto"/>
        <w:ind w:left="513" w:right="6793"/>
        <w:jc w:val="left"/>
      </w:pPr>
      <w:r>
        <w:rPr/>
        <w:t>（一）第三期员工持股计划 报告期内，第三期员工持股计划尚在存续期。</w:t>
      </w:r>
    </w:p>
    <w:p>
      <w:pPr>
        <w:pStyle w:val="BodyText"/>
        <w:spacing w:line="240" w:lineRule="auto" w:before="27"/>
        <w:ind w:left="513" w:right="2602"/>
        <w:jc w:val="left"/>
      </w:pPr>
      <w:r>
        <w:rPr/>
        <w:t>（二）</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年股票期权激励计划</w:t>
      </w:r>
    </w:p>
    <w:p>
      <w:pPr>
        <w:pStyle w:val="BodyText"/>
        <w:spacing w:line="240" w:lineRule="auto" w:before="101"/>
        <w:ind w:left="513" w:right="0"/>
        <w:jc w:val="left"/>
      </w:pPr>
      <w:r>
        <w:rPr>
          <w:rFonts w:ascii="Times New Roman" w:hAnsi="Times New Roman" w:cs="Times New Roman" w:eastAsia="Times New Roman" w:hint="default"/>
          <w:spacing w:val="1"/>
        </w:rPr>
        <w:t>1</w:t>
      </w:r>
      <w:r>
        <w:rPr>
          <w:spacing w:val="-72"/>
        </w:rPr>
        <w:t>、</w:t>
      </w:r>
      <w:r>
        <w:rPr>
          <w:rFonts w:ascii="Times New Roman" w:hAnsi="Times New Roman" w:cs="Times New Roman" w:eastAsia="Times New Roman" w:hint="default"/>
          <w:spacing w:val="-2"/>
        </w:rPr>
        <w:t>2</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日</w:t>
      </w:r>
      <w:r>
        <w:rPr>
          <w:spacing w:val="-72"/>
        </w:rPr>
        <w:t>，</w:t>
      </w:r>
      <w:r>
        <w:rPr/>
        <w:t>公司第</w:t>
      </w:r>
      <w:r>
        <w:rPr>
          <w:spacing w:val="-3"/>
        </w:rPr>
        <w:t>六</w:t>
      </w:r>
      <w:r>
        <w:rPr/>
        <w:t>届董事会</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年第五次临时</w:t>
      </w:r>
      <w:r>
        <w:rPr>
          <w:spacing w:val="-3"/>
        </w:rPr>
        <w:t>会</w:t>
      </w:r>
      <w:r>
        <w:rPr/>
        <w:t>议和第六届监事会</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年第</w:t>
      </w:r>
      <w:r>
        <w:rPr>
          <w:spacing w:val="-3"/>
        </w:rPr>
        <w:t>一</w:t>
      </w:r>
      <w:r>
        <w:rPr/>
        <w:t>次临时会议审议通过</w:t>
      </w:r>
      <w:r>
        <w:rPr>
          <w:spacing w:val="-72"/>
        </w:rPr>
        <w:t>了</w:t>
      </w:r>
      <w:r>
        <w:rPr/>
        <w:t>《关</w:t>
      </w:r>
    </w:p>
    <w:p>
      <w:pPr>
        <w:pStyle w:val="BodyText"/>
        <w:spacing w:line="309" w:lineRule="auto" w:before="63"/>
        <w:ind w:right="1034"/>
        <w:jc w:val="left"/>
      </w:pPr>
      <w:r>
        <w:rPr/>
        <w:t>于向激励对象授予</w:t>
      </w:r>
      <w:r>
        <w:rPr>
          <w:spacing w:val="-4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spacing w:val="-4"/>
        </w:rPr>
        <w:t>年股票期权激励计划预留部分股票期权的议案》。董事会同意授予</w:t>
      </w:r>
      <w:r>
        <w:rPr>
          <w:spacing w:val="-41"/>
        </w:rPr>
        <w:t> </w:t>
      </w:r>
      <w:r>
        <w:rPr>
          <w:rFonts w:ascii="Times New Roman" w:hAnsi="Times New Roman" w:cs="Times New Roman" w:eastAsia="Times New Roman" w:hint="default"/>
        </w:rPr>
        <w:t>30</w:t>
      </w:r>
      <w:r>
        <w:rPr>
          <w:rFonts w:ascii="Times New Roman" w:hAnsi="Times New Roman" w:cs="Times New Roman" w:eastAsia="Times New Roman" w:hint="default"/>
          <w:spacing w:val="4"/>
        </w:rPr>
        <w:t> </w:t>
      </w:r>
      <w:r>
        <w:rPr/>
        <w:t>名激励对象</w:t>
      </w:r>
      <w:r>
        <w:rPr>
          <w:spacing w:val="-41"/>
        </w:rPr>
        <w:t> </w:t>
      </w:r>
      <w:r>
        <w:rPr>
          <w:rFonts w:ascii="Times New Roman" w:hAnsi="Times New Roman" w:cs="Times New Roman" w:eastAsia="Times New Roman" w:hint="default"/>
        </w:rPr>
        <w:t>300</w:t>
      </w:r>
      <w:r>
        <w:rPr>
          <w:rFonts w:ascii="Times New Roman" w:hAnsi="Times New Roman" w:cs="Times New Roman" w:eastAsia="Times New Roman" w:hint="default"/>
          <w:spacing w:val="4"/>
        </w:rPr>
        <w:t> </w:t>
      </w:r>
      <w:r>
        <w:rPr>
          <w:spacing w:val="-1"/>
        </w:rPr>
        <w:t>万份预留部分</w:t>
      </w:r>
      <w:r>
        <w:rPr>
          <w:spacing w:val="-83"/>
        </w:rPr>
        <w:t> </w:t>
      </w:r>
      <w:r>
        <w:rPr>
          <w:spacing w:val="-83"/>
        </w:rPr>
      </w:r>
      <w:r>
        <w:rPr>
          <w:spacing w:val="-4"/>
        </w:rPr>
        <w:t>股票期权。公司独立董事发表了同意的独立意见。监事会确认激励对象作为公司股票期权激励计划激励对象的主体资格合法、</w:t>
      </w:r>
      <w:r>
        <w:rPr>
          <w:spacing w:val="-44"/>
        </w:rPr>
        <w:t> </w:t>
      </w:r>
      <w:r>
        <w:rPr>
          <w:spacing w:val="-44"/>
        </w:rPr>
      </w:r>
      <w:r>
        <w:rPr/>
        <w:t>有效；公司</w:t>
      </w:r>
      <w:r>
        <w:rPr>
          <w:spacing w:val="-42"/>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年股票期权激励计划规定的预留授予条件已经成就，预留部分股票期权授予的激励对象不存在不能授予或</w:t>
      </w:r>
    </w:p>
    <w:p>
      <w:pPr>
        <w:pStyle w:val="BodyText"/>
        <w:spacing w:line="240" w:lineRule="auto" w:before="5"/>
        <w:ind w:right="0"/>
        <w:jc w:val="left"/>
      </w:pPr>
      <w:r>
        <w:rPr/>
        <w:t>者不得成为激励对象的情形，本次预留部分股票期权授予计划与已披露的《公司</w:t>
      </w:r>
      <w:r>
        <w:rPr>
          <w:spacing w:val="-4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年股票期权激励计划》不存在差异。</w:t>
      </w:r>
    </w:p>
    <w:p>
      <w:pPr>
        <w:pStyle w:val="BodyText"/>
        <w:spacing w:line="240" w:lineRule="auto" w:before="63"/>
        <w:ind w:right="0"/>
        <w:jc w:val="left"/>
      </w:pPr>
      <w:r>
        <w:rPr/>
        <w:t>同意以</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46"/>
        </w:rPr>
        <w:t> </w:t>
      </w:r>
      <w:r>
        <w:rPr>
          <w:rFonts w:ascii="Times New Roman" w:hAnsi="Times New Roman" w:cs="Times New Roman" w:eastAsia="Times New Roman" w:hint="default"/>
        </w:rPr>
        <w:t>8 </w:t>
      </w:r>
      <w:r>
        <w:rPr/>
        <w:t>日为授予日，授予</w:t>
      </w:r>
      <w:r>
        <w:rPr>
          <w:spacing w:val="-45"/>
        </w:rPr>
        <w:t> </w:t>
      </w:r>
      <w:r>
        <w:rPr>
          <w:rFonts w:ascii="Times New Roman" w:hAnsi="Times New Roman" w:cs="Times New Roman" w:eastAsia="Times New Roman" w:hint="default"/>
        </w:rPr>
        <w:t>30 </w:t>
      </w:r>
      <w:r>
        <w:rPr/>
        <w:t>名激励对象合计</w:t>
      </w:r>
      <w:r>
        <w:rPr>
          <w:spacing w:val="-46"/>
        </w:rPr>
        <w:t> </w:t>
      </w:r>
      <w:r>
        <w:rPr>
          <w:rFonts w:ascii="Times New Roman" w:hAnsi="Times New Roman" w:cs="Times New Roman" w:eastAsia="Times New Roman" w:hint="default"/>
        </w:rPr>
        <w:t>300 </w:t>
      </w:r>
      <w:r>
        <w:rPr/>
        <w:t>万份预留部分股票期权，行权价格为</w:t>
      </w:r>
      <w:r>
        <w:rPr>
          <w:spacing w:val="-45"/>
        </w:rPr>
        <w:t> </w:t>
      </w:r>
      <w:r>
        <w:rPr>
          <w:rFonts w:ascii="Times New Roman" w:hAnsi="Times New Roman" w:cs="Times New Roman" w:eastAsia="Times New Roman" w:hint="default"/>
        </w:rPr>
        <w:t>17.47</w:t>
      </w:r>
      <w:r>
        <w:rPr>
          <w:rFonts w:ascii="Times New Roman" w:hAnsi="Times New Roman" w:cs="Times New Roman" w:eastAsia="Times New Roman" w:hint="default"/>
          <w:spacing w:val="1"/>
        </w:rPr>
        <w:t> </w:t>
      </w:r>
      <w:r>
        <w:rPr/>
        <w:t>元。</w:t>
      </w:r>
    </w:p>
    <w:p>
      <w:pPr>
        <w:pStyle w:val="BodyText"/>
        <w:spacing w:line="240" w:lineRule="auto" w:before="103"/>
        <w:ind w:left="513" w:right="0"/>
        <w:jc w:val="left"/>
      </w:pPr>
      <w:r>
        <w:rPr/>
        <w:t>详细内容请见公司于</w:t>
      </w:r>
      <w:r>
        <w:rPr>
          <w:spacing w:val="-57"/>
        </w:rPr>
        <w:t> </w:t>
      </w:r>
      <w:r>
        <w:rPr>
          <w:rFonts w:ascii="Times New Roman" w:hAnsi="Times New Roman" w:cs="Times New Roman" w:eastAsia="Times New Roman" w:hint="default"/>
          <w:spacing w:val="1"/>
        </w:rPr>
        <w:t>201</w:t>
      </w:r>
      <w:r>
        <w:rPr>
          <w:rFonts w:ascii="Times New Roman" w:hAnsi="Times New Roman" w:cs="Times New Roman" w:eastAsia="Times New Roman" w:hint="default"/>
        </w:rPr>
        <w:t>9</w:t>
      </w:r>
      <w:r>
        <w:rPr>
          <w:rFonts w:ascii="Times New Roman" w:hAnsi="Times New Roman" w:cs="Times New Roman" w:eastAsia="Times New Roman" w:hint="default"/>
          <w:spacing w:val="-11"/>
        </w:rPr>
        <w:t> </w:t>
      </w:r>
      <w:r>
        <w:rPr/>
        <w:t>年</w:t>
      </w:r>
      <w:r>
        <w:rPr>
          <w:spacing w:val="-57"/>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w:t>
      </w:r>
      <w:r>
        <w:rPr>
          <w:spacing w:val="-57"/>
        </w:rPr>
        <w:t> </w:t>
      </w:r>
      <w:r>
        <w:rPr>
          <w:rFonts w:ascii="Times New Roman" w:hAnsi="Times New Roman" w:cs="Times New Roman" w:eastAsia="Times New Roman" w:hint="default"/>
        </w:rPr>
        <w:t>8</w:t>
      </w:r>
      <w:r>
        <w:rPr>
          <w:rFonts w:ascii="Times New Roman" w:hAnsi="Times New Roman" w:cs="Times New Roman" w:eastAsia="Times New Roman" w:hint="default"/>
          <w:spacing w:val="-11"/>
        </w:rPr>
        <w:t> </w:t>
      </w:r>
      <w:r>
        <w:rPr/>
        <w:t>日披露</w:t>
      </w:r>
      <w:r>
        <w:rPr>
          <w:spacing w:val="-92"/>
        </w:rPr>
        <w:t>的</w:t>
      </w:r>
      <w:r>
        <w:rPr/>
        <w:t>《关于向激励对</w:t>
      </w:r>
      <w:r>
        <w:rPr>
          <w:spacing w:val="2"/>
        </w:rPr>
        <w:t>象</w:t>
      </w:r>
      <w:r>
        <w:rPr/>
        <w:t>授予</w:t>
      </w:r>
      <w:r>
        <w:rPr>
          <w:spacing w:val="-56"/>
        </w:rPr>
        <w:t> </w:t>
      </w:r>
      <w:r>
        <w:rPr>
          <w:rFonts w:ascii="Times New Roman" w:hAnsi="Times New Roman" w:cs="Times New Roman" w:eastAsia="Times New Roman" w:hint="default"/>
          <w:spacing w:val="1"/>
        </w:rPr>
        <w:t>201</w:t>
      </w:r>
      <w:r>
        <w:rPr>
          <w:rFonts w:ascii="Times New Roman" w:hAnsi="Times New Roman" w:cs="Times New Roman" w:eastAsia="Times New Roman" w:hint="default"/>
        </w:rPr>
        <w:t>8</w:t>
      </w:r>
      <w:r>
        <w:rPr>
          <w:rFonts w:ascii="Times New Roman" w:hAnsi="Times New Roman" w:cs="Times New Roman" w:eastAsia="Times New Roman" w:hint="default"/>
          <w:spacing w:val="-11"/>
        </w:rPr>
        <w:t> </w:t>
      </w:r>
      <w:r>
        <w:rPr/>
        <w:t>年股票期权激励计</w:t>
      </w:r>
      <w:r>
        <w:rPr>
          <w:spacing w:val="-3"/>
        </w:rPr>
        <w:t>划</w:t>
      </w:r>
      <w:r>
        <w:rPr/>
        <w:t>预留部分股票期权的公告》</w:t>
      </w:r>
    </w:p>
    <w:p>
      <w:pPr>
        <w:pStyle w:val="BodyText"/>
        <w:spacing w:line="240" w:lineRule="auto" w:before="63"/>
        <w:ind w:right="2602"/>
        <w:jc w:val="left"/>
      </w:pPr>
      <w:r>
        <w:rPr/>
        <w:t>（公告编号：</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spacing w:val="1"/>
        </w:rPr>
        <w:t>9</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35</w:t>
      </w:r>
      <w:r>
        <w:rPr>
          <w:spacing w:val="-92"/>
        </w:rPr>
        <w:t>）。</w:t>
      </w:r>
      <w:r>
        <w:rPr/>
      </w:r>
    </w:p>
    <w:p>
      <w:pPr>
        <w:pStyle w:val="BodyText"/>
        <w:spacing w:line="240" w:lineRule="auto" w:before="103"/>
        <w:ind w:left="513" w:right="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w:t>
      </w:r>
      <w:r>
        <w:rPr>
          <w:spacing w:val="-41"/>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w:t>
      </w:r>
      <w:r>
        <w:rPr>
          <w:spacing w:val="-43"/>
        </w:rPr>
        <w:t> </w:t>
      </w:r>
      <w:r>
        <w:rPr>
          <w:rFonts w:ascii="Times New Roman" w:hAnsi="Times New Roman" w:cs="Times New Roman" w:eastAsia="Times New Roman" w:hint="default"/>
        </w:rPr>
        <w:t>24</w:t>
      </w:r>
      <w:r>
        <w:rPr>
          <w:rFonts w:ascii="Times New Roman" w:hAnsi="Times New Roman" w:cs="Times New Roman" w:eastAsia="Times New Roman" w:hint="default"/>
          <w:spacing w:val="5"/>
        </w:rPr>
        <w:t> </w:t>
      </w:r>
      <w:r>
        <w:rPr/>
        <w:t>日，公司第六届董事会</w:t>
      </w:r>
      <w:r>
        <w:rPr>
          <w:spacing w:val="-4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年第八次临时会议和第六届监事会</w:t>
      </w:r>
      <w:r>
        <w:rPr>
          <w:spacing w:val="-4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年第二次临时会议审议通过了</w:t>
      </w:r>
    </w:p>
    <w:p>
      <w:pPr>
        <w:pStyle w:val="BodyText"/>
        <w:spacing w:line="240" w:lineRule="auto" w:before="63"/>
        <w:ind w:right="0"/>
        <w:jc w:val="left"/>
      </w:pPr>
      <w:r>
        <w:rPr/>
        <w:t>《关于注销公司</w:t>
      </w:r>
      <w:r>
        <w:rPr>
          <w:spacing w:val="-42"/>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01</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年股票</w:t>
      </w:r>
      <w:r>
        <w:rPr>
          <w:spacing w:val="-3"/>
        </w:rPr>
        <w:t>期</w:t>
      </w:r>
      <w:r>
        <w:rPr/>
        <w:t>权激励计划首次授予第一个行权期未达行权条件对应股票期权的公告</w:t>
      </w:r>
      <w:r>
        <w:rPr>
          <w:spacing w:val="-92"/>
        </w:rPr>
        <w:t>》</w:t>
      </w:r>
      <w:r>
        <w:rPr/>
        <w:t>，因公司</w:t>
      </w:r>
      <w:r>
        <w:rPr>
          <w:spacing w:val="-41"/>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年</w:t>
      </w:r>
      <w:r>
        <w:rPr>
          <w:spacing w:val="-3"/>
        </w:rPr>
        <w:t>股</w:t>
      </w:r>
      <w:r>
        <w:rPr/>
        <w:t>票</w:t>
      </w:r>
    </w:p>
    <w:p>
      <w:pPr>
        <w:pStyle w:val="BodyText"/>
        <w:spacing w:line="240" w:lineRule="auto" w:before="63"/>
        <w:ind w:right="0"/>
        <w:jc w:val="left"/>
      </w:pPr>
      <w:r>
        <w:rPr/>
        <w:t>期权激励计划首次授予第一个行权期未达到行权条件，根据《公司</w:t>
      </w:r>
      <w:r>
        <w:rPr>
          <w:spacing w:val="-4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年股票期权激励计划》规定，公司拟注销本激励计</w:t>
      </w:r>
    </w:p>
    <w:p>
      <w:pPr>
        <w:pStyle w:val="BodyText"/>
        <w:spacing w:line="240" w:lineRule="auto" w:before="63"/>
        <w:ind w:right="0"/>
        <w:jc w:val="left"/>
      </w:pPr>
      <w:r>
        <w:rPr/>
        <w:t>划首次授予第一个行权期未达行权条件的股票期权</w:t>
      </w:r>
      <w:r>
        <w:rPr>
          <w:spacing w:val="-66"/>
        </w:rPr>
        <w:t> </w:t>
      </w:r>
      <w:r>
        <w:rPr>
          <w:rFonts w:ascii="Times New Roman" w:hAnsi="Times New Roman" w:cs="Times New Roman" w:eastAsia="Times New Roman" w:hint="default"/>
        </w:rPr>
        <w:t>1,400</w:t>
      </w:r>
      <w:r>
        <w:rPr>
          <w:rFonts w:ascii="Times New Roman" w:hAnsi="Times New Roman" w:cs="Times New Roman" w:eastAsia="Times New Roman" w:hint="default"/>
          <w:spacing w:val="-21"/>
        </w:rPr>
        <w:t> </w:t>
      </w:r>
      <w:r>
        <w:rPr/>
        <w:t>万份。本次注销完成后，本激励计划首次授予剩余股票期权数量为</w:t>
      </w:r>
    </w:p>
    <w:p>
      <w:pPr>
        <w:pStyle w:val="BodyText"/>
        <w:spacing w:line="300" w:lineRule="auto" w:before="63"/>
        <w:ind w:right="1117"/>
        <w:jc w:val="left"/>
      </w:pPr>
      <w:r>
        <w:rPr>
          <w:rFonts w:ascii="Times New Roman" w:hAnsi="Times New Roman" w:cs="Times New Roman" w:eastAsia="Times New Roman" w:hint="default"/>
        </w:rPr>
        <w:t>2,100</w:t>
      </w:r>
      <w:r>
        <w:rPr>
          <w:rFonts w:ascii="Times New Roman" w:hAnsi="Times New Roman" w:cs="Times New Roman" w:eastAsia="Times New Roman" w:hint="default"/>
          <w:spacing w:val="7"/>
        </w:rPr>
        <w:t> </w:t>
      </w:r>
      <w:r>
        <w:rPr/>
        <w:t>万份。公司独立董事发表了同意的独立意见。公司监事会发表了审核意见，本次注销不会对公司的财务状况和经营成 果产生重大影响，不存在损害公司及中小股东利益的情形，同意注销该部分股票期权。</w:t>
      </w:r>
    </w:p>
    <w:p>
      <w:pPr>
        <w:pStyle w:val="BodyText"/>
        <w:spacing w:line="300" w:lineRule="auto" w:before="70"/>
        <w:ind w:right="1134" w:firstLine="360"/>
        <w:jc w:val="both"/>
      </w:pPr>
      <w:r>
        <w:rPr/>
        <w:t>详细内容请见公司于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46"/>
        </w:rPr>
        <w:t> </w:t>
      </w:r>
      <w:r>
        <w:rPr>
          <w:rFonts w:ascii="Times New Roman" w:hAnsi="Times New Roman" w:cs="Times New Roman" w:eastAsia="Times New Roman" w:hint="default"/>
        </w:rPr>
        <w:t>24 </w:t>
      </w:r>
      <w:r>
        <w:rPr/>
        <w:t>日披露的《关于注销公司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年股票期权激励计划首次授予第一个行权期未达行 </w:t>
      </w:r>
      <w:r>
        <w:rPr>
          <w:spacing w:val="-10"/>
        </w:rPr>
        <w:t>权条件对应股票期权的公告》（公告编号：</w:t>
      </w:r>
      <w:r>
        <w:rPr>
          <w:rFonts w:ascii="Times New Roman" w:hAnsi="Times New Roman" w:cs="Times New Roman" w:eastAsia="Times New Roman" w:hint="default"/>
          <w:spacing w:val="-10"/>
        </w:rPr>
        <w:t>2019-057</w:t>
      </w:r>
      <w:r>
        <w:rPr>
          <w:spacing w:val="-10"/>
        </w:rPr>
        <w:t>）。</w:t>
      </w:r>
      <w:r>
        <w:rPr/>
      </w:r>
    </w:p>
    <w:p>
      <w:pPr>
        <w:pStyle w:val="BodyText"/>
        <w:spacing w:line="300" w:lineRule="auto" w:before="53"/>
        <w:ind w:right="1128" w:firstLine="36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8"/>
        </w:rPr>
        <w:t> </w:t>
      </w:r>
      <w:r>
        <w:rPr/>
        <w:t>年</w:t>
      </w:r>
      <w:r>
        <w:rPr>
          <w:spacing w:val="-39"/>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t>月</w:t>
      </w:r>
      <w:r>
        <w:rPr>
          <w:spacing w:val="-41"/>
        </w:rPr>
        <w:t> </w:t>
      </w:r>
      <w:r>
        <w:rPr>
          <w:rFonts w:ascii="Times New Roman" w:hAnsi="Times New Roman" w:cs="Times New Roman" w:eastAsia="Times New Roman" w:hint="default"/>
        </w:rPr>
        <w:t>7</w:t>
      </w:r>
      <w:r>
        <w:rPr>
          <w:rFonts w:ascii="Times New Roman" w:hAnsi="Times New Roman" w:cs="Times New Roman" w:eastAsia="Times New Roman" w:hint="default"/>
          <w:spacing w:val="8"/>
        </w:rPr>
        <w:t> </w:t>
      </w:r>
      <w:r>
        <w:rPr/>
        <w:t>日，经深圳证券交易所、中国证券登记结算有限责任公司深圳分公司审核确认，公司已完成</w:t>
      </w:r>
      <w:r>
        <w:rPr>
          <w:spacing w:val="-37"/>
        </w:rPr>
        <w:t> </w:t>
      </w:r>
      <w:r>
        <w:rPr>
          <w:rFonts w:ascii="Times New Roman" w:hAnsi="Times New Roman" w:cs="Times New Roman" w:eastAsia="Times New Roman" w:hint="default"/>
        </w:rPr>
        <w:t>2018</w:t>
      </w:r>
      <w:r>
        <w:rPr>
          <w:rFonts w:ascii="Times New Roman" w:hAnsi="Times New Roman" w:cs="Times New Roman" w:eastAsia="Times New Roman" w:hint="default"/>
          <w:spacing w:val="8"/>
        </w:rPr>
        <w:t> </w:t>
      </w:r>
      <w:r>
        <w:rPr/>
        <w:t>年 股票期权激励计划所涉预留授予</w:t>
      </w:r>
      <w:r>
        <w:rPr>
          <w:spacing w:val="-52"/>
        </w:rPr>
        <w:t> </w:t>
      </w:r>
      <w:r>
        <w:rPr>
          <w:rFonts w:ascii="Times New Roman" w:hAnsi="Times New Roman" w:cs="Times New Roman" w:eastAsia="Times New Roman" w:hint="default"/>
        </w:rPr>
        <w:t>300</w:t>
      </w:r>
      <w:r>
        <w:rPr>
          <w:rFonts w:ascii="Times New Roman" w:hAnsi="Times New Roman" w:cs="Times New Roman" w:eastAsia="Times New Roman" w:hint="default"/>
          <w:spacing w:val="-6"/>
        </w:rPr>
        <w:t> </w:t>
      </w:r>
      <w:r>
        <w:rPr/>
        <w:t>万份股票期权的登记工作，期权简称：万达</w:t>
      </w:r>
      <w:r>
        <w:rPr>
          <w:spacing w:val="-52"/>
        </w:rPr>
        <w:t> </w:t>
      </w:r>
      <w:r>
        <w:rPr>
          <w:rFonts w:ascii="Times New Roman" w:hAnsi="Times New Roman" w:cs="Times New Roman" w:eastAsia="Times New Roman" w:hint="default"/>
        </w:rPr>
        <w:t>JLC6</w:t>
      </w:r>
      <w:r>
        <w:rPr/>
        <w:t>，期权代码</w:t>
      </w:r>
      <w:r>
        <w:rPr>
          <w:spacing w:val="-52"/>
        </w:rPr>
        <w:t> </w:t>
      </w:r>
      <w:r>
        <w:rPr>
          <w:rFonts w:ascii="Times New Roman" w:hAnsi="Times New Roman" w:cs="Times New Roman" w:eastAsia="Times New Roman" w:hint="default"/>
        </w:rPr>
        <w:t>036350</w:t>
      </w:r>
      <w:r>
        <w:rPr/>
        <w:t>。预留授予股票期 权的各项事宜与前次董事会审议及公示情况一致。</w:t>
      </w:r>
    </w:p>
    <w:p>
      <w:pPr>
        <w:pStyle w:val="BodyText"/>
        <w:spacing w:line="300" w:lineRule="auto" w:before="72"/>
        <w:ind w:right="1134" w:firstLine="360"/>
        <w:jc w:val="both"/>
      </w:pPr>
      <w:r>
        <w:rPr/>
        <w:t>详细内容请见公司于</w:t>
      </w:r>
      <w:r>
        <w:rPr>
          <w:spacing w:val="-45"/>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日披露的《关于</w:t>
      </w:r>
      <w:r>
        <w:rPr>
          <w:spacing w:val="-45"/>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年</w:t>
      </w:r>
      <w:r>
        <w:rPr>
          <w:spacing w:val="-3"/>
        </w:rPr>
        <w:t>股</w:t>
      </w:r>
      <w:r>
        <w:rPr/>
        <w:t>票期权激励计划预留授予期权完成登记的公告</w:t>
      </w:r>
      <w:r>
        <w:rPr>
          <w:spacing w:val="-92"/>
        </w:rPr>
        <w:t>》</w:t>
      </w:r>
      <w:r>
        <w:rPr/>
        <w:t>（公告编</w:t>
      </w:r>
      <w:r>
        <w:rPr/>
        <w:t> 号：</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spacing w:val="1"/>
        </w:rPr>
        <w:t>9</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66</w:t>
      </w:r>
      <w:r>
        <w:rPr>
          <w:spacing w:val="-92"/>
        </w:rPr>
        <w:t>）。</w:t>
      </w:r>
      <w:r>
        <w:rPr/>
      </w:r>
    </w:p>
    <w:p>
      <w:pPr>
        <w:spacing w:line="240" w:lineRule="auto" w:before="2"/>
        <w:rPr>
          <w:rFonts w:ascii="宋体" w:hAnsi="宋体" w:cs="宋体" w:eastAsia="宋体" w:hint="default"/>
          <w:sz w:val="19"/>
          <w:szCs w:val="19"/>
        </w:rPr>
      </w:pPr>
    </w:p>
    <w:p>
      <w:pPr>
        <w:pStyle w:val="BodyText"/>
        <w:spacing w:line="240" w:lineRule="auto"/>
        <w:ind w:right="0"/>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2"/>
        <w:rPr>
          <w:rFonts w:ascii="宋体" w:hAnsi="宋体" w:cs="宋体" w:eastAsia="宋体" w:hint="default"/>
          <w:sz w:val="14"/>
          <w:szCs w:val="14"/>
        </w:rPr>
      </w:pPr>
    </w:p>
    <w:p>
      <w:pPr>
        <w:pStyle w:val="BodyText"/>
        <w:spacing w:line="297" w:lineRule="auto"/>
        <w:ind w:right="1131" w:firstLine="360"/>
        <w:jc w:val="both"/>
      </w:pPr>
      <w:r>
        <w:rPr/>
        <w:t>截至本报告期末，公司确认股权激励计划在本报告期内的股权激励成本共计</w:t>
      </w:r>
      <w:r>
        <w:rPr>
          <w:spacing w:val="-63"/>
        </w:rPr>
        <w:t> </w:t>
      </w:r>
      <w:r>
        <w:rPr>
          <w:rFonts w:ascii="Times New Roman" w:hAnsi="Times New Roman" w:cs="Times New Roman" w:eastAsia="Times New Roman" w:hint="default"/>
        </w:rPr>
        <w:t>52.83</w:t>
      </w:r>
      <w:r>
        <w:rPr>
          <w:rFonts w:ascii="Times New Roman" w:hAnsi="Times New Roman" w:cs="Times New Roman" w:eastAsia="Times New Roman" w:hint="default"/>
          <w:spacing w:val="-17"/>
        </w:rPr>
        <w:t> </w:t>
      </w:r>
      <w:r>
        <w:rPr/>
        <w:t>万元。本期核心技术人员的股权激励 费用占公司当期股权激励费用的比重为</w:t>
      </w:r>
      <w:r>
        <w:rPr>
          <w:spacing w:val="-43"/>
        </w:rPr>
        <w:t> </w:t>
      </w:r>
      <w:r>
        <w:rPr>
          <w:rFonts w:ascii="Times New Roman" w:hAnsi="Times New Roman" w:cs="Times New Roman" w:eastAsia="Times New Roman" w:hint="default"/>
        </w:rPr>
        <w:t>63.30%</w:t>
      </w:r>
      <w:r>
        <w:rPr/>
        <w:t>。</w:t>
      </w:r>
    </w:p>
    <w:p>
      <w:pPr>
        <w:spacing w:after="0" w:line="297" w:lineRule="auto"/>
        <w:jc w:val="both"/>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十五、重大关联交易" w:id="82"/>
      <w:bookmarkEnd w:id="82"/>
      <w:r>
        <w:rPr>
          <w:b w:val="0"/>
          <w:bCs w:val="0"/>
        </w:rPr>
      </w:r>
      <w:r>
        <w:rPr/>
        <w:t>十五、重大关联交易</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与日常经营相关的关联交易" w:id="83"/>
      <w:bookmarkEnd w:id="83"/>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994"/>
        <w:gridCol w:w="850"/>
        <w:gridCol w:w="853"/>
        <w:gridCol w:w="850"/>
        <w:gridCol w:w="566"/>
        <w:gridCol w:w="852"/>
        <w:gridCol w:w="850"/>
        <w:gridCol w:w="566"/>
        <w:gridCol w:w="708"/>
        <w:gridCol w:w="569"/>
        <w:gridCol w:w="567"/>
        <w:gridCol w:w="850"/>
        <w:gridCol w:w="283"/>
        <w:gridCol w:w="214"/>
      </w:tblGrid>
      <w:tr>
        <w:trPr>
          <w:trHeight w:val="1378"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关联交易方</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44"/>
              <w:ind w:left="240" w:right="62" w:hanging="180"/>
              <w:jc w:val="left"/>
              <w:rPr>
                <w:rFonts w:ascii="宋体" w:hAnsi="宋体" w:cs="宋体" w:eastAsia="宋体" w:hint="default"/>
                <w:sz w:val="18"/>
                <w:szCs w:val="18"/>
              </w:rPr>
            </w:pPr>
            <w:r>
              <w:rPr>
                <w:rFonts w:ascii="宋体" w:hAnsi="宋体" w:cs="宋体" w:eastAsia="宋体" w:hint="default"/>
                <w:sz w:val="18"/>
                <w:szCs w:val="18"/>
              </w:rPr>
              <w:t>关联交易 类型</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44"/>
              <w:ind w:left="240" w:right="59"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8"/>
              <w:ind w:left="98" w:right="96"/>
              <w:jc w:val="both"/>
              <w:rPr>
                <w:rFonts w:ascii="宋体" w:hAnsi="宋体" w:cs="宋体" w:eastAsia="宋体" w:hint="default"/>
                <w:sz w:val="18"/>
                <w:szCs w:val="18"/>
              </w:rPr>
            </w:pPr>
            <w:r>
              <w:rPr>
                <w:rFonts w:ascii="宋体" w:hAnsi="宋体" w:cs="宋体" w:eastAsia="宋体" w:hint="default"/>
                <w:sz w:val="18"/>
                <w:szCs w:val="18"/>
              </w:rPr>
              <w:t>关联 交易 定价 原则</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9" w:right="60" w:hanging="180"/>
              <w:jc w:val="left"/>
              <w:rPr>
                <w:rFonts w:ascii="宋体" w:hAnsi="宋体" w:cs="宋体" w:eastAsia="宋体" w:hint="default"/>
                <w:sz w:val="18"/>
                <w:szCs w:val="18"/>
              </w:rPr>
            </w:pPr>
            <w:r>
              <w:rPr>
                <w:rFonts w:ascii="宋体" w:hAnsi="宋体" w:cs="宋体" w:eastAsia="宋体" w:hint="default"/>
                <w:sz w:val="18"/>
                <w:szCs w:val="18"/>
              </w:rPr>
              <w:t>关联交易 价格</w:t>
            </w:r>
          </w:p>
          <w:p>
            <w:pPr>
              <w:pStyle w:val="TableParagraph"/>
              <w:spacing w:line="240" w:lineRule="auto" w:before="57"/>
              <w:ind w:left="59"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0" w:right="58" w:hanging="181"/>
              <w:jc w:val="left"/>
              <w:rPr>
                <w:rFonts w:ascii="宋体" w:hAnsi="宋体" w:cs="宋体" w:eastAsia="宋体" w:hint="default"/>
                <w:sz w:val="18"/>
                <w:szCs w:val="18"/>
              </w:rPr>
            </w:pPr>
            <w:r>
              <w:rPr>
                <w:rFonts w:ascii="宋体" w:hAnsi="宋体" w:cs="宋体" w:eastAsia="宋体" w:hint="default"/>
                <w:sz w:val="18"/>
                <w:szCs w:val="18"/>
              </w:rPr>
              <w:t>关联交易 金额</w:t>
            </w:r>
          </w:p>
          <w:p>
            <w:pPr>
              <w:pStyle w:val="TableParagraph"/>
              <w:spacing w:line="240" w:lineRule="auto" w:before="57"/>
              <w:ind w:left="59"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8"/>
              <w:ind w:left="9" w:right="5"/>
              <w:jc w:val="center"/>
              <w:rPr>
                <w:rFonts w:ascii="宋体" w:hAnsi="宋体" w:cs="宋体" w:eastAsia="宋体" w:hint="default"/>
                <w:sz w:val="18"/>
                <w:szCs w:val="18"/>
              </w:rPr>
            </w:pPr>
            <w:r>
              <w:rPr>
                <w:rFonts w:ascii="宋体" w:hAnsi="宋体" w:cs="宋体" w:eastAsia="宋体" w:hint="default"/>
                <w:sz w:val="18"/>
                <w:szCs w:val="18"/>
              </w:rPr>
              <w:t>占同类 交易金 额的比 例</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获批的 交易额 度</w:t>
            </w:r>
          </w:p>
          <w:p>
            <w:pPr>
              <w:pStyle w:val="TableParagraph"/>
              <w:spacing w:line="240" w:lineRule="auto" w:before="57"/>
              <w:ind w:left="23" w:right="-46"/>
              <w:jc w:val="center"/>
              <w:rPr>
                <w:rFonts w:ascii="宋体" w:hAnsi="宋体" w:cs="宋体" w:eastAsia="宋体" w:hint="default"/>
                <w:sz w:val="18"/>
                <w:szCs w:val="18"/>
              </w:rPr>
            </w:pPr>
            <w:r>
              <w:rPr>
                <w:rFonts w:ascii="宋体" w:hAnsi="宋体" w:cs="宋体" w:eastAsia="宋体" w:hint="default"/>
                <w:sz w:val="18"/>
                <w:szCs w:val="18"/>
              </w:rPr>
              <w:t>（万元）</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8"/>
              <w:ind w:left="98" w:right="98"/>
              <w:jc w:val="both"/>
              <w:rPr>
                <w:rFonts w:ascii="宋体" w:hAnsi="宋体" w:cs="宋体" w:eastAsia="宋体" w:hint="default"/>
                <w:sz w:val="18"/>
                <w:szCs w:val="18"/>
              </w:rPr>
            </w:pPr>
            <w:r>
              <w:rPr>
                <w:rFonts w:ascii="宋体" w:hAnsi="宋体" w:cs="宋体" w:eastAsia="宋体" w:hint="default"/>
                <w:sz w:val="18"/>
                <w:szCs w:val="18"/>
              </w:rPr>
              <w:t>是否 超过 获批 额度</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8"/>
              <w:ind w:left="98" w:right="96"/>
              <w:jc w:val="both"/>
              <w:rPr>
                <w:rFonts w:ascii="宋体" w:hAnsi="宋体" w:cs="宋体" w:eastAsia="宋体" w:hint="default"/>
                <w:sz w:val="18"/>
                <w:szCs w:val="18"/>
              </w:rPr>
            </w:pPr>
            <w:r>
              <w:rPr>
                <w:rFonts w:ascii="宋体" w:hAnsi="宋体" w:cs="宋体" w:eastAsia="宋体" w:hint="default"/>
                <w:sz w:val="18"/>
                <w:szCs w:val="18"/>
              </w:rPr>
              <w:t>关联 交易 结算 方式</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 w:right="59"/>
              <w:jc w:val="center"/>
              <w:rPr>
                <w:rFonts w:ascii="宋体" w:hAnsi="宋体" w:cs="宋体" w:eastAsia="宋体" w:hint="default"/>
                <w:sz w:val="18"/>
                <w:szCs w:val="18"/>
              </w:rPr>
            </w:pPr>
            <w:r>
              <w:rPr>
                <w:rFonts w:ascii="宋体" w:hAnsi="宋体" w:cs="宋体" w:eastAsia="宋体" w:hint="default"/>
                <w:sz w:val="18"/>
                <w:szCs w:val="18"/>
              </w:rPr>
              <w:t>可获得的 同类交易 市价</w:t>
            </w:r>
          </w:p>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8"/>
              <w:ind w:left="47" w:right="43"/>
              <w:jc w:val="both"/>
              <w:rPr>
                <w:rFonts w:ascii="宋体" w:hAnsi="宋体" w:cs="宋体" w:eastAsia="宋体" w:hint="default"/>
                <w:sz w:val="18"/>
                <w:szCs w:val="18"/>
              </w:rPr>
            </w:pPr>
            <w:r>
              <w:rPr>
                <w:rFonts w:ascii="宋体" w:hAnsi="宋体" w:cs="宋体" w:eastAsia="宋体" w:hint="default"/>
                <w:sz w:val="18"/>
                <w:szCs w:val="18"/>
              </w:rPr>
              <w:t>披 露 日 期</w:t>
            </w:r>
          </w:p>
        </w:tc>
        <w:tc>
          <w:tcPr>
            <w:tcW w:w="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8"/>
              <w:ind w:left="23" w:right="-1"/>
              <w:jc w:val="both"/>
              <w:rPr>
                <w:rFonts w:ascii="宋体" w:hAnsi="宋体" w:cs="宋体" w:eastAsia="宋体" w:hint="default"/>
                <w:sz w:val="18"/>
                <w:szCs w:val="18"/>
              </w:rPr>
            </w:pPr>
            <w:r>
              <w:rPr>
                <w:rFonts w:ascii="宋体" w:hAnsi="宋体" w:cs="宋体" w:eastAsia="宋体" w:hint="default"/>
                <w:sz w:val="18"/>
                <w:szCs w:val="18"/>
              </w:rPr>
              <w:t>披 露 索 引</w:t>
            </w: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长江联合金 融租赁有限 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95"/>
              <w:jc w:val="left"/>
              <w:rPr>
                <w:rFonts w:ascii="宋体" w:hAnsi="宋体" w:cs="宋体" w:eastAsia="宋体" w:hint="default"/>
                <w:sz w:val="18"/>
                <w:szCs w:val="18"/>
              </w:rPr>
            </w:pPr>
            <w:r>
              <w:rPr>
                <w:rFonts w:ascii="宋体" w:hAnsi="宋体" w:cs="宋体" w:eastAsia="宋体" w:hint="default"/>
                <w:sz w:val="18"/>
                <w:szCs w:val="18"/>
              </w:rPr>
              <w:t>公司参股 公司</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3" w:right="48"/>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w w:val="95"/>
                <w:sz w:val="18"/>
              </w:rPr>
              <w:t>1176.29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1176.29</w:t>
            </w:r>
          </w:p>
        </w:tc>
        <w:tc>
          <w:tcPr>
            <w:tcW w:w="566" w:type="dxa"/>
            <w:tcBorders>
              <w:top w:val="single" w:sz="8" w:space="0" w:color="D2D2D2"/>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1176.29</w:t>
            </w:r>
          </w:p>
        </w:tc>
        <w:tc>
          <w:tcPr>
            <w:tcW w:w="569" w:type="dxa"/>
            <w:tcBorders>
              <w:top w:val="single" w:sz="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w w:val="95"/>
                <w:sz w:val="18"/>
              </w:rPr>
              <w:t>1176.29</w:t>
            </w:r>
          </w:p>
        </w:tc>
        <w:tc>
          <w:tcPr>
            <w:tcW w:w="283" w:type="dxa"/>
            <w:tcBorders>
              <w:top w:val="single" w:sz="8" w:space="0" w:color="D2D2D2"/>
              <w:left w:val="single" w:sz="4" w:space="0" w:color="000000"/>
              <w:bottom w:val="single" w:sz="4" w:space="0" w:color="000000"/>
              <w:right w:val="single" w:sz="4" w:space="0" w:color="000000"/>
            </w:tcBorders>
          </w:tcPr>
          <w:p>
            <w:pPr/>
          </w:p>
        </w:tc>
        <w:tc>
          <w:tcPr>
            <w:tcW w:w="214" w:type="dxa"/>
            <w:tcBorders>
              <w:top w:val="single" w:sz="8" w:space="0" w:color="D2D2D2"/>
              <w:left w:val="single" w:sz="4" w:space="0" w:color="000000"/>
              <w:bottom w:val="single" w:sz="4" w:space="0" w:color="000000"/>
              <w:right w:val="single" w:sz="4" w:space="0" w:color="000000"/>
            </w:tcBorders>
          </w:tcPr>
          <w:p>
            <w:pP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上海全程玖 玖健康服务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97" w:lineRule="auto"/>
              <w:ind w:left="23" w:right="48"/>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97" w:lineRule="auto"/>
              <w:ind w:left="23" w:right="45"/>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183.96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183.96</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183.96</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183.96</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宁波市科技 园区明天医 网科技有限 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95"/>
              <w:jc w:val="both"/>
              <w:rPr>
                <w:rFonts w:ascii="宋体" w:hAnsi="宋体" w:cs="宋体" w:eastAsia="宋体" w:hint="default"/>
                <w:sz w:val="18"/>
                <w:szCs w:val="18"/>
              </w:rPr>
            </w:pPr>
            <w:r>
              <w:rPr>
                <w:rFonts w:ascii="宋体" w:hAnsi="宋体" w:cs="宋体" w:eastAsia="宋体" w:hint="default"/>
                <w:sz w:val="18"/>
                <w:szCs w:val="18"/>
              </w:rPr>
              <w:t>子公司法 人之关联 公司</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5"/>
              <w:ind w:left="23" w:right="48"/>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5"/>
              <w:ind w:left="23" w:right="45"/>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593.61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593.61</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593.61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593.61</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许晓荣</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95"/>
              <w:jc w:val="both"/>
              <w:rPr>
                <w:rFonts w:ascii="宋体" w:hAnsi="宋体" w:cs="宋体" w:eastAsia="宋体" w:hint="default"/>
                <w:sz w:val="18"/>
                <w:szCs w:val="18"/>
              </w:rPr>
            </w:pPr>
            <w:r>
              <w:rPr>
                <w:rFonts w:ascii="宋体" w:hAnsi="宋体" w:cs="宋体" w:eastAsia="宋体" w:hint="default"/>
                <w:sz w:val="18"/>
                <w:szCs w:val="18"/>
              </w:rPr>
              <w:t>子公司历 史股东及 高管</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97" w:lineRule="auto"/>
              <w:ind w:left="23" w:right="48"/>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64.51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64.51</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64.51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64.51</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中国人寿保 险股份有限 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公司股东</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3" w:right="48"/>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3" w:right="45"/>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70.46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70.46</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70.46</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70.46</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上海达保贵 生信息科技 股份有限公 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97" w:lineRule="auto" w:before="128"/>
              <w:ind w:left="23" w:right="48"/>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97" w:lineRule="auto" w:before="128"/>
              <w:ind w:left="23" w:right="45"/>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127.44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127.44</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127.44</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127.44</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宁波市科技 园区明天医 网科技有限 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95"/>
              <w:jc w:val="both"/>
              <w:rPr>
                <w:rFonts w:ascii="宋体" w:hAnsi="宋体" w:cs="宋体" w:eastAsia="宋体" w:hint="default"/>
                <w:sz w:val="18"/>
                <w:szCs w:val="18"/>
              </w:rPr>
            </w:pPr>
            <w:r>
              <w:rPr>
                <w:rFonts w:ascii="宋体" w:hAnsi="宋体" w:cs="宋体" w:eastAsia="宋体" w:hint="default"/>
                <w:sz w:val="18"/>
                <w:szCs w:val="18"/>
              </w:rPr>
              <w:t>子公司法 人之关联 公司</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5"/>
              <w:ind w:left="23" w:right="48"/>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5"/>
              <w:ind w:left="23" w:right="45"/>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18.1</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18.10</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上海万达健 青网络科技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97" w:lineRule="auto"/>
              <w:ind w:left="23" w:right="48"/>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97" w:lineRule="auto"/>
              <w:ind w:left="23" w:right="45"/>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39.11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39.11</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39.11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39.11</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成都天府市 民云服务有 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3" w:right="48"/>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3" w:right="45"/>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1502.63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1,502.63</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1,502.63</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1502.63</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0"/>
              <w:ind w:left="24" w:right="58"/>
              <w:jc w:val="left"/>
              <w:rPr>
                <w:rFonts w:ascii="宋体" w:hAnsi="宋体" w:cs="宋体" w:eastAsia="宋体" w:hint="default"/>
                <w:sz w:val="18"/>
                <w:szCs w:val="18"/>
              </w:rPr>
            </w:pPr>
            <w:r>
              <w:rPr>
                <w:rFonts w:ascii="宋体" w:hAnsi="宋体" w:cs="宋体" w:eastAsia="宋体" w:hint="default"/>
                <w:sz w:val="18"/>
                <w:szCs w:val="18"/>
              </w:rPr>
              <w:t>长沙市民云 信息服务有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3" w:right="48"/>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3" w:right="45"/>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80.19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80.19</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80.19</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80.19</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994"/>
        <w:gridCol w:w="850"/>
        <w:gridCol w:w="853"/>
        <w:gridCol w:w="850"/>
        <w:gridCol w:w="566"/>
        <w:gridCol w:w="852"/>
        <w:gridCol w:w="850"/>
        <w:gridCol w:w="566"/>
        <w:gridCol w:w="708"/>
        <w:gridCol w:w="569"/>
        <w:gridCol w:w="567"/>
        <w:gridCol w:w="850"/>
        <w:gridCol w:w="283"/>
        <w:gridCol w:w="214"/>
      </w:tblGrid>
      <w:tr>
        <w:trPr>
          <w:trHeight w:val="1378"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23"/>
                <w:szCs w:val="23"/>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关联交易方</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23"/>
                <w:szCs w:val="23"/>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45"/>
              <w:ind w:left="240" w:right="62" w:hanging="180"/>
              <w:jc w:val="left"/>
              <w:rPr>
                <w:rFonts w:ascii="宋体" w:hAnsi="宋体" w:cs="宋体" w:eastAsia="宋体" w:hint="default"/>
                <w:sz w:val="18"/>
                <w:szCs w:val="18"/>
              </w:rPr>
            </w:pPr>
            <w:r>
              <w:rPr>
                <w:rFonts w:ascii="宋体" w:hAnsi="宋体" w:cs="宋体" w:eastAsia="宋体" w:hint="default"/>
                <w:sz w:val="18"/>
                <w:szCs w:val="18"/>
              </w:rPr>
              <w:t>关联交易 类型</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45"/>
              <w:ind w:left="240" w:right="59"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8" w:right="96"/>
              <w:jc w:val="both"/>
              <w:rPr>
                <w:rFonts w:ascii="宋体" w:hAnsi="宋体" w:cs="宋体" w:eastAsia="宋体" w:hint="default"/>
                <w:sz w:val="18"/>
                <w:szCs w:val="18"/>
              </w:rPr>
            </w:pPr>
            <w:r>
              <w:rPr>
                <w:rFonts w:ascii="宋体" w:hAnsi="宋体" w:cs="宋体" w:eastAsia="宋体" w:hint="default"/>
                <w:sz w:val="18"/>
                <w:szCs w:val="18"/>
              </w:rPr>
              <w:t>关联 交易 定价 原则</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9" w:right="60" w:hanging="180"/>
              <w:jc w:val="left"/>
              <w:rPr>
                <w:rFonts w:ascii="宋体" w:hAnsi="宋体" w:cs="宋体" w:eastAsia="宋体" w:hint="default"/>
                <w:sz w:val="18"/>
                <w:szCs w:val="18"/>
              </w:rPr>
            </w:pPr>
            <w:r>
              <w:rPr>
                <w:rFonts w:ascii="宋体" w:hAnsi="宋体" w:cs="宋体" w:eastAsia="宋体" w:hint="default"/>
                <w:sz w:val="18"/>
                <w:szCs w:val="18"/>
              </w:rPr>
              <w:t>关联交易 价格</w:t>
            </w:r>
          </w:p>
          <w:p>
            <w:pPr>
              <w:pStyle w:val="TableParagraph"/>
              <w:spacing w:line="240" w:lineRule="auto" w:before="57"/>
              <w:ind w:left="59"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0" w:right="58" w:hanging="181"/>
              <w:jc w:val="left"/>
              <w:rPr>
                <w:rFonts w:ascii="宋体" w:hAnsi="宋体" w:cs="宋体" w:eastAsia="宋体" w:hint="default"/>
                <w:sz w:val="18"/>
                <w:szCs w:val="18"/>
              </w:rPr>
            </w:pPr>
            <w:r>
              <w:rPr>
                <w:rFonts w:ascii="宋体" w:hAnsi="宋体" w:cs="宋体" w:eastAsia="宋体" w:hint="default"/>
                <w:sz w:val="18"/>
                <w:szCs w:val="18"/>
              </w:rPr>
              <w:t>关联交易 金额</w:t>
            </w:r>
          </w:p>
          <w:p>
            <w:pPr>
              <w:pStyle w:val="TableParagraph"/>
              <w:spacing w:line="240" w:lineRule="auto" w:before="57"/>
              <w:ind w:left="59"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 w:right="5"/>
              <w:jc w:val="center"/>
              <w:rPr>
                <w:rFonts w:ascii="宋体" w:hAnsi="宋体" w:cs="宋体" w:eastAsia="宋体" w:hint="default"/>
                <w:sz w:val="18"/>
                <w:szCs w:val="18"/>
              </w:rPr>
            </w:pPr>
            <w:r>
              <w:rPr>
                <w:rFonts w:ascii="宋体" w:hAnsi="宋体" w:cs="宋体" w:eastAsia="宋体" w:hint="default"/>
                <w:sz w:val="18"/>
                <w:szCs w:val="18"/>
              </w:rPr>
              <w:t>占同类 交易金 额的比 例</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获批的 交易额 度</w:t>
            </w:r>
          </w:p>
          <w:p>
            <w:pPr>
              <w:pStyle w:val="TableParagraph"/>
              <w:spacing w:line="240" w:lineRule="auto" w:before="55"/>
              <w:ind w:left="23" w:right="-46"/>
              <w:jc w:val="center"/>
              <w:rPr>
                <w:rFonts w:ascii="宋体" w:hAnsi="宋体" w:cs="宋体" w:eastAsia="宋体" w:hint="default"/>
                <w:sz w:val="18"/>
                <w:szCs w:val="18"/>
              </w:rPr>
            </w:pPr>
            <w:r>
              <w:rPr>
                <w:rFonts w:ascii="宋体" w:hAnsi="宋体" w:cs="宋体" w:eastAsia="宋体" w:hint="default"/>
                <w:sz w:val="18"/>
                <w:szCs w:val="18"/>
              </w:rPr>
              <w:t>（万元）</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8" w:right="98"/>
              <w:jc w:val="both"/>
              <w:rPr>
                <w:rFonts w:ascii="宋体" w:hAnsi="宋体" w:cs="宋体" w:eastAsia="宋体" w:hint="default"/>
                <w:sz w:val="18"/>
                <w:szCs w:val="18"/>
              </w:rPr>
            </w:pPr>
            <w:r>
              <w:rPr>
                <w:rFonts w:ascii="宋体" w:hAnsi="宋体" w:cs="宋体" w:eastAsia="宋体" w:hint="default"/>
                <w:sz w:val="18"/>
                <w:szCs w:val="18"/>
              </w:rPr>
              <w:t>是否 超过 获批 额度</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8" w:right="96"/>
              <w:jc w:val="both"/>
              <w:rPr>
                <w:rFonts w:ascii="宋体" w:hAnsi="宋体" w:cs="宋体" w:eastAsia="宋体" w:hint="default"/>
                <w:sz w:val="18"/>
                <w:szCs w:val="18"/>
              </w:rPr>
            </w:pPr>
            <w:r>
              <w:rPr>
                <w:rFonts w:ascii="宋体" w:hAnsi="宋体" w:cs="宋体" w:eastAsia="宋体" w:hint="default"/>
                <w:sz w:val="18"/>
                <w:szCs w:val="18"/>
              </w:rPr>
              <w:t>关联 交易 结算 方式</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9" w:right="59"/>
              <w:jc w:val="center"/>
              <w:rPr>
                <w:rFonts w:ascii="宋体" w:hAnsi="宋体" w:cs="宋体" w:eastAsia="宋体" w:hint="default"/>
                <w:sz w:val="18"/>
                <w:szCs w:val="18"/>
              </w:rPr>
            </w:pPr>
            <w:r>
              <w:rPr>
                <w:rFonts w:ascii="宋体" w:hAnsi="宋体" w:cs="宋体" w:eastAsia="宋体" w:hint="default"/>
                <w:sz w:val="18"/>
                <w:szCs w:val="18"/>
              </w:rPr>
              <w:t>可获得的 同类交易 市价</w:t>
            </w:r>
          </w:p>
          <w:p>
            <w:pPr>
              <w:pStyle w:val="TableParagraph"/>
              <w:spacing w:line="240" w:lineRule="auto" w:before="55"/>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47" w:right="43"/>
              <w:jc w:val="both"/>
              <w:rPr>
                <w:rFonts w:ascii="宋体" w:hAnsi="宋体" w:cs="宋体" w:eastAsia="宋体" w:hint="default"/>
                <w:sz w:val="18"/>
                <w:szCs w:val="18"/>
              </w:rPr>
            </w:pPr>
            <w:r>
              <w:rPr>
                <w:rFonts w:ascii="宋体" w:hAnsi="宋体" w:cs="宋体" w:eastAsia="宋体" w:hint="default"/>
                <w:sz w:val="18"/>
                <w:szCs w:val="18"/>
              </w:rPr>
              <w:t>披 露 日 期</w:t>
            </w:r>
          </w:p>
        </w:tc>
        <w:tc>
          <w:tcPr>
            <w:tcW w:w="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23" w:right="-1"/>
              <w:jc w:val="both"/>
              <w:rPr>
                <w:rFonts w:ascii="宋体" w:hAnsi="宋体" w:cs="宋体" w:eastAsia="宋体" w:hint="default"/>
                <w:sz w:val="18"/>
                <w:szCs w:val="18"/>
              </w:rPr>
            </w:pPr>
            <w:r>
              <w:rPr>
                <w:rFonts w:ascii="宋体" w:hAnsi="宋体" w:cs="宋体" w:eastAsia="宋体" w:hint="default"/>
                <w:sz w:val="18"/>
                <w:szCs w:val="18"/>
              </w:rPr>
              <w:t>披 露 索 引</w:t>
            </w:r>
          </w:p>
        </w:tc>
      </w:tr>
      <w:tr>
        <w:trPr>
          <w:trHeight w:val="36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850" w:type="dxa"/>
            <w:tcBorders>
              <w:top w:val="single" w:sz="4" w:space="0" w:color="000000"/>
              <w:left w:val="single" w:sz="4" w:space="0" w:color="000000"/>
              <w:bottom w:val="single" w:sz="4" w:space="0" w:color="000000"/>
              <w:right w:val="single" w:sz="4" w:space="0" w:color="000000"/>
            </w:tcBorders>
          </w:tcPr>
          <w:p>
            <w:pPr/>
          </w:p>
        </w:tc>
        <w:tc>
          <w:tcPr>
            <w:tcW w:w="85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12" w:space="0" w:color="D2D2D2"/>
              <w:left w:val="single" w:sz="4" w:space="0" w:color="000000"/>
              <w:bottom w:val="single" w:sz="4" w:space="0" w:color="000000"/>
              <w:right w:val="single" w:sz="4" w:space="0" w:color="000000"/>
            </w:tcBorders>
          </w:tcPr>
          <w:p>
            <w:pPr/>
          </w:p>
        </w:tc>
        <w:tc>
          <w:tcPr>
            <w:tcW w:w="567" w:type="dxa"/>
            <w:tcBorders>
              <w:top w:val="single" w:sz="12" w:space="0" w:color="D2D2D2"/>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12" w:space="0" w:color="D2D2D2"/>
              <w:left w:val="single" w:sz="4" w:space="0" w:color="000000"/>
              <w:bottom w:val="single" w:sz="4" w:space="0" w:color="000000"/>
              <w:right w:val="single" w:sz="4" w:space="0" w:color="000000"/>
            </w:tcBorders>
          </w:tcPr>
          <w:p>
            <w:pPr/>
          </w:p>
        </w:tc>
        <w:tc>
          <w:tcPr>
            <w:tcW w:w="214" w:type="dxa"/>
            <w:tcBorders>
              <w:top w:val="single" w:sz="12" w:space="0" w:color="D2D2D2"/>
              <w:left w:val="single" w:sz="4" w:space="0" w:color="000000"/>
              <w:bottom w:val="single" w:sz="4" w:space="0" w:color="000000"/>
              <w:right w:val="single" w:sz="4" w:space="0" w:color="000000"/>
            </w:tcBorders>
          </w:tcPr>
          <w:p>
            <w:pP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驻马店天中 市民云服务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3" w:right="48"/>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3" w:right="45"/>
              <w:jc w:val="left"/>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提供劳务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合理</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134.43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134.43</w:t>
            </w: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134.43</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汇款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134.43</w:t>
            </w:r>
          </w:p>
        </w:tc>
        <w:tc>
          <w:tcPr>
            <w:tcW w:w="283"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54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w w:val="95"/>
                <w:sz w:val="18"/>
              </w:rPr>
              <w:t>3,990.73</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w w:val="95"/>
                <w:sz w:val="18"/>
              </w:rPr>
              <w:t>3,990.73</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31" w:right="0"/>
              <w:jc w:val="left"/>
              <w:rPr>
                <w:rFonts w:ascii="Times New Roman" w:hAnsi="Times New Roman" w:cs="Times New Roman" w:eastAsia="Times New Roman" w:hint="default"/>
                <w:sz w:val="18"/>
                <w:szCs w:val="18"/>
              </w:rPr>
            </w:pPr>
            <w:r>
              <w:rPr>
                <w:rFonts w:ascii="Times New Roman"/>
                <w:sz w:val="18"/>
              </w:rPr>
              <w:t>--</w:t>
            </w:r>
          </w:p>
        </w:tc>
        <w:tc>
          <w:tcPr>
            <w:tcW w:w="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59"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6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460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496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4" w:right="68"/>
              <w:jc w:val="left"/>
              <w:rPr>
                <w:rFonts w:ascii="宋体" w:hAnsi="宋体" w:cs="宋体" w:eastAsia="宋体" w:hint="default"/>
                <w:sz w:val="18"/>
                <w:szCs w:val="18"/>
              </w:rPr>
            </w:pPr>
            <w:r>
              <w:rPr>
                <w:rFonts w:ascii="宋体" w:hAnsi="宋体" w:cs="宋体" w:eastAsia="宋体" w:hint="default"/>
                <w:sz w:val="18"/>
                <w:szCs w:val="18"/>
              </w:rPr>
              <w:t>按类别对本期将发生的日常关联交易进行总金额预计的，在报 告期内的实际履行情况（如有）</w:t>
            </w:r>
          </w:p>
        </w:tc>
        <w:tc>
          <w:tcPr>
            <w:tcW w:w="460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496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交易价格与市场参考价格差异较大的原因（如适用）</w:t>
            </w:r>
          </w:p>
        </w:tc>
        <w:tc>
          <w:tcPr>
            <w:tcW w:w="460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资产或股权收购、出售发生的关联交易" w:id="84"/>
      <w:bookmarkEnd w:id="84"/>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64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公司报告期未发生资产或股权收购、出售的关联交易。</w:t>
      </w:r>
    </w:p>
    <w:p>
      <w:pPr>
        <w:spacing w:line="240" w:lineRule="auto" w:before="5"/>
        <w:rPr>
          <w:rFonts w:ascii="宋体" w:hAnsi="宋体" w:cs="宋体" w:eastAsia="宋体" w:hint="default"/>
          <w:sz w:val="21"/>
          <w:szCs w:val="21"/>
        </w:rPr>
      </w:pPr>
    </w:p>
    <w:p>
      <w:pPr>
        <w:pStyle w:val="Heading3"/>
        <w:spacing w:line="240" w:lineRule="auto"/>
        <w:ind w:right="2602"/>
        <w:jc w:val="left"/>
        <w:rPr>
          <w:b w:val="0"/>
          <w:bCs w:val="0"/>
        </w:rPr>
      </w:pPr>
      <w:bookmarkStart w:name="3、共同对外投资的关联交易" w:id="85"/>
      <w:bookmarkEnd w:id="85"/>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71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公司报告期未发生共同对外投资的关联交易。</w:t>
      </w:r>
    </w:p>
    <w:p>
      <w:pPr>
        <w:spacing w:line="240" w:lineRule="auto" w:before="5"/>
        <w:rPr>
          <w:rFonts w:ascii="宋体" w:hAnsi="宋体" w:cs="宋体" w:eastAsia="宋体" w:hint="default"/>
          <w:sz w:val="21"/>
          <w:szCs w:val="21"/>
        </w:rPr>
      </w:pPr>
    </w:p>
    <w:p>
      <w:pPr>
        <w:pStyle w:val="Heading3"/>
        <w:spacing w:line="240" w:lineRule="auto"/>
        <w:ind w:right="2602"/>
        <w:jc w:val="left"/>
        <w:rPr>
          <w:b w:val="0"/>
          <w:bCs w:val="0"/>
        </w:rPr>
      </w:pPr>
      <w:bookmarkStart w:name="4、关联债权债务往来" w:id="86"/>
      <w:bookmarkEnd w:id="86"/>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78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是否存在非经营性关联债权债务往来</w:t>
      </w:r>
    </w:p>
    <w:p>
      <w:pPr>
        <w:spacing w:line="240" w:lineRule="auto" w:before="7"/>
        <w:rPr>
          <w:rFonts w:ascii="宋体" w:hAnsi="宋体" w:cs="宋体" w:eastAsia="宋体" w:hint="default"/>
          <w:sz w:val="21"/>
          <w:szCs w:val="21"/>
        </w:rPr>
      </w:pPr>
    </w:p>
    <w:p>
      <w:pPr>
        <w:pStyle w:val="Heading3"/>
        <w:spacing w:line="240" w:lineRule="auto"/>
        <w:ind w:right="2602"/>
        <w:jc w:val="left"/>
        <w:rPr>
          <w:b w:val="0"/>
          <w:bCs w:val="0"/>
        </w:rPr>
      </w:pPr>
      <w:bookmarkStart w:name="5、其他重大关联交易" w:id="87"/>
      <w:bookmarkEnd w:id="87"/>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4"/>
        <w:rPr>
          <w:rFonts w:ascii="宋体" w:hAnsi="宋体" w:cs="宋体" w:eastAsia="宋体" w:hint="default"/>
          <w:b/>
          <w:bCs/>
          <w:sz w:val="26"/>
          <w:szCs w:val="26"/>
        </w:rPr>
      </w:pPr>
    </w:p>
    <w:p>
      <w:pPr>
        <w:pStyle w:val="BodyText"/>
        <w:spacing w:line="415" w:lineRule="auto"/>
        <w:ind w:right="80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与参股公司签订融资租赁借款合同</w:t>
      </w:r>
    </w:p>
    <w:p>
      <w:pPr>
        <w:pStyle w:val="BodyText"/>
        <w:spacing w:line="240" w:lineRule="auto" w:before="65"/>
        <w:ind w:left="513" w:right="0"/>
        <w:jc w:val="left"/>
      </w:pPr>
      <w:r>
        <w:rPr/>
        <w:t>公司全资子公司四川浩特通信有限公司因公司经营发展需要</w:t>
      </w:r>
      <w:r>
        <w:rPr>
          <w:spacing w:val="-82"/>
        </w:rPr>
        <w:t>，</w:t>
      </w:r>
      <w:r>
        <w:rPr/>
        <w:t>分别于</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spacing w:val="-3"/>
        </w:rPr>
        <w:t>月</w:t>
      </w:r>
      <w:r>
        <w:rPr/>
        <w:t>及</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1</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年</w:t>
      </w:r>
      <w:r>
        <w:rPr>
          <w:spacing w:val="-47"/>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月与长江联合金融租赁有</w:t>
      </w:r>
    </w:p>
    <w:p>
      <w:pPr>
        <w:pStyle w:val="BodyText"/>
        <w:spacing w:line="240" w:lineRule="auto" w:before="63"/>
        <w:ind w:right="0"/>
        <w:jc w:val="left"/>
      </w:pPr>
      <w:r>
        <w:rPr/>
        <w:t>限公司签订《融资租赁合同</w:t>
      </w:r>
      <w:r>
        <w:rPr>
          <w:spacing w:val="-92"/>
        </w:rPr>
        <w:t>》</w:t>
      </w:r>
      <w:r>
        <w:rPr>
          <w:spacing w:val="2"/>
        </w:rPr>
        <w:t>（</w:t>
      </w:r>
      <w:r>
        <w:rPr/>
        <w:t>售后回租类</w:t>
      </w:r>
      <w:r>
        <w:rPr>
          <w:spacing w:val="-92"/>
        </w:rPr>
        <w:t>）</w:t>
      </w:r>
      <w:r>
        <w:rPr/>
        <w:t>，共向长江联合</w:t>
      </w:r>
      <w:r>
        <w:rPr>
          <w:spacing w:val="2"/>
        </w:rPr>
        <w:t>融</w:t>
      </w:r>
      <w:r>
        <w:rPr/>
        <w:t>资合计人民币</w:t>
      </w:r>
      <w:r>
        <w:rPr>
          <w:spacing w:val="-4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00</w:t>
      </w:r>
      <w:r>
        <w:rPr>
          <w:rFonts w:ascii="Times New Roman" w:hAnsi="Times New Roman" w:cs="Times New Roman" w:eastAsia="Times New Roman" w:hint="default"/>
          <w:spacing w:val="-2"/>
        </w:rPr>
        <w:t>.0</w:t>
      </w:r>
      <w:r>
        <w:rPr>
          <w:rFonts w:ascii="Times New Roman" w:hAnsi="Times New Roman" w:cs="Times New Roman" w:eastAsia="Times New Roman" w:hint="default"/>
        </w:rPr>
        <w:t>0 </w:t>
      </w:r>
      <w:r>
        <w:rPr/>
        <w:t>元，融资期限</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年。</w:t>
      </w:r>
    </w:p>
    <w:p>
      <w:pPr>
        <w:pStyle w:val="BodyText"/>
        <w:spacing w:line="240" w:lineRule="auto" w:before="101"/>
        <w:ind w:left="513" w:right="0"/>
        <w:jc w:val="left"/>
      </w:pPr>
      <w:r>
        <w:rPr/>
        <w:t>公司全资子公司四川浩特通信有限公司因公司经营发展需要，于</w:t>
      </w:r>
      <w:r>
        <w:rPr>
          <w:spacing w:val="-4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47"/>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月与长江联合金融租赁有限公司签订《融资</w:t>
      </w:r>
    </w:p>
    <w:p>
      <w:pPr>
        <w:pStyle w:val="BodyText"/>
        <w:spacing w:line="240" w:lineRule="auto" w:before="63"/>
        <w:ind w:right="2602"/>
        <w:jc w:val="left"/>
      </w:pPr>
      <w:r>
        <w:rPr/>
        <w:t>租赁合同</w:t>
      </w:r>
      <w:r>
        <w:rPr>
          <w:spacing w:val="-92"/>
        </w:rPr>
        <w:t>》</w:t>
      </w:r>
      <w:r>
        <w:rPr/>
        <w:t>（售后回租类</w:t>
      </w:r>
      <w:r>
        <w:rPr>
          <w:spacing w:val="-92"/>
        </w:rPr>
        <w:t>）</w:t>
      </w:r>
      <w:r>
        <w:rPr/>
        <w:t>，</w:t>
      </w:r>
      <w:r>
        <w:rPr>
          <w:spacing w:val="2"/>
        </w:rPr>
        <w:t>向</w:t>
      </w:r>
      <w:r>
        <w:rPr/>
        <w:t>长江联合融资合计人民币</w:t>
      </w:r>
      <w:r>
        <w:rPr>
          <w:spacing w:val="-44"/>
        </w:rPr>
        <w:t> </w:t>
      </w:r>
      <w:r>
        <w:rPr>
          <w:rFonts w:ascii="Times New Roman" w:hAnsi="Times New Roman" w:cs="Times New Roman" w:eastAsia="Times New Roman" w:hint="default"/>
          <w:spacing w:val="1"/>
        </w:rPr>
        <w:t>40</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00</w:t>
      </w:r>
      <w:r>
        <w:rPr>
          <w:rFonts w:ascii="Times New Roman" w:hAnsi="Times New Roman" w:cs="Times New Roman" w:eastAsia="Times New Roman" w:hint="default"/>
          <w:spacing w:val="-2"/>
        </w:rPr>
        <w:t>.0</w:t>
      </w:r>
      <w:r>
        <w:rPr>
          <w:rFonts w:ascii="Times New Roman" w:hAnsi="Times New Roman" w:cs="Times New Roman" w:eastAsia="Times New Roman" w:hint="default"/>
        </w:rPr>
        <w:t>0</w:t>
      </w:r>
      <w:r>
        <w:rPr>
          <w:rFonts w:ascii="Times New Roman" w:hAnsi="Times New Roman" w:cs="Times New Roman" w:eastAsia="Times New Roman" w:hint="default"/>
          <w:spacing w:val="3"/>
        </w:rPr>
        <w:t> </w:t>
      </w:r>
      <w:r>
        <w:rPr/>
        <w:t>元，融资期限</w:t>
      </w:r>
      <w:r>
        <w:rPr>
          <w:spacing w:val="-47"/>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年。</w:t>
      </w:r>
    </w:p>
    <w:p>
      <w:pPr>
        <w:pStyle w:val="BodyText"/>
        <w:spacing w:line="240" w:lineRule="auto" w:before="103"/>
        <w:ind w:left="513" w:right="0"/>
        <w:jc w:val="left"/>
      </w:pPr>
      <w:r>
        <w:rPr/>
        <w:t>本公</w:t>
      </w:r>
      <w:r>
        <w:rPr>
          <w:spacing w:val="-1"/>
        </w:rPr>
        <w:t>司</w:t>
      </w:r>
      <w:r>
        <w:rPr/>
        <w:t>因经营发展需要，于</w:t>
      </w:r>
      <w:r>
        <w:rPr>
          <w:spacing w:val="-42"/>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年</w:t>
      </w:r>
      <w:r>
        <w:rPr>
          <w:spacing w:val="-45"/>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月与长江联合金融租</w:t>
      </w:r>
      <w:r>
        <w:rPr>
          <w:spacing w:val="-3"/>
        </w:rPr>
        <w:t>赁</w:t>
      </w:r>
      <w:r>
        <w:rPr/>
        <w:t>有限公司签订《融资租赁合同</w:t>
      </w:r>
      <w:r>
        <w:rPr>
          <w:spacing w:val="-89"/>
        </w:rPr>
        <w:t>》</w:t>
      </w:r>
      <w:r>
        <w:rPr/>
        <w:t>（售后回租类</w:t>
      </w:r>
      <w:r>
        <w:rPr>
          <w:spacing w:val="-92"/>
        </w:rPr>
        <w:t>）</w:t>
      </w:r>
      <w:r>
        <w:rPr/>
        <w:t>，向长江联</w:t>
      </w:r>
    </w:p>
    <w:p>
      <w:pPr>
        <w:pStyle w:val="BodyText"/>
        <w:spacing w:line="240" w:lineRule="auto" w:before="63"/>
        <w:ind w:right="2602"/>
        <w:jc w:val="left"/>
      </w:pPr>
      <w:r>
        <w:rPr/>
        <w:t>合融资合计人民币</w:t>
      </w:r>
      <w:r>
        <w:rPr>
          <w:spacing w:val="-45"/>
        </w:rPr>
        <w:t> </w:t>
      </w:r>
      <w:r>
        <w:rPr>
          <w:rFonts w:ascii="Times New Roman" w:hAnsi="Times New Roman" w:cs="Times New Roman" w:eastAsia="Times New Roman" w:hint="default"/>
        </w:rPr>
        <w:t>60,000,000.00 </w:t>
      </w:r>
      <w:r>
        <w:rPr/>
        <w:t>元，融资期限</w:t>
      </w:r>
      <w:r>
        <w:rPr>
          <w:spacing w:val="-48"/>
        </w:rPr>
        <w:t> </w:t>
      </w:r>
      <w:r>
        <w:rPr>
          <w:rFonts w:ascii="Times New Roman" w:hAnsi="Times New Roman" w:cs="Times New Roman" w:eastAsia="Times New Roman" w:hint="default"/>
        </w:rPr>
        <w:t>5 </w:t>
      </w:r>
      <w:r>
        <w:rPr/>
        <w:t>年。</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十六、重大合同及其履行情况" w:id="88"/>
      <w:bookmarkEnd w:id="88"/>
      <w:r>
        <w:rPr>
          <w:b w:val="0"/>
          <w:bCs w:val="0"/>
        </w:rPr>
      </w:r>
      <w:r>
        <w:rPr/>
        <w:t>十六、重大合同及其履行情况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托管、承包、租赁事项情况" w:id="89"/>
      <w:bookmarkEnd w:id="89"/>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托管情况" w:id="90"/>
      <w:bookmarkEnd w:id="90"/>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公司报告期不存在托管情况。</w:t>
      </w:r>
    </w:p>
    <w:p>
      <w:pPr>
        <w:spacing w:line="240" w:lineRule="auto" w:before="7"/>
        <w:rPr>
          <w:rFonts w:ascii="宋体" w:hAnsi="宋体" w:cs="宋体" w:eastAsia="宋体" w:hint="default"/>
          <w:sz w:val="21"/>
          <w:szCs w:val="21"/>
        </w:rPr>
      </w:pPr>
    </w:p>
    <w:p>
      <w:pPr>
        <w:pStyle w:val="Heading3"/>
        <w:spacing w:line="240" w:lineRule="auto"/>
        <w:ind w:right="2602"/>
        <w:jc w:val="left"/>
        <w:rPr>
          <w:b w:val="0"/>
          <w:bCs w:val="0"/>
        </w:rPr>
      </w:pPr>
      <w:bookmarkStart w:name="（2）承包情况" w:id="91"/>
      <w:bookmarkEnd w:id="91"/>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公司报告期不存在承包情况。</w:t>
      </w:r>
    </w:p>
    <w:p>
      <w:pPr>
        <w:spacing w:line="240" w:lineRule="auto" w:before="7"/>
        <w:rPr>
          <w:rFonts w:ascii="宋体" w:hAnsi="宋体" w:cs="宋体" w:eastAsia="宋体" w:hint="default"/>
          <w:sz w:val="21"/>
          <w:szCs w:val="21"/>
        </w:rPr>
      </w:pPr>
    </w:p>
    <w:p>
      <w:pPr>
        <w:pStyle w:val="Heading3"/>
        <w:spacing w:line="240" w:lineRule="auto"/>
        <w:ind w:right="2602"/>
        <w:jc w:val="left"/>
        <w:rPr>
          <w:b w:val="0"/>
          <w:bCs w:val="0"/>
        </w:rPr>
      </w:pPr>
      <w:bookmarkStart w:name="（3）租赁情况" w:id="92"/>
      <w:bookmarkEnd w:id="92"/>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公司报告期不存在租赁情况。</w:t>
      </w:r>
    </w:p>
    <w:p>
      <w:pPr>
        <w:spacing w:line="240" w:lineRule="auto" w:before="3"/>
        <w:rPr>
          <w:rFonts w:ascii="宋体" w:hAnsi="宋体" w:cs="宋体" w:eastAsia="宋体" w:hint="default"/>
          <w:sz w:val="21"/>
          <w:szCs w:val="21"/>
        </w:rPr>
      </w:pPr>
    </w:p>
    <w:p>
      <w:pPr>
        <w:pStyle w:val="Heading3"/>
        <w:spacing w:line="240" w:lineRule="auto"/>
        <w:ind w:right="2602"/>
        <w:jc w:val="left"/>
        <w:rPr>
          <w:b w:val="0"/>
          <w:bCs w:val="0"/>
        </w:rPr>
      </w:pPr>
      <w:bookmarkStart w:name="2、重大担保" w:id="93"/>
      <w:bookmarkEnd w:id="93"/>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1）担保情况" w:id="94"/>
      <w:bookmarkEnd w:id="94"/>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单位：万元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60"/>
        <w:gridCol w:w="149"/>
        <w:gridCol w:w="928"/>
        <w:gridCol w:w="916"/>
        <w:gridCol w:w="1306"/>
        <w:gridCol w:w="245"/>
        <w:gridCol w:w="819"/>
        <w:gridCol w:w="1034"/>
        <w:gridCol w:w="276"/>
        <w:gridCol w:w="772"/>
        <w:gridCol w:w="793"/>
        <w:gridCol w:w="780"/>
      </w:tblGrid>
      <w:tr>
        <w:trPr>
          <w:trHeight w:val="402" w:hRule="exact"/>
        </w:trPr>
        <w:tc>
          <w:tcPr>
            <w:tcW w:w="9578"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172"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 </w:t>
            </w:r>
            <w:r>
              <w:rPr>
                <w:rFonts w:ascii="宋体" w:hAnsi="宋体" w:cs="宋体" w:eastAsia="宋体" w:hint="default"/>
                <w:spacing w:val="1"/>
                <w:sz w:val="18"/>
                <w:szCs w:val="18"/>
              </w:rPr>
              <w:t> </w:t>
            </w:r>
            <w:r>
              <w:rPr>
                <w:rFonts w:ascii="宋体" w:hAnsi="宋体" w:cs="宋体" w:eastAsia="宋体" w:hint="default"/>
                <w:sz w:val="18"/>
                <w:szCs w:val="18"/>
              </w:rPr>
              <w:t>（无）</w:t>
            </w:r>
          </w:p>
        </w:tc>
      </w:tr>
      <w:tr>
        <w:trPr>
          <w:trHeight w:val="1026" w:hRule="exact"/>
        </w:trPr>
        <w:tc>
          <w:tcPr>
            <w:tcW w:w="170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0"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0"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12"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6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7" w:right="75"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53"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51"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9578"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5"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5"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07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1" w:right="83"/>
              <w:jc w:val="center"/>
              <w:rPr>
                <w:rFonts w:ascii="宋体" w:hAnsi="宋体" w:cs="宋体" w:eastAsia="宋体" w:hint="default"/>
                <w:sz w:val="18"/>
                <w:szCs w:val="18"/>
              </w:rPr>
            </w:pPr>
            <w:r>
              <w:rPr>
                <w:rFonts w:ascii="宋体" w:hAnsi="宋体" w:cs="宋体" w:eastAsia="宋体" w:hint="default"/>
                <w:sz w:val="18"/>
                <w:szCs w:val="18"/>
              </w:rPr>
              <w:t>担保额度相 关公告披露 日期</w:t>
            </w:r>
          </w:p>
        </w:tc>
        <w:tc>
          <w:tcPr>
            <w:tcW w:w="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8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5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8"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8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3" w:right="45" w:hanging="181"/>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31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90"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09"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71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4" w:right="84"/>
              <w:jc w:val="left"/>
              <w:rPr>
                <w:rFonts w:ascii="宋体" w:hAnsi="宋体" w:cs="宋体" w:eastAsia="宋体" w:hint="default"/>
                <w:sz w:val="18"/>
                <w:szCs w:val="18"/>
              </w:rPr>
            </w:pPr>
            <w:r>
              <w:rPr>
                <w:rFonts w:ascii="宋体" w:hAnsi="宋体" w:cs="宋体" w:eastAsia="宋体" w:hint="default"/>
                <w:sz w:val="18"/>
                <w:szCs w:val="18"/>
              </w:rPr>
              <w:t>四川浩特通信有限 公司</w:t>
            </w:r>
          </w:p>
        </w:tc>
        <w:tc>
          <w:tcPr>
            <w:tcW w:w="10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9,000</w:t>
            </w:r>
          </w:p>
        </w:tc>
        <w:tc>
          <w:tcPr>
            <w:tcW w:w="15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9,000</w:t>
            </w:r>
          </w:p>
        </w:tc>
        <w:tc>
          <w:tcPr>
            <w:tcW w:w="13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连带责任保证</w:t>
            </w:r>
          </w:p>
        </w:tc>
        <w:tc>
          <w:tcPr>
            <w:tcW w:w="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四川浩特通信有限 公司</w:t>
            </w:r>
          </w:p>
        </w:tc>
        <w:tc>
          <w:tcPr>
            <w:tcW w:w="10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1,000</w:t>
            </w:r>
          </w:p>
        </w:tc>
        <w:tc>
          <w:tcPr>
            <w:tcW w:w="15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w:t>
            </w:r>
          </w:p>
        </w:tc>
        <w:tc>
          <w:tcPr>
            <w:tcW w:w="13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连带责任保证</w:t>
            </w:r>
          </w:p>
        </w:tc>
        <w:tc>
          <w:tcPr>
            <w:tcW w:w="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四川浩特通信有限 公司</w:t>
            </w:r>
          </w:p>
        </w:tc>
        <w:tc>
          <w:tcPr>
            <w:tcW w:w="10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4,600</w:t>
            </w:r>
          </w:p>
        </w:tc>
        <w:tc>
          <w:tcPr>
            <w:tcW w:w="15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4,600</w:t>
            </w:r>
          </w:p>
        </w:tc>
        <w:tc>
          <w:tcPr>
            <w:tcW w:w="13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连带责任保证</w:t>
            </w:r>
          </w:p>
        </w:tc>
        <w:tc>
          <w:tcPr>
            <w:tcW w:w="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四川浩特通信有限 公司</w:t>
            </w:r>
          </w:p>
        </w:tc>
        <w:tc>
          <w:tcPr>
            <w:tcW w:w="10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4,000</w:t>
            </w:r>
          </w:p>
        </w:tc>
        <w:tc>
          <w:tcPr>
            <w:tcW w:w="15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4,000</w:t>
            </w:r>
          </w:p>
        </w:tc>
        <w:tc>
          <w:tcPr>
            <w:tcW w:w="13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连带责任保证</w:t>
            </w:r>
          </w:p>
        </w:tc>
        <w:tc>
          <w:tcPr>
            <w:tcW w:w="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60"/>
        <w:gridCol w:w="161"/>
        <w:gridCol w:w="902"/>
        <w:gridCol w:w="923"/>
        <w:gridCol w:w="1566"/>
        <w:gridCol w:w="796"/>
        <w:gridCol w:w="1319"/>
        <w:gridCol w:w="781"/>
        <w:gridCol w:w="787"/>
        <w:gridCol w:w="784"/>
      </w:tblGrid>
      <w:tr>
        <w:trPr>
          <w:trHeight w:val="1025"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5"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0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81" w:right="69"/>
              <w:jc w:val="center"/>
              <w:rPr>
                <w:rFonts w:ascii="宋体" w:hAnsi="宋体" w:cs="宋体" w:eastAsia="宋体" w:hint="default"/>
                <w:sz w:val="18"/>
                <w:szCs w:val="18"/>
              </w:rPr>
            </w:pPr>
            <w:r>
              <w:rPr>
                <w:rFonts w:ascii="宋体" w:hAnsi="宋体" w:cs="宋体" w:eastAsia="宋体" w:hint="default"/>
                <w:sz w:val="18"/>
                <w:szCs w:val="18"/>
              </w:rPr>
              <w:t>担保额度相 关公告披露 日期</w:t>
            </w:r>
          </w:p>
        </w:tc>
        <w:tc>
          <w:tcPr>
            <w:tcW w:w="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3"/>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5" w:right="30" w:hanging="181"/>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3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0"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07" w:right="27"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8"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四川浩特通信有限 公司</w:t>
            </w:r>
          </w:p>
        </w:tc>
        <w:tc>
          <w:tcPr>
            <w:tcW w:w="10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8,990</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上海万达信息系统 有限公司</w:t>
            </w:r>
          </w:p>
        </w:tc>
        <w:tc>
          <w:tcPr>
            <w:tcW w:w="10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32.21</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上海万达信息系统 有限公司</w:t>
            </w:r>
          </w:p>
        </w:tc>
        <w:tc>
          <w:tcPr>
            <w:tcW w:w="10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w w:val="95"/>
                <w:sz w:val="18"/>
              </w:rPr>
              <w:t>1,161.24</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262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7"/>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488"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3,000</w:t>
            </w:r>
          </w:p>
        </w:tc>
        <w:tc>
          <w:tcPr>
            <w:tcW w:w="211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5" w:right="107"/>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1,161.24</w:t>
            </w:r>
          </w:p>
        </w:tc>
      </w:tr>
      <w:tr>
        <w:trPr>
          <w:trHeight w:val="721" w:hRule="exact"/>
        </w:trPr>
        <w:tc>
          <w:tcPr>
            <w:tcW w:w="262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2"/>
              <w:ind w:left="24" w:right="67"/>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488"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42,600</w:t>
            </w:r>
          </w:p>
        </w:tc>
        <w:tc>
          <w:tcPr>
            <w:tcW w:w="211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2"/>
              <w:ind w:left="15" w:right="107"/>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28,783.45</w:t>
            </w:r>
          </w:p>
        </w:tc>
      </w:tr>
      <w:tr>
        <w:trPr>
          <w:trHeight w:val="397" w:hRule="exact"/>
        </w:trPr>
        <w:tc>
          <w:tcPr>
            <w:tcW w:w="9578" w:type="dxa"/>
            <w:gridSpan w:val="10"/>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2431" w:val="left" w:leader="none"/>
              </w:tabs>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tab/>
              <w:t>（无）</w:t>
            </w:r>
          </w:p>
        </w:tc>
      </w:tr>
      <w:tr>
        <w:trPr>
          <w:trHeight w:val="162" w:hRule="exact"/>
        </w:trPr>
        <w:tc>
          <w:tcPr>
            <w:tcW w:w="1721" w:type="dxa"/>
            <w:gridSpan w:val="2"/>
            <w:vMerge w:val="restart"/>
            <w:tcBorders>
              <w:top w:val="single" w:sz="4" w:space="0" w:color="000000"/>
              <w:left w:val="single" w:sz="4" w:space="0" w:color="000000"/>
              <w:right w:val="single" w:sz="4" w:space="0" w:color="000000"/>
            </w:tcBorders>
            <w:shd w:val="clear" w:color="auto" w:fill="D2D2D2"/>
          </w:tcPr>
          <w:p>
            <w:pPr/>
          </w:p>
        </w:tc>
        <w:tc>
          <w:tcPr>
            <w:tcW w:w="90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81" w:right="8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3" w:type="dxa"/>
            <w:vMerge w:val="restart"/>
            <w:tcBorders>
              <w:top w:val="single" w:sz="4" w:space="0" w:color="000000"/>
              <w:left w:val="single" w:sz="4" w:space="0" w:color="000000"/>
              <w:right w:val="single" w:sz="4" w:space="0" w:color="000000"/>
            </w:tcBorders>
            <w:shd w:val="clear" w:color="auto" w:fill="D2D2D2"/>
          </w:tcPr>
          <w:p>
            <w:pPr/>
          </w:p>
        </w:tc>
        <w:tc>
          <w:tcPr>
            <w:tcW w:w="1566" w:type="dxa"/>
            <w:vMerge w:val="restart"/>
            <w:tcBorders>
              <w:top w:val="single" w:sz="4" w:space="0" w:color="000000"/>
              <w:left w:val="single" w:sz="4" w:space="0" w:color="000000"/>
              <w:right w:val="single" w:sz="4" w:space="0" w:color="000000"/>
            </w:tcBorders>
            <w:shd w:val="clear" w:color="auto" w:fill="D2D2D2"/>
          </w:tcPr>
          <w:p>
            <w:pPr/>
          </w:p>
        </w:tc>
        <w:tc>
          <w:tcPr>
            <w:tcW w:w="7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9" w:type="dxa"/>
            <w:vMerge w:val="restart"/>
            <w:tcBorders>
              <w:top w:val="single" w:sz="4" w:space="0" w:color="000000"/>
              <w:left w:val="single" w:sz="4" w:space="0" w:color="000000"/>
              <w:right w:val="single" w:sz="4" w:space="0" w:color="000000"/>
            </w:tcBorders>
            <w:shd w:val="clear" w:color="auto" w:fill="D2D2D2"/>
          </w:tcPr>
          <w:p>
            <w:pPr/>
          </w:p>
        </w:tc>
        <w:tc>
          <w:tcPr>
            <w:tcW w:w="781" w:type="dxa"/>
            <w:vMerge w:val="restart"/>
            <w:tcBorders>
              <w:top w:val="single" w:sz="4" w:space="0" w:color="000000"/>
              <w:left w:val="single" w:sz="4" w:space="0" w:color="000000"/>
              <w:right w:val="single" w:sz="4" w:space="0" w:color="000000"/>
            </w:tcBorders>
            <w:shd w:val="clear" w:color="auto" w:fill="D2D2D2"/>
          </w:tcPr>
          <w:p>
            <w:pPr/>
          </w:p>
        </w:tc>
        <w:tc>
          <w:tcPr>
            <w:tcW w:w="787" w:type="dxa"/>
            <w:tcBorders>
              <w:top w:val="single" w:sz="4" w:space="0" w:color="000000"/>
              <w:left w:val="single" w:sz="4" w:space="0" w:color="000000"/>
              <w:bottom w:val="nil" w:sz="6" w:space="0" w:color="auto"/>
              <w:right w:val="single" w:sz="4" w:space="0" w:color="000000"/>
            </w:tcBorders>
            <w:shd w:val="clear" w:color="auto" w:fill="D2D2D2"/>
          </w:tcPr>
          <w:p>
            <w:pPr/>
          </w:p>
        </w:tc>
        <w:tc>
          <w:tcPr>
            <w:tcW w:w="7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21" w:type="dxa"/>
            <w:gridSpan w:val="2"/>
            <w:vMerge/>
            <w:tcBorders>
              <w:left w:val="single" w:sz="4" w:space="0" w:color="000000"/>
              <w:bottom w:val="nil" w:sz="6" w:space="0" w:color="auto"/>
              <w:right w:val="single" w:sz="4" w:space="0" w:color="000000"/>
            </w:tcBorders>
            <w:shd w:val="clear" w:color="auto" w:fill="D2D2D2"/>
          </w:tcPr>
          <w:p>
            <w:pPr/>
          </w:p>
        </w:tc>
        <w:tc>
          <w:tcPr>
            <w:tcW w:w="902" w:type="dxa"/>
            <w:vMerge/>
            <w:tcBorders>
              <w:left w:val="single" w:sz="4" w:space="0" w:color="000000"/>
              <w:right w:val="single" w:sz="4" w:space="0" w:color="000000"/>
            </w:tcBorders>
            <w:shd w:val="clear" w:color="auto" w:fill="D2D2D2"/>
          </w:tcPr>
          <w:p>
            <w:pPr/>
          </w:p>
        </w:tc>
        <w:tc>
          <w:tcPr>
            <w:tcW w:w="923" w:type="dxa"/>
            <w:vMerge/>
            <w:tcBorders>
              <w:left w:val="single" w:sz="4" w:space="0" w:color="000000"/>
              <w:bottom w:val="nil" w:sz="6" w:space="0" w:color="auto"/>
              <w:right w:val="single" w:sz="4" w:space="0" w:color="000000"/>
            </w:tcBorders>
            <w:shd w:val="clear" w:color="auto" w:fill="D2D2D2"/>
          </w:tcPr>
          <w:p>
            <w:pPr/>
          </w:p>
        </w:tc>
        <w:tc>
          <w:tcPr>
            <w:tcW w:w="1566" w:type="dxa"/>
            <w:vMerge/>
            <w:tcBorders>
              <w:left w:val="single" w:sz="4" w:space="0" w:color="000000"/>
              <w:bottom w:val="nil" w:sz="6" w:space="0" w:color="auto"/>
              <w:right w:val="single" w:sz="4" w:space="0" w:color="000000"/>
            </w:tcBorders>
            <w:shd w:val="clear" w:color="auto" w:fill="D2D2D2"/>
          </w:tcPr>
          <w:p>
            <w:pPr/>
          </w:p>
        </w:tc>
        <w:tc>
          <w:tcPr>
            <w:tcW w:w="796"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05" w:right="38" w:hanging="181"/>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319" w:type="dxa"/>
            <w:vMerge/>
            <w:tcBorders>
              <w:left w:val="single" w:sz="4" w:space="0" w:color="000000"/>
              <w:bottom w:val="nil" w:sz="6" w:space="0" w:color="auto"/>
              <w:right w:val="single" w:sz="4" w:space="0" w:color="000000"/>
            </w:tcBorders>
            <w:shd w:val="clear" w:color="auto" w:fill="D2D2D2"/>
          </w:tcPr>
          <w:p>
            <w:pPr/>
          </w:p>
        </w:tc>
        <w:tc>
          <w:tcPr>
            <w:tcW w:w="781" w:type="dxa"/>
            <w:vMerge/>
            <w:tcBorders>
              <w:left w:val="single" w:sz="4" w:space="0" w:color="000000"/>
              <w:bottom w:val="nil" w:sz="6" w:space="0" w:color="auto"/>
              <w:right w:val="single" w:sz="4" w:space="0" w:color="000000"/>
            </w:tcBorders>
            <w:shd w:val="clear" w:color="auto" w:fill="D2D2D2"/>
          </w:tcPr>
          <w:p>
            <w:pPr/>
          </w:p>
        </w:tc>
        <w:tc>
          <w:tcPr>
            <w:tcW w:w="787"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02" w:right="32"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4"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1" w:hRule="exact"/>
        </w:trPr>
        <w:tc>
          <w:tcPr>
            <w:tcW w:w="1721"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10"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02" w:type="dxa"/>
            <w:vMerge/>
            <w:tcBorders>
              <w:left w:val="single" w:sz="4" w:space="0" w:color="000000"/>
              <w:right w:val="single" w:sz="4" w:space="0" w:color="000000"/>
            </w:tcBorders>
            <w:shd w:val="clear" w:color="auto" w:fill="D2D2D2"/>
          </w:tcPr>
          <w:p>
            <w:pPr/>
          </w:p>
        </w:tc>
        <w:tc>
          <w:tcPr>
            <w:tcW w:w="9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99"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56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796" w:type="dxa"/>
            <w:vMerge/>
            <w:tcBorders>
              <w:left w:val="single" w:sz="4" w:space="0" w:color="000000"/>
              <w:right w:val="single" w:sz="4" w:space="0" w:color="000000"/>
            </w:tcBorders>
            <w:shd w:val="clear" w:color="auto" w:fill="D2D2D2"/>
          </w:tcPr>
          <w:p>
            <w:pPr/>
          </w:p>
        </w:tc>
        <w:tc>
          <w:tcPr>
            <w:tcW w:w="13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7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87" w:type="dxa"/>
            <w:vMerge/>
            <w:tcBorders>
              <w:left w:val="single" w:sz="4" w:space="0" w:color="000000"/>
              <w:right w:val="single" w:sz="4" w:space="0" w:color="000000"/>
            </w:tcBorders>
            <w:shd w:val="clear" w:color="auto" w:fill="D2D2D2"/>
          </w:tcPr>
          <w:p>
            <w:pPr/>
          </w:p>
        </w:tc>
        <w:tc>
          <w:tcPr>
            <w:tcW w:w="784" w:type="dxa"/>
            <w:vMerge/>
            <w:tcBorders>
              <w:left w:val="single" w:sz="4" w:space="0" w:color="000000"/>
              <w:right w:val="single" w:sz="4" w:space="0" w:color="000000"/>
            </w:tcBorders>
            <w:shd w:val="clear" w:color="auto" w:fill="D2D2D2"/>
          </w:tcPr>
          <w:p>
            <w:pPr/>
          </w:p>
        </w:tc>
      </w:tr>
      <w:tr>
        <w:trPr>
          <w:trHeight w:val="156" w:hRule="exact"/>
        </w:trPr>
        <w:tc>
          <w:tcPr>
            <w:tcW w:w="1721" w:type="dxa"/>
            <w:gridSpan w:val="2"/>
            <w:vMerge w:val="restart"/>
            <w:tcBorders>
              <w:top w:val="nil" w:sz="6" w:space="0" w:color="auto"/>
              <w:left w:val="single" w:sz="4" w:space="0" w:color="000000"/>
              <w:right w:val="single" w:sz="4" w:space="0" w:color="000000"/>
            </w:tcBorders>
            <w:shd w:val="clear" w:color="auto" w:fill="D2D2D2"/>
          </w:tcPr>
          <w:p>
            <w:pPr/>
          </w:p>
        </w:tc>
        <w:tc>
          <w:tcPr>
            <w:tcW w:w="902" w:type="dxa"/>
            <w:vMerge/>
            <w:tcBorders>
              <w:left w:val="single" w:sz="4" w:space="0" w:color="000000"/>
              <w:right w:val="single" w:sz="4" w:space="0" w:color="000000"/>
            </w:tcBorders>
            <w:shd w:val="clear" w:color="auto" w:fill="D2D2D2"/>
          </w:tcPr>
          <w:p>
            <w:pPr/>
          </w:p>
        </w:tc>
        <w:tc>
          <w:tcPr>
            <w:tcW w:w="923" w:type="dxa"/>
            <w:vMerge w:val="restart"/>
            <w:tcBorders>
              <w:top w:val="nil" w:sz="6" w:space="0" w:color="auto"/>
              <w:left w:val="single" w:sz="4" w:space="0" w:color="000000"/>
              <w:right w:val="single" w:sz="4" w:space="0" w:color="000000"/>
            </w:tcBorders>
            <w:shd w:val="clear" w:color="auto" w:fill="D2D2D2"/>
          </w:tcPr>
          <w:p>
            <w:pPr/>
          </w:p>
        </w:tc>
        <w:tc>
          <w:tcPr>
            <w:tcW w:w="1566" w:type="dxa"/>
            <w:vMerge w:val="restart"/>
            <w:tcBorders>
              <w:top w:val="nil" w:sz="6" w:space="0" w:color="auto"/>
              <w:left w:val="single" w:sz="4" w:space="0" w:color="000000"/>
              <w:right w:val="single" w:sz="4" w:space="0" w:color="000000"/>
            </w:tcBorders>
            <w:shd w:val="clear" w:color="auto" w:fill="D2D2D2"/>
          </w:tcPr>
          <w:p>
            <w:pPr/>
          </w:p>
        </w:tc>
        <w:tc>
          <w:tcPr>
            <w:tcW w:w="796" w:type="dxa"/>
            <w:vMerge/>
            <w:tcBorders>
              <w:left w:val="single" w:sz="4" w:space="0" w:color="000000"/>
              <w:bottom w:val="nil" w:sz="6" w:space="0" w:color="auto"/>
              <w:right w:val="single" w:sz="4" w:space="0" w:color="000000"/>
            </w:tcBorders>
            <w:shd w:val="clear" w:color="auto" w:fill="D2D2D2"/>
          </w:tcPr>
          <w:p>
            <w:pPr/>
          </w:p>
        </w:tc>
        <w:tc>
          <w:tcPr>
            <w:tcW w:w="1319" w:type="dxa"/>
            <w:vMerge w:val="restart"/>
            <w:tcBorders>
              <w:top w:val="nil" w:sz="6" w:space="0" w:color="auto"/>
              <w:left w:val="single" w:sz="4" w:space="0" w:color="000000"/>
              <w:right w:val="single" w:sz="4" w:space="0" w:color="000000"/>
            </w:tcBorders>
            <w:shd w:val="clear" w:color="auto" w:fill="D2D2D2"/>
          </w:tcPr>
          <w:p>
            <w:pPr/>
          </w:p>
        </w:tc>
        <w:tc>
          <w:tcPr>
            <w:tcW w:w="781" w:type="dxa"/>
            <w:vMerge w:val="restart"/>
            <w:tcBorders>
              <w:top w:val="nil" w:sz="6" w:space="0" w:color="auto"/>
              <w:left w:val="single" w:sz="4" w:space="0" w:color="000000"/>
              <w:right w:val="single" w:sz="4" w:space="0" w:color="000000"/>
            </w:tcBorders>
            <w:shd w:val="clear" w:color="auto" w:fill="D2D2D2"/>
          </w:tcPr>
          <w:p>
            <w:pPr/>
          </w:p>
        </w:tc>
        <w:tc>
          <w:tcPr>
            <w:tcW w:w="787" w:type="dxa"/>
            <w:vMerge/>
            <w:tcBorders>
              <w:left w:val="single" w:sz="4" w:space="0" w:color="000000"/>
              <w:bottom w:val="nil" w:sz="6" w:space="0" w:color="auto"/>
              <w:right w:val="single" w:sz="4" w:space="0" w:color="000000"/>
            </w:tcBorders>
            <w:shd w:val="clear" w:color="auto" w:fill="D2D2D2"/>
          </w:tcPr>
          <w:p>
            <w:pPr/>
          </w:p>
        </w:tc>
        <w:tc>
          <w:tcPr>
            <w:tcW w:w="784" w:type="dxa"/>
            <w:vMerge/>
            <w:tcBorders>
              <w:left w:val="single" w:sz="4" w:space="0" w:color="000000"/>
              <w:bottom w:val="nil" w:sz="6" w:space="0" w:color="auto"/>
              <w:right w:val="single" w:sz="4" w:space="0" w:color="000000"/>
            </w:tcBorders>
            <w:shd w:val="clear" w:color="auto" w:fill="D2D2D2"/>
          </w:tcPr>
          <w:p>
            <w:pPr/>
          </w:p>
        </w:tc>
      </w:tr>
      <w:tr>
        <w:trPr>
          <w:trHeight w:val="166" w:hRule="exact"/>
        </w:trPr>
        <w:tc>
          <w:tcPr>
            <w:tcW w:w="1721" w:type="dxa"/>
            <w:gridSpan w:val="2"/>
            <w:vMerge/>
            <w:tcBorders>
              <w:left w:val="single" w:sz="4" w:space="0" w:color="000000"/>
              <w:bottom w:val="single" w:sz="4" w:space="0" w:color="000000"/>
              <w:right w:val="single" w:sz="4" w:space="0" w:color="000000"/>
            </w:tcBorders>
            <w:shd w:val="clear" w:color="auto" w:fill="D2D2D2"/>
          </w:tcPr>
          <w:p>
            <w:pPr/>
          </w:p>
        </w:tc>
        <w:tc>
          <w:tcPr>
            <w:tcW w:w="902" w:type="dxa"/>
            <w:vMerge/>
            <w:tcBorders>
              <w:left w:val="single" w:sz="4" w:space="0" w:color="000000"/>
              <w:bottom w:val="single" w:sz="4" w:space="0" w:color="000000"/>
              <w:right w:val="single" w:sz="4" w:space="0" w:color="000000"/>
            </w:tcBorders>
            <w:shd w:val="clear" w:color="auto" w:fill="D2D2D2"/>
          </w:tcPr>
          <w:p>
            <w:pPr/>
          </w:p>
        </w:tc>
        <w:tc>
          <w:tcPr>
            <w:tcW w:w="923" w:type="dxa"/>
            <w:vMerge/>
            <w:tcBorders>
              <w:left w:val="single" w:sz="4" w:space="0" w:color="000000"/>
              <w:bottom w:val="single" w:sz="4" w:space="0" w:color="000000"/>
              <w:right w:val="single" w:sz="4" w:space="0" w:color="000000"/>
            </w:tcBorders>
            <w:shd w:val="clear" w:color="auto" w:fill="D2D2D2"/>
          </w:tcPr>
          <w:p>
            <w:pPr/>
          </w:p>
        </w:tc>
        <w:tc>
          <w:tcPr>
            <w:tcW w:w="1566" w:type="dxa"/>
            <w:vMerge/>
            <w:tcBorders>
              <w:left w:val="single" w:sz="4" w:space="0" w:color="000000"/>
              <w:bottom w:val="single" w:sz="4" w:space="0" w:color="000000"/>
              <w:right w:val="single" w:sz="4" w:space="0" w:color="000000"/>
            </w:tcBorders>
            <w:shd w:val="clear" w:color="auto" w:fill="D2D2D2"/>
          </w:tcPr>
          <w:p>
            <w:pPr/>
          </w:p>
        </w:tc>
        <w:tc>
          <w:tcPr>
            <w:tcW w:w="7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9"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c>
          <w:tcPr>
            <w:tcW w:w="787" w:type="dxa"/>
            <w:tcBorders>
              <w:top w:val="nil" w:sz="6" w:space="0" w:color="auto"/>
              <w:left w:val="single" w:sz="4" w:space="0" w:color="000000"/>
              <w:bottom w:val="single" w:sz="4" w:space="0" w:color="000000"/>
              <w:right w:val="single" w:sz="4" w:space="0" w:color="000000"/>
            </w:tcBorders>
            <w:shd w:val="clear" w:color="auto" w:fill="D2D2D2"/>
          </w:tcPr>
          <w:p>
            <w:pPr/>
          </w:p>
        </w:tc>
        <w:tc>
          <w:tcPr>
            <w:tcW w:w="7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6" w:hRule="exact"/>
        </w:trPr>
        <w:tc>
          <w:tcPr>
            <w:tcW w:w="9578" w:type="dxa"/>
            <w:gridSpan w:val="10"/>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5" w:hRule="exact"/>
        </w:trPr>
        <w:tc>
          <w:tcPr>
            <w:tcW w:w="262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488"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3,000</w:t>
            </w:r>
          </w:p>
        </w:tc>
        <w:tc>
          <w:tcPr>
            <w:tcW w:w="211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5" w:right="107"/>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1,161.24</w:t>
            </w:r>
          </w:p>
        </w:tc>
      </w:tr>
      <w:tr>
        <w:trPr>
          <w:trHeight w:val="714" w:hRule="exact"/>
        </w:trPr>
        <w:tc>
          <w:tcPr>
            <w:tcW w:w="262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7"/>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488"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42,600</w:t>
            </w:r>
          </w:p>
        </w:tc>
        <w:tc>
          <w:tcPr>
            <w:tcW w:w="211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5" w:right="107"/>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28,783.45</w:t>
            </w:r>
          </w:p>
        </w:tc>
      </w:tr>
      <w:tr>
        <w:trPr>
          <w:trHeight w:val="407" w:hRule="exact"/>
        </w:trPr>
        <w:tc>
          <w:tcPr>
            <w:tcW w:w="511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467" w:type="dxa"/>
            <w:gridSpan w:val="5"/>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9.95%</w:t>
            </w:r>
          </w:p>
        </w:tc>
      </w:tr>
      <w:tr>
        <w:trPr>
          <w:trHeight w:val="397" w:hRule="exact"/>
        </w:trPr>
        <w:tc>
          <w:tcPr>
            <w:tcW w:w="9578" w:type="dxa"/>
            <w:gridSpan w:val="10"/>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2" w:hRule="exact"/>
        </w:trPr>
        <w:tc>
          <w:tcPr>
            <w:tcW w:w="7227"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7227"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27,590</w:t>
            </w:r>
          </w:p>
        </w:tc>
      </w:tr>
      <w:tr>
        <w:trPr>
          <w:trHeight w:val="402" w:hRule="exact"/>
        </w:trPr>
        <w:tc>
          <w:tcPr>
            <w:tcW w:w="7227"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27,590</w:t>
            </w:r>
          </w:p>
        </w:tc>
      </w:tr>
      <w:tr>
        <w:trPr>
          <w:trHeight w:val="402" w:hRule="exact"/>
        </w:trPr>
        <w:tc>
          <w:tcPr>
            <w:tcW w:w="7227"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对未到期担保，报告期内已发生担保责任或可能承担连带清偿责任的情况说明（如有）</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7227"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2351"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50"/>
              <w:ind w:right="19"/>
              <w:jc w:val="righ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357" w:lineRule="auto" w:before="49"/>
        <w:ind w:right="8054"/>
        <w:jc w:val="left"/>
      </w:pPr>
      <w:r>
        <w:rPr/>
        <w:t>采用复合方式担保的具体情况说明 无</w:t>
      </w:r>
    </w:p>
    <w:p>
      <w:pPr>
        <w:spacing w:line="240" w:lineRule="auto" w:before="6"/>
        <w:rPr>
          <w:rFonts w:ascii="宋体" w:hAnsi="宋体" w:cs="宋体" w:eastAsia="宋体" w:hint="default"/>
          <w:sz w:val="20"/>
          <w:szCs w:val="20"/>
        </w:rPr>
      </w:pPr>
    </w:p>
    <w:p>
      <w:pPr>
        <w:pStyle w:val="Heading3"/>
        <w:spacing w:line="240" w:lineRule="auto"/>
        <w:ind w:right="2602"/>
        <w:jc w:val="left"/>
        <w:rPr>
          <w:b w:val="0"/>
          <w:bCs w:val="0"/>
        </w:rPr>
      </w:pPr>
      <w:bookmarkStart w:name="（2）违规对外担保情况" w:id="95"/>
      <w:bookmarkEnd w:id="95"/>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80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公司报告期无违规对外担保情况。</w:t>
      </w:r>
    </w:p>
    <w:p>
      <w:pPr>
        <w:spacing w:after="0" w:line="3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3、委托他人进行现金资产管理情况" w:id="96"/>
      <w:bookmarkEnd w:id="96"/>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委托理财情况" w:id="97"/>
      <w:bookmarkEnd w:id="97"/>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公司报告期不存在委托理财。</w:t>
      </w:r>
    </w:p>
    <w:p>
      <w:pPr>
        <w:spacing w:line="240" w:lineRule="auto" w:before="3"/>
        <w:rPr>
          <w:rFonts w:ascii="宋体" w:hAnsi="宋体" w:cs="宋体" w:eastAsia="宋体" w:hint="default"/>
          <w:sz w:val="21"/>
          <w:szCs w:val="21"/>
        </w:rPr>
      </w:pPr>
    </w:p>
    <w:p>
      <w:pPr>
        <w:pStyle w:val="Heading3"/>
        <w:spacing w:line="240" w:lineRule="auto"/>
        <w:ind w:right="2602"/>
        <w:jc w:val="left"/>
        <w:rPr>
          <w:b w:val="0"/>
          <w:bCs w:val="0"/>
        </w:rPr>
      </w:pPr>
      <w:bookmarkStart w:name="（2）委托贷款情况" w:id="98"/>
      <w:bookmarkEnd w:id="98"/>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公司报告期不存在委托贷款。</w:t>
      </w:r>
    </w:p>
    <w:p>
      <w:pPr>
        <w:spacing w:line="240" w:lineRule="auto" w:before="6"/>
        <w:rPr>
          <w:rFonts w:ascii="宋体" w:hAnsi="宋体" w:cs="宋体" w:eastAsia="宋体" w:hint="default"/>
          <w:sz w:val="21"/>
          <w:szCs w:val="21"/>
        </w:rPr>
      </w:pPr>
    </w:p>
    <w:p>
      <w:pPr>
        <w:pStyle w:val="Heading3"/>
        <w:spacing w:line="240" w:lineRule="auto"/>
        <w:ind w:right="2602"/>
        <w:jc w:val="left"/>
        <w:rPr>
          <w:b w:val="0"/>
          <w:bCs w:val="0"/>
        </w:rPr>
      </w:pPr>
      <w:bookmarkStart w:name="4、其他重大合同" w:id="99"/>
      <w:bookmarkEnd w:id="99"/>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80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公司报告期不存在其他重大合同。</w:t>
      </w:r>
    </w:p>
    <w:p>
      <w:pPr>
        <w:spacing w:line="240" w:lineRule="auto" w:before="6"/>
        <w:rPr>
          <w:rFonts w:ascii="宋体" w:hAnsi="宋体" w:cs="宋体" w:eastAsia="宋体" w:hint="default"/>
          <w:sz w:val="19"/>
          <w:szCs w:val="19"/>
        </w:rPr>
      </w:pPr>
    </w:p>
    <w:p>
      <w:pPr>
        <w:pStyle w:val="Heading2"/>
        <w:spacing w:line="240" w:lineRule="auto"/>
        <w:ind w:right="2602"/>
        <w:jc w:val="left"/>
        <w:rPr>
          <w:b w:val="0"/>
          <w:bCs w:val="0"/>
        </w:rPr>
      </w:pPr>
      <w:bookmarkStart w:name="十七、社会责任情况" w:id="100"/>
      <w:bookmarkEnd w:id="100"/>
      <w:r>
        <w:rPr>
          <w:b w:val="0"/>
          <w:bCs w:val="0"/>
        </w:rPr>
      </w:r>
      <w:r>
        <w:rPr/>
        <w:t>十七、社会责任情况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履行社会责任情况" w:id="101"/>
      <w:bookmarkEnd w:id="101"/>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513" w:right="2602"/>
        <w:jc w:val="left"/>
      </w:pPr>
      <w:r>
        <w:rPr/>
        <w:t>（</w:t>
      </w:r>
      <w:r>
        <w:rPr>
          <w:rFonts w:ascii="Times New Roman" w:hAnsi="Times New Roman" w:cs="Times New Roman" w:eastAsia="Times New Roman" w:hint="default"/>
        </w:rPr>
        <w:t>1</w:t>
      </w:r>
      <w:r>
        <w:rPr/>
        <w:t>）股东权益保护</w:t>
      </w:r>
    </w:p>
    <w:p>
      <w:pPr>
        <w:pStyle w:val="BodyText"/>
        <w:spacing w:line="340" w:lineRule="auto" w:before="103"/>
        <w:ind w:left="513" w:right="0"/>
        <w:jc w:val="left"/>
      </w:pPr>
      <w:r>
        <w:rPr>
          <w:rFonts w:ascii="Times New Roman" w:hAnsi="Times New Roman" w:cs="Times New Roman" w:eastAsia="Times New Roman" w:hint="default"/>
        </w:rPr>
        <w:t>1</w:t>
      </w:r>
      <w:r>
        <w:rPr/>
        <w:t>）完善公司治理结构，维护股东权益 </w:t>
      </w:r>
      <w:r>
        <w:rPr>
          <w:spacing w:val="-9"/>
        </w:rPr>
        <w:t>公司严格按照《公司法》、《证券法》、《上市公司治理准则》等有关法律法规的要求，积极推进内控体系建设，不断完善</w:t>
      </w:r>
    </w:p>
    <w:p>
      <w:pPr>
        <w:pStyle w:val="BodyText"/>
        <w:spacing w:line="316" w:lineRule="auto" w:before="1"/>
        <w:ind w:right="0"/>
        <w:jc w:val="left"/>
      </w:pPr>
      <w:r>
        <w:rPr>
          <w:spacing w:val="-2"/>
        </w:rPr>
        <w:t>公司法人治理结构，建立健全的公司内部控制制度，明确公司股东大会、董事会、监事会及经营管理层各自应履行的职责和</w:t>
      </w:r>
      <w:r>
        <w:rPr>
          <w:spacing w:val="-64"/>
        </w:rPr>
        <w:t> </w:t>
      </w:r>
      <w:r>
        <w:rPr>
          <w:spacing w:val="-64"/>
        </w:rPr>
      </w:r>
      <w:r>
        <w:rPr/>
        <w:t>议事规则，为公司规范运作提供了更强有力的制度保障，并有效地增强了决策的公正性和科学性。</w:t>
      </w:r>
    </w:p>
    <w:p>
      <w:pPr>
        <w:pStyle w:val="BodyText"/>
        <w:spacing w:line="240" w:lineRule="auto" w:before="57"/>
        <w:ind w:left="513" w:right="2602"/>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年，公司累计召开股东大会</w:t>
      </w:r>
      <w:r>
        <w:rPr>
          <w:spacing w:val="-45"/>
        </w:rPr>
        <w:t> </w:t>
      </w:r>
      <w:r>
        <w:rPr>
          <w:rFonts w:ascii="Times New Roman" w:hAnsi="Times New Roman" w:cs="Times New Roman" w:eastAsia="Times New Roman" w:hint="default"/>
        </w:rPr>
        <w:t>9 </w:t>
      </w:r>
      <w:r>
        <w:rPr/>
        <w:t>次、董事会会议</w:t>
      </w:r>
      <w:r>
        <w:rPr>
          <w:spacing w:val="-48"/>
        </w:rPr>
        <w:t> </w:t>
      </w:r>
      <w:r>
        <w:rPr>
          <w:rFonts w:ascii="Times New Roman" w:hAnsi="Times New Roman" w:cs="Times New Roman" w:eastAsia="Times New Roman" w:hint="default"/>
        </w:rPr>
        <w:t>17 </w:t>
      </w:r>
      <w:r>
        <w:rPr/>
        <w:t>次、监事会会议</w:t>
      </w:r>
      <w:r>
        <w:rPr>
          <w:spacing w:val="-46"/>
        </w:rPr>
        <w:t> </w:t>
      </w:r>
      <w:r>
        <w:rPr>
          <w:rFonts w:ascii="Times New Roman" w:hAnsi="Times New Roman" w:cs="Times New Roman" w:eastAsia="Times New Roman" w:hint="default"/>
        </w:rPr>
        <w:t>8 </w:t>
      </w:r>
      <w:r>
        <w:rPr/>
        <w:t>次。</w:t>
      </w:r>
    </w:p>
    <w:p>
      <w:pPr>
        <w:pStyle w:val="BodyText"/>
        <w:spacing w:line="340" w:lineRule="auto" w:before="103"/>
        <w:ind w:left="513" w:right="0"/>
        <w:jc w:val="left"/>
      </w:pPr>
      <w:r>
        <w:rPr>
          <w:rFonts w:ascii="Times New Roman" w:hAnsi="Times New Roman" w:cs="Times New Roman" w:eastAsia="Times New Roman" w:hint="default"/>
        </w:rPr>
        <w:t>2</w:t>
      </w:r>
      <w:r>
        <w:rPr/>
        <w:t>）重视投资者关系管理，维护股东利益 </w:t>
      </w:r>
      <w:r>
        <w:rPr>
          <w:spacing w:val="-2"/>
        </w:rPr>
        <w:t>股东是企业发展的基石，维护股东利益，特别是中小股东的合法利益，提升投资者对公司的信心，是企业健康发展的必</w:t>
      </w:r>
    </w:p>
    <w:p>
      <w:pPr>
        <w:pStyle w:val="BodyText"/>
        <w:spacing w:line="316" w:lineRule="auto" w:before="1"/>
        <w:ind w:right="1130"/>
        <w:jc w:val="both"/>
      </w:pPr>
      <w:r>
        <w:rPr>
          <w:spacing w:val="-2"/>
        </w:rPr>
        <w:t>备条件。公司高度重视投资者关系管理工作，本着真实、准确、完整、及时、公平的原则，积极履行信息披露义务，增强资</w:t>
      </w:r>
      <w:r>
        <w:rPr>
          <w:spacing w:val="-65"/>
        </w:rPr>
        <w:t> </w:t>
      </w:r>
      <w:r>
        <w:rPr>
          <w:spacing w:val="-65"/>
        </w:rPr>
      </w:r>
      <w:r>
        <w:rPr>
          <w:spacing w:val="-5"/>
        </w:rPr>
        <w:t>本市场的正能量，塑造公司在资本市场的诚信形象。公司通过投资者热线电话、投资者专用电子邮箱、深交所互动平台问答、</w:t>
      </w:r>
      <w:r>
        <w:rPr>
          <w:spacing w:val="-75"/>
        </w:rPr>
        <w:t> </w:t>
      </w:r>
      <w:r>
        <w:rPr>
          <w:spacing w:val="-75"/>
        </w:rPr>
      </w:r>
      <w:r>
        <w:rPr>
          <w:spacing w:val="-5"/>
        </w:rPr>
        <w:t>现场调研、股东大会、业绩说明会、微信公众号、公司网站等多渠道、多层次的方式，与投资者形成了良性的、有效的互动，</w:t>
      </w:r>
      <w:r>
        <w:rPr>
          <w:spacing w:val="-82"/>
        </w:rPr>
        <w:t> </w:t>
      </w:r>
      <w:r>
        <w:rPr>
          <w:spacing w:val="-82"/>
        </w:rPr>
      </w:r>
      <w:r>
        <w:rPr/>
        <w:t>提高了投资者对公司的关注度和认知度。</w:t>
      </w:r>
    </w:p>
    <w:p>
      <w:pPr>
        <w:pStyle w:val="BodyText"/>
        <w:spacing w:line="240" w:lineRule="auto" w:before="57"/>
        <w:ind w:left="513" w:right="0"/>
        <w:jc w:val="left"/>
      </w:pPr>
      <w:r>
        <w:rPr/>
        <w:t>万达信息于</w:t>
      </w:r>
      <w:r>
        <w:rPr>
          <w:spacing w:val="-4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w:t>
      </w:r>
      <w:r>
        <w:rPr>
          <w:spacing w:val="-49"/>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t>月</w:t>
      </w:r>
      <w:r>
        <w:rPr>
          <w:spacing w:val="-49"/>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日举办了万达信息可转债发行网上路演，</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月</w:t>
      </w:r>
      <w:r>
        <w:rPr>
          <w:spacing w:val="-49"/>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日举办了万达信息</w:t>
      </w:r>
      <w:r>
        <w:rPr>
          <w:spacing w:val="-4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年度网上业</w:t>
      </w:r>
    </w:p>
    <w:p>
      <w:pPr>
        <w:pStyle w:val="BodyText"/>
        <w:spacing w:line="309" w:lineRule="auto" w:before="63"/>
        <w:ind w:right="1034"/>
        <w:jc w:val="left"/>
      </w:pPr>
      <w:r>
        <w:rPr/>
        <w:t>绩说明会，</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w:t>
      </w:r>
      <w:r>
        <w:rPr>
          <w:spacing w:val="-34"/>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2"/>
        </w:rPr>
        <w:t> </w:t>
      </w:r>
      <w:r>
        <w:rPr/>
        <w:t>月</w:t>
      </w:r>
      <w:r>
        <w:rPr>
          <w:spacing w:val="-34"/>
        </w:rPr>
        <w:t> </w:t>
      </w:r>
      <w:r>
        <w:rPr>
          <w:rFonts w:ascii="Times New Roman" w:hAnsi="Times New Roman" w:cs="Times New Roman" w:eastAsia="Times New Roman" w:hint="default"/>
        </w:rPr>
        <w:t>19</w:t>
      </w:r>
      <w:r>
        <w:rPr>
          <w:rFonts w:ascii="Times New Roman" w:hAnsi="Times New Roman" w:cs="Times New Roman" w:eastAsia="Times New Roman" w:hint="default"/>
          <w:spacing w:val="12"/>
        </w:rPr>
        <w:t> </w:t>
      </w:r>
      <w:r>
        <w:rPr/>
        <w:t>日举办了机构投资者接待活动。公司管理层与关心公司发展的广大股东展开了坦诚热烈的互动 交流。公司还通过各种方式，就公司未来的发展思路听取包括中小投资者在内的各类股东的意见和建议，传递公司的信息，</w:t>
      </w:r>
      <w:r>
        <w:rPr>
          <w:spacing w:val="-83"/>
        </w:rPr>
        <w:t> </w:t>
      </w:r>
      <w:r>
        <w:rPr>
          <w:spacing w:val="-83"/>
        </w:rPr>
      </w:r>
      <w:r>
        <w:rPr/>
        <w:t>与投资者保持良好的互动。</w:t>
      </w:r>
    </w:p>
    <w:p>
      <w:pPr>
        <w:pStyle w:val="BodyText"/>
        <w:spacing w:line="340" w:lineRule="auto" w:before="65"/>
        <w:ind w:left="513" w:right="0"/>
        <w:jc w:val="left"/>
      </w:pPr>
      <w:r>
        <w:rPr>
          <w:rFonts w:ascii="Times New Roman" w:hAnsi="Times New Roman" w:cs="Times New Roman" w:eastAsia="Times New Roman" w:hint="default"/>
        </w:rPr>
        <w:t>3</w:t>
      </w:r>
      <w:r>
        <w:rPr/>
        <w:t>）维护股价稳定，保护投资者利益 </w:t>
      </w:r>
      <w:r>
        <w:rPr>
          <w:spacing w:val="-2"/>
        </w:rPr>
        <w:t>报告期内，基于对公司未来的持续发展和长期投资价值的认可，为促进公司健康稳定和长远发展，增强公众投资者对公</w:t>
      </w:r>
    </w:p>
    <w:p>
      <w:pPr>
        <w:pStyle w:val="BodyText"/>
        <w:spacing w:line="316" w:lineRule="auto" w:before="1"/>
        <w:ind w:right="1121"/>
        <w:jc w:val="left"/>
      </w:pPr>
      <w:r>
        <w:rPr>
          <w:spacing w:val="-2"/>
        </w:rPr>
        <w:t>司的投资信心，维护广大投资者的利益，推动公司股票价值的合理回归，结合公司的经营、财务状况以及未来的盈利能力和</w:t>
      </w:r>
      <w:r>
        <w:rPr>
          <w:spacing w:val="-65"/>
        </w:rPr>
        <w:t> </w:t>
      </w:r>
      <w:r>
        <w:rPr>
          <w:spacing w:val="-65"/>
        </w:rPr>
      </w:r>
      <w:r>
        <w:rPr/>
        <w:t>发展前景，公司于</w:t>
      </w:r>
      <w:r>
        <w:rPr>
          <w:spacing w:val="-33"/>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3"/>
        </w:rPr>
        <w:t> </w:t>
      </w:r>
      <w:r>
        <w:rPr/>
        <w:t>年</w:t>
      </w:r>
      <w:r>
        <w:rPr>
          <w:spacing w:val="-33"/>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9"/>
        </w:rPr>
        <w:t> </w:t>
      </w:r>
      <w:r>
        <w:rPr>
          <w:spacing w:val="-3"/>
        </w:rPr>
        <w:t>月推出《回购公司股份预案》，拟采用回购股份的方式，以推进公司股票市场价格与内在价值</w:t>
      </w:r>
    </w:p>
    <w:p>
      <w:pPr>
        <w:pStyle w:val="BodyText"/>
        <w:spacing w:line="248" w:lineRule="exact"/>
        <w:ind w:right="0"/>
        <w:jc w:val="left"/>
      </w:pPr>
      <w:r>
        <w:rPr>
          <w:spacing w:val="-3"/>
        </w:rPr>
        <w:t>相匹配。截至</w:t>
      </w:r>
      <w:r>
        <w:rPr>
          <w:spacing w:val="-4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52"/>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6"/>
        </w:rPr>
        <w:t> </w:t>
      </w:r>
      <w:r>
        <w:rPr/>
        <w:t>月</w:t>
      </w:r>
      <w:r>
        <w:rPr>
          <w:spacing w:val="-50"/>
        </w:rPr>
        <w:t> </w:t>
      </w:r>
      <w:r>
        <w:rPr>
          <w:rFonts w:ascii="Times New Roman" w:hAnsi="Times New Roman" w:cs="Times New Roman" w:eastAsia="Times New Roman" w:hint="default"/>
        </w:rPr>
        <w:t>28</w:t>
      </w:r>
      <w:r>
        <w:rPr>
          <w:rFonts w:ascii="Times New Roman" w:hAnsi="Times New Roman" w:cs="Times New Roman" w:eastAsia="Times New Roman" w:hint="default"/>
          <w:spacing w:val="-6"/>
        </w:rPr>
        <w:t> </w:t>
      </w:r>
      <w:r>
        <w:rPr/>
        <w:t>日，公司累计以集中竞价交易方式回购公司股份</w:t>
      </w:r>
      <w:r>
        <w:rPr>
          <w:spacing w:val="-49"/>
        </w:rPr>
        <w:t> </w:t>
      </w:r>
      <w:r>
        <w:rPr>
          <w:rFonts w:ascii="Times New Roman" w:hAnsi="Times New Roman" w:cs="Times New Roman" w:eastAsia="Times New Roman" w:hint="default"/>
        </w:rPr>
        <w:t>2,563,415</w:t>
      </w:r>
      <w:r>
        <w:rPr>
          <w:rFonts w:ascii="Times New Roman" w:hAnsi="Times New Roman" w:cs="Times New Roman" w:eastAsia="Times New Roman" w:hint="default"/>
          <w:spacing w:val="-3"/>
        </w:rPr>
        <w:t> </w:t>
      </w:r>
      <w:r>
        <w:rPr/>
        <w:t>股，占公司总股本的</w:t>
      </w:r>
      <w:r>
        <w:rPr>
          <w:spacing w:val="-49"/>
        </w:rPr>
        <w:t> </w:t>
      </w:r>
      <w:r>
        <w:rPr>
          <w:rFonts w:ascii="Times New Roman" w:hAnsi="Times New Roman" w:cs="Times New Roman" w:eastAsia="Times New Roman" w:hint="default"/>
        </w:rPr>
        <w:t>0.22%</w:t>
      </w:r>
      <w:r>
        <w:rPr/>
        <w:t>，最高</w:t>
      </w:r>
    </w:p>
    <w:p>
      <w:pPr>
        <w:pStyle w:val="BodyText"/>
        <w:spacing w:line="240" w:lineRule="auto" w:before="62"/>
        <w:ind w:right="2602"/>
        <w:jc w:val="left"/>
      </w:pPr>
      <w:r>
        <w:rPr/>
        <w:t>成交价为</w:t>
      </w:r>
      <w:r>
        <w:rPr>
          <w:spacing w:val="-50"/>
        </w:rPr>
        <w:t> </w:t>
      </w:r>
      <w:r>
        <w:rPr>
          <w:rFonts w:ascii="Times New Roman" w:hAnsi="Times New Roman" w:cs="Times New Roman" w:eastAsia="Times New Roman" w:hint="default"/>
        </w:rPr>
        <w:t>11.93</w:t>
      </w:r>
      <w:r>
        <w:rPr>
          <w:rFonts w:ascii="Times New Roman" w:hAnsi="Times New Roman" w:cs="Times New Roman" w:eastAsia="Times New Roman" w:hint="default"/>
          <w:spacing w:val="-5"/>
        </w:rPr>
        <w:t> </w:t>
      </w:r>
      <w:r>
        <w:rPr/>
        <w:t>元</w:t>
      </w:r>
      <w:r>
        <w:rPr>
          <w:rFonts w:ascii="Times New Roman" w:hAnsi="Times New Roman" w:cs="Times New Roman" w:eastAsia="Times New Roman" w:hint="default"/>
        </w:rPr>
        <w:t>/</w:t>
      </w:r>
      <w:r>
        <w:rPr/>
        <w:t>股，最低成交价为</w:t>
      </w:r>
      <w:r>
        <w:rPr>
          <w:spacing w:val="-50"/>
        </w:rPr>
        <w:t> </w:t>
      </w:r>
      <w:r>
        <w:rPr>
          <w:rFonts w:ascii="Times New Roman" w:hAnsi="Times New Roman" w:cs="Times New Roman" w:eastAsia="Times New Roman" w:hint="default"/>
        </w:rPr>
        <w:t>11.12</w:t>
      </w:r>
      <w:r>
        <w:rPr>
          <w:rFonts w:ascii="Times New Roman" w:hAnsi="Times New Roman" w:cs="Times New Roman" w:eastAsia="Times New Roman" w:hint="default"/>
          <w:spacing w:val="-5"/>
        </w:rPr>
        <w:t> </w:t>
      </w:r>
      <w:r>
        <w:rPr/>
        <w:t>元</w:t>
      </w:r>
      <w:r>
        <w:rPr>
          <w:rFonts w:ascii="Times New Roman" w:hAnsi="Times New Roman" w:cs="Times New Roman" w:eastAsia="Times New Roman" w:hint="default"/>
        </w:rPr>
        <w:t>/</w:t>
      </w:r>
      <w:r>
        <w:rPr/>
        <w:t>股，支付总金额为</w:t>
      </w:r>
      <w:r>
        <w:rPr>
          <w:spacing w:val="-51"/>
        </w:rPr>
        <w:t> </w:t>
      </w:r>
      <w:r>
        <w:rPr>
          <w:rFonts w:ascii="Times New Roman" w:hAnsi="Times New Roman" w:cs="Times New Roman" w:eastAsia="Times New Roman" w:hint="default"/>
        </w:rPr>
        <w:t>29,984,265.25</w:t>
      </w:r>
      <w:r>
        <w:rPr>
          <w:rFonts w:ascii="Times New Roman" w:hAnsi="Times New Roman" w:cs="Times New Roman" w:eastAsia="Times New Roman" w:hint="default"/>
          <w:spacing w:val="-3"/>
        </w:rPr>
        <w:t> </w:t>
      </w:r>
      <w:r>
        <w:rPr/>
        <w:t>元（含交易费用）</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513" w:right="2602"/>
        <w:jc w:val="left"/>
      </w:pPr>
      <w:r>
        <w:rPr>
          <w:rFonts w:ascii="Times New Roman" w:hAnsi="Times New Roman" w:cs="Times New Roman" w:eastAsia="Times New Roman" w:hint="default"/>
        </w:rPr>
        <w:t>4</w:t>
      </w:r>
      <w:r>
        <w:rPr/>
        <w:t>）合理分配利润，积极回报投资者</w:t>
      </w:r>
    </w:p>
    <w:p>
      <w:pPr>
        <w:pStyle w:val="BodyText"/>
        <w:spacing w:line="316" w:lineRule="auto" w:before="104"/>
        <w:ind w:right="1128" w:firstLine="360"/>
        <w:jc w:val="both"/>
      </w:pPr>
      <w:r>
        <w:rPr>
          <w:spacing w:val="-2"/>
        </w:rPr>
        <w:t>《公司章程》中对利润分配的分配原则、分配形式、决策机制与程序、现金分红的具体条件、现金分红比例等内容均进</w:t>
      </w:r>
      <w:r>
        <w:rPr/>
        <w:t> </w:t>
      </w:r>
      <w:r>
        <w:rPr>
          <w:spacing w:val="-2"/>
        </w:rPr>
        <w:t>行了明确的规定。鉴于公司当前稳定的经营和盈利情况，以及公司未来发展的良好预期，为了回报公司股东，与广大投资者</w:t>
      </w:r>
      <w:r>
        <w:rPr>
          <w:spacing w:val="-65"/>
        </w:rPr>
        <w:t> </w:t>
      </w:r>
      <w:r>
        <w:rPr>
          <w:spacing w:val="-65"/>
        </w:rPr>
      </w:r>
      <w:r>
        <w:rPr>
          <w:spacing w:val="-3"/>
        </w:rPr>
        <w:t>共享公司发展的经营成果，公司</w:t>
      </w:r>
      <w:r>
        <w:rPr>
          <w:spacing w:val="-57"/>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1"/>
        </w:rPr>
        <w:t> </w:t>
      </w:r>
      <w:r>
        <w:rPr/>
        <w:t>年年度权益分派方案为：以公司现有总股本剔除已回购股份后</w:t>
      </w:r>
      <w:r>
        <w:rPr>
          <w:spacing w:val="-57"/>
        </w:rPr>
        <w:t> </w:t>
      </w:r>
      <w:r>
        <w:rPr>
          <w:rFonts w:ascii="Times New Roman" w:hAnsi="Times New Roman" w:cs="Times New Roman" w:eastAsia="Times New Roman" w:hint="default"/>
        </w:rPr>
        <w:t>1,096,886,273.00</w:t>
      </w:r>
      <w:r>
        <w:rPr>
          <w:rFonts w:ascii="Times New Roman" w:hAnsi="Times New Roman" w:cs="Times New Roman" w:eastAsia="Times New Roman" w:hint="default"/>
          <w:spacing w:val="-11"/>
        </w:rPr>
        <w:t> </w:t>
      </w:r>
      <w:r>
        <w:rPr/>
        <w:t>股为基</w:t>
      </w:r>
    </w:p>
    <w:p>
      <w:pPr>
        <w:pStyle w:val="BodyText"/>
        <w:spacing w:line="338" w:lineRule="auto"/>
        <w:ind w:left="513" w:right="0" w:hanging="361"/>
        <w:jc w:val="left"/>
      </w:pPr>
      <w:r>
        <w:rPr/>
        <w:t>数，向全体股东每</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spacing w:val="-2"/>
        </w:rPr>
        <w:t>股派</w:t>
      </w:r>
      <w:r>
        <w:rPr>
          <w:spacing w:val="-45"/>
        </w:rPr>
        <w:t> </w:t>
      </w:r>
      <w:r>
        <w:rPr>
          <w:rFonts w:ascii="Times New Roman" w:hAnsi="Times New Roman" w:cs="Times New Roman" w:eastAsia="Times New Roman" w:hint="default"/>
          <w:spacing w:val="-1"/>
        </w:rPr>
        <w:t>0.250000</w:t>
      </w:r>
      <w:r>
        <w:rPr>
          <w:rFonts w:ascii="Times New Roman" w:hAnsi="Times New Roman" w:cs="Times New Roman" w:eastAsia="Times New Roman" w:hint="default"/>
          <w:spacing w:val="3"/>
        </w:rPr>
        <w:t> </w:t>
      </w:r>
      <w:r>
        <w:rPr>
          <w:spacing w:val="-5"/>
        </w:rPr>
        <w:t>元人民币现金（含税）。本次权益分派已于</w:t>
      </w:r>
      <w:r>
        <w:rPr>
          <w:spacing w:val="-4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日实施完毕。</w:t>
      </w:r>
      <w:r>
        <w:rPr>
          <w:spacing w:val="-84"/>
        </w:rPr>
        <w:t> </w:t>
      </w:r>
      <w:r>
        <w:rPr>
          <w:rFonts w:ascii="Times New Roman" w:hAnsi="Times New Roman" w:cs="Times New Roman" w:eastAsia="Times New Roman" w:hint="default"/>
        </w:rPr>
        <w:t>5</w:t>
      </w:r>
      <w:r>
        <w:rPr/>
        <w:t>）建立内幕交易防控机制，对内幕交易坚决说“不” </w:t>
      </w:r>
      <w:r>
        <w:rPr>
          <w:spacing w:val="-2"/>
        </w:rPr>
        <w:t>为加强公司内幕信息管理，做好内幕信息保密工作，维护信息披露的公平原则，保护广大投资者的合法权益，根据《证</w:t>
      </w:r>
    </w:p>
    <w:p>
      <w:pPr>
        <w:pStyle w:val="BodyText"/>
        <w:spacing w:line="316" w:lineRule="auto" w:before="2"/>
        <w:ind w:right="1131"/>
        <w:jc w:val="both"/>
      </w:pPr>
      <w:r>
        <w:rPr>
          <w:spacing w:val="-8"/>
        </w:rPr>
        <w:t>券法》、《公司法》、《上市公司信息披露管理办法》等法律法规的规定，公司不断加强对信息披露工作的管理，切实做到严格</w:t>
      </w:r>
      <w:r>
        <w:rPr/>
        <w:t> </w:t>
      </w:r>
      <w:r>
        <w:rPr>
          <w:spacing w:val="-2"/>
        </w:rPr>
        <w:t>执行未公开信息的传递、审核、披露流程，有效落实内幕信息知情人报备制度，从而防范内幕信息知情人和非法获取内幕信</w:t>
      </w:r>
      <w:r>
        <w:rPr>
          <w:spacing w:val="-64"/>
        </w:rPr>
        <w:t> </w:t>
      </w:r>
      <w:r>
        <w:rPr>
          <w:spacing w:val="-64"/>
        </w:rPr>
      </w:r>
      <w:r>
        <w:rPr/>
        <w:t>息的人员利用内幕信息从事证券交易活动，坚决杜绝内幕交易行为。</w:t>
      </w:r>
    </w:p>
    <w:p>
      <w:pPr>
        <w:pStyle w:val="BodyText"/>
        <w:spacing w:line="319" w:lineRule="auto" w:before="59"/>
        <w:ind w:right="0" w:firstLine="360"/>
        <w:jc w:val="left"/>
      </w:pPr>
      <w:r>
        <w:rPr>
          <w:spacing w:val="-2"/>
        </w:rPr>
        <w:t>为了防范内幕交易，公司积极组织董事、监事及高级管理人员参加交易所、证监局、上市公司协会等监管部门组织的培</w:t>
      </w:r>
      <w:r>
        <w:rPr/>
        <w:t> </w:t>
      </w:r>
      <w:r>
        <w:rPr>
          <w:spacing w:val="-2"/>
        </w:rPr>
        <w:t>训学习活动。针对内幕信息知情人，经常组织内部学习、交流活动、窗口期提醒等。通过实际案例的学习、敏感期的温馨提</w:t>
      </w:r>
      <w:r>
        <w:rPr>
          <w:spacing w:val="-68"/>
        </w:rPr>
        <w:t> </w:t>
      </w:r>
      <w:r>
        <w:rPr>
          <w:spacing w:val="-68"/>
        </w:rPr>
      </w:r>
      <w:r>
        <w:rPr>
          <w:spacing w:val="-4"/>
        </w:rPr>
        <w:t>示等方式进一步提高董事、监事和高级管理人员及其他相关内幕信息知情人的自律意识和工作的规范性，不断促进公司董事、</w:t>
      </w:r>
      <w:r>
        <w:rPr>
          <w:spacing w:val="-44"/>
        </w:rPr>
        <w:t> </w:t>
      </w:r>
      <w:r>
        <w:rPr>
          <w:spacing w:val="-44"/>
        </w:rPr>
      </w:r>
      <w:r>
        <w:rPr/>
        <w:t>监事和高级管理人员忠实、勤勉、尽责地履行职责。</w:t>
      </w:r>
    </w:p>
    <w:p>
      <w:pPr>
        <w:pStyle w:val="BodyText"/>
        <w:spacing w:line="340" w:lineRule="auto" w:before="55"/>
        <w:ind w:left="513" w:right="0"/>
        <w:jc w:val="left"/>
      </w:pPr>
      <w:r>
        <w:rPr/>
        <w:t>（</w:t>
      </w:r>
      <w:r>
        <w:rPr>
          <w:rFonts w:ascii="Times New Roman" w:hAnsi="Times New Roman" w:cs="Times New Roman" w:eastAsia="Times New Roman" w:hint="default"/>
        </w:rPr>
        <w:t>2</w:t>
      </w:r>
      <w:r>
        <w:rPr/>
        <w:t>）债权人权益保护 </w:t>
      </w:r>
      <w:r>
        <w:rPr>
          <w:spacing w:val="-2"/>
        </w:rPr>
        <w:t>公司在注重对股东权益保护的同时，重视对债权人合法权益的保护。在公司的经营决策过程中，万达信息奉行稳健诚信</w:t>
      </w:r>
    </w:p>
    <w:p>
      <w:pPr>
        <w:pStyle w:val="BodyText"/>
        <w:spacing w:line="316" w:lineRule="auto" w:before="1"/>
        <w:ind w:right="1130"/>
        <w:jc w:val="both"/>
      </w:pPr>
      <w:r>
        <w:rPr>
          <w:spacing w:val="-2"/>
        </w:rPr>
        <w:t>的经营策略，控制自身的经营风险，确保公司财务稳健，保障公司资产、资金安全，在追求股东利益最大化的同时兼顾债权</w:t>
      </w:r>
      <w:r>
        <w:rPr>
          <w:spacing w:val="-67"/>
        </w:rPr>
        <w:t> </w:t>
      </w:r>
      <w:r>
        <w:rPr>
          <w:spacing w:val="-67"/>
        </w:rPr>
      </w:r>
      <w:r>
        <w:rPr>
          <w:spacing w:val="-2"/>
        </w:rPr>
        <w:t>人的利益。在企业日常经营中，公司充分考虑债权人的合法权益，严格按照与债权人签订的合同履行债务，及时向债权人通</w:t>
      </w:r>
      <w:r>
        <w:rPr>
          <w:spacing w:val="-64"/>
        </w:rPr>
        <w:t> </w:t>
      </w:r>
      <w:r>
        <w:rPr>
          <w:spacing w:val="-64"/>
        </w:rPr>
      </w:r>
      <w:r>
        <w:rPr>
          <w:spacing w:val="-2"/>
        </w:rPr>
        <w:t>报与其债权权益相关的重大信息，未发生到期债务未及时偿还的行为。当债权人为维护自身利益向公司了解有关财务、经营</w:t>
      </w:r>
      <w:r>
        <w:rPr>
          <w:spacing w:val="-63"/>
        </w:rPr>
        <w:t> </w:t>
      </w:r>
      <w:r>
        <w:rPr>
          <w:spacing w:val="-63"/>
        </w:rPr>
      </w:r>
      <w:r>
        <w:rPr/>
        <w:t>和管理等情况时，公司积极配合并予以相关支持。</w:t>
      </w:r>
    </w:p>
    <w:p>
      <w:pPr>
        <w:pStyle w:val="BodyText"/>
        <w:spacing w:line="240" w:lineRule="auto" w:before="59"/>
        <w:ind w:left="513" w:right="2602"/>
        <w:jc w:val="left"/>
      </w:pPr>
      <w:r>
        <w:rPr/>
        <w:t>（</w:t>
      </w:r>
      <w:r>
        <w:rPr>
          <w:rFonts w:ascii="Times New Roman" w:hAnsi="Times New Roman" w:cs="Times New Roman" w:eastAsia="Times New Roman" w:hint="default"/>
        </w:rPr>
        <w:t>3</w:t>
      </w:r>
      <w:r>
        <w:rPr/>
        <w:t>）职工权益保护</w:t>
      </w:r>
    </w:p>
    <w:p>
      <w:pPr>
        <w:pStyle w:val="BodyText"/>
        <w:spacing w:line="340" w:lineRule="auto" w:before="101"/>
        <w:ind w:left="513" w:right="1119"/>
        <w:jc w:val="left"/>
      </w:pPr>
      <w:r>
        <w:rPr>
          <w:rFonts w:ascii="Times New Roman" w:hAnsi="Times New Roman" w:cs="Times New Roman" w:eastAsia="Times New Roman" w:hint="default"/>
        </w:rPr>
        <w:t>1</w:t>
      </w:r>
      <w:r>
        <w:rPr/>
        <w:t>）劳动保障 </w:t>
      </w:r>
      <w:r>
        <w:rPr>
          <w:spacing w:val="-9"/>
        </w:rPr>
        <w:t>在保障员工合法权益方面，公司严格遵守《劳动法》、《劳动合同法》、《工会法》等法律法规的要求，建立了一系列劳动</w:t>
      </w:r>
    </w:p>
    <w:p>
      <w:pPr>
        <w:pStyle w:val="BodyText"/>
        <w:spacing w:line="316" w:lineRule="auto" w:before="1"/>
        <w:ind w:right="1129"/>
        <w:jc w:val="both"/>
      </w:pPr>
      <w:r>
        <w:rPr>
          <w:spacing w:val="-2"/>
        </w:rPr>
        <w:t>管理制度，依法与员工签订《劳动合同》，并按照国家和地方法律法规为员工办理了医疗、养老、失业、工伤、生育等社会</w:t>
      </w:r>
      <w:r>
        <w:rPr>
          <w:spacing w:val="-65"/>
        </w:rPr>
        <w:t> </w:t>
      </w:r>
      <w:r>
        <w:rPr>
          <w:spacing w:val="-65"/>
        </w:rPr>
      </w:r>
      <w:r>
        <w:rPr>
          <w:spacing w:val="-2"/>
        </w:rPr>
        <w:t>保险，并为员工缴纳住房公积金、补充住房公积金，认真执行员工法定假期、婚假、丧假、产假、工伤假等制度，为员工提</w:t>
      </w:r>
      <w:r>
        <w:rPr>
          <w:spacing w:val="-65"/>
        </w:rPr>
        <w:t> </w:t>
      </w:r>
      <w:r>
        <w:rPr>
          <w:spacing w:val="-65"/>
        </w:rPr>
      </w:r>
      <w:r>
        <w:rPr/>
        <w:t>供健康、有保障的工作环境。</w:t>
      </w:r>
    </w:p>
    <w:p>
      <w:pPr>
        <w:pStyle w:val="BodyText"/>
        <w:spacing w:line="316" w:lineRule="auto" w:before="59"/>
        <w:ind w:right="1132" w:firstLine="360"/>
        <w:jc w:val="both"/>
      </w:pPr>
      <w:r>
        <w:rPr>
          <w:spacing w:val="-2"/>
        </w:rPr>
        <w:t>对工资、福利、社会保险等涉及职工切身利益的事项，公司通过职工代表大会及其他多种方式积极听取员工的意见和建</w:t>
      </w:r>
      <w:r>
        <w:rPr/>
        <w:t> 议，建立员工的企业责任感和主人翁意识，维护员工的合法权益，构建和谐稳定的劳资关系。</w:t>
      </w:r>
    </w:p>
    <w:p>
      <w:pPr>
        <w:pStyle w:val="BodyText"/>
        <w:spacing w:line="340" w:lineRule="auto" w:before="57"/>
        <w:ind w:left="513" w:right="1119"/>
        <w:jc w:val="left"/>
      </w:pPr>
      <w:r>
        <w:rPr>
          <w:rFonts w:ascii="Times New Roman" w:hAnsi="Times New Roman" w:cs="Times New Roman" w:eastAsia="Times New Roman" w:hint="default"/>
        </w:rPr>
        <w:t>2</w:t>
      </w:r>
      <w:r>
        <w:rPr/>
        <w:t>）薪酬福利 </w:t>
      </w:r>
      <w:r>
        <w:rPr>
          <w:spacing w:val="-2"/>
        </w:rPr>
        <w:t>公司薪酬政策以市场竞争性为导向，以效益为依托，以经济性、公平性、正向激励性为原则，基于责任与能力、关注结</w:t>
      </w:r>
    </w:p>
    <w:p>
      <w:pPr>
        <w:pStyle w:val="BodyText"/>
        <w:spacing w:line="316" w:lineRule="auto" w:before="1"/>
        <w:ind w:right="1034"/>
        <w:jc w:val="left"/>
      </w:pPr>
      <w:r>
        <w:rPr>
          <w:spacing w:val="-2"/>
        </w:rPr>
        <w:t>果，鼓励员工主动迎接挑战、兑现承诺，促进公司与员工共同的发展与成长。公司薪酬由基本能力工资、职务工资、绩效奖</w:t>
      </w:r>
      <w:r>
        <w:rPr>
          <w:spacing w:val="-66"/>
        </w:rPr>
        <w:t> </w:t>
      </w:r>
      <w:r>
        <w:rPr>
          <w:spacing w:val="-66"/>
        </w:rPr>
      </w:r>
      <w:r>
        <w:rPr>
          <w:spacing w:val="-2"/>
        </w:rPr>
        <w:t>金构成。基本能力工资根据个人能力和从事工作的类别确定，与任职资格体系挂钩。职务工资根据个人承担的责任，按工作</w:t>
      </w:r>
      <w:r>
        <w:rPr>
          <w:spacing w:val="-64"/>
        </w:rPr>
        <w:t> </w:t>
      </w:r>
      <w:r>
        <w:rPr>
          <w:spacing w:val="-64"/>
        </w:rPr>
      </w:r>
      <w:r>
        <w:rPr/>
        <w:t>的内容、难易程度、责任轻重，压力大小等因素确定。绩效奖金与公司年度经营目标挂钩，有效结合员工利益与公司效益，</w:t>
      </w:r>
      <w:r>
        <w:rPr>
          <w:spacing w:val="-83"/>
        </w:rPr>
        <w:t> </w:t>
      </w:r>
      <w:r>
        <w:rPr>
          <w:spacing w:val="-83"/>
        </w:rPr>
      </w:r>
      <w:r>
        <w:rPr/>
        <w:t>激发员工的潜力和活力。为进一步吸引和保留核心骨干人才，建立员工激励体制，促进公司的长远发展。</w:t>
      </w:r>
    </w:p>
    <w:p>
      <w:pPr>
        <w:pStyle w:val="BodyText"/>
        <w:spacing w:line="300" w:lineRule="auto" w:before="60"/>
        <w:ind w:right="1135"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19"/>
        </w:rPr>
        <w:t> </w:t>
      </w:r>
      <w:r>
        <w:rPr/>
        <w:t>年下半年中国人寿入驻万达信息后，启动</w:t>
      </w:r>
      <w:r>
        <w:rPr>
          <w:rFonts w:ascii="Times New Roman" w:hAnsi="Times New Roman" w:cs="Times New Roman" w:eastAsia="Times New Roman" w:hint="default"/>
        </w:rPr>
        <w:t>“</w:t>
      </w:r>
      <w:r>
        <w:rPr/>
        <w:t>鲲鹏展翅计划</w:t>
      </w:r>
      <w:r>
        <w:rPr>
          <w:rFonts w:ascii="Times New Roman" w:hAnsi="Times New Roman" w:cs="Times New Roman" w:eastAsia="Times New Roman" w:hint="default"/>
        </w:rPr>
        <w:t>”</w:t>
      </w:r>
      <w:r>
        <w:rPr/>
        <w:t>，加大对骨干员工的激励力度，建立有市场竞争力的薪 酬体系，大大激励了士气，增加了信心和凝聚力，为骨干的保留打了强心剂，效果显著。</w:t>
      </w:r>
    </w:p>
    <w:p>
      <w:pPr>
        <w:pStyle w:val="BodyText"/>
        <w:spacing w:line="240" w:lineRule="auto" w:before="70"/>
        <w:ind w:left="513" w:right="2602"/>
        <w:jc w:val="left"/>
      </w:pPr>
      <w:r>
        <w:rPr>
          <w:rFonts w:ascii="Times New Roman" w:hAnsi="Times New Roman" w:cs="Times New Roman" w:eastAsia="Times New Roman" w:hint="default"/>
        </w:rPr>
        <w:t>3</w:t>
      </w:r>
      <w:r>
        <w:rPr/>
        <w:t>）员工培训</w:t>
      </w:r>
    </w:p>
    <w:p>
      <w:pPr>
        <w:pStyle w:val="BodyText"/>
        <w:spacing w:line="300" w:lineRule="auto" w:before="103"/>
        <w:ind w:right="1135"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年，培训工作紧密围绕公司人才战略开展，根据培训需求调查结果，制定年度培训计划并认真落实，培训工作取 得了新的进展。在形式上主要分为内训地面课、内训线上课和外训课程。</w:t>
      </w:r>
    </w:p>
    <w:p>
      <w:pPr>
        <w:pStyle w:val="BodyText"/>
        <w:spacing w:line="309" w:lineRule="auto" w:before="72"/>
        <w:ind w:right="1128" w:firstLine="360"/>
        <w:jc w:val="both"/>
      </w:pPr>
      <w:r>
        <w:rPr/>
        <w:t>内训地面课全年开展了技术通道、项目通道、行业通道等培训</w:t>
      </w:r>
      <w:r>
        <w:rPr>
          <w:spacing w:val="-37"/>
        </w:rPr>
        <w:t> </w:t>
      </w:r>
      <w:r>
        <w:rPr>
          <w:rFonts w:ascii="Times New Roman" w:hAnsi="Times New Roman" w:cs="Times New Roman" w:eastAsia="Times New Roman" w:hint="default"/>
        </w:rPr>
        <w:t>110</w:t>
      </w:r>
      <w:r>
        <w:rPr>
          <w:rFonts w:ascii="Times New Roman" w:hAnsi="Times New Roman" w:cs="Times New Roman" w:eastAsia="Times New Roman" w:hint="default"/>
          <w:spacing w:val="8"/>
        </w:rPr>
        <w:t> </w:t>
      </w:r>
      <w:r>
        <w:rPr/>
        <w:t>场，共计</w:t>
      </w:r>
      <w:r>
        <w:rPr>
          <w:spacing w:val="-38"/>
        </w:rPr>
        <w:t> </w:t>
      </w:r>
      <w:r>
        <w:rPr>
          <w:rFonts w:ascii="Times New Roman" w:hAnsi="Times New Roman" w:cs="Times New Roman" w:eastAsia="Times New Roman" w:hint="default"/>
        </w:rPr>
        <w:t>233.5</w:t>
      </w:r>
      <w:r>
        <w:rPr>
          <w:rFonts w:ascii="Times New Roman" w:hAnsi="Times New Roman" w:cs="Times New Roman" w:eastAsia="Times New Roman" w:hint="default"/>
          <w:spacing w:val="8"/>
        </w:rPr>
        <w:t> </w:t>
      </w:r>
      <w:r>
        <w:rPr/>
        <w:t>课时，实际参加培训</w:t>
      </w:r>
      <w:r>
        <w:rPr>
          <w:spacing w:val="-38"/>
        </w:rPr>
        <w:t> </w:t>
      </w:r>
      <w:r>
        <w:rPr>
          <w:rFonts w:ascii="Times New Roman" w:hAnsi="Times New Roman" w:cs="Times New Roman" w:eastAsia="Times New Roman" w:hint="default"/>
        </w:rPr>
        <w:t>2564</w:t>
      </w:r>
      <w:r>
        <w:rPr>
          <w:rFonts w:ascii="Times New Roman" w:hAnsi="Times New Roman" w:cs="Times New Roman" w:eastAsia="Times New Roman" w:hint="default"/>
          <w:spacing w:val="8"/>
        </w:rPr>
        <w:t> </w:t>
      </w:r>
      <w:r>
        <w:rPr/>
        <w:t>人次。培 </w:t>
      </w:r>
      <w:r>
        <w:rPr>
          <w:spacing w:val="-2"/>
        </w:rPr>
        <w:t>训因需制宜，内容多样，在保留历年优秀课程的同时，新增加了许多员工感兴趣或前沿技术类课程，并积极开销售培训、新</w:t>
      </w:r>
      <w:r>
        <w:rPr>
          <w:spacing w:val="-67"/>
        </w:rPr>
        <w:t> </w:t>
      </w:r>
      <w:r>
        <w:rPr>
          <w:spacing w:val="-67"/>
        </w:rPr>
      </w:r>
      <w:r>
        <w:rPr/>
        <w:t>晋中层培训、新员工入职培训等课程，进一步增强了公司各类人才的业务知识和岗位技能。</w:t>
      </w:r>
    </w:p>
    <w:p>
      <w:pPr>
        <w:spacing w:after="0" w:line="309" w:lineRule="auto"/>
        <w:jc w:val="both"/>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513" w:right="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6"/>
        </w:rPr>
        <w:t> </w:t>
      </w:r>
      <w:r>
        <w:rPr>
          <w:spacing w:val="-3"/>
        </w:rPr>
        <w:t>年，在去年的基础上对线上课程进行了优化，实现多系统间的对接，更有效管理和追踪不能类型员工的培训情况。</w:t>
      </w:r>
    </w:p>
    <w:p>
      <w:pPr>
        <w:pStyle w:val="BodyText"/>
        <w:spacing w:line="309" w:lineRule="auto" w:before="63"/>
        <w:ind w:right="1131"/>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年线上内训课程共计时长</w:t>
      </w:r>
      <w:r>
        <w:rPr>
          <w:spacing w:val="-46"/>
        </w:rPr>
        <w:t> </w:t>
      </w:r>
      <w:r>
        <w:rPr>
          <w:rFonts w:ascii="Times New Roman" w:hAnsi="Times New Roman" w:cs="Times New Roman" w:eastAsia="Times New Roman" w:hint="default"/>
        </w:rPr>
        <w:t>9217.57</w:t>
      </w:r>
      <w:r>
        <w:rPr>
          <w:rFonts w:ascii="Times New Roman" w:hAnsi="Times New Roman" w:cs="Times New Roman" w:eastAsia="Times New Roman" w:hint="default"/>
          <w:spacing w:val="1"/>
        </w:rPr>
        <w:t> </w:t>
      </w:r>
      <w:r>
        <w:rPr/>
        <w:t>小时，培训</w:t>
      </w:r>
      <w:r>
        <w:rPr>
          <w:spacing w:val="-46"/>
        </w:rPr>
        <w:t> </w:t>
      </w:r>
      <w:r>
        <w:rPr>
          <w:rFonts w:ascii="Times New Roman" w:hAnsi="Times New Roman" w:cs="Times New Roman" w:eastAsia="Times New Roman" w:hint="default"/>
        </w:rPr>
        <w:t>5341</w:t>
      </w:r>
      <w:r>
        <w:rPr>
          <w:rFonts w:ascii="Times New Roman" w:hAnsi="Times New Roman" w:cs="Times New Roman" w:eastAsia="Times New Roman" w:hint="default"/>
          <w:spacing w:val="1"/>
        </w:rPr>
        <w:t> </w:t>
      </w:r>
      <w:r>
        <w:rPr/>
        <w:t>人。其中，项目经理必修课程在去年的基础上进行优化，由季度开 </w:t>
      </w:r>
      <w:r>
        <w:rPr>
          <w:spacing w:val="-2"/>
        </w:rPr>
        <w:t>展更新为实时开展。同时，并对于新进员工的入职培训进行细分，对销售人员和非销售人员设置不同的课程，分别进行培训</w:t>
      </w:r>
      <w:r>
        <w:rPr>
          <w:spacing w:val="-64"/>
        </w:rPr>
        <w:t> </w:t>
      </w:r>
      <w:r>
        <w:rPr>
          <w:spacing w:val="-64"/>
        </w:rPr>
      </w:r>
      <w:r>
        <w:rPr/>
        <w:t>管理。</w:t>
      </w:r>
    </w:p>
    <w:p>
      <w:pPr>
        <w:pStyle w:val="BodyText"/>
        <w:spacing w:line="316" w:lineRule="auto" w:before="65"/>
        <w:ind w:right="1131" w:firstLine="360"/>
        <w:jc w:val="both"/>
      </w:pPr>
      <w:r>
        <w:rPr>
          <w:spacing w:val="-2"/>
        </w:rPr>
        <w:t>在外训方面，根据业务单元的不同需求，请外部优秀师资对内部员工开展关于管理、销售、沟通技巧、商务礼仪、案例</w:t>
      </w:r>
      <w:r>
        <w:rPr/>
        <w:t> </w:t>
      </w:r>
      <w:r>
        <w:rPr>
          <w:spacing w:val="-2"/>
        </w:rPr>
        <w:t>萃取等方面的培训。此外，还围绕提升沟通效率、强化复盘思维、加强亲子互动等主题，开展了多样化团队建设活动，包括</w:t>
      </w:r>
      <w:r>
        <w:rPr>
          <w:spacing w:val="-67"/>
        </w:rPr>
        <w:t> </w:t>
      </w:r>
      <w:r>
        <w:rPr>
          <w:spacing w:val="-67"/>
        </w:rPr>
      </w:r>
      <w:r>
        <w:rPr>
          <w:spacing w:val="-2"/>
        </w:rPr>
        <w:t>拆书帮、亲子育儿工作坊、丙烯画体验、手机摄影、皮具制作、六一漂流瓶等，这些项目不仅丰富了员工的文化生活和家庭</w:t>
      </w:r>
      <w:r>
        <w:rPr>
          <w:spacing w:val="-67"/>
        </w:rPr>
        <w:t> </w:t>
      </w:r>
      <w:r>
        <w:rPr>
          <w:spacing w:val="-67"/>
        </w:rPr>
      </w:r>
      <w:r>
        <w:rPr/>
        <w:t>生活，也对提高团队凝聚力起到了一定作用。</w:t>
      </w:r>
    </w:p>
    <w:p>
      <w:pPr>
        <w:pStyle w:val="BodyText"/>
        <w:spacing w:line="340" w:lineRule="auto" w:before="57"/>
        <w:ind w:left="513" w:right="1033"/>
        <w:jc w:val="left"/>
      </w:pPr>
      <w:r>
        <w:rPr>
          <w:rFonts w:ascii="Times New Roman" w:hAnsi="Times New Roman" w:cs="Times New Roman" w:eastAsia="Times New Roman" w:hint="default"/>
        </w:rPr>
        <w:t>4</w:t>
      </w:r>
      <w:r>
        <w:rPr/>
        <w:t>）人文关怀 公司一贯重视人文关怀，为帮助新员工尽快融入企业，公司每年邀请中高管参与新员工入职培训，分享个人职业成长，</w:t>
      </w:r>
    </w:p>
    <w:p>
      <w:pPr>
        <w:pStyle w:val="BodyText"/>
        <w:spacing w:line="316" w:lineRule="auto" w:before="1"/>
        <w:ind w:right="1042"/>
        <w:jc w:val="both"/>
      </w:pPr>
      <w:r>
        <w:rPr/>
        <w:t>引导新员工顺利融入企业、顺利完成职场角色转换。万达信息一年一度的年终总结表彰作为公司的传统已保持了近二十年，</w:t>
      </w:r>
      <w:r>
        <w:rPr>
          <w:spacing w:val="-83"/>
        </w:rPr>
        <w:t> </w:t>
      </w:r>
      <w:r>
        <w:rPr>
          <w:spacing w:val="-83"/>
        </w:rPr>
      </w:r>
      <w:r>
        <w:rPr/>
        <w:t>每年评出的优秀员工、优秀团队都成为了全体万达人的榜样和标杆，激励万达人锐意进取，奋勇争先。</w:t>
      </w:r>
    </w:p>
    <w:p>
      <w:pPr>
        <w:pStyle w:val="BodyText"/>
        <w:spacing w:line="316" w:lineRule="auto" w:before="60"/>
        <w:ind w:right="0" w:firstLine="360"/>
        <w:jc w:val="left"/>
      </w:pPr>
      <w:r>
        <w:rPr>
          <w:spacing w:val="-2"/>
        </w:rPr>
        <w:t>公司还关注员工的身心健康，经常组织开展丰富多彩的员工活动。公司建有员工俱乐部，不定期开展羽毛球、篮球、乒</w:t>
      </w:r>
      <w:r>
        <w:rPr/>
        <w:t> 乓球、足球、摄影等活动和比赛，展现了万达人积极向上的精神面貌。</w:t>
      </w:r>
    </w:p>
    <w:p>
      <w:pPr>
        <w:pStyle w:val="BodyText"/>
        <w:spacing w:line="316" w:lineRule="auto" w:before="57"/>
        <w:ind w:right="0" w:firstLine="360"/>
        <w:jc w:val="left"/>
      </w:pPr>
      <w:r>
        <w:rPr>
          <w:spacing w:val="-2"/>
        </w:rPr>
        <w:t>此外，公司为员工购买上海市总工会在职员工住院互助计划，在医保统筹支付的基础上，进一步减轻员工就医负担；引</w:t>
      </w:r>
      <w:r>
        <w:rPr/>
        <w:t> 进</w:t>
      </w:r>
      <w:r>
        <w:rPr>
          <w:rFonts w:ascii="Times New Roman" w:hAnsi="Times New Roman" w:cs="Times New Roman" w:eastAsia="Times New Roman" w:hint="default"/>
        </w:rPr>
        <w:t>“</w:t>
      </w:r>
      <w:r>
        <w:rPr/>
        <w:t>健康小屋</w:t>
      </w:r>
      <w:r>
        <w:rPr>
          <w:rFonts w:ascii="Times New Roman" w:hAnsi="Times New Roman" w:cs="Times New Roman" w:eastAsia="Times New Roman" w:hint="default"/>
        </w:rPr>
        <w:t>”</w:t>
      </w:r>
      <w:r>
        <w:rPr/>
        <w:t>，在指定办公地点提供健康测量仪器，让员工</w:t>
      </w:r>
      <w:r>
        <w:rPr>
          <w:rFonts w:ascii="Times New Roman" w:hAnsi="Times New Roman" w:cs="Times New Roman" w:eastAsia="Times New Roman" w:hint="default"/>
        </w:rPr>
        <w:t>“</w:t>
      </w:r>
      <w:r>
        <w:rPr/>
        <w:t>随心所欲</w:t>
      </w:r>
      <w:r>
        <w:rPr>
          <w:rFonts w:ascii="Times New Roman" w:hAnsi="Times New Roman" w:cs="Times New Roman" w:eastAsia="Times New Roman" w:hint="default"/>
        </w:rPr>
        <w:t>”</w:t>
      </w:r>
      <w:r>
        <w:rPr/>
        <w:t>获取健康数据，指导健康生活。</w:t>
      </w:r>
    </w:p>
    <w:p>
      <w:pPr>
        <w:pStyle w:val="BodyText"/>
        <w:spacing w:line="240" w:lineRule="auto" w:before="40"/>
        <w:ind w:left="513" w:right="2602"/>
        <w:jc w:val="left"/>
      </w:pPr>
      <w:r>
        <w:rPr/>
        <w:t>（</w:t>
      </w:r>
      <w:r>
        <w:rPr>
          <w:rFonts w:ascii="Times New Roman" w:hAnsi="Times New Roman" w:cs="Times New Roman" w:eastAsia="Times New Roman" w:hint="default"/>
        </w:rPr>
        <w:t>4</w:t>
      </w:r>
      <w:r>
        <w:rPr/>
        <w:t>）客户及供应商权益保护</w:t>
      </w:r>
    </w:p>
    <w:p>
      <w:pPr>
        <w:pStyle w:val="BodyText"/>
        <w:spacing w:line="338" w:lineRule="auto" w:before="103"/>
        <w:ind w:left="513" w:right="0"/>
        <w:jc w:val="left"/>
      </w:pPr>
      <w:r>
        <w:rPr>
          <w:rFonts w:ascii="Times New Roman" w:hAnsi="Times New Roman" w:cs="Times New Roman" w:eastAsia="Times New Roman" w:hint="default"/>
        </w:rPr>
        <w:t>1</w:t>
      </w:r>
      <w:r>
        <w:rPr/>
        <w:t>）积极保护客户权益 </w:t>
      </w:r>
      <w:r>
        <w:rPr>
          <w:spacing w:val="-2"/>
        </w:rPr>
        <w:t>公司始终以客户需求为出发点，坚持贯彻“想在用户之前，想在用户之上，想在用户之外”的服务理念，推动产品及服</w:t>
      </w:r>
    </w:p>
    <w:p>
      <w:pPr>
        <w:pStyle w:val="BodyText"/>
        <w:spacing w:line="316" w:lineRule="auto" w:before="2"/>
        <w:ind w:right="1135"/>
        <w:jc w:val="both"/>
      </w:pPr>
      <w:r>
        <w:rPr>
          <w:spacing w:val="-2"/>
        </w:rPr>
        <w:t>务持续升级，为客户提供更具满意度的产品和服务。公司持续推进新业务、新技术、新模式的研发，不断使城市的运营效率</w:t>
      </w:r>
      <w:r>
        <w:rPr>
          <w:spacing w:val="-67"/>
        </w:rPr>
        <w:t> </w:t>
      </w:r>
      <w:r>
        <w:rPr>
          <w:spacing w:val="-67"/>
        </w:rPr>
      </w:r>
      <w:r>
        <w:rPr/>
        <w:t>得到提升，服务更为便捷，公共服务的用户体验更加完美。</w:t>
      </w:r>
    </w:p>
    <w:p>
      <w:pPr>
        <w:pStyle w:val="BodyText"/>
        <w:spacing w:line="340" w:lineRule="auto" w:before="59"/>
        <w:ind w:left="513" w:right="0"/>
        <w:jc w:val="left"/>
      </w:pPr>
      <w:r>
        <w:rPr>
          <w:rFonts w:ascii="Times New Roman" w:hAnsi="Times New Roman" w:cs="Times New Roman" w:eastAsia="Times New Roman" w:hint="default"/>
        </w:rPr>
        <w:t>2</w:t>
      </w:r>
      <w:r>
        <w:rPr/>
        <w:t>）建立公平诚信的商务采购体系 </w:t>
      </w:r>
      <w:r>
        <w:rPr>
          <w:spacing w:val="-2"/>
        </w:rPr>
        <w:t>公司注重供应链体系建设，建立公平、公正的商务采购体系，实现和供应商合作关系的稳定和发展，增强供应体系的竞</w:t>
      </w:r>
    </w:p>
    <w:p>
      <w:pPr>
        <w:pStyle w:val="BodyText"/>
        <w:spacing w:line="316" w:lineRule="auto" w:before="1"/>
        <w:ind w:right="1132"/>
        <w:jc w:val="both"/>
      </w:pPr>
      <w:r>
        <w:rPr>
          <w:spacing w:val="-2"/>
        </w:rPr>
        <w:t>争力。公司制定了《采购管理制度》并不断优化，明确规定了采购相关的需求审批流程、采购合同审批流程等，从采购岗位</w:t>
      </w:r>
      <w:r>
        <w:rPr>
          <w:spacing w:val="-67"/>
        </w:rPr>
        <w:t> </w:t>
      </w:r>
      <w:r>
        <w:rPr>
          <w:spacing w:val="-67"/>
        </w:rPr>
      </w:r>
      <w:r>
        <w:rPr/>
        <w:t>职责出发，完善了授权与审批、采购方式、供应商管理控制的要求，在保证公司业务正常运营的前提下，力求降低成本。</w:t>
      </w:r>
    </w:p>
    <w:p>
      <w:pPr>
        <w:pStyle w:val="BodyText"/>
        <w:spacing w:line="240" w:lineRule="auto" w:before="57"/>
        <w:ind w:left="513" w:right="2602"/>
        <w:jc w:val="left"/>
      </w:pPr>
      <w:r>
        <w:rPr/>
        <w:t>（</w:t>
      </w:r>
      <w:r>
        <w:rPr>
          <w:rFonts w:ascii="Times New Roman" w:hAnsi="Times New Roman" w:cs="Times New Roman" w:eastAsia="Times New Roman" w:hint="default"/>
        </w:rPr>
        <w:t>5</w:t>
      </w:r>
      <w:r>
        <w:rPr/>
        <w:t>）公共关系与社会公益事业</w:t>
      </w:r>
    </w:p>
    <w:p>
      <w:pPr>
        <w:pStyle w:val="BodyText"/>
        <w:spacing w:line="240" w:lineRule="auto" w:before="103"/>
        <w:ind w:left="513" w:right="2602"/>
        <w:jc w:val="left"/>
      </w:pPr>
      <w:r>
        <w:rPr>
          <w:rFonts w:ascii="Times New Roman" w:hAnsi="Times New Roman" w:cs="Times New Roman" w:eastAsia="Times New Roman" w:hint="default"/>
        </w:rPr>
        <w:t>1</w:t>
      </w:r>
      <w:r>
        <w:rPr/>
        <w:t>）积极纳税，推动地方经济</w:t>
      </w:r>
    </w:p>
    <w:p>
      <w:pPr>
        <w:pStyle w:val="BodyText"/>
        <w:spacing w:line="300" w:lineRule="auto" w:before="103"/>
        <w:ind w:right="1117" w:firstLine="360"/>
        <w:jc w:val="left"/>
      </w:pPr>
      <w:r>
        <w:rPr/>
        <w:t>公司通过依法纳税，积极履行纳税人义务，推动地方经济发展。公司</w:t>
      </w:r>
      <w:r>
        <w:rPr>
          <w:spacing w:val="-5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9"/>
        </w:rPr>
        <w:t> </w:t>
      </w:r>
      <w:r>
        <w:rPr/>
        <w:t>年实现纳税额</w:t>
      </w:r>
      <w:r>
        <w:rPr>
          <w:spacing w:val="-55"/>
        </w:rPr>
        <w:t> </w:t>
      </w:r>
      <w:r>
        <w:rPr>
          <w:rFonts w:ascii="Times New Roman" w:hAnsi="Times New Roman" w:cs="Times New Roman" w:eastAsia="Times New Roman" w:hint="default"/>
        </w:rPr>
        <w:t>1.17</w:t>
      </w:r>
      <w:r>
        <w:rPr>
          <w:rFonts w:ascii="Times New Roman" w:hAnsi="Times New Roman" w:cs="Times New Roman" w:eastAsia="Times New Roman" w:hint="default"/>
          <w:spacing w:val="-9"/>
        </w:rPr>
        <w:t> </w:t>
      </w:r>
      <w:r>
        <w:rPr/>
        <w:t>亿元，为国家财政税收及 地方政府和社会的经济发展做出了较大的贡献。</w:t>
      </w:r>
    </w:p>
    <w:p>
      <w:pPr>
        <w:pStyle w:val="BodyText"/>
        <w:spacing w:line="340" w:lineRule="auto" w:before="70"/>
        <w:ind w:left="513" w:right="0"/>
        <w:jc w:val="left"/>
      </w:pPr>
      <w:r>
        <w:rPr>
          <w:rFonts w:ascii="Times New Roman" w:hAnsi="Times New Roman" w:cs="Times New Roman" w:eastAsia="Times New Roman" w:hint="default"/>
        </w:rPr>
        <w:t>2</w:t>
      </w:r>
      <w:r>
        <w:rPr/>
        <w:t>）重视公共关系，赢得各界认同 </w:t>
      </w:r>
      <w:r>
        <w:rPr>
          <w:spacing w:val="-2"/>
        </w:rPr>
        <w:t>公司高度重视加强与政府部门和监管机构的联系、汇报，主动配合政府部门和监管部门的监督和检查，涉及公司规范运</w:t>
      </w:r>
    </w:p>
    <w:p>
      <w:pPr>
        <w:pStyle w:val="BodyText"/>
        <w:spacing w:line="309" w:lineRule="auto" w:before="1"/>
        <w:ind w:right="1131"/>
        <w:jc w:val="both"/>
      </w:pPr>
      <w:r>
        <w:rPr>
          <w:spacing w:val="-2"/>
        </w:rPr>
        <w:t>作相关事项特别是重大事项都及时向监管部门汇报和咨询，接受监管部门的指导，认真听取监管部门的意见。同时，作为社</w:t>
      </w:r>
      <w:r>
        <w:rPr>
          <w:spacing w:val="-64"/>
        </w:rPr>
        <w:t> </w:t>
      </w:r>
      <w:r>
        <w:rPr>
          <w:spacing w:val="-64"/>
        </w:rPr>
      </w:r>
      <w:r>
        <w:rPr/>
        <w:t>会公众上市公司</w:t>
      </w:r>
      <w:r>
        <w:rPr>
          <w:rFonts w:ascii="Times New Roman" w:hAnsi="Times New Roman" w:cs="Times New Roman" w:eastAsia="Times New Roman" w:hint="default"/>
        </w:rPr>
        <w:t>,</w:t>
      </w:r>
      <w:r>
        <w:rPr>
          <w:rFonts w:ascii="Times New Roman" w:hAnsi="Times New Roman" w:cs="Times New Roman" w:eastAsia="Times New Roman" w:hint="default"/>
          <w:spacing w:val="8"/>
        </w:rPr>
        <w:t> </w:t>
      </w:r>
      <w:r>
        <w:rPr/>
        <w:t>公司在生产经营活动中遵循自愿、公平、诚实信用的原则，遵守社会公德、商业道德，主动接受政府部门 和监管部门的监督和检查，高度重视社会公众及新闻媒体对公司的评论，赢得了社会各界的认同。</w:t>
      </w:r>
    </w:p>
    <w:p>
      <w:pPr>
        <w:pStyle w:val="BodyText"/>
        <w:spacing w:line="338" w:lineRule="auto" w:before="65"/>
        <w:ind w:left="513" w:right="0"/>
        <w:jc w:val="left"/>
      </w:pPr>
      <w:r>
        <w:rPr>
          <w:rFonts w:ascii="Times New Roman" w:hAnsi="Times New Roman" w:cs="Times New Roman" w:eastAsia="Times New Roman" w:hint="default"/>
        </w:rPr>
        <w:t>3</w:t>
      </w:r>
      <w:r>
        <w:rPr/>
        <w:t>）慈善公益，真情回馈社会 </w:t>
      </w:r>
      <w:r>
        <w:rPr>
          <w:spacing w:val="-2"/>
        </w:rPr>
        <w:t>公司积极创造经济价值的同时也努力承担社会责任，创造更大的社会价值，以回馈社会。为践行公益、奉献社会，公司</w:t>
      </w:r>
    </w:p>
    <w:p>
      <w:pPr>
        <w:pStyle w:val="BodyText"/>
        <w:spacing w:line="300" w:lineRule="auto" w:before="2"/>
        <w:ind w:right="1131"/>
        <w:jc w:val="both"/>
      </w:pPr>
      <w:r>
        <w:rPr>
          <w:spacing w:val="-3"/>
        </w:rPr>
        <w:t>出台《关于员工参与公益事业的奖励办法》，提倡员工积极参与社会公益活动，提升社会责任感。</w:t>
      </w:r>
      <w:r>
        <w:rPr>
          <w:rFonts w:ascii="Times New Roman" w:hAnsi="Times New Roman" w:cs="Times New Roman" w:eastAsia="Times New Roman" w:hint="default"/>
          <w:spacing w:val="-3"/>
        </w:rPr>
        <w:t>2019</w:t>
      </w:r>
      <w:r>
        <w:rPr>
          <w:rFonts w:ascii="Times New Roman" w:hAnsi="Times New Roman" w:cs="Times New Roman" w:eastAsia="Times New Roman" w:hint="default"/>
          <w:spacing w:val="22"/>
        </w:rPr>
        <w:t> </w:t>
      </w:r>
      <w:r>
        <w:rPr>
          <w:spacing w:val="-2"/>
        </w:rPr>
        <w:t>年，公司鼓励员工参</w:t>
      </w:r>
      <w:r>
        <w:rPr>
          <w:spacing w:val="-85"/>
        </w:rPr>
        <w:t> </w:t>
      </w:r>
      <w:r>
        <w:rPr>
          <w:spacing w:val="-85"/>
        </w:rPr>
      </w:r>
      <w:r>
        <w:rPr/>
        <w:t>加义务献血活动，并根据《关于员工参与公益事业的奖励办法》对义务献血的员工当年予以现金奖励。</w:t>
      </w:r>
    </w:p>
    <w:p>
      <w:pPr>
        <w:pStyle w:val="BodyText"/>
        <w:spacing w:line="240" w:lineRule="auto" w:before="72"/>
        <w:ind w:left="513" w:right="2602"/>
        <w:jc w:val="left"/>
      </w:pPr>
      <w:r>
        <w:rPr>
          <w:rFonts w:ascii="Times New Roman" w:hAnsi="Times New Roman" w:cs="Times New Roman" w:eastAsia="Times New Roman" w:hint="default"/>
        </w:rPr>
        <w:t>4</w:t>
      </w:r>
      <w:r>
        <w:rPr/>
        <w:t>）结对共建，擘画党建同心圆</w:t>
      </w:r>
    </w:p>
    <w:p>
      <w:pPr>
        <w:pStyle w:val="BodyText"/>
        <w:spacing w:line="300" w:lineRule="auto" w:before="103"/>
        <w:ind w:right="0" w:firstLine="36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9"/>
        </w:rPr>
        <w:t> </w:t>
      </w:r>
      <w:r>
        <w:rPr/>
        <w:t>年，公司党委贯彻落实上海市委组织部</w:t>
      </w:r>
      <w:r>
        <w:rPr>
          <w:rFonts w:ascii="Times New Roman" w:hAnsi="Times New Roman" w:cs="Times New Roman" w:eastAsia="Times New Roman" w:hint="default"/>
        </w:rPr>
        <w:t>“</w:t>
      </w:r>
      <w:r>
        <w:rPr/>
        <w:t>结对百镇千村、助推乡村振兴</w:t>
      </w:r>
      <w:r>
        <w:rPr>
          <w:rFonts w:ascii="Times New Roman" w:hAnsi="Times New Roman" w:cs="Times New Roman" w:eastAsia="Times New Roman" w:hint="default"/>
        </w:rPr>
        <w:t>”</w:t>
      </w:r>
      <w:r>
        <w:rPr/>
        <w:t>行动要求，与浦东新区大团镇金桥村开展 结对帮扶，充分发挥自身特有优势，送科技服务到下乡，助推乡村全面振兴。</w:t>
      </w:r>
    </w:p>
    <w:p>
      <w:pPr>
        <w:pStyle w:val="BodyText"/>
        <w:spacing w:line="240" w:lineRule="auto" w:before="70"/>
        <w:ind w:left="513" w:right="2602"/>
        <w:jc w:val="left"/>
      </w:pPr>
      <w:r>
        <w:rPr>
          <w:rFonts w:ascii="Times New Roman" w:hAnsi="Times New Roman" w:cs="Times New Roman" w:eastAsia="Times New Roman" w:hint="default"/>
        </w:rPr>
        <w:t>5</w:t>
      </w:r>
      <w:r>
        <w:rPr/>
        <w:t>）公司荣誉，塑造良好形象</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4" w:lineRule="auto" w:before="44"/>
        <w:ind w:right="1040" w:firstLine="360"/>
        <w:jc w:val="both"/>
      </w:pPr>
      <w:r>
        <w:rPr/>
        <w:t>公司依法经营并积极参与社会活动，获得各界高度评价。作为软件类高新技术企业，公司自</w:t>
      </w:r>
      <w:r>
        <w:rPr>
          <w:spacing w:val="-42"/>
        </w:rPr>
        <w:t> </w:t>
      </w:r>
      <w:r>
        <w:rPr>
          <w:rFonts w:ascii="Times New Roman" w:hAnsi="Times New Roman" w:cs="Times New Roman" w:eastAsia="Times New Roman" w:hint="default"/>
        </w:rPr>
        <w:t>1996</w:t>
      </w:r>
      <w:r>
        <w:rPr>
          <w:rFonts w:ascii="Times New Roman" w:hAnsi="Times New Roman" w:cs="Times New Roman" w:eastAsia="Times New Roman" w:hint="default"/>
          <w:spacing w:val="4"/>
        </w:rPr>
        <w:t> </w:t>
      </w:r>
      <w:r>
        <w:rPr/>
        <w:t>年开始连续被上海市 科委认定为</w:t>
      </w:r>
      <w:r>
        <w:rPr>
          <w:rFonts w:ascii="Times New Roman" w:hAnsi="Times New Roman" w:cs="Times New Roman" w:eastAsia="Times New Roman" w:hint="default"/>
        </w:rPr>
        <w:t>“</w:t>
      </w:r>
      <w:r>
        <w:rPr/>
        <w:t>上海市高新技术企业</w:t>
      </w:r>
      <w:r>
        <w:rPr>
          <w:rFonts w:ascii="Times New Roman" w:hAnsi="Times New Roman" w:cs="Times New Roman" w:eastAsia="Times New Roman" w:hint="default"/>
        </w:rPr>
        <w:t>”</w:t>
      </w:r>
      <w:r>
        <w:rPr/>
        <w:t>。万达信息拥有国际一流的专业资质，是全国首家整体通过</w:t>
      </w:r>
      <w:r>
        <w:rPr>
          <w:spacing w:val="-25"/>
        </w:rPr>
        <w:t> </w:t>
      </w:r>
      <w:r>
        <w:rPr>
          <w:rFonts w:ascii="Times New Roman" w:hAnsi="Times New Roman" w:cs="Times New Roman" w:eastAsia="Times New Roman" w:hint="default"/>
        </w:rPr>
        <w:t>CMMI5</w:t>
      </w:r>
      <w:r>
        <w:rPr/>
        <w:t>（软件能力成熟度模 </w:t>
      </w:r>
      <w:r>
        <w:rPr>
          <w:spacing w:val="-2"/>
        </w:rPr>
        <w:t>型最高等级）认证企业，承担了多个国家核高基专项课题，拥有各行业独立自主知识产权软件。凭借在丰富行业实践中形成</w:t>
      </w:r>
      <w:r>
        <w:rPr>
          <w:spacing w:val="-63"/>
        </w:rPr>
        <w:t> </w:t>
      </w:r>
      <w:r>
        <w:rPr>
          <w:spacing w:val="-63"/>
        </w:rPr>
      </w:r>
      <w:r>
        <w:rPr/>
        <w:t>的自主创新核心技术，万达信息目前已拥有千余项具备自主知识产权的软件产品和软件著作权、</w:t>
      </w:r>
      <w:r>
        <w:rPr>
          <w:rFonts w:ascii="Times New Roman" w:hAnsi="Times New Roman" w:cs="Times New Roman" w:eastAsia="Times New Roman" w:hint="default"/>
        </w:rPr>
        <w:t>30 </w:t>
      </w:r>
      <w:r>
        <w:rPr/>
        <w:t>项国内外专利技术；承</w:t>
      </w:r>
      <w:r>
        <w:rPr>
          <w:spacing w:val="-82"/>
        </w:rPr>
        <w:t> </w:t>
      </w:r>
      <w:r>
        <w:rPr>
          <w:spacing w:val="-82"/>
        </w:rPr>
      </w:r>
      <w:r>
        <w:rPr/>
        <w:t>担着</w:t>
      </w:r>
      <w:r>
        <w:rPr>
          <w:spacing w:val="-44"/>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t>余项国家各类标准及指南、近</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项上海市及其他地方各类标准的制定工作；并先后获得</w:t>
      </w:r>
      <w:r>
        <w:rPr>
          <w:spacing w:val="-44"/>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项国家科技进步二等奖、</w:t>
      </w:r>
    </w:p>
    <w:p>
      <w:pPr>
        <w:pStyle w:val="BodyText"/>
        <w:spacing w:line="240" w:lineRule="auto" w:before="9"/>
        <w:ind w:right="2602"/>
        <w:jc w:val="left"/>
      </w:pPr>
      <w:r>
        <w:rPr>
          <w:rFonts w:ascii="Times New Roman" w:hAnsi="Times New Roman" w:cs="Times New Roman" w:eastAsia="Times New Roman" w:hint="default"/>
        </w:rPr>
        <w:t>1 </w:t>
      </w:r>
      <w:r>
        <w:rPr/>
        <w:t>项教育部科技进步一等奖、</w:t>
      </w:r>
      <w:r>
        <w:rPr>
          <w:rFonts w:ascii="Times New Roman" w:hAnsi="Times New Roman" w:cs="Times New Roman" w:eastAsia="Times New Roman" w:hint="default"/>
        </w:rPr>
        <w:t>5 </w:t>
      </w:r>
      <w:r>
        <w:rPr/>
        <w:t>项上海市科技进步一等奖，为企业的可持续创新能力提供了坚强动力。</w:t>
      </w:r>
    </w:p>
    <w:p>
      <w:pPr>
        <w:pStyle w:val="BodyText"/>
        <w:spacing w:line="300" w:lineRule="auto" w:before="103"/>
        <w:ind w:right="1131" w:firstLine="360"/>
        <w:jc w:val="both"/>
      </w:pPr>
      <w:r>
        <w:rPr/>
        <w:t>公司先后被国家科技部认定为国家 </w:t>
      </w:r>
      <w:r>
        <w:rPr>
          <w:rFonts w:ascii="Times New Roman" w:hAnsi="Times New Roman" w:cs="Times New Roman" w:eastAsia="Times New Roman" w:hint="default"/>
        </w:rPr>
        <w:t>863</w:t>
      </w:r>
      <w:r>
        <w:rPr>
          <w:rFonts w:ascii="Times New Roman" w:hAnsi="Times New Roman" w:cs="Times New Roman" w:eastAsia="Times New Roman" w:hint="default"/>
          <w:spacing w:val="-11"/>
        </w:rPr>
        <w:t> </w:t>
      </w:r>
      <w:r>
        <w:rPr/>
        <w:t>计划成果产业化基地、</w:t>
      </w:r>
      <w:r>
        <w:rPr>
          <w:rFonts w:ascii="Times New Roman" w:hAnsi="Times New Roman" w:cs="Times New Roman" w:eastAsia="Times New Roman" w:hint="default"/>
        </w:rPr>
        <w:t>“</w:t>
      </w:r>
      <w:r>
        <w:rPr/>
        <w:t>国家火炬计划软件产业基地骨干企业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国家级技术创 </w:t>
      </w:r>
      <w:r>
        <w:rPr>
          <w:spacing w:val="-2"/>
        </w:rPr>
        <w:t>新示范企业</w:t>
      </w:r>
      <w:r>
        <w:rPr>
          <w:rFonts w:ascii="Times New Roman" w:hAnsi="Times New Roman" w:cs="Times New Roman" w:eastAsia="Times New Roman" w:hint="default"/>
          <w:spacing w:val="-2"/>
        </w:rPr>
        <w:t>”</w:t>
      </w:r>
      <w:r>
        <w:rPr>
          <w:spacing w:val="-2"/>
        </w:rPr>
        <w:t>、入选国家发改委国家高技术产业化示范工程、获批国家级企业技术中心和国家工程实验室，荣获</w:t>
      </w:r>
      <w:r>
        <w:rPr>
          <w:rFonts w:ascii="Times New Roman" w:hAnsi="Times New Roman" w:cs="Times New Roman" w:eastAsia="Times New Roman" w:hint="default"/>
          <w:spacing w:val="-2"/>
        </w:rPr>
        <w:t>“</w:t>
      </w:r>
      <w:r>
        <w:rPr>
          <w:spacing w:val="-2"/>
        </w:rPr>
        <w:t>中国信息技</w:t>
      </w:r>
      <w:r>
        <w:rPr>
          <w:spacing w:val="-43"/>
        </w:rPr>
        <w:t> </w:t>
      </w:r>
      <w:r>
        <w:rPr>
          <w:spacing w:val="-43"/>
        </w:rPr>
      </w:r>
      <w:r>
        <w:rPr/>
        <w:t>术服务优秀品牌领军企业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中国软件和信息技术服务综合竞争力百强企业</w:t>
      </w:r>
      <w:r>
        <w:rPr>
          <w:rFonts w:ascii="Times New Roman" w:hAnsi="Times New Roman" w:cs="Times New Roman" w:eastAsia="Times New Roman" w:hint="default"/>
        </w:rPr>
        <w:t>”</w:t>
      </w:r>
      <w:r>
        <w:rPr/>
        <w:t>等，连续</w:t>
      </w:r>
      <w:r>
        <w:rPr>
          <w:spacing w:val="-68"/>
        </w:rPr>
        <w:t> </w:t>
      </w:r>
      <w:r>
        <w:rPr>
          <w:rFonts w:ascii="Times New Roman" w:hAnsi="Times New Roman" w:cs="Times New Roman" w:eastAsia="Times New Roman" w:hint="default"/>
        </w:rPr>
        <w:t>6</w:t>
      </w:r>
      <w:r>
        <w:rPr>
          <w:rFonts w:ascii="Times New Roman" w:hAnsi="Times New Roman" w:cs="Times New Roman" w:eastAsia="Times New Roman" w:hint="default"/>
          <w:spacing w:val="-22"/>
        </w:rPr>
        <w:t> </w:t>
      </w:r>
      <w:r>
        <w:rPr/>
        <w:t>届被国家工信部评为</w:t>
      </w:r>
      <w:r>
        <w:rPr>
          <w:rFonts w:ascii="Times New Roman" w:hAnsi="Times New Roman" w:cs="Times New Roman" w:eastAsia="Times New Roman" w:hint="default"/>
        </w:rPr>
        <w:t>“</w:t>
      </w:r>
      <w:r>
        <w:rPr/>
        <w:t>中国软件业务</w:t>
      </w:r>
    </w:p>
    <w:p>
      <w:pPr>
        <w:pStyle w:val="BodyText"/>
        <w:spacing w:line="300" w:lineRule="auto" w:before="13"/>
        <w:ind w:right="1119"/>
        <w:jc w:val="left"/>
      </w:pPr>
      <w:r>
        <w:rPr/>
        <w:t>收入前百家企业</w:t>
      </w:r>
      <w:r>
        <w:rPr>
          <w:rFonts w:ascii="Times New Roman" w:hAnsi="Times New Roman" w:cs="Times New Roman" w:eastAsia="Times New Roman" w:hint="default"/>
        </w:rPr>
        <w:t>”</w:t>
      </w:r>
      <w:r>
        <w:rPr/>
        <w:t>。自</w:t>
      </w:r>
      <w:r>
        <w:rPr>
          <w:spacing w:val="-3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年起连续</w:t>
      </w:r>
      <w:r>
        <w:rPr>
          <w:spacing w:val="-30"/>
        </w:rPr>
        <w:t> </w:t>
      </w:r>
      <w:r>
        <w:rPr>
          <w:rFonts w:ascii="Times New Roman" w:hAnsi="Times New Roman" w:cs="Times New Roman" w:eastAsia="Times New Roman" w:hint="default"/>
        </w:rPr>
        <w:t>6</w:t>
      </w:r>
      <w:r>
        <w:rPr>
          <w:rFonts w:ascii="Times New Roman" w:hAnsi="Times New Roman" w:cs="Times New Roman" w:eastAsia="Times New Roman" w:hint="default"/>
          <w:spacing w:val="15"/>
        </w:rPr>
        <w:t> </w:t>
      </w:r>
      <w:r>
        <w:rPr/>
        <w:t>年被评为中国十大</w:t>
      </w:r>
      <w:r>
        <w:rPr>
          <w:rFonts w:ascii="Times New Roman" w:hAnsi="Times New Roman" w:cs="Times New Roman" w:eastAsia="Times New Roman" w:hint="default"/>
        </w:rPr>
        <w:t>/</w:t>
      </w:r>
      <w:r>
        <w:rPr/>
        <w:t>年度创新软件企业。所承建的项目获得国家智慧城市创新大奖， 入选国家发改委</w:t>
      </w:r>
      <w:r>
        <w:rPr>
          <w:rFonts w:ascii="Times New Roman" w:hAnsi="Times New Roman" w:cs="Times New Roman" w:eastAsia="Times New Roman" w:hint="default"/>
        </w:rPr>
        <w:t>“</w:t>
      </w:r>
      <w:r>
        <w:rPr/>
        <w:t>互联网＋政务</w:t>
      </w:r>
      <w:r>
        <w:rPr>
          <w:rFonts w:ascii="Times New Roman" w:hAnsi="Times New Roman" w:cs="Times New Roman" w:eastAsia="Times New Roman" w:hint="default"/>
        </w:rPr>
        <w:t>”</w:t>
      </w:r>
      <w:r>
        <w:rPr/>
        <w:t>示范工程。</w:t>
      </w:r>
    </w:p>
    <w:p>
      <w:pPr>
        <w:pStyle w:val="BodyText"/>
        <w:spacing w:line="240" w:lineRule="auto" w:before="51"/>
        <w:ind w:left="513" w:right="0"/>
        <w:jc w:val="left"/>
      </w:pPr>
      <w:r>
        <w:rPr>
          <w:spacing w:val="-5"/>
        </w:rPr>
        <w:t>公司注重企业信用，</w:t>
      </w:r>
      <w:r>
        <w:rPr>
          <w:rFonts w:ascii="Times New Roman" w:hAnsi="Times New Roman" w:cs="Times New Roman" w:eastAsia="Times New Roman" w:hint="default"/>
          <w:spacing w:val="-5"/>
        </w:rPr>
        <w:t>2009</w:t>
      </w:r>
      <w:r>
        <w:rPr>
          <w:rFonts w:ascii="Times New Roman" w:hAnsi="Times New Roman" w:cs="Times New Roman" w:eastAsia="Times New Roman" w:hint="default"/>
          <w:spacing w:val="1"/>
        </w:rPr>
        <w:t> </w:t>
      </w:r>
      <w:r>
        <w:rPr/>
        <w:t>年度被中国软件行业协会评为企业信用等级</w:t>
      </w:r>
      <w:r>
        <w:rPr>
          <w:spacing w:val="-45"/>
        </w:rPr>
        <w:t> </w:t>
      </w:r>
      <w:r>
        <w:rPr>
          <w:rFonts w:ascii="Times New Roman" w:hAnsi="Times New Roman" w:cs="Times New Roman" w:eastAsia="Times New Roman" w:hint="default"/>
        </w:rPr>
        <w:t>AAA</w:t>
      </w:r>
      <w:r>
        <w:rPr>
          <w:rFonts w:ascii="Times New Roman" w:hAnsi="Times New Roman" w:cs="Times New Roman" w:eastAsia="Times New Roman" w:hint="default"/>
          <w:spacing w:val="-4"/>
        </w:rPr>
        <w:t> </w:t>
      </w:r>
      <w:r>
        <w:rPr>
          <w:spacing w:val="-8"/>
        </w:rPr>
        <w:t>企业，</w:t>
      </w:r>
      <w:r>
        <w:rPr>
          <w:rFonts w:ascii="Times New Roman" w:hAnsi="Times New Roman" w:cs="Times New Roman" w:eastAsia="Times New Roman" w:hint="default"/>
          <w:spacing w:val="-8"/>
        </w:rPr>
        <w:t>2018</w:t>
      </w:r>
      <w:r>
        <w:rPr>
          <w:rFonts w:ascii="Times New Roman" w:hAnsi="Times New Roman" w:cs="Times New Roman" w:eastAsia="Times New Roman" w:hint="default"/>
          <w:spacing w:val="1"/>
        </w:rPr>
        <w:t> </w:t>
      </w:r>
      <w:r>
        <w:rPr/>
        <w:t>获首批中国软件诚信示范企业。</w:t>
      </w:r>
    </w:p>
    <w:p>
      <w:pPr>
        <w:pStyle w:val="BodyText"/>
        <w:spacing w:line="340" w:lineRule="auto" w:before="104"/>
        <w:ind w:left="513" w:right="0"/>
        <w:jc w:val="left"/>
      </w:pPr>
      <w:r>
        <w:rPr/>
        <w:t>（</w:t>
      </w:r>
      <w:r>
        <w:rPr>
          <w:rFonts w:ascii="Times New Roman" w:hAnsi="Times New Roman" w:cs="Times New Roman" w:eastAsia="Times New Roman" w:hint="default"/>
        </w:rPr>
        <w:t>6</w:t>
      </w:r>
      <w:r>
        <w:rPr/>
        <w:t>）</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年社会责任展望 </w:t>
      </w:r>
      <w:r>
        <w:rPr>
          <w:spacing w:val="-2"/>
        </w:rPr>
        <w:t>作为一家公众上市公司，公司充分意识到公司业绩、企业成长与承担社会责任是相辅相成、密不可分的，高度重视为股</w:t>
      </w:r>
    </w:p>
    <w:p>
      <w:pPr>
        <w:pStyle w:val="BodyText"/>
        <w:spacing w:line="316" w:lineRule="auto" w:before="1"/>
        <w:ind w:right="0"/>
        <w:jc w:val="left"/>
      </w:pPr>
      <w:r>
        <w:rPr>
          <w:spacing w:val="-2"/>
        </w:rPr>
        <w:t>东实现最佳回报，保护投资人的合法权益；注重回馈员工，实现员工个人发展与公司发展同步提升；重视公司的发展要融入</w:t>
      </w:r>
      <w:r>
        <w:rPr>
          <w:spacing w:val="-64"/>
        </w:rPr>
        <w:t> </w:t>
      </w:r>
      <w:r>
        <w:rPr>
          <w:spacing w:val="-64"/>
        </w:rPr>
      </w:r>
      <w:r>
        <w:rPr/>
        <w:t>社会，积极回馈社会。</w:t>
      </w:r>
    </w:p>
    <w:p>
      <w:pPr>
        <w:pStyle w:val="BodyText"/>
        <w:spacing w:line="300" w:lineRule="auto" w:before="57"/>
        <w:ind w:right="1133"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年，公司积极履行社会责任，在股东权益保护、职工权益保护、客户和供应商权益保护以及回馈社会等方面取得 了一定的成绩。</w:t>
      </w:r>
      <w:r>
        <w:rPr>
          <w:rFonts w:ascii="Times New Roman" w:hAnsi="Times New Roman" w:cs="Times New Roman" w:eastAsia="Times New Roman" w:hint="default"/>
        </w:rPr>
        <w:t>2020</w:t>
      </w:r>
      <w:r>
        <w:rPr>
          <w:rFonts w:ascii="Times New Roman" w:hAnsi="Times New Roman" w:cs="Times New Roman" w:eastAsia="Times New Roman" w:hint="default"/>
          <w:spacing w:val="4"/>
        </w:rPr>
        <w:t> </w:t>
      </w:r>
      <w:r>
        <w:rPr/>
        <w:t>年，公司将继续努力，践行社会责任，在企业发展的同时一如既往地推进社会责任理念的传播，实现 企业与社会的和谐发展。</w:t>
      </w:r>
    </w:p>
    <w:p>
      <w:pPr>
        <w:spacing w:line="240" w:lineRule="auto" w:before="10"/>
        <w:rPr>
          <w:rFonts w:ascii="宋体" w:hAnsi="宋体" w:cs="宋体" w:eastAsia="宋体" w:hint="default"/>
          <w:sz w:val="23"/>
          <w:szCs w:val="23"/>
        </w:rPr>
      </w:pPr>
    </w:p>
    <w:p>
      <w:pPr>
        <w:pStyle w:val="Heading3"/>
        <w:spacing w:line="240" w:lineRule="auto"/>
        <w:ind w:right="2602"/>
        <w:jc w:val="left"/>
        <w:rPr>
          <w:b w:val="0"/>
          <w:bCs w:val="0"/>
        </w:rPr>
      </w:pPr>
      <w:bookmarkStart w:name="2、环境保护相关的情况" w:id="102"/>
      <w:bookmarkEnd w:id="102"/>
      <w:r>
        <w:rPr>
          <w:b w:val="0"/>
          <w:bCs w:val="0"/>
        </w:rPr>
      </w:r>
      <w:r>
        <w:rPr>
          <w:rFonts w:ascii="Times New Roman" w:hAnsi="Times New Roman" w:cs="Times New Roman" w:eastAsia="Times New Roman" w:hint="default"/>
        </w:rPr>
        <w:t>2</w:t>
      </w:r>
      <w:r>
        <w:rPr/>
        <w:t>、环境保护相关的情况</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5714"/>
        <w:jc w:val="left"/>
      </w:pPr>
      <w:r>
        <w:rPr/>
        <w:t>上市公司及其子公司是否属于环境保护部门公布的重点排污单位 否</w:t>
      </w:r>
    </w:p>
    <w:p>
      <w:pPr>
        <w:pStyle w:val="BodyText"/>
        <w:spacing w:line="360" w:lineRule="auto" w:before="25"/>
        <w:ind w:left="513" w:right="0"/>
        <w:jc w:val="left"/>
      </w:pPr>
      <w:r>
        <w:rPr/>
        <w:t>公司注重环境保护，不断提高资源综合利用水平，切实推进企业与环境的可持续、和谐发展。 </w:t>
      </w:r>
      <w:r>
        <w:rPr>
          <w:spacing w:val="-2"/>
        </w:rPr>
        <w:t>日常工作中，公司严格执行空调温度控制标准，节约照明用电，做到人走灯灭；合理使用电脑、打印机、复印机，不使</w:t>
      </w:r>
    </w:p>
    <w:p>
      <w:pPr>
        <w:pStyle w:val="BodyText"/>
        <w:spacing w:line="222" w:lineRule="exact"/>
        <w:ind w:right="0"/>
        <w:jc w:val="left"/>
      </w:pPr>
      <w:r>
        <w:rPr/>
        <w:t>用或外出时及时关闭电源。加强对办公耗材采购、领取、使用的管理，充分利用现代信息技术手段，推行无纸化办公，审批</w:t>
      </w:r>
    </w:p>
    <w:p>
      <w:pPr>
        <w:pStyle w:val="BodyText"/>
        <w:spacing w:line="240" w:lineRule="auto" w:before="76"/>
        <w:ind w:right="0"/>
        <w:jc w:val="left"/>
      </w:pPr>
      <w:r>
        <w:rPr/>
        <w:t>流程电子化，节约打印、复印用纸，提倡打印、传真纸张双面使用，有效实现了办公室的“节能减排”和绿色办公。</w:t>
      </w:r>
    </w:p>
    <w:p>
      <w:pPr>
        <w:spacing w:line="240" w:lineRule="auto" w:before="3"/>
        <w:rPr>
          <w:rFonts w:ascii="宋体" w:hAnsi="宋体" w:cs="宋体" w:eastAsia="宋体" w:hint="default"/>
          <w:sz w:val="25"/>
          <w:szCs w:val="25"/>
        </w:rPr>
      </w:pPr>
    </w:p>
    <w:p>
      <w:pPr>
        <w:pStyle w:val="Heading2"/>
        <w:spacing w:line="240" w:lineRule="auto"/>
        <w:ind w:right="2602"/>
        <w:jc w:val="left"/>
        <w:rPr>
          <w:b w:val="0"/>
          <w:bCs w:val="0"/>
        </w:rPr>
      </w:pPr>
      <w:bookmarkStart w:name="十八、其他重大事项的说明" w:id="103"/>
      <w:bookmarkEnd w:id="103"/>
      <w:r>
        <w:rPr>
          <w:b w:val="0"/>
          <w:bCs w:val="0"/>
        </w:rPr>
      </w:r>
      <w:r>
        <w:rPr/>
        <w:t>十八、其他重大事项的说明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13"/>
          <w:szCs w:val="13"/>
        </w:rPr>
      </w:pPr>
    </w:p>
    <w:p>
      <w:pPr>
        <w:pStyle w:val="BodyText"/>
        <w:spacing w:line="240" w:lineRule="auto"/>
        <w:ind w:left="513" w:right="2602"/>
        <w:jc w:val="left"/>
      </w:pPr>
      <w:r>
        <w:rPr>
          <w:rFonts w:ascii="Times New Roman" w:hAnsi="Times New Roman" w:cs="Times New Roman" w:eastAsia="Times New Roman" w:hint="default"/>
        </w:rPr>
        <w:t>1</w:t>
      </w:r>
      <w:r>
        <w:rPr/>
        <w:t>、公司第一大股东变更暨无实际控制人</w:t>
      </w:r>
    </w:p>
    <w:p>
      <w:pPr>
        <w:pStyle w:val="BodyText"/>
        <w:spacing w:line="240" w:lineRule="auto" w:before="103"/>
        <w:ind w:left="513" w:right="0"/>
        <w:jc w:val="left"/>
      </w:pPr>
      <w:r>
        <w:rPr/>
        <w:t>公司于</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日披</w:t>
      </w:r>
      <w:r>
        <w:rPr>
          <w:spacing w:val="-3"/>
        </w:rPr>
        <w:t>露</w:t>
      </w:r>
      <w:r>
        <w:rPr>
          <w:spacing w:val="-39"/>
        </w:rPr>
        <w:t>了</w:t>
      </w:r>
      <w:r>
        <w:rPr/>
        <w:t>《关于权益变动的提示性公告</w:t>
      </w:r>
      <w:r>
        <w:rPr>
          <w:spacing w:val="-92"/>
        </w:rPr>
        <w:t>》</w:t>
      </w:r>
      <w:r>
        <w:rPr>
          <w:spacing w:val="-130"/>
        </w:rPr>
        <w:t>、</w:t>
      </w:r>
      <w:r>
        <w:rPr/>
        <w:t>《关于公司第一大股东</w:t>
      </w:r>
      <w:r>
        <w:rPr>
          <w:spacing w:val="2"/>
        </w:rPr>
        <w:t>变</w:t>
      </w:r>
      <w:r>
        <w:rPr/>
        <w:t>更暨无实际控制人的提示性公</w:t>
      </w:r>
    </w:p>
    <w:p>
      <w:pPr>
        <w:pStyle w:val="BodyText"/>
        <w:spacing w:line="240" w:lineRule="auto" w:before="63"/>
        <w:ind w:right="0"/>
        <w:jc w:val="left"/>
      </w:pPr>
      <w:r>
        <w:rPr/>
        <w:t>告</w:t>
      </w:r>
      <w:r>
        <w:rPr>
          <w:spacing w:val="-92"/>
        </w:rPr>
        <w:t>》</w:t>
      </w:r>
      <w:r>
        <w:rPr/>
        <w:t>。截至</w:t>
      </w:r>
      <w:r>
        <w:rPr>
          <w:spacing w:val="-42"/>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年</w:t>
      </w:r>
      <w:r>
        <w:rPr>
          <w:spacing w:val="-42"/>
        </w:rPr>
        <w:t> </w:t>
      </w: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45"/>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日</w:t>
      </w:r>
      <w:r>
        <w:rPr>
          <w:spacing w:val="-3"/>
        </w:rPr>
        <w:t>，</w:t>
      </w:r>
      <w:r>
        <w:rPr/>
        <w:t>公司股东中国人寿保险股份有限公司及其一致行动人中国人寿保险（集团）公司、中国人寿</w:t>
      </w:r>
    </w:p>
    <w:p>
      <w:pPr>
        <w:pStyle w:val="BodyText"/>
        <w:spacing w:line="240" w:lineRule="auto" w:before="63"/>
        <w:ind w:right="0"/>
        <w:jc w:val="left"/>
      </w:pPr>
      <w:r>
        <w:rPr/>
        <w:t>资产管理有限公司合计持有公司</w:t>
      </w:r>
      <w:r>
        <w:rPr>
          <w:spacing w:val="-43"/>
        </w:rPr>
        <w:t> </w:t>
      </w:r>
      <w:r>
        <w:rPr>
          <w:rFonts w:ascii="Times New Roman" w:hAnsi="Times New Roman" w:cs="Times New Roman" w:eastAsia="Times New Roman" w:hint="default"/>
        </w:rPr>
        <w:t>206,323,682</w:t>
      </w:r>
      <w:r>
        <w:rPr>
          <w:rFonts w:ascii="Times New Roman" w:hAnsi="Times New Roman" w:cs="Times New Roman" w:eastAsia="Times New Roman" w:hint="default"/>
          <w:spacing w:val="4"/>
        </w:rPr>
        <w:t> </w:t>
      </w:r>
      <w:r>
        <w:rPr/>
        <w:t>股股份，已超过公司原第一大股东上海万豪投资有限公司及其实际控制人史一</w:t>
      </w:r>
    </w:p>
    <w:p>
      <w:pPr>
        <w:pStyle w:val="BodyText"/>
        <w:spacing w:line="240" w:lineRule="auto" w:before="63"/>
        <w:ind w:right="2602"/>
        <w:jc w:val="left"/>
      </w:pPr>
      <w:r>
        <w:rPr/>
        <w:t>兵合计持有的</w:t>
      </w:r>
      <w:r>
        <w:rPr>
          <w:spacing w:val="-48"/>
        </w:rPr>
        <w:t> </w:t>
      </w:r>
      <w:r>
        <w:rPr>
          <w:rFonts w:ascii="Times New Roman" w:hAnsi="Times New Roman" w:cs="Times New Roman" w:eastAsia="Times New Roman" w:hint="default"/>
        </w:rPr>
        <w:t>206,097,400</w:t>
      </w:r>
      <w:r>
        <w:rPr>
          <w:rFonts w:ascii="Times New Roman" w:hAnsi="Times New Roman" w:cs="Times New Roman" w:eastAsia="Times New Roman" w:hint="default"/>
          <w:spacing w:val="-1"/>
        </w:rPr>
        <w:t> </w:t>
      </w:r>
      <w:r>
        <w:rPr/>
        <w:t>股股份，成为公司第一大股东，公司变更为无控股股东、无实际控制人。</w:t>
      </w:r>
    </w:p>
    <w:p>
      <w:pPr>
        <w:spacing w:line="240" w:lineRule="auto" w:before="13"/>
        <w:rPr>
          <w:rFonts w:ascii="宋体" w:hAnsi="宋体" w:cs="宋体" w:eastAsia="宋体" w:hint="default"/>
          <w:sz w:val="13"/>
          <w:szCs w:val="13"/>
        </w:rPr>
      </w:pPr>
    </w:p>
    <w:p>
      <w:pPr>
        <w:pStyle w:val="BodyText"/>
        <w:spacing w:line="240" w:lineRule="auto"/>
        <w:ind w:left="513" w:right="2602"/>
        <w:jc w:val="left"/>
      </w:pPr>
      <w:r>
        <w:rPr>
          <w:rFonts w:ascii="Times New Roman" w:hAnsi="Times New Roman" w:cs="Times New Roman" w:eastAsia="Times New Roman" w:hint="default"/>
        </w:rPr>
        <w:t>2</w:t>
      </w:r>
      <w:r>
        <w:rPr/>
        <w:t>、第七届董事会、监事会换届选举</w:t>
      </w:r>
    </w:p>
    <w:p>
      <w:pPr>
        <w:pStyle w:val="BodyText"/>
        <w:spacing w:line="307" w:lineRule="auto" w:before="103"/>
        <w:ind w:right="1133" w:firstLine="360"/>
        <w:jc w:val="both"/>
      </w:pPr>
      <w:r>
        <w:rPr/>
        <w:t>公司于</w:t>
      </w:r>
      <w:r>
        <w:rPr>
          <w:spacing w:val="-3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8"/>
        </w:rPr>
        <w:t> </w:t>
      </w:r>
      <w:r>
        <w:rPr/>
        <w:t>年</w:t>
      </w:r>
      <w:r>
        <w:rPr>
          <w:spacing w:val="-38"/>
        </w:rPr>
        <w:t> </w:t>
      </w:r>
      <w:r>
        <w:rPr>
          <w:rFonts w:ascii="Times New Roman" w:hAnsi="Times New Roman" w:cs="Times New Roman" w:eastAsia="Times New Roman" w:hint="default"/>
        </w:rPr>
        <w:t>10</w:t>
      </w:r>
      <w:r>
        <w:rPr>
          <w:rFonts w:ascii="Times New Roman" w:hAnsi="Times New Roman" w:cs="Times New Roman" w:eastAsia="Times New Roman" w:hint="default"/>
          <w:spacing w:val="6"/>
        </w:rPr>
        <w:t> </w:t>
      </w:r>
      <w:r>
        <w:rPr/>
        <w:t>月</w:t>
      </w:r>
      <w:r>
        <w:rPr>
          <w:spacing w:val="-38"/>
        </w:rPr>
        <w:t> </w:t>
      </w:r>
      <w:r>
        <w:rPr>
          <w:rFonts w:ascii="Times New Roman" w:hAnsi="Times New Roman" w:cs="Times New Roman" w:eastAsia="Times New Roman" w:hint="default"/>
        </w:rPr>
        <w:t>15</w:t>
      </w:r>
      <w:r>
        <w:rPr>
          <w:rFonts w:ascii="Times New Roman" w:hAnsi="Times New Roman" w:cs="Times New Roman" w:eastAsia="Times New Roman" w:hint="default"/>
          <w:spacing w:val="8"/>
        </w:rPr>
        <w:t> </w:t>
      </w:r>
      <w:r>
        <w:rPr/>
        <w:t>日召开</w:t>
      </w:r>
      <w:r>
        <w:rPr>
          <w:spacing w:val="-3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8"/>
        </w:rPr>
        <w:t> </w:t>
      </w:r>
      <w:r>
        <w:rPr/>
        <w:t>年第六次临时股东大会，审议通过了《关于修订</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并变更注册资本的议 </w:t>
      </w:r>
      <w:r>
        <w:rPr>
          <w:spacing w:val="-6"/>
        </w:rPr>
        <w:t>案》、《关于修订</w:t>
      </w:r>
      <w:r>
        <w:rPr>
          <w:rFonts w:ascii="Times New Roman" w:hAnsi="Times New Roman" w:cs="Times New Roman" w:eastAsia="Times New Roman" w:hint="default"/>
          <w:spacing w:val="-6"/>
        </w:rPr>
        <w:t>&lt;</w:t>
      </w:r>
      <w:r>
        <w:rPr>
          <w:spacing w:val="-6"/>
        </w:rPr>
        <w:t>股东大会议事规则</w:t>
      </w:r>
      <w:r>
        <w:rPr>
          <w:rFonts w:ascii="Times New Roman" w:hAnsi="Times New Roman" w:cs="Times New Roman" w:eastAsia="Times New Roman" w:hint="default"/>
          <w:spacing w:val="-6"/>
        </w:rPr>
        <w:t>&gt;</w:t>
      </w:r>
      <w:r>
        <w:rPr>
          <w:spacing w:val="-6"/>
        </w:rPr>
        <w:t>及</w:t>
      </w:r>
      <w:r>
        <w:rPr>
          <w:rFonts w:ascii="Times New Roman" w:hAnsi="Times New Roman" w:cs="Times New Roman" w:eastAsia="Times New Roman" w:hint="default"/>
          <w:spacing w:val="-6"/>
        </w:rPr>
        <w:t>&lt;</w:t>
      </w:r>
      <w:r>
        <w:rPr>
          <w:spacing w:val="-6"/>
        </w:rPr>
        <w:t>董事会议事规则</w:t>
      </w:r>
      <w:r>
        <w:rPr>
          <w:rFonts w:ascii="Times New Roman" w:hAnsi="Times New Roman" w:cs="Times New Roman" w:eastAsia="Times New Roman" w:hint="default"/>
          <w:spacing w:val="-6"/>
        </w:rPr>
        <w:t>&gt;</w:t>
      </w:r>
      <w:r>
        <w:rPr>
          <w:spacing w:val="-6"/>
        </w:rPr>
        <w:t>的议案》、《关于公司董事会换届选举第七届董事会非独立董事的</w:t>
      </w:r>
      <w:r>
        <w:rPr>
          <w:spacing w:val="-68"/>
        </w:rPr>
        <w:t> </w:t>
      </w:r>
      <w:r>
        <w:rPr>
          <w:spacing w:val="-68"/>
        </w:rPr>
      </w:r>
      <w:r>
        <w:rPr>
          <w:spacing w:val="-5"/>
        </w:rPr>
        <w:t>议案》、《关于公司董事会换届选举第七届董事会独立董事的议案》和《关于公司监事会换届选举第七届监事会非职工代表监</w:t>
      </w:r>
      <w:r>
        <w:rPr>
          <w:spacing w:val="-80"/>
        </w:rPr>
        <w:t> </w:t>
      </w:r>
      <w:r>
        <w:rPr>
          <w:spacing w:val="-80"/>
        </w:rPr>
      </w:r>
      <w:r>
        <w:rPr>
          <w:spacing w:val="-2"/>
        </w:rPr>
        <w:t>事的议案》。根据公司治理实际情况需要，在调整董事会成员人数的前提下，完成了董事会、监事会的换届选举。本次换届</w:t>
      </w:r>
    </w:p>
    <w:p>
      <w:pPr>
        <w:spacing w:after="0" w:line="307" w:lineRule="auto"/>
        <w:jc w:val="both"/>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40" w:lineRule="auto" w:before="44"/>
        <w:ind w:left="513" w:right="0" w:hanging="361"/>
        <w:jc w:val="left"/>
      </w:pPr>
      <w:r>
        <w:rPr/>
        <w:t>后，公司董事人数由</w:t>
      </w:r>
      <w:r>
        <w:rPr>
          <w:spacing w:val="-45"/>
        </w:rPr>
        <w:t> </w:t>
      </w:r>
      <w:r>
        <w:rPr>
          <w:rFonts w:ascii="Times New Roman" w:hAnsi="Times New Roman" w:cs="Times New Roman" w:eastAsia="Times New Roman" w:hint="default"/>
        </w:rPr>
        <w:t>7 </w:t>
      </w:r>
      <w:r>
        <w:rPr/>
        <w:t>人增加为</w:t>
      </w:r>
      <w:r>
        <w:rPr>
          <w:spacing w:val="-46"/>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人，其中非独立董事人数由</w:t>
      </w:r>
      <w:r>
        <w:rPr>
          <w:spacing w:val="-46"/>
        </w:rPr>
        <w:t> </w:t>
      </w:r>
      <w:r>
        <w:rPr>
          <w:rFonts w:ascii="Times New Roman" w:hAnsi="Times New Roman" w:cs="Times New Roman" w:eastAsia="Times New Roman" w:hint="default"/>
        </w:rPr>
        <w:t>4 </w:t>
      </w:r>
      <w:r>
        <w:rPr/>
        <w:t>人增加为</w:t>
      </w:r>
      <w:r>
        <w:rPr>
          <w:spacing w:val="-48"/>
        </w:rPr>
        <w:t> </w:t>
      </w:r>
      <w:r>
        <w:rPr>
          <w:rFonts w:ascii="Times New Roman" w:hAnsi="Times New Roman" w:cs="Times New Roman" w:eastAsia="Times New Roman" w:hint="default"/>
        </w:rPr>
        <w:t>6 </w:t>
      </w:r>
      <w:r>
        <w:rPr/>
        <w:t>人。 </w:t>
      </w:r>
      <w:r>
        <w:rPr>
          <w:spacing w:val="-2"/>
        </w:rPr>
        <w:t>同日，公司分别召开第七届董事会第一次会议、第七届监事会第一次会议，审议通过了《关于选举公司第七届董事会董</w:t>
      </w:r>
    </w:p>
    <w:p>
      <w:pPr>
        <w:pStyle w:val="BodyText"/>
        <w:spacing w:line="316" w:lineRule="auto" w:before="1"/>
        <w:ind w:right="1043"/>
        <w:jc w:val="both"/>
      </w:pPr>
      <w:r>
        <w:rPr/>
        <w:t>事长</w:t>
      </w:r>
      <w:r>
        <w:rPr>
          <w:spacing w:val="-27"/>
        </w:rPr>
        <w:t>、</w:t>
      </w:r>
      <w:r>
        <w:rPr/>
        <w:t>副董事长的议案</w:t>
      </w:r>
      <w:r>
        <w:rPr>
          <w:spacing w:val="-92"/>
        </w:rPr>
        <w:t>》</w:t>
      </w:r>
      <w:r>
        <w:rPr>
          <w:spacing w:val="-118"/>
        </w:rPr>
        <w:t>、</w:t>
      </w:r>
      <w:r>
        <w:rPr/>
        <w:t>《关于设立第七届董事会专门委员会及其人员组成的议案</w:t>
      </w:r>
      <w:r>
        <w:rPr>
          <w:spacing w:val="-92"/>
        </w:rPr>
        <w:t>》</w:t>
      </w:r>
      <w:r>
        <w:rPr>
          <w:spacing w:val="-118"/>
        </w:rPr>
        <w:t>、</w:t>
      </w:r>
      <w:r>
        <w:rPr/>
        <w:t>《</w:t>
      </w:r>
      <w:r>
        <w:rPr>
          <w:spacing w:val="2"/>
        </w:rPr>
        <w:t>关</w:t>
      </w:r>
      <w:r>
        <w:rPr/>
        <w:t>于选举公司第七届监事会主席的议</w:t>
      </w:r>
      <w:r>
        <w:rPr/>
        <w:t> 案</w:t>
      </w:r>
      <w:r>
        <w:rPr>
          <w:spacing w:val="-92"/>
        </w:rPr>
        <w:t>》</w:t>
      </w:r>
      <w:r>
        <w:rPr>
          <w:spacing w:val="-157"/>
        </w:rPr>
        <w:t>、</w:t>
      </w:r>
      <w:r>
        <w:rPr/>
        <w:t>《关于聘任公司总裁的议</w:t>
      </w:r>
      <w:r>
        <w:rPr>
          <w:spacing w:val="2"/>
        </w:rPr>
        <w:t>案</w:t>
      </w:r>
      <w:r>
        <w:rPr>
          <w:spacing w:val="-92"/>
        </w:rPr>
        <w:t>》</w:t>
      </w:r>
      <w:r>
        <w:rPr>
          <w:spacing w:val="-157"/>
        </w:rPr>
        <w:t>、</w:t>
      </w:r>
      <w:r>
        <w:rPr/>
        <w:t>《关于聘任公司高级管理人</w:t>
      </w:r>
      <w:r>
        <w:rPr>
          <w:spacing w:val="2"/>
        </w:rPr>
        <w:t>员</w:t>
      </w:r>
      <w:r>
        <w:rPr/>
        <w:t>的议案</w:t>
      </w:r>
      <w:r>
        <w:rPr>
          <w:spacing w:val="-92"/>
        </w:rPr>
        <w:t>》</w:t>
      </w:r>
      <w:r>
        <w:rPr>
          <w:spacing w:val="-157"/>
        </w:rPr>
        <w:t>、</w:t>
      </w:r>
      <w:r>
        <w:rPr/>
        <w:t>《关于聘任公司董事</w:t>
      </w:r>
      <w:r>
        <w:rPr>
          <w:spacing w:val="2"/>
        </w:rPr>
        <w:t>会</w:t>
      </w:r>
      <w:r>
        <w:rPr/>
        <w:t>秘书</w:t>
      </w:r>
      <w:r>
        <w:rPr>
          <w:spacing w:val="-65"/>
        </w:rPr>
        <w:t>、</w:t>
      </w:r>
      <w:r>
        <w:rPr/>
        <w:t>证券事务代表的议案</w:t>
      </w:r>
      <w:r>
        <w:rPr>
          <w:spacing w:val="-92"/>
        </w:rPr>
        <w:t>》</w:t>
      </w:r>
      <w:r>
        <w:rPr/>
        <w:t>、</w:t>
      </w:r>
    </w:p>
    <w:p>
      <w:pPr>
        <w:pStyle w:val="BodyText"/>
        <w:spacing w:line="357" w:lineRule="auto" w:before="19"/>
        <w:ind w:left="513" w:right="0" w:hanging="361"/>
        <w:jc w:val="left"/>
      </w:pPr>
      <w:r>
        <w:rPr/>
        <w:t>《关于聘任公司审计部负责人的议案》等相关议案。 </w:t>
      </w:r>
      <w:r>
        <w:rPr>
          <w:spacing w:val="-2"/>
        </w:rPr>
        <w:t>根据上述选举结果及相关决议，公司完成了第七届董事会、监事会的换届选举以及高级管理人员、证券事务代表和审计</w:t>
      </w:r>
    </w:p>
    <w:p>
      <w:pPr>
        <w:pStyle w:val="BodyText"/>
        <w:spacing w:line="224" w:lineRule="exact"/>
        <w:ind w:left="513" w:right="2602" w:hanging="361"/>
        <w:jc w:val="left"/>
      </w:pPr>
      <w:r>
        <w:rPr/>
        <w:t>部负责人的聘任工作。</w:t>
      </w:r>
    </w:p>
    <w:p>
      <w:pPr>
        <w:spacing w:line="240" w:lineRule="auto" w:before="0"/>
        <w:rPr>
          <w:rFonts w:ascii="宋体" w:hAnsi="宋体" w:cs="宋体" w:eastAsia="宋体" w:hint="default"/>
          <w:sz w:val="15"/>
          <w:szCs w:val="15"/>
        </w:rPr>
      </w:pPr>
    </w:p>
    <w:p>
      <w:pPr>
        <w:pStyle w:val="BodyText"/>
        <w:spacing w:line="240" w:lineRule="auto"/>
        <w:ind w:left="513" w:right="2602"/>
        <w:jc w:val="left"/>
      </w:pPr>
      <w:r>
        <w:rPr>
          <w:rFonts w:ascii="Times New Roman" w:hAnsi="Times New Roman" w:cs="Times New Roman" w:eastAsia="Times New Roman" w:hint="default"/>
        </w:rPr>
        <w:t>3</w:t>
      </w:r>
      <w:r>
        <w:rPr/>
        <w:t>、股份回购</w:t>
      </w:r>
    </w:p>
    <w:p>
      <w:pPr>
        <w:pStyle w:val="BodyText"/>
        <w:spacing w:line="307" w:lineRule="auto" w:before="103"/>
        <w:ind w:right="1034" w:firstLine="360"/>
        <w:jc w:val="left"/>
      </w:pPr>
      <w:r>
        <w:rPr/>
        <w:t>公司</w:t>
      </w:r>
      <w:r>
        <w:rPr>
          <w:spacing w:val="-44"/>
        </w:rPr>
        <w:t> </w:t>
      </w:r>
      <w:r>
        <w:rPr>
          <w:rFonts w:ascii="Times New Roman" w:hAnsi="Times New Roman" w:cs="Times New Roman" w:eastAsia="Times New Roman" w:hint="default"/>
        </w:rPr>
        <w:t>2019 </w:t>
      </w:r>
      <w:r>
        <w:rPr/>
        <w:t>年</w:t>
      </w:r>
      <w:r>
        <w:rPr>
          <w:spacing w:val="-44"/>
        </w:rPr>
        <w:t> </w:t>
      </w:r>
      <w:r>
        <w:rPr>
          <w:rFonts w:ascii="Times New Roman" w:hAnsi="Times New Roman" w:cs="Times New Roman" w:eastAsia="Times New Roman" w:hint="default"/>
        </w:rPr>
        <w:t>4 </w:t>
      </w:r>
      <w:r>
        <w:rPr/>
        <w:t>月</w:t>
      </w:r>
      <w:r>
        <w:rPr>
          <w:spacing w:val="-44"/>
        </w:rPr>
        <w:t> </w:t>
      </w:r>
      <w:r>
        <w:rPr>
          <w:rFonts w:ascii="Times New Roman" w:hAnsi="Times New Roman" w:cs="Times New Roman" w:eastAsia="Times New Roman" w:hint="default"/>
          <w:spacing w:val="-1"/>
        </w:rPr>
        <w:t>10</w:t>
      </w:r>
      <w:r>
        <w:rPr>
          <w:rFonts w:ascii="Times New Roman" w:hAnsi="Times New Roman" w:cs="Times New Roman" w:eastAsia="Times New Roman" w:hint="default"/>
          <w:spacing w:val="2"/>
        </w:rPr>
        <w:t> </w:t>
      </w:r>
      <w:r>
        <w:rPr>
          <w:spacing w:val="-1"/>
        </w:rPr>
        <w:t>日召开第六届董事会</w:t>
      </w:r>
      <w:r>
        <w:rPr>
          <w:spacing w:val="-4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spacing w:val="-6"/>
        </w:rPr>
        <w:t>年第七次临时会议，审议通过了《关于确定回购股份用途的议案》。为进</w:t>
      </w:r>
      <w:r>
        <w:rPr/>
        <w:t> 一步建立、健全公司长效激励机制，吸引和留住优秀人才，充分调动公司核心管理人员、核心技术（业务）人员的积极性，</w:t>
      </w:r>
      <w:r>
        <w:rPr>
          <w:spacing w:val="-83"/>
        </w:rPr>
        <w:t> </w:t>
      </w:r>
      <w:r>
        <w:rPr>
          <w:spacing w:val="-83"/>
        </w:rPr>
      </w:r>
      <w:r>
        <w:rPr>
          <w:spacing w:val="-3"/>
        </w:rPr>
        <w:t>有效地将股东利益、公司利益和核心团队个人利益结合在一起，使各方共同关注公司的长远发展，根据《回购细则》及</w:t>
      </w:r>
      <w:r>
        <w:rPr>
          <w:spacing w:val="-3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8"/>
        </w:rPr>
        <w:t> </w:t>
      </w:r>
      <w:r>
        <w:rPr>
          <w:rFonts w:ascii="Times New Roman" w:hAnsi="Times New Roman" w:cs="Times New Roman" w:eastAsia="Times New Roman" w:hint="default"/>
          <w:spacing w:val="-28"/>
        </w:rPr>
      </w:r>
      <w:r>
        <w:rPr/>
        <w:t>年第五次临时股东大会授权，确定本次回购的公司股份全部用于实施股权激励计划或员工持股计划。</w:t>
      </w:r>
    </w:p>
    <w:p>
      <w:pPr>
        <w:pStyle w:val="BodyText"/>
        <w:spacing w:line="240" w:lineRule="auto" w:before="67"/>
        <w:ind w:left="513" w:right="0"/>
        <w:jc w:val="left"/>
        <w:rPr>
          <w:rFonts w:ascii="Times New Roman" w:hAnsi="Times New Roman" w:cs="Times New Roman" w:eastAsia="Times New Roman" w:hint="default"/>
        </w:rPr>
      </w:pPr>
      <w:r>
        <w:rPr/>
        <w:t>公司于</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日披</w:t>
      </w:r>
      <w:r>
        <w:rPr>
          <w:spacing w:val="-3"/>
        </w:rPr>
        <w:t>露</w:t>
      </w:r>
      <w:r>
        <w:rPr>
          <w:spacing w:val="-41"/>
        </w:rPr>
        <w:t>了</w:t>
      </w:r>
      <w:r>
        <w:rPr/>
        <w:t>《关于回购期届满暨股份回购实施结果的公告</w:t>
      </w:r>
      <w:r>
        <w:rPr>
          <w:spacing w:val="-92"/>
        </w:rPr>
        <w:t>》</w:t>
      </w:r>
      <w:r>
        <w:rPr>
          <w:spacing w:val="-41"/>
        </w:rPr>
        <w:t>。</w:t>
      </w:r>
      <w:r>
        <w:rPr/>
        <w:t>根据回</w:t>
      </w:r>
      <w:r>
        <w:rPr>
          <w:spacing w:val="2"/>
        </w:rPr>
        <w:t>购</w:t>
      </w:r>
      <w:r>
        <w:rPr/>
        <w:t>方案</w:t>
      </w:r>
      <w:r>
        <w:rPr>
          <w:spacing w:val="-41"/>
        </w:rPr>
        <w:t>，</w:t>
      </w:r>
      <w:r>
        <w:rPr/>
        <w:t>本次回购股份至</w:t>
      </w:r>
      <w:r>
        <w:rPr>
          <w:spacing w:val="-43"/>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p>
    <w:p>
      <w:pPr>
        <w:pStyle w:val="BodyText"/>
        <w:spacing w:line="240" w:lineRule="auto" w:before="63"/>
        <w:ind w:right="0"/>
        <w:jc w:val="left"/>
      </w:pPr>
      <w:r>
        <w:rPr/>
        <w:t>年</w:t>
      </w:r>
      <w:r>
        <w:rPr>
          <w:spacing w:val="-3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9"/>
        </w:rPr>
        <w:t> </w:t>
      </w:r>
      <w:r>
        <w:rPr/>
        <w:t>月</w:t>
      </w:r>
      <w:r>
        <w:rPr>
          <w:spacing w:val="-37"/>
        </w:rPr>
        <w:t> </w:t>
      </w:r>
      <w:r>
        <w:rPr>
          <w:rFonts w:ascii="Times New Roman" w:hAnsi="Times New Roman" w:cs="Times New Roman" w:eastAsia="Times New Roman" w:hint="default"/>
        </w:rPr>
        <w:t>28</w:t>
      </w:r>
      <w:r>
        <w:rPr>
          <w:rFonts w:ascii="Times New Roman" w:hAnsi="Times New Roman" w:cs="Times New Roman" w:eastAsia="Times New Roman" w:hint="default"/>
          <w:spacing w:val="9"/>
        </w:rPr>
        <w:t> </w:t>
      </w:r>
      <w:r>
        <w:rPr/>
        <w:t>日期满。截至</w:t>
      </w:r>
      <w:r>
        <w:rPr>
          <w:spacing w:val="-37"/>
        </w:rPr>
        <w:t> </w:t>
      </w:r>
      <w:r>
        <w:rPr>
          <w:rFonts w:ascii="Times New Roman" w:hAnsi="Times New Roman" w:cs="Times New Roman" w:eastAsia="Times New Roman" w:hint="default"/>
        </w:rPr>
        <w:t>2019</w:t>
      </w:r>
      <w:r>
        <w:rPr>
          <w:rFonts w:ascii="Times New Roman" w:hAnsi="Times New Roman" w:cs="Times New Roman" w:eastAsia="Times New Roman" w:hint="default"/>
          <w:spacing w:val="9"/>
        </w:rPr>
        <w:t> </w:t>
      </w:r>
      <w:r>
        <w:rPr/>
        <w:t>年</w:t>
      </w:r>
      <w:r>
        <w:rPr>
          <w:spacing w:val="-39"/>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7"/>
        </w:rPr>
        <w:t> </w:t>
      </w:r>
      <w:r>
        <w:rPr/>
        <w:t>月</w:t>
      </w:r>
      <w:r>
        <w:rPr>
          <w:spacing w:val="-37"/>
        </w:rPr>
        <w:t> </w:t>
      </w:r>
      <w:r>
        <w:rPr>
          <w:rFonts w:ascii="Times New Roman" w:hAnsi="Times New Roman" w:cs="Times New Roman" w:eastAsia="Times New Roman" w:hint="default"/>
        </w:rPr>
        <w:t>28</w:t>
      </w:r>
      <w:r>
        <w:rPr>
          <w:rFonts w:ascii="Times New Roman" w:hAnsi="Times New Roman" w:cs="Times New Roman" w:eastAsia="Times New Roman" w:hint="default"/>
          <w:spacing w:val="9"/>
        </w:rPr>
        <w:t> </w:t>
      </w:r>
      <w:r>
        <w:rPr/>
        <w:t>日，公司累计以集中竞价交易方式回购公司股份</w:t>
      </w:r>
      <w:r>
        <w:rPr>
          <w:spacing w:val="-37"/>
        </w:rPr>
        <w:t> </w:t>
      </w:r>
      <w:r>
        <w:rPr>
          <w:rFonts w:ascii="Times New Roman" w:hAnsi="Times New Roman" w:cs="Times New Roman" w:eastAsia="Times New Roman" w:hint="default"/>
        </w:rPr>
        <w:t>2,563,415</w:t>
      </w:r>
      <w:r>
        <w:rPr>
          <w:rFonts w:ascii="Times New Roman" w:hAnsi="Times New Roman" w:cs="Times New Roman" w:eastAsia="Times New Roman" w:hint="default"/>
          <w:spacing w:val="10"/>
        </w:rPr>
        <w:t> </w:t>
      </w:r>
      <w:r>
        <w:rPr/>
        <w:t>股，占公司总股本的</w:t>
      </w:r>
    </w:p>
    <w:p>
      <w:pPr>
        <w:pStyle w:val="BodyText"/>
        <w:spacing w:line="240" w:lineRule="auto" w:before="63"/>
        <w:ind w:right="0"/>
        <w:jc w:val="left"/>
      </w:pP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2</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1"/>
        </w:rPr>
        <w:t>%</w:t>
      </w:r>
      <w:r>
        <w:rPr/>
        <w:t>，最高成交价为</w:t>
      </w:r>
      <w:r>
        <w:rPr>
          <w:spacing w:val="-45"/>
        </w:rPr>
        <w:t> </w:t>
      </w:r>
      <w:r>
        <w:rPr>
          <w:rFonts w:ascii="Times New Roman" w:hAnsi="Times New Roman" w:cs="Times New Roman" w:eastAsia="Times New Roman" w:hint="default"/>
          <w:spacing w:val="-6"/>
        </w:rPr>
        <w:t>1</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.9</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spacing w:val="-2"/>
        </w:rPr>
        <w:t>/</w:t>
      </w:r>
      <w:r>
        <w:rPr/>
        <w:t>股，最低成交价为</w:t>
      </w:r>
      <w:r>
        <w:rPr>
          <w:spacing w:val="-44"/>
        </w:rPr>
        <w:t> </w:t>
      </w:r>
      <w:r>
        <w:rPr>
          <w:rFonts w:ascii="Times New Roman" w:hAnsi="Times New Roman" w:cs="Times New Roman" w:eastAsia="Times New Roman" w:hint="default"/>
          <w:spacing w:val="-6"/>
        </w:rPr>
        <w:t>1</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1</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spacing w:val="-3"/>
        </w:rPr>
        <w:t>元</w:t>
      </w:r>
      <w:r>
        <w:rPr>
          <w:rFonts w:ascii="Times New Roman" w:hAnsi="Times New Roman" w:cs="Times New Roman" w:eastAsia="Times New Roman" w:hint="default"/>
        </w:rPr>
        <w:t>/</w:t>
      </w:r>
      <w:r>
        <w:rPr>
          <w:spacing w:val="-3"/>
        </w:rPr>
        <w:t>股</w:t>
      </w:r>
      <w:r>
        <w:rPr/>
        <w:t>，支付总金额为</w:t>
      </w:r>
      <w:r>
        <w:rPr>
          <w:spacing w:val="-45"/>
        </w:rPr>
        <w:t> </w:t>
      </w:r>
      <w:r>
        <w:rPr>
          <w:rFonts w:ascii="Times New Roman" w:hAnsi="Times New Roman" w:cs="Times New Roman" w:eastAsia="Times New Roman" w:hint="default"/>
          <w:spacing w:val="1"/>
        </w:rPr>
        <w:t>29</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9</w:t>
      </w:r>
      <w:r>
        <w:rPr>
          <w:rFonts w:ascii="Times New Roman" w:hAnsi="Times New Roman" w:cs="Times New Roman" w:eastAsia="Times New Roman" w:hint="default"/>
          <w:spacing w:val="-2"/>
        </w:rPr>
        <w:t>8</w:t>
      </w:r>
      <w:r>
        <w:rPr>
          <w:rFonts w:ascii="Times New Roman" w:hAnsi="Times New Roman" w:cs="Times New Roman" w:eastAsia="Times New Roman" w:hint="default"/>
          <w:spacing w:val="1"/>
        </w:rPr>
        <w:t>4</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6</w:t>
      </w:r>
      <w:r>
        <w:rPr>
          <w:rFonts w:ascii="Times New Roman" w:hAnsi="Times New Roman" w:cs="Times New Roman" w:eastAsia="Times New Roman" w:hint="default"/>
          <w:spacing w:val="1"/>
        </w:rPr>
        <w:t>5</w:t>
      </w:r>
      <w:r>
        <w:rPr>
          <w:rFonts w:ascii="Times New Roman" w:hAnsi="Times New Roman" w:cs="Times New Roman" w:eastAsia="Times New Roman" w:hint="default"/>
        </w:rPr>
        <w:t>.</w:t>
      </w:r>
      <w:r>
        <w:rPr>
          <w:rFonts w:ascii="Times New Roman" w:hAnsi="Times New Roman" w:cs="Times New Roman" w:eastAsia="Times New Roman" w:hint="default"/>
          <w:spacing w:val="-2"/>
        </w:rPr>
        <w:t>2</w:t>
      </w:r>
      <w:r>
        <w:rPr>
          <w:rFonts w:ascii="Times New Roman" w:hAnsi="Times New Roman" w:cs="Times New Roman" w:eastAsia="Times New Roman" w:hint="default"/>
        </w:rPr>
        <w:t>5 </w:t>
      </w:r>
      <w:r>
        <w:rPr/>
        <w:t>元（含交易费用</w:t>
      </w:r>
      <w:r>
        <w:rPr>
          <w:spacing w:val="-92"/>
        </w:rPr>
        <w:t>）</w:t>
      </w:r>
      <w:r>
        <w:rPr/>
        <w:t>。</w:t>
      </w:r>
    </w:p>
    <w:p>
      <w:pPr>
        <w:pStyle w:val="BodyText"/>
        <w:spacing w:line="240" w:lineRule="auto" w:before="101"/>
        <w:ind w:left="513" w:right="0"/>
        <w:jc w:val="left"/>
      </w:pPr>
      <w:r>
        <w:rPr/>
        <w:t>自公司股东大会审议通过回购股份方案后，公司根据资金情况，计划分阶段实施回购。截至</w:t>
      </w:r>
      <w:r>
        <w:rPr>
          <w:spacing w:val="-4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3"/>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3"/>
        </w:rPr>
        <w:t> </w:t>
      </w:r>
      <w:r>
        <w:rPr/>
        <w:t>月</w:t>
      </w:r>
      <w:r>
        <w:rPr>
          <w:spacing w:val="-43"/>
        </w:rPr>
        <w:t> </w:t>
      </w:r>
      <w:r>
        <w:rPr>
          <w:rFonts w:ascii="Times New Roman" w:hAnsi="Times New Roman" w:cs="Times New Roman" w:eastAsia="Times New Roman" w:hint="default"/>
        </w:rPr>
        <w:t>28</w:t>
      </w:r>
      <w:r>
        <w:rPr>
          <w:rFonts w:ascii="Times New Roman" w:hAnsi="Times New Roman" w:cs="Times New Roman" w:eastAsia="Times New Roman" w:hint="default"/>
          <w:spacing w:val="3"/>
        </w:rPr>
        <w:t> </w:t>
      </w:r>
      <w:r>
        <w:rPr/>
        <w:t>日，公司</w:t>
      </w:r>
    </w:p>
    <w:p>
      <w:pPr>
        <w:pStyle w:val="BodyText"/>
        <w:spacing w:line="309" w:lineRule="auto" w:before="63"/>
        <w:ind w:right="1130"/>
        <w:jc w:val="both"/>
      </w:pPr>
      <w:r>
        <w:rPr/>
        <w:t>回购总金额未达到回购方案计划数，主要系受回购股份敏感期、股价高于回购价格上限</w:t>
      </w:r>
      <w:r>
        <w:rPr>
          <w:spacing w:val="-64"/>
        </w:rPr>
        <w:t> </w:t>
      </w:r>
      <w:r>
        <w:rPr>
          <w:rFonts w:ascii="Times New Roman" w:hAnsi="Times New Roman" w:cs="Times New Roman" w:eastAsia="Times New Roman" w:hint="default"/>
        </w:rPr>
        <w:t>16.00</w:t>
      </w:r>
      <w:r>
        <w:rPr>
          <w:rFonts w:ascii="Times New Roman" w:hAnsi="Times New Roman" w:cs="Times New Roman" w:eastAsia="Times New Roman" w:hint="default"/>
          <w:spacing w:val="-18"/>
        </w:rPr>
        <w:t> </w:t>
      </w:r>
      <w:r>
        <w:rPr/>
        <w:t>元等限制，公司实际可实施回 </w:t>
      </w:r>
      <w:r>
        <w:rPr>
          <w:spacing w:val="-2"/>
        </w:rPr>
        <w:t>购操作的时间窗口较少，同时因公司流动资金管理的需要，对回购节奏进行了主动控制，因此公司未能全额完成此次回购计</w:t>
      </w:r>
      <w:r>
        <w:rPr>
          <w:spacing w:val="-63"/>
        </w:rPr>
        <w:t> </w:t>
      </w:r>
      <w:r>
        <w:rPr>
          <w:spacing w:val="-63"/>
        </w:rPr>
      </w:r>
      <w:r>
        <w:rPr/>
        <w:t>划。公司对本次未能全额完成回购计划深表歉意。</w:t>
      </w:r>
    </w:p>
    <w:p>
      <w:pPr>
        <w:pStyle w:val="BodyText"/>
        <w:spacing w:line="240" w:lineRule="auto" w:before="144"/>
        <w:ind w:left="513" w:right="2602"/>
        <w:jc w:val="left"/>
      </w:pPr>
      <w:r>
        <w:rPr>
          <w:rFonts w:ascii="Times New Roman" w:hAnsi="Times New Roman" w:cs="Times New Roman" w:eastAsia="Times New Roman" w:hint="default"/>
        </w:rPr>
        <w:t>4</w:t>
      </w:r>
      <w:r>
        <w:rPr/>
        <w:t>、一致行动人解除一致行动关系</w:t>
      </w:r>
    </w:p>
    <w:p>
      <w:pPr>
        <w:pStyle w:val="BodyText"/>
        <w:spacing w:line="240" w:lineRule="auto" w:before="103"/>
        <w:ind w:left="513" w:right="0"/>
        <w:jc w:val="left"/>
      </w:pPr>
      <w:r>
        <w:rPr/>
        <w:t>公司于</w:t>
      </w:r>
      <w:r>
        <w:rPr>
          <w:spacing w:val="-6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6"/>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6"/>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4"/>
        </w:rPr>
        <w:t> </w:t>
      </w:r>
      <w:r>
        <w:rPr/>
        <w:t>日收到公司一致行动人陈洁先生、陈耀远女士、王淑玉女士签署的《关于一致行动人协议到期不</w:t>
      </w:r>
    </w:p>
    <w:p>
      <w:pPr>
        <w:pStyle w:val="BodyText"/>
        <w:spacing w:line="240" w:lineRule="auto" w:before="63"/>
        <w:ind w:right="0"/>
        <w:jc w:val="left"/>
      </w:pPr>
      <w:r>
        <w:rPr/>
        <w:t>再续签的声明</w:t>
      </w:r>
      <w:r>
        <w:rPr>
          <w:spacing w:val="-92"/>
        </w:rPr>
        <w:t>》</w:t>
      </w:r>
      <w:r>
        <w:rPr/>
        <w:t>，上述一致行</w:t>
      </w:r>
      <w:r>
        <w:rPr>
          <w:spacing w:val="2"/>
        </w:rPr>
        <w:t>动</w:t>
      </w:r>
      <w:r>
        <w:rPr/>
        <w:t>人于</w:t>
      </w:r>
      <w:r>
        <w:rPr>
          <w:spacing w:val="-44"/>
        </w:rPr>
        <w:t> </w:t>
      </w:r>
      <w:r>
        <w:rPr>
          <w:rFonts w:ascii="Times New Roman" w:hAnsi="Times New Roman" w:cs="Times New Roman" w:eastAsia="Times New Roman" w:hint="default"/>
          <w:spacing w:val="1"/>
        </w:rPr>
        <w:t>201</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日签署《</w:t>
      </w:r>
      <w:r>
        <w:rPr>
          <w:spacing w:val="-3"/>
        </w:rPr>
        <w:t>一</w:t>
      </w:r>
      <w:r>
        <w:rPr/>
        <w:t>致行动人协议</w:t>
      </w:r>
      <w:r>
        <w:rPr>
          <w:spacing w:val="-92"/>
        </w:rPr>
        <w:t>》</w:t>
      </w:r>
      <w:r>
        <w:rPr/>
        <w:t>，约定自协议</w:t>
      </w:r>
      <w:r>
        <w:rPr>
          <w:spacing w:val="2"/>
        </w:rPr>
        <w:t>签</w:t>
      </w:r>
      <w:r>
        <w:rPr/>
        <w:t>署日后各方成为公司一致行动</w:t>
      </w:r>
    </w:p>
    <w:p>
      <w:pPr>
        <w:pStyle w:val="BodyText"/>
        <w:spacing w:line="300" w:lineRule="auto" w:before="63"/>
        <w:ind w:right="1134"/>
        <w:jc w:val="both"/>
      </w:pPr>
      <w:r>
        <w:rPr>
          <w:spacing w:val="-3"/>
        </w:rPr>
        <w:t>人，有效期为一年。截至</w:t>
      </w:r>
      <w:r>
        <w:rPr>
          <w:spacing w:val="-3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w:t>
      </w:r>
      <w:r>
        <w:rPr>
          <w:spacing w:val="-40"/>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月</w:t>
      </w:r>
      <w:r>
        <w:rPr>
          <w:spacing w:val="-42"/>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spacing w:val="-5"/>
        </w:rPr>
        <w:t>日，协议有效期已届满，上述一致行动人经协商不再续签《一致行动人协议》，正式</w:t>
      </w:r>
      <w:r>
        <w:rPr>
          <w:spacing w:val="-88"/>
        </w:rPr>
        <w:t> </w:t>
      </w:r>
      <w:r>
        <w:rPr>
          <w:spacing w:val="-88"/>
        </w:rPr>
      </w:r>
      <w:r>
        <w:rPr/>
        <w:t>解除一致行动关系。</w:t>
      </w:r>
    </w:p>
    <w:p>
      <w:pPr>
        <w:pStyle w:val="BodyText"/>
        <w:spacing w:line="240" w:lineRule="auto" w:before="151"/>
        <w:ind w:left="513" w:right="2602"/>
        <w:jc w:val="left"/>
      </w:pPr>
      <w:r>
        <w:rPr>
          <w:rFonts w:ascii="Times New Roman" w:hAnsi="Times New Roman" w:cs="Times New Roman" w:eastAsia="Times New Roman" w:hint="default"/>
        </w:rPr>
        <w:t>5</w:t>
      </w:r>
      <w:r>
        <w:rPr/>
        <w:t>、会计政策变更</w:t>
      </w:r>
    </w:p>
    <w:p>
      <w:pPr>
        <w:pStyle w:val="BodyText"/>
        <w:spacing w:line="307" w:lineRule="auto" w:before="103"/>
        <w:ind w:right="1129" w:firstLine="360"/>
        <w:jc w:val="both"/>
      </w:pPr>
      <w:r>
        <w:rPr/>
        <w:t>公司于</w:t>
      </w:r>
      <w:r>
        <w:rPr>
          <w:spacing w:val="-4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3"/>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43"/>
        </w:rPr>
        <w:t> </w:t>
      </w:r>
      <w:r>
        <w:rPr>
          <w:rFonts w:ascii="Times New Roman" w:hAnsi="Times New Roman" w:cs="Times New Roman" w:eastAsia="Times New Roman" w:hint="default"/>
          <w:spacing w:val="-1"/>
        </w:rPr>
        <w:t>24</w:t>
      </w:r>
      <w:r>
        <w:rPr>
          <w:rFonts w:ascii="Times New Roman" w:hAnsi="Times New Roman" w:cs="Times New Roman" w:eastAsia="Times New Roman" w:hint="default"/>
          <w:spacing w:val="3"/>
        </w:rPr>
        <w:t> </w:t>
      </w:r>
      <w:r>
        <w:rPr>
          <w:spacing w:val="-1"/>
        </w:rPr>
        <w:t>日召开第六届董事会</w:t>
      </w:r>
      <w:r>
        <w:rPr>
          <w:spacing w:val="-4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spacing w:val="-1"/>
        </w:rPr>
        <w:t>年第八次临时会议及第六届监事会</w:t>
      </w:r>
      <w:r>
        <w:rPr>
          <w:spacing w:val="-4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spacing w:val="-7"/>
        </w:rPr>
        <w:t>年第二次临时会议，审议通过</w:t>
      </w:r>
      <w:r>
        <w:rPr/>
        <w:t> </w:t>
      </w:r>
      <w:r>
        <w:rPr>
          <w:spacing w:val="-2"/>
        </w:rPr>
        <w:t>了《关于会计政策变更的议案》。本次变更后，公司将执行财政部修订并发布的新金融工具准则，其他未变更部分，仍按照</w:t>
      </w:r>
      <w:r>
        <w:rPr>
          <w:spacing w:val="-65"/>
        </w:rPr>
        <w:t> </w:t>
      </w:r>
      <w:r>
        <w:rPr>
          <w:spacing w:val="-65"/>
        </w:rPr>
      </w:r>
      <w:r>
        <w:rPr>
          <w:spacing w:val="-2"/>
        </w:rPr>
        <w:t>财政部前期颁布的《企业会计准则</w:t>
      </w:r>
      <w:r>
        <w:rPr>
          <w:rFonts w:ascii="Times New Roman" w:hAnsi="Times New Roman" w:cs="Times New Roman" w:eastAsia="Times New Roman" w:hint="default"/>
          <w:spacing w:val="-2"/>
        </w:rPr>
        <w:t>——</w:t>
      </w:r>
      <w:r>
        <w:rPr>
          <w:spacing w:val="-2"/>
        </w:rPr>
        <w:t>基本准则》和各项具体会计准则、企业会计准则应用指南、企业会计准则解释公告以</w:t>
      </w:r>
      <w:r>
        <w:rPr>
          <w:spacing w:val="-64"/>
        </w:rPr>
        <w:t> </w:t>
      </w:r>
      <w:r>
        <w:rPr>
          <w:spacing w:val="-64"/>
        </w:rPr>
      </w:r>
      <w:r>
        <w:rPr/>
        <w:t>及其他相关规定执行。</w:t>
      </w:r>
    </w:p>
    <w:p>
      <w:pPr>
        <w:pStyle w:val="BodyText"/>
        <w:spacing w:line="240" w:lineRule="auto" w:before="64"/>
        <w:ind w:left="513" w:right="0"/>
        <w:jc w:val="left"/>
      </w:pPr>
      <w:r>
        <w:rPr/>
        <w:t>公司于</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日召</w:t>
      </w:r>
      <w:r>
        <w:rPr>
          <w:spacing w:val="-3"/>
        </w:rPr>
        <w:t>开</w:t>
      </w:r>
      <w:r>
        <w:rPr/>
        <w:t>第六届董事会</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年第十三</w:t>
      </w:r>
      <w:r>
        <w:rPr>
          <w:spacing w:val="-3"/>
        </w:rPr>
        <w:t>次</w:t>
      </w:r>
      <w:r>
        <w:rPr/>
        <w:t>临时会议及第六届监事会</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年第五次临时会议</w:t>
      </w:r>
      <w:r>
        <w:rPr>
          <w:spacing w:val="-82"/>
        </w:rPr>
        <w:t>，</w:t>
      </w:r>
      <w:r>
        <w:rPr/>
        <w:t>审议通</w:t>
      </w:r>
    </w:p>
    <w:p>
      <w:pPr>
        <w:pStyle w:val="BodyText"/>
        <w:spacing w:line="240" w:lineRule="auto" w:before="63"/>
        <w:ind w:right="0"/>
        <w:jc w:val="left"/>
      </w:pPr>
      <w:r>
        <w:rPr/>
        <w:t>过</w:t>
      </w:r>
      <w:r>
        <w:rPr>
          <w:spacing w:val="-65"/>
        </w:rPr>
        <w:t>了</w:t>
      </w:r>
      <w:r>
        <w:rPr/>
        <w:t>《关于会计政策变更的议案</w:t>
      </w:r>
      <w:r>
        <w:rPr>
          <w:spacing w:val="-92"/>
        </w:rPr>
        <w:t>》</w:t>
      </w:r>
      <w:r>
        <w:rPr>
          <w:spacing w:val="-65"/>
        </w:rPr>
        <w:t>。</w:t>
      </w:r>
      <w:r>
        <w:rPr/>
        <w:t>本次变更后</w:t>
      </w:r>
      <w:r>
        <w:rPr>
          <w:spacing w:val="-65"/>
        </w:rPr>
        <w:t>，</w:t>
      </w:r>
      <w:r>
        <w:rPr/>
        <w:t>公司将按照财政</w:t>
      </w:r>
      <w:r>
        <w:rPr>
          <w:spacing w:val="-65"/>
        </w:rPr>
        <w:t>部</w:t>
      </w:r>
      <w:r>
        <w:rPr/>
        <w:t>《关于修订印发</w:t>
      </w:r>
      <w:r>
        <w:rPr>
          <w:spacing w:val="-43"/>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w:t>
      </w:r>
      <w:r>
        <w:rPr>
          <w:spacing w:val="-3"/>
        </w:rPr>
        <w:t>度</w:t>
      </w:r>
      <w:r>
        <w:rPr/>
        <w:t>一般企业财务报表格式的通知》</w:t>
      </w:r>
    </w:p>
    <w:p>
      <w:pPr>
        <w:pStyle w:val="BodyText"/>
        <w:spacing w:line="300" w:lineRule="auto" w:before="63"/>
        <w:ind w:right="1132"/>
        <w:jc w:val="both"/>
      </w:pPr>
      <w:r>
        <w:rPr/>
        <w:t>的相关要求编制</w:t>
      </w:r>
      <w:r>
        <w:rPr>
          <w:spacing w:val="-4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年度中期财务报表和年度财务报表及以后期间的财务报表。其余未变更部分仍执行财政部前期颁布的 各项具体会计准则、企业会计准则应用指南、企业会计准则解释公告及其他相关规定。</w:t>
      </w:r>
    </w:p>
    <w:p>
      <w:pPr>
        <w:pStyle w:val="BodyText"/>
        <w:spacing w:line="240" w:lineRule="auto" w:before="152"/>
        <w:ind w:left="513" w:right="2602"/>
        <w:jc w:val="left"/>
      </w:pPr>
      <w:r>
        <w:rPr>
          <w:rFonts w:ascii="Times New Roman" w:hAnsi="Times New Roman" w:cs="Times New Roman" w:eastAsia="Times New Roman" w:hint="default"/>
        </w:rPr>
        <w:t>6</w:t>
      </w:r>
      <w:r>
        <w:rPr/>
        <w:t>、原第一大股东非经营性资金占用</w:t>
      </w:r>
    </w:p>
    <w:p>
      <w:pPr>
        <w:pStyle w:val="BodyText"/>
        <w:spacing w:line="240" w:lineRule="auto" w:before="103"/>
        <w:ind w:left="513" w:right="0"/>
        <w:jc w:val="left"/>
      </w:pPr>
      <w:r>
        <w:rPr/>
        <w:t>公司于</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日</w:t>
      </w:r>
      <w:r>
        <w:rPr>
          <w:spacing w:val="-15"/>
        </w:rPr>
        <w:t>、</w:t>
      </w:r>
      <w:r>
        <w:rPr>
          <w:rFonts w:ascii="Times New Roman" w:hAnsi="Times New Roman" w:cs="Times New Roman" w:eastAsia="Times New Roman" w:hint="default"/>
          <w:spacing w:val="1"/>
        </w:rPr>
        <w:t>1</w:t>
      </w:r>
      <w:r>
        <w:rPr>
          <w:rFonts w:ascii="Times New Roman" w:hAnsi="Times New Roman" w:cs="Times New Roman" w:eastAsia="Times New Roman" w:hint="default"/>
        </w:rPr>
        <w:t>2 </w:t>
      </w:r>
      <w:r>
        <w:rPr/>
        <w:t>月</w:t>
      </w:r>
      <w:r>
        <w:rPr>
          <w:spacing w:val="-4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日先后披露</w:t>
      </w:r>
      <w:r>
        <w:rPr>
          <w:spacing w:val="-15"/>
        </w:rPr>
        <w:t>了</w:t>
      </w:r>
      <w:r>
        <w:rPr/>
        <w:t>《关于公</w:t>
      </w:r>
      <w:r>
        <w:rPr>
          <w:spacing w:val="-3"/>
        </w:rPr>
        <w:t>司</w:t>
      </w:r>
      <w:r>
        <w:rPr/>
        <w:t>自查控股股东非经营性资金占用情况的提示性公告</w:t>
      </w:r>
      <w:r>
        <w:rPr>
          <w:spacing w:val="-92"/>
        </w:rPr>
        <w:t>》</w:t>
      </w:r>
      <w:r>
        <w:rPr>
          <w:spacing w:val="-104"/>
        </w:rPr>
        <w:t>、</w:t>
      </w:r>
      <w:r>
        <w:rPr/>
        <w:t>《关</w:t>
      </w:r>
    </w:p>
    <w:p>
      <w:pPr>
        <w:pStyle w:val="BodyText"/>
        <w:spacing w:line="240" w:lineRule="auto" w:before="63"/>
        <w:ind w:right="0"/>
        <w:jc w:val="left"/>
      </w:pPr>
      <w:r>
        <w:rPr/>
        <w:t>于公司自查原控股股东非经营性资金占用事项的补充公告</w:t>
      </w:r>
      <w:r>
        <w:rPr>
          <w:spacing w:val="-92"/>
        </w:rPr>
        <w:t>》</w:t>
      </w:r>
      <w:r>
        <w:rPr>
          <w:spacing w:val="-13"/>
        </w:rPr>
        <w:t>。</w:t>
      </w:r>
      <w:r>
        <w:rPr/>
        <w:t>经公司核实</w:t>
      </w:r>
      <w:r>
        <w:rPr>
          <w:spacing w:val="-11"/>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3"/>
        </w:rPr>
        <w:t>月</w:t>
      </w:r>
      <w:r>
        <w:rPr/>
        <w:t>至</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13"/>
        </w:rPr>
        <w:t>，</w:t>
      </w:r>
      <w:r>
        <w:rPr/>
        <w:t>公司通过第三方账户向原控</w:t>
      </w:r>
    </w:p>
    <w:p>
      <w:pPr>
        <w:pStyle w:val="BodyText"/>
        <w:spacing w:line="240" w:lineRule="auto" w:before="63"/>
        <w:ind w:right="0"/>
        <w:jc w:val="left"/>
        <w:rPr>
          <w:rFonts w:ascii="Times New Roman" w:hAnsi="Times New Roman" w:cs="Times New Roman" w:eastAsia="Times New Roman" w:hint="default"/>
        </w:rPr>
      </w:pPr>
      <w:r>
        <w:rPr/>
        <w:t>股股东上海万豪投资有限公</w:t>
      </w:r>
      <w:r>
        <w:rPr>
          <w:spacing w:val="-92"/>
        </w:rPr>
        <w:t>司</w:t>
      </w:r>
      <w:r>
        <w:rPr>
          <w:spacing w:val="2"/>
        </w:rPr>
        <w:t>（</w:t>
      </w:r>
      <w:r>
        <w:rPr/>
        <w:t>以下简</w:t>
      </w:r>
      <w:r>
        <w:rPr>
          <w:spacing w:val="1"/>
        </w:rPr>
        <w:t>称</w:t>
      </w:r>
      <w:r>
        <w:rPr>
          <w:rFonts w:ascii="Times New Roman" w:hAnsi="Times New Roman" w:cs="Times New Roman" w:eastAsia="Times New Roman" w:hint="default"/>
          <w:spacing w:val="-1"/>
          <w:w w:val="100"/>
        </w:rPr>
        <w:t>“</w:t>
      </w:r>
      <w:r>
        <w:rPr/>
        <w:t>万豪投资</w:t>
      </w:r>
      <w:r>
        <w:rPr>
          <w:rFonts w:ascii="Times New Roman" w:hAnsi="Times New Roman" w:cs="Times New Roman" w:eastAsia="Times New Roman" w:hint="default"/>
          <w:spacing w:val="-1"/>
          <w:w w:val="100"/>
        </w:rPr>
        <w:t>”</w:t>
      </w:r>
      <w:r>
        <w:rPr>
          <w:spacing w:val="-92"/>
        </w:rPr>
        <w:t>）</w:t>
      </w:r>
      <w:r>
        <w:rPr/>
        <w:t>累计转</w:t>
      </w:r>
      <w:r>
        <w:rPr>
          <w:spacing w:val="2"/>
        </w:rPr>
        <w:t>出</w:t>
      </w:r>
      <w:r>
        <w:rPr/>
        <w:t>资金</w:t>
      </w:r>
      <w:r>
        <w:rPr>
          <w:spacing w:val="-51"/>
        </w:rPr>
        <w:t> </w:t>
      </w:r>
      <w:r>
        <w:rPr>
          <w:rFonts w:ascii="Times New Roman" w:hAnsi="Times New Roman" w:cs="Times New Roman" w:eastAsia="Times New Roman" w:hint="default"/>
          <w:spacing w:val="1"/>
        </w:rPr>
        <w:t>54</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5"/>
        </w:rPr>
        <w:t> </w:t>
      </w:r>
      <w:r>
        <w:rPr/>
        <w:t>万元</w:t>
      </w:r>
      <w:r>
        <w:rPr>
          <w:spacing w:val="-92"/>
        </w:rPr>
        <w:t>，</w:t>
      </w:r>
      <w:r>
        <w:rPr/>
        <w:t>向万豪投资合作方转出累计转出资金</w:t>
      </w:r>
      <w:r>
        <w:rPr>
          <w:spacing w:val="-51"/>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rPr>
        <w:t>,</w:t>
      </w:r>
      <w:r>
        <w:rPr>
          <w:rFonts w:ascii="Times New Roman" w:hAnsi="Times New Roman" w:cs="Times New Roman" w:eastAsia="Times New Roman" w:hint="default"/>
          <w:spacing w:val="-2"/>
        </w:rPr>
        <w:t>35</w:t>
      </w:r>
      <w:r>
        <w:rPr>
          <w:rFonts w:ascii="Times New Roman" w:hAnsi="Times New Roman" w:cs="Times New Roman" w:eastAsia="Times New Roman" w:hint="default"/>
        </w:rPr>
        <w:t>0</w:t>
      </w:r>
    </w:p>
    <w:p>
      <w:pPr>
        <w:pStyle w:val="BodyText"/>
        <w:spacing w:line="240" w:lineRule="auto" w:before="63"/>
        <w:ind w:right="0"/>
        <w:jc w:val="left"/>
      </w:pPr>
      <w:r>
        <w:rPr/>
        <w:t>万元，转出资金发生额共计</w:t>
      </w:r>
      <w:r>
        <w:rPr>
          <w:spacing w:val="-52"/>
        </w:rPr>
        <w:t> </w:t>
      </w:r>
      <w:r>
        <w:rPr>
          <w:rFonts w:ascii="Times New Roman" w:hAnsi="Times New Roman" w:cs="Times New Roman" w:eastAsia="Times New Roman" w:hint="default"/>
        </w:rPr>
        <w:t>74,350</w:t>
      </w:r>
      <w:r>
        <w:rPr>
          <w:rFonts w:ascii="Times New Roman" w:hAnsi="Times New Roman" w:cs="Times New Roman" w:eastAsia="Times New Roman" w:hint="default"/>
          <w:spacing w:val="-5"/>
        </w:rPr>
        <w:t> </w:t>
      </w:r>
      <w:r>
        <w:rPr/>
        <w:t>万元，收回资金</w:t>
      </w:r>
      <w:r>
        <w:rPr>
          <w:spacing w:val="-52"/>
        </w:rPr>
        <w:t> </w:t>
      </w:r>
      <w:r>
        <w:rPr>
          <w:rFonts w:ascii="Times New Roman" w:hAnsi="Times New Roman" w:cs="Times New Roman" w:eastAsia="Times New Roman" w:hint="default"/>
        </w:rPr>
        <w:t>16,300</w:t>
      </w:r>
      <w:r>
        <w:rPr>
          <w:rFonts w:ascii="Times New Roman" w:hAnsi="Times New Roman" w:cs="Times New Roman" w:eastAsia="Times New Roman" w:hint="default"/>
          <w:spacing w:val="-5"/>
        </w:rPr>
        <w:t> </w:t>
      </w:r>
      <w:r>
        <w:rPr>
          <w:spacing w:val="-3"/>
        </w:rPr>
        <w:t>万元，余额</w:t>
      </w:r>
      <w:r>
        <w:rPr>
          <w:spacing w:val="-52"/>
        </w:rPr>
        <w:t> </w:t>
      </w:r>
      <w:r>
        <w:rPr>
          <w:rFonts w:ascii="Times New Roman" w:hAnsi="Times New Roman" w:cs="Times New Roman" w:eastAsia="Times New Roman" w:hint="default"/>
        </w:rPr>
        <w:t>58,050</w:t>
      </w:r>
      <w:r>
        <w:rPr>
          <w:rFonts w:ascii="Times New Roman" w:hAnsi="Times New Roman" w:cs="Times New Roman" w:eastAsia="Times New Roman" w:hint="default"/>
          <w:spacing w:val="-5"/>
        </w:rPr>
        <w:t> </w:t>
      </w:r>
      <w:r>
        <w:rPr/>
        <w:t>万元。万豪投资非经营性占用公司资金共计发</w:t>
      </w:r>
    </w:p>
    <w:p>
      <w:pPr>
        <w:pStyle w:val="BodyText"/>
        <w:spacing w:line="240" w:lineRule="auto" w:before="63"/>
        <w:ind w:right="0"/>
        <w:jc w:val="left"/>
      </w:pPr>
      <w:r>
        <w:rPr/>
        <w:t>生</w:t>
      </w:r>
      <w:r>
        <w:rPr>
          <w:spacing w:val="-46"/>
        </w:rPr>
        <w:t> </w:t>
      </w:r>
      <w:r>
        <w:rPr>
          <w:rFonts w:ascii="Times New Roman" w:hAnsi="Times New Roman" w:cs="Times New Roman" w:eastAsia="Times New Roman" w:hint="default"/>
        </w:rPr>
        <w:t>74,350 </w:t>
      </w:r>
      <w:r>
        <w:rPr/>
        <w:t>万元，日最高占用资金余额为</w:t>
      </w:r>
      <w:r>
        <w:rPr>
          <w:spacing w:val="-46"/>
        </w:rPr>
        <w:t> </w:t>
      </w:r>
      <w:r>
        <w:rPr>
          <w:rFonts w:ascii="Times New Roman" w:hAnsi="Times New Roman" w:cs="Times New Roman" w:eastAsia="Times New Roman" w:hint="default"/>
        </w:rPr>
        <w:t>60,050 </w:t>
      </w:r>
      <w:r>
        <w:rPr/>
        <w:t>万元，截至首次自查前，非经营性占用资金余额</w:t>
      </w:r>
      <w:r>
        <w:rPr>
          <w:spacing w:val="-47"/>
        </w:rPr>
        <w:t> </w:t>
      </w:r>
      <w:r>
        <w:rPr>
          <w:rFonts w:ascii="Times New Roman" w:hAnsi="Times New Roman" w:cs="Times New Roman" w:eastAsia="Times New Roman" w:hint="default"/>
        </w:rPr>
        <w:t>58,050 </w:t>
      </w:r>
      <w:r>
        <w:rPr/>
        <w:t>万元。</w:t>
      </w:r>
    </w:p>
    <w:p>
      <w:pPr>
        <w:pStyle w:val="BodyText"/>
        <w:spacing w:line="240" w:lineRule="auto" w:before="103"/>
        <w:ind w:left="513" w:right="0"/>
        <w:jc w:val="left"/>
      </w:pPr>
      <w:r>
        <w:rPr/>
        <w:t>公司于</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w:t>
      </w:r>
      <w:r>
        <w:rPr>
          <w:rFonts w:ascii="Times New Roman" w:hAnsi="Times New Roman" w:cs="Times New Roman" w:eastAsia="Times New Roman" w:hint="default"/>
        </w:rPr>
        <w:t>12 </w:t>
      </w:r>
      <w:r>
        <w:rPr/>
        <w:t>月</w:t>
      </w:r>
      <w:r>
        <w:rPr>
          <w:spacing w:val="-45"/>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日、</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日先后三次披露了《关于原第一大股东非经营性资金占用情况的进展公</w:t>
      </w:r>
    </w:p>
    <w:p>
      <w:pPr>
        <w:pStyle w:val="BodyText"/>
        <w:spacing w:line="300" w:lineRule="auto" w:before="62"/>
        <w:ind w:right="1133"/>
        <w:jc w:val="both"/>
      </w:pPr>
      <w:r>
        <w:rPr>
          <w:spacing w:val="-23"/>
        </w:rPr>
        <w:t>告》，并于</w:t>
      </w:r>
      <w:r>
        <w:rPr>
          <w:spacing w:val="-38"/>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39"/>
        </w:rPr>
        <w:t> </w:t>
      </w:r>
      <w:r>
        <w:rPr>
          <w:rFonts w:ascii="Times New Roman" w:hAnsi="Times New Roman" w:cs="Times New Roman" w:eastAsia="Times New Roman" w:hint="default"/>
          <w:spacing w:val="-1"/>
        </w:rPr>
        <w:t>26</w:t>
      </w:r>
      <w:r>
        <w:rPr>
          <w:rFonts w:ascii="Times New Roman" w:hAnsi="Times New Roman" w:cs="Times New Roman" w:eastAsia="Times New Roman" w:hint="default"/>
          <w:spacing w:val="7"/>
        </w:rPr>
        <w:t> </w:t>
      </w:r>
      <w:r>
        <w:rPr>
          <w:spacing w:val="-4"/>
        </w:rPr>
        <w:t>日披露了《关于原第一大股东非经营性资金占款归还完毕的公告》。截至报告期末，万豪投资非经营性占</w:t>
      </w:r>
      <w:r>
        <w:rPr>
          <w:spacing w:val="-88"/>
        </w:rPr>
        <w:t> </w:t>
      </w:r>
      <w:r>
        <w:rPr>
          <w:spacing w:val="-88"/>
        </w:rPr>
      </w:r>
      <w:r>
        <w:rPr/>
        <w:t>用资金余额为</w:t>
      </w:r>
      <w:r>
        <w:rPr>
          <w:spacing w:val="-43"/>
        </w:rPr>
        <w:t> </w:t>
      </w:r>
      <w:r>
        <w:rPr>
          <w:rFonts w:ascii="Times New Roman" w:hAnsi="Times New Roman" w:cs="Times New Roman" w:eastAsia="Times New Roman" w:hint="default"/>
        </w:rPr>
        <w:t>0</w:t>
      </w:r>
      <w:r>
        <w:rPr/>
        <w:t>。</w:t>
      </w:r>
    </w:p>
    <w:p>
      <w:pPr>
        <w:spacing w:after="0" w:line="300" w:lineRule="auto"/>
        <w:jc w:val="both"/>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513" w:right="2602"/>
        <w:jc w:val="left"/>
      </w:pPr>
      <w:r>
        <w:rPr>
          <w:rFonts w:ascii="Times New Roman" w:hAnsi="Times New Roman" w:cs="Times New Roman" w:eastAsia="Times New Roman" w:hint="default"/>
        </w:rPr>
        <w:t>7</w:t>
      </w:r>
      <w:r>
        <w:rPr/>
        <w:t>、原第一大股东申请破产清算</w:t>
      </w:r>
    </w:p>
    <w:p>
      <w:pPr>
        <w:pStyle w:val="BodyText"/>
        <w:spacing w:line="240" w:lineRule="auto" w:before="104"/>
        <w:ind w:left="513" w:right="0"/>
        <w:jc w:val="left"/>
      </w:pPr>
      <w:r>
        <w:rPr/>
        <w:t>公司于</w:t>
      </w:r>
      <w:r>
        <w:rPr>
          <w:spacing w:val="-2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8"/>
        </w:rPr>
        <w:t> </w:t>
      </w:r>
      <w:r>
        <w:rPr/>
        <w:t>年</w:t>
      </w:r>
      <w:r>
        <w:rPr>
          <w:spacing w:val="-28"/>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8"/>
        </w:rPr>
        <w:t> </w:t>
      </w:r>
      <w:r>
        <w:rPr/>
        <w:t>月</w:t>
      </w:r>
      <w:r>
        <w:rPr>
          <w:spacing w:val="-28"/>
        </w:rPr>
        <w:t> </w:t>
      </w:r>
      <w:r>
        <w:rPr>
          <w:rFonts w:ascii="Times New Roman" w:hAnsi="Times New Roman" w:cs="Times New Roman" w:eastAsia="Times New Roman" w:hint="default"/>
        </w:rPr>
        <w:t>6</w:t>
      </w:r>
      <w:r>
        <w:rPr>
          <w:rFonts w:ascii="Times New Roman" w:hAnsi="Times New Roman" w:cs="Times New Roman" w:eastAsia="Times New Roman" w:hint="default"/>
          <w:spacing w:val="18"/>
        </w:rPr>
        <w:t> </w:t>
      </w:r>
      <w:r>
        <w:rPr/>
        <w:t>日收到公司原第一大股东上海万豪投资有限公司出具的告知函及上海铁路运输法院（</w:t>
      </w:r>
      <w:r>
        <w:rPr>
          <w:rFonts w:ascii="Times New Roman" w:hAnsi="Times New Roman" w:cs="Times New Roman" w:eastAsia="Times New Roman" w:hint="default"/>
        </w:rPr>
        <w:t>2019</w:t>
      </w:r>
      <w:r>
        <w:rPr/>
        <w:t>）沪</w:t>
      </w:r>
    </w:p>
    <w:p>
      <w:pPr>
        <w:pStyle w:val="BodyText"/>
        <w:spacing w:line="240" w:lineRule="auto" w:before="63"/>
        <w:ind w:right="0"/>
        <w:jc w:val="left"/>
      </w:pPr>
      <w:r>
        <w:rPr>
          <w:rFonts w:ascii="Times New Roman" w:hAnsi="Times New Roman" w:cs="Times New Roman" w:eastAsia="Times New Roman" w:hint="default"/>
          <w:spacing w:val="1"/>
        </w:rPr>
        <w:t>71</w:t>
      </w:r>
      <w:r>
        <w:rPr>
          <w:rFonts w:ascii="Times New Roman" w:hAnsi="Times New Roman" w:cs="Times New Roman" w:eastAsia="Times New Roman" w:hint="default"/>
          <w:spacing w:val="-2"/>
        </w:rPr>
        <w:t>0</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破</w:t>
      </w:r>
      <w:r>
        <w:rPr>
          <w:spacing w:val="-47"/>
        </w:rPr>
        <w:t> </w:t>
      </w:r>
      <w:r>
        <w:rPr>
          <w:rFonts w:ascii="Times New Roman" w:hAnsi="Times New Roman" w:cs="Times New Roman" w:eastAsia="Times New Roman" w:hint="default"/>
          <w:spacing w:val="-2"/>
        </w:rPr>
        <w:t>7</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号《民事裁定书</w:t>
      </w:r>
      <w:r>
        <w:rPr>
          <w:spacing w:val="-92"/>
        </w:rPr>
        <w:t>》</w:t>
      </w:r>
      <w:r>
        <w:rPr/>
        <w:t>，法院裁定受理了万豪投资的破产清算申请，裁定自</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spacing w:val="-2"/>
        </w:rPr>
        <w:t>1</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日起生效。</w:t>
      </w:r>
    </w:p>
    <w:p>
      <w:pPr>
        <w:pStyle w:val="BodyText"/>
        <w:spacing w:line="240" w:lineRule="auto" w:before="101"/>
        <w:ind w:left="513" w:right="0"/>
        <w:jc w:val="left"/>
      </w:pPr>
      <w:r>
        <w:rPr/>
        <w:t>公司于</w:t>
      </w:r>
      <w:r>
        <w:rPr>
          <w:spacing w:val="-3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3"/>
        </w:rPr>
        <w:t> </w:t>
      </w:r>
      <w:r>
        <w:rPr/>
        <w:t>年</w:t>
      </w:r>
      <w:r>
        <w:rPr>
          <w:spacing w:val="-33"/>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13"/>
        </w:rPr>
        <w:t> </w:t>
      </w:r>
      <w:r>
        <w:rPr/>
        <w:t>月</w:t>
      </w:r>
      <w:r>
        <w:rPr>
          <w:spacing w:val="-33"/>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13"/>
        </w:rPr>
        <w:t> </w:t>
      </w:r>
      <w:r>
        <w:rPr/>
        <w:t>日收到公司</w:t>
      </w:r>
      <w:r>
        <w:rPr>
          <w:spacing w:val="-32"/>
        </w:rPr>
        <w:t> </w:t>
      </w:r>
      <w:r>
        <w:rPr>
          <w:rFonts w:ascii="Times New Roman" w:hAnsi="Times New Roman" w:cs="Times New Roman" w:eastAsia="Times New Roman" w:hint="default"/>
        </w:rPr>
        <w:t>5%</w:t>
      </w:r>
      <w:r>
        <w:rPr/>
        <w:t>以上股东上海万豪投资有限公司出具的告知函及上海铁路运输法院（</w:t>
      </w:r>
      <w:r>
        <w:rPr>
          <w:rFonts w:ascii="Times New Roman" w:hAnsi="Times New Roman" w:cs="Times New Roman" w:eastAsia="Times New Roman" w:hint="default"/>
        </w:rPr>
        <w:t>2019</w:t>
      </w:r>
      <w:r>
        <w:rPr/>
        <w:t>）沪</w:t>
      </w:r>
    </w:p>
    <w:p>
      <w:pPr>
        <w:pStyle w:val="BodyText"/>
        <w:spacing w:line="240" w:lineRule="auto" w:before="63"/>
        <w:ind w:right="0"/>
        <w:jc w:val="left"/>
        <w:rPr>
          <w:rFonts w:ascii="Times New Roman" w:hAnsi="Times New Roman" w:cs="Times New Roman" w:eastAsia="Times New Roman" w:hint="default"/>
        </w:rPr>
      </w:pPr>
      <w:r>
        <w:rPr>
          <w:rFonts w:ascii="Times New Roman" w:hAnsi="Times New Roman" w:cs="Times New Roman" w:eastAsia="Times New Roman" w:hint="default"/>
          <w:spacing w:val="1"/>
        </w:rPr>
        <w:t>71</w:t>
      </w:r>
      <w:r>
        <w:rPr>
          <w:rFonts w:ascii="Times New Roman" w:hAnsi="Times New Roman" w:cs="Times New Roman" w:eastAsia="Times New Roman" w:hint="default"/>
          <w:spacing w:val="-2"/>
        </w:rPr>
        <w:t>0</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破</w:t>
      </w:r>
      <w:r>
        <w:rPr>
          <w:spacing w:val="-45"/>
        </w:rPr>
        <w:t> </w:t>
      </w:r>
      <w:r>
        <w:rPr>
          <w:rFonts w:ascii="Times New Roman" w:hAnsi="Times New Roman" w:cs="Times New Roman" w:eastAsia="Times New Roman" w:hint="default"/>
          <w:spacing w:val="1"/>
        </w:rPr>
        <w:t>7</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号《通知书</w:t>
      </w:r>
      <w:r>
        <w:rPr>
          <w:spacing w:val="-92"/>
        </w:rPr>
        <w:t>》</w:t>
      </w:r>
      <w:r>
        <w:rPr/>
        <w:t>，法</w:t>
      </w:r>
      <w:r>
        <w:rPr>
          <w:spacing w:val="-3"/>
        </w:rPr>
        <w:t>院</w:t>
      </w:r>
      <w:r>
        <w:rPr/>
        <w:t>已于</w:t>
      </w:r>
      <w:r>
        <w:rPr>
          <w:spacing w:val="-44"/>
        </w:rPr>
        <w:t> </w:t>
      </w:r>
      <w:r>
        <w:rPr>
          <w:rFonts w:ascii="Times New Roman" w:hAnsi="Times New Roman" w:cs="Times New Roman" w:eastAsia="Times New Roman" w:hint="default"/>
          <w:spacing w:val="1"/>
        </w:rPr>
        <w:t>201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日指定</w:t>
      </w:r>
      <w:r>
        <w:rPr>
          <w:spacing w:val="-3"/>
        </w:rPr>
        <w:t>上</w:t>
      </w:r>
      <w:r>
        <w:rPr/>
        <w:t>海市金茂律师事务所作为万豪投资管理人，并决定于</w:t>
      </w:r>
      <w:r>
        <w:rPr>
          <w:spacing w:val="-44"/>
        </w:rPr>
        <w:t> </w:t>
      </w:r>
      <w:r>
        <w:rPr>
          <w:rFonts w:ascii="Times New Roman" w:hAnsi="Times New Roman" w:cs="Times New Roman" w:eastAsia="Times New Roman" w:hint="default"/>
          <w:spacing w:val="1"/>
        </w:rPr>
        <w:t>202</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2</w:t>
      </w:r>
    </w:p>
    <w:p>
      <w:pPr>
        <w:pStyle w:val="BodyText"/>
        <w:spacing w:line="240" w:lineRule="auto" w:before="63"/>
        <w:ind w:right="0"/>
        <w:jc w:val="left"/>
        <w:rPr>
          <w:rFonts w:ascii="Times New Roman" w:hAnsi="Times New Roman" w:cs="Times New Roman" w:eastAsia="Times New Roman" w:hint="default"/>
        </w:rPr>
      </w:pPr>
      <w:r>
        <w:rPr/>
        <w:t>月</w:t>
      </w:r>
      <w:r>
        <w:rPr>
          <w:spacing w:val="-30"/>
        </w:rPr>
        <w:t> </w:t>
      </w:r>
      <w:r>
        <w:rPr>
          <w:rFonts w:ascii="Times New Roman" w:hAnsi="Times New Roman" w:cs="Times New Roman" w:eastAsia="Times New Roman" w:hint="default"/>
        </w:rPr>
        <w:t>13</w:t>
      </w:r>
      <w:r>
        <w:rPr>
          <w:rFonts w:ascii="Times New Roman" w:hAnsi="Times New Roman" w:cs="Times New Roman" w:eastAsia="Times New Roman" w:hint="default"/>
          <w:spacing w:val="16"/>
        </w:rPr>
        <w:t> </w:t>
      </w:r>
      <w:r>
        <w:rPr/>
        <w:t>日</w:t>
      </w:r>
      <w:r>
        <w:rPr>
          <w:spacing w:val="-30"/>
        </w:rPr>
        <w:t> </w:t>
      </w:r>
      <w:r>
        <w:rPr>
          <w:rFonts w:ascii="Times New Roman" w:hAnsi="Times New Roman" w:cs="Times New Roman" w:eastAsia="Times New Roman" w:hint="default"/>
        </w:rPr>
        <w:t>14</w:t>
      </w:r>
      <w:r>
        <w:rPr>
          <w:rFonts w:ascii="Times New Roman" w:hAnsi="Times New Roman" w:cs="Times New Roman" w:eastAsia="Times New Roman" w:hint="default"/>
          <w:spacing w:val="16"/>
        </w:rPr>
        <w:t> </w:t>
      </w:r>
      <w:r>
        <w:rPr/>
        <w:t>时在上海铁路运输法院召开第一次债权人会议。后受疫情因素影响，第一次债权人会议推迟至</w:t>
      </w:r>
      <w:r>
        <w:rPr>
          <w:spacing w:val="-29"/>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6"/>
        </w:rPr>
        <w:t> </w:t>
      </w:r>
      <w:r>
        <w:rPr/>
        <w:t>年</w:t>
      </w:r>
      <w:r>
        <w:rPr>
          <w:spacing w:val="-30"/>
        </w:rPr>
        <w:t> </w:t>
      </w:r>
      <w:r>
        <w:rPr>
          <w:rFonts w:ascii="Times New Roman" w:hAnsi="Times New Roman" w:cs="Times New Roman" w:eastAsia="Times New Roman" w:hint="default"/>
        </w:rPr>
        <w:t>4</w:t>
      </w:r>
      <w:r>
        <w:rPr>
          <w:rFonts w:ascii="Times New Roman" w:hAnsi="Times New Roman" w:cs="Times New Roman" w:eastAsia="Times New Roman" w:hint="default"/>
          <w:spacing w:val="16"/>
        </w:rPr>
        <w:t> </w:t>
      </w:r>
      <w:r>
        <w:rPr/>
        <w:t>月</w:t>
      </w:r>
      <w:r>
        <w:rPr>
          <w:spacing w:val="-33"/>
        </w:rPr>
        <w:t> </w:t>
      </w:r>
      <w:r>
        <w:rPr>
          <w:rFonts w:ascii="Times New Roman" w:hAnsi="Times New Roman" w:cs="Times New Roman" w:eastAsia="Times New Roman" w:hint="default"/>
        </w:rPr>
        <w:t>10</w:t>
      </w:r>
    </w:p>
    <w:p>
      <w:pPr>
        <w:pStyle w:val="BodyText"/>
        <w:spacing w:line="340" w:lineRule="auto" w:before="63"/>
        <w:ind w:left="513" w:right="7964" w:hanging="361"/>
        <w:jc w:val="left"/>
      </w:pPr>
      <w:r>
        <w:rPr/>
        <w:t>日下午</w:t>
      </w:r>
      <w:r>
        <w:rPr>
          <w:spacing w:val="-45"/>
        </w:rPr>
        <w:t> </w:t>
      </w:r>
      <w:r>
        <w:rPr>
          <w:rFonts w:ascii="Times New Roman" w:hAnsi="Times New Roman" w:cs="Times New Roman" w:eastAsia="Times New Roman" w:hint="default"/>
        </w:rPr>
        <w:t>14 </w:t>
      </w:r>
      <w:r>
        <w:rPr/>
        <w:t>时以网络会议方式召开。 相关公告索引如下：</w:t>
      </w:r>
    </w:p>
    <w:p>
      <w:pPr>
        <w:spacing w:line="240" w:lineRule="auto" w:before="6"/>
        <w:rPr>
          <w:rFonts w:ascii="宋体" w:hAnsi="宋体" w:cs="宋体" w:eastAsia="宋体" w:hint="default"/>
          <w:sz w:val="3"/>
          <w:szCs w:val="3"/>
        </w:rPr>
      </w:pPr>
    </w:p>
    <w:tbl>
      <w:tblPr>
        <w:tblW w:w="0" w:type="auto"/>
        <w:jc w:val="left"/>
        <w:tblInd w:w="145" w:type="dxa"/>
        <w:tblLayout w:type="fixed"/>
        <w:tblCellMar>
          <w:top w:w="0" w:type="dxa"/>
          <w:left w:w="0" w:type="dxa"/>
          <w:bottom w:w="0" w:type="dxa"/>
          <w:right w:w="0" w:type="dxa"/>
        </w:tblCellMar>
        <w:tblLook w:val="01E0"/>
      </w:tblPr>
      <w:tblGrid>
        <w:gridCol w:w="1277"/>
        <w:gridCol w:w="5103"/>
        <w:gridCol w:w="1277"/>
        <w:gridCol w:w="1971"/>
      </w:tblGrid>
      <w:tr>
        <w:trPr>
          <w:trHeight w:val="334" w:hRule="exact"/>
        </w:trPr>
        <w:tc>
          <w:tcPr>
            <w:tcW w:w="12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公告编号</w:t>
            </w:r>
          </w:p>
        </w:tc>
        <w:tc>
          <w:tcPr>
            <w:tcW w:w="510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公告名称</w:t>
            </w:r>
          </w:p>
        </w:tc>
        <w:tc>
          <w:tcPr>
            <w:tcW w:w="12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公告披露日期</w:t>
            </w:r>
          </w:p>
        </w:tc>
        <w:tc>
          <w:tcPr>
            <w:tcW w:w="197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left="10" w:right="0"/>
              <w:jc w:val="center"/>
              <w:rPr>
                <w:rFonts w:ascii="宋体" w:hAnsi="宋体" w:cs="宋体" w:eastAsia="宋体" w:hint="default"/>
                <w:sz w:val="18"/>
                <w:szCs w:val="18"/>
              </w:rPr>
            </w:pPr>
            <w:r>
              <w:rPr>
                <w:rFonts w:ascii="宋体" w:hAnsi="宋体" w:cs="宋体" w:eastAsia="宋体" w:hint="default"/>
                <w:sz w:val="18"/>
                <w:szCs w:val="18"/>
              </w:rPr>
              <w:t>公告刊登的指定网站</w:t>
            </w:r>
          </w:p>
        </w:tc>
      </w:tr>
      <w:tr>
        <w:trPr>
          <w:trHeight w:val="348" w:hRule="exact"/>
        </w:trPr>
        <w:tc>
          <w:tcPr>
            <w:tcW w:w="962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公司第一大股东变更暨无实际控制人</w:t>
            </w:r>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2019-151</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关于权益变动的提示性公告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2019-11-08</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9"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3" w:right="0"/>
              <w:jc w:val="center"/>
              <w:rPr>
                <w:rFonts w:ascii="Times New Roman" w:hAnsi="Times New Roman" w:cs="Times New Roman" w:eastAsia="Times New Roman" w:hint="default"/>
                <w:sz w:val="18"/>
                <w:szCs w:val="18"/>
              </w:rPr>
            </w:pPr>
            <w:r>
              <w:rPr>
                <w:rFonts w:ascii="Times New Roman"/>
                <w:sz w:val="18"/>
              </w:rPr>
              <w:t>2019-152</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关于公司第一大股东变更暨无实际控制人的提示性公告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 w:right="0"/>
              <w:jc w:val="center"/>
              <w:rPr>
                <w:rFonts w:ascii="Times New Roman" w:hAnsi="Times New Roman" w:cs="Times New Roman" w:eastAsia="Times New Roman" w:hint="default"/>
                <w:sz w:val="18"/>
                <w:szCs w:val="18"/>
              </w:rPr>
            </w:pPr>
            <w:r>
              <w:rPr>
                <w:rFonts w:ascii="Times New Roman"/>
                <w:sz w:val="18"/>
              </w:rPr>
              <w:t>2019-11-08</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962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第七届董事会、监事会换届选举</w:t>
            </w:r>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2019-120</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第六届董事会</w:t>
            </w:r>
            <w:r>
              <w:rPr>
                <w:rFonts w:ascii="Times New Roman" w:hAnsi="Times New Roman" w:cs="Times New Roman" w:eastAsia="Times New Roman" w:hint="default"/>
                <w:sz w:val="18"/>
                <w:szCs w:val="18"/>
              </w:rPr>
              <w:t>2019</w:t>
            </w:r>
            <w:r>
              <w:rPr>
                <w:rFonts w:ascii="宋体" w:hAnsi="宋体" w:cs="宋体" w:eastAsia="宋体" w:hint="default"/>
                <w:sz w:val="18"/>
                <w:szCs w:val="18"/>
              </w:rPr>
              <w:t>年第十四次临时会议决议公告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2019-09-28</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2019-121</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第六届监事会</w:t>
            </w:r>
            <w:r>
              <w:rPr>
                <w:rFonts w:ascii="Times New Roman" w:hAnsi="Times New Roman" w:cs="Times New Roman" w:eastAsia="Times New Roman" w:hint="default"/>
                <w:sz w:val="18"/>
                <w:szCs w:val="18"/>
              </w:rPr>
              <w:t>2019</w:t>
            </w:r>
            <w:r>
              <w:rPr>
                <w:rFonts w:ascii="宋体" w:hAnsi="宋体" w:cs="宋体" w:eastAsia="宋体" w:hint="default"/>
                <w:sz w:val="18"/>
                <w:szCs w:val="18"/>
              </w:rPr>
              <w:t>年第六次临时会议决议公告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2019-09-28</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2019-122</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关于董事会提前换届选举的公告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2019-09-28</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2019-123</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关于监事会提前换届选举的公告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2019-09-28</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2019-128</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Times New Roman" w:hAnsi="Times New Roman" w:cs="Times New Roman" w:eastAsia="Times New Roman" w:hint="default"/>
                <w:sz w:val="18"/>
                <w:szCs w:val="18"/>
              </w:rPr>
              <w:t>2019</w:t>
            </w:r>
            <w:r>
              <w:rPr>
                <w:rFonts w:ascii="宋体" w:hAnsi="宋体" w:cs="宋体" w:eastAsia="宋体" w:hint="default"/>
                <w:sz w:val="18"/>
                <w:szCs w:val="18"/>
              </w:rPr>
              <w:t>年第六次临时股东大会的提示性公告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2019-10-14</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2019-130</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年第六次临时股东大会决议公告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2019-10-15</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660"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2019-133</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7"/>
              <w:ind w:left="2" w:right="44"/>
              <w:jc w:val="left"/>
              <w:rPr>
                <w:rFonts w:ascii="宋体" w:hAnsi="宋体" w:cs="宋体" w:eastAsia="宋体" w:hint="default"/>
                <w:sz w:val="18"/>
                <w:szCs w:val="18"/>
              </w:rPr>
            </w:pPr>
            <w:r>
              <w:rPr>
                <w:rFonts w:ascii="宋体" w:hAnsi="宋体" w:cs="宋体" w:eastAsia="宋体" w:hint="default"/>
                <w:sz w:val="18"/>
                <w:szCs w:val="18"/>
              </w:rPr>
              <w:t>关于董事会、监事会完成换届选举及聘任高级管理人员、证券事 务代表和审计部负责人的公告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2019-10-16</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962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股份回购</w:t>
            </w:r>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2019-002</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关于首次回购公司股份的公告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2019-01-05</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2019-012</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2019.02.01</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2019-022</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2019.03.01</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2019-045</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2019.04.01</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2019-049</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第六届董事会</w:t>
            </w:r>
            <w:r>
              <w:rPr>
                <w:rFonts w:ascii="Times New Roman" w:hAnsi="Times New Roman" w:cs="Times New Roman" w:eastAsia="Times New Roman" w:hint="default"/>
                <w:sz w:val="18"/>
                <w:szCs w:val="18"/>
              </w:rPr>
              <w:t>2019</w:t>
            </w:r>
            <w:r>
              <w:rPr>
                <w:rFonts w:ascii="宋体" w:hAnsi="宋体" w:cs="宋体" w:eastAsia="宋体" w:hint="default"/>
                <w:sz w:val="18"/>
                <w:szCs w:val="18"/>
              </w:rPr>
              <w:t>年第七次临时会议决议公告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2019-04-10</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2019-050</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关于确定回购股份用途的公告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2019-04-10</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2019-062</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2019-04-30</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2019-077</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2019-06-30</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2019-084</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2019-07-01</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2019-100</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2019-08-01</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9"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2019-116</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2019-09-02</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2019-126</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2019-10-08</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2019-146</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关于回购公司股份的进展公告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2019-11-01</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2019-156</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关于回购期届满暨股份回购实施结果的公告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2019-11-29</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962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一致行动人解除一致行动关系</w:t>
            </w:r>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2019-067</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关于一致行动人关系到期解除暨股东权益变动的提示性公告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2019-05-10</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962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会计政策变更</w:t>
            </w:r>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2019-051</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第六届董事会</w:t>
            </w:r>
            <w:r>
              <w:rPr>
                <w:rFonts w:ascii="Times New Roman" w:hAnsi="Times New Roman" w:cs="Times New Roman" w:eastAsia="Times New Roman" w:hint="default"/>
                <w:sz w:val="18"/>
                <w:szCs w:val="18"/>
              </w:rPr>
              <w:t>2019</w:t>
            </w:r>
            <w:r>
              <w:rPr>
                <w:rFonts w:ascii="宋体" w:hAnsi="宋体" w:cs="宋体" w:eastAsia="宋体" w:hint="default"/>
                <w:sz w:val="18"/>
                <w:szCs w:val="18"/>
              </w:rPr>
              <w:t>年第八次临时会议决议公告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2019-04-26</w:t>
            </w:r>
          </w:p>
        </w:tc>
        <w:tc>
          <w:tcPr>
            <w:tcW w:w="19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bl>
    <w:p>
      <w:pPr>
        <w:spacing w:after="0" w:line="240" w:lineRule="auto"/>
        <w:jc w:val="center"/>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1277"/>
        <w:gridCol w:w="5103"/>
        <w:gridCol w:w="1277"/>
        <w:gridCol w:w="1977"/>
      </w:tblGrid>
      <w:tr>
        <w:trPr>
          <w:trHeight w:val="348" w:hRule="exact"/>
        </w:trPr>
        <w:tc>
          <w:tcPr>
            <w:tcW w:w="12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公告编号</w:t>
            </w:r>
          </w:p>
        </w:tc>
        <w:tc>
          <w:tcPr>
            <w:tcW w:w="510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公告名称</w:t>
            </w:r>
          </w:p>
        </w:tc>
        <w:tc>
          <w:tcPr>
            <w:tcW w:w="12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公告披露日期</w:t>
            </w:r>
          </w:p>
        </w:tc>
        <w:tc>
          <w:tcPr>
            <w:tcW w:w="19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sz w:val="18"/>
                <w:szCs w:val="18"/>
              </w:rPr>
              <w:t>公告刊登的指定网站</w:t>
            </w:r>
          </w:p>
        </w:tc>
      </w:tr>
      <w:tr>
        <w:trPr>
          <w:trHeight w:val="346" w:hRule="exact"/>
        </w:trPr>
        <w:tc>
          <w:tcPr>
            <w:tcW w:w="1277"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left="3" w:right="0"/>
              <w:jc w:val="center"/>
              <w:rPr>
                <w:rFonts w:ascii="Times New Roman" w:hAnsi="Times New Roman" w:cs="Times New Roman" w:eastAsia="Times New Roman" w:hint="default"/>
                <w:sz w:val="18"/>
                <w:szCs w:val="18"/>
              </w:rPr>
            </w:pPr>
            <w:r>
              <w:rPr>
                <w:rFonts w:ascii="Times New Roman"/>
                <w:sz w:val="18"/>
              </w:rPr>
              <w:t>2019-052</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第六届监事会</w:t>
            </w:r>
            <w:r>
              <w:rPr>
                <w:rFonts w:ascii="Times New Roman" w:hAnsi="Times New Roman" w:cs="Times New Roman" w:eastAsia="Times New Roman" w:hint="default"/>
                <w:sz w:val="18"/>
                <w:szCs w:val="18"/>
              </w:rPr>
              <w:t>2019</w:t>
            </w:r>
            <w:r>
              <w:rPr>
                <w:rFonts w:ascii="宋体" w:hAnsi="宋体" w:cs="宋体" w:eastAsia="宋体" w:hint="default"/>
                <w:sz w:val="18"/>
                <w:szCs w:val="18"/>
              </w:rPr>
              <w:t>年第二次临时会议决议公告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2019-04-26</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8"/>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2019-056</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关于会计政策变更的公告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2019-04-26</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8"/>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2019-108</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第六届董事会</w:t>
            </w:r>
            <w:r>
              <w:rPr>
                <w:rFonts w:ascii="Times New Roman" w:hAnsi="Times New Roman" w:cs="Times New Roman" w:eastAsia="Times New Roman" w:hint="default"/>
                <w:sz w:val="18"/>
                <w:szCs w:val="18"/>
              </w:rPr>
              <w:t>2019</w:t>
            </w:r>
            <w:r>
              <w:rPr>
                <w:rFonts w:ascii="宋体" w:hAnsi="宋体" w:cs="宋体" w:eastAsia="宋体" w:hint="default"/>
                <w:sz w:val="18"/>
                <w:szCs w:val="18"/>
              </w:rPr>
              <w:t>年第十三次临时会议决议公告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2019-08-27</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8"/>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2019-109</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第六届监事会</w:t>
            </w:r>
            <w:r>
              <w:rPr>
                <w:rFonts w:ascii="Times New Roman" w:hAnsi="Times New Roman" w:cs="Times New Roman" w:eastAsia="Times New Roman" w:hint="default"/>
                <w:sz w:val="18"/>
                <w:szCs w:val="18"/>
              </w:rPr>
              <w:t>2019</w:t>
            </w:r>
            <w:r>
              <w:rPr>
                <w:rFonts w:ascii="宋体" w:hAnsi="宋体" w:cs="宋体" w:eastAsia="宋体" w:hint="default"/>
                <w:sz w:val="18"/>
                <w:szCs w:val="18"/>
              </w:rPr>
              <w:t>年第五次临时会议决议公告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2019-08-27</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8"/>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2019-113</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关于会计政策变更的公告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2019-08-27</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8"/>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9634"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 w:right="0"/>
              <w:jc w:val="center"/>
              <w:rPr>
                <w:rFonts w:ascii="宋体" w:hAnsi="宋体" w:cs="宋体" w:eastAsia="宋体" w:hint="default"/>
                <w:sz w:val="18"/>
                <w:szCs w:val="18"/>
              </w:rPr>
            </w:pPr>
            <w:r>
              <w:rPr>
                <w:rFonts w:ascii="宋体" w:hAnsi="宋体" w:cs="宋体" w:eastAsia="宋体" w:hint="default"/>
                <w:sz w:val="18"/>
                <w:szCs w:val="18"/>
              </w:rPr>
              <w:t>原第一大股东非经营性资金占用</w:t>
            </w:r>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2019-106</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关于公司自查控股股东非经营性资金占用情况的提示性公告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2019-08-22</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2019-145</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关于第一大股东非经营性资金占用情况的进展公告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2019-11-1</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2019-157</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关于原第一大股东非经营性资金占用情况的进展公告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2019-12-02</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 w:right="0"/>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2019-158</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关于原第一大股东非经营性资金占用情况的进展公告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2019-12-06</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661"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2019-162</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44"/>
              <w:jc w:val="left"/>
              <w:rPr>
                <w:rFonts w:ascii="宋体" w:hAnsi="宋体" w:cs="宋体" w:eastAsia="宋体" w:hint="default"/>
                <w:sz w:val="18"/>
                <w:szCs w:val="18"/>
              </w:rPr>
            </w:pPr>
            <w:r>
              <w:rPr>
                <w:rFonts w:ascii="宋体" w:hAnsi="宋体" w:cs="宋体" w:eastAsia="宋体" w:hint="default"/>
                <w:sz w:val="18"/>
                <w:szCs w:val="18"/>
              </w:rPr>
              <w:t>万达信息股份有限公司关于公司自查原控股股东非经营性资金占 用事项的补充公告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2019-12-24</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4" w:right="0"/>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2019-163</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关于原第一大股东非经营性资金占款归还完毕的公告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2019-12-26</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6" w:hRule="exact"/>
        </w:trPr>
        <w:tc>
          <w:tcPr>
            <w:tcW w:w="9634"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原第一大股东破产清算</w:t>
            </w:r>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2019-148</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关于法院受理公司第一大股东破产清算申请的公告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2019-11-06</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8"/>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48" w:hRule="exact"/>
        </w:trPr>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2019-153</w:t>
            </w:r>
          </w:p>
        </w:tc>
        <w:tc>
          <w:tcPr>
            <w:tcW w:w="5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关于公司</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以上股东破产清算进展的公告</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2019-11-11</w:t>
            </w:r>
          </w:p>
        </w:tc>
        <w:tc>
          <w:tcPr>
            <w:tcW w:w="1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8"/>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bl>
    <w:p>
      <w:pPr>
        <w:spacing w:line="240" w:lineRule="auto" w:before="1"/>
        <w:rPr>
          <w:rFonts w:ascii="宋体" w:hAnsi="宋体" w:cs="宋体" w:eastAsia="宋体" w:hint="default"/>
          <w:sz w:val="18"/>
          <w:szCs w:val="18"/>
        </w:rPr>
      </w:pPr>
    </w:p>
    <w:p>
      <w:pPr>
        <w:pStyle w:val="Heading2"/>
        <w:spacing w:line="240" w:lineRule="auto" w:before="26"/>
        <w:ind w:right="2602"/>
        <w:jc w:val="left"/>
        <w:rPr>
          <w:b w:val="0"/>
          <w:bCs w:val="0"/>
        </w:rPr>
      </w:pPr>
      <w:bookmarkStart w:name="十九、公司子公司重大事项" w:id="104"/>
      <w:bookmarkEnd w:id="104"/>
      <w:r>
        <w:rPr>
          <w:b w:val="0"/>
          <w:bCs w:val="0"/>
        </w:rPr>
      </w:r>
      <w:r>
        <w:rPr/>
        <w:t>十九、公司子公司重大事项</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964" w:right="2602"/>
        <w:jc w:val="left"/>
        <w:rPr>
          <w:b w:val="0"/>
          <w:bCs w:val="0"/>
        </w:rPr>
      </w:pPr>
      <w:bookmarkStart w:name="第六节 股份变动及股东情况" w:id="105"/>
      <w:bookmarkEnd w:id="105"/>
      <w:r>
        <w:rPr>
          <w:b w:val="0"/>
          <w:bCs w:val="0"/>
        </w:rPr>
      </w:r>
      <w:bookmarkStart w:name="_bookmark5" w:id="106"/>
      <w:bookmarkEnd w:id="106"/>
      <w:r>
        <w:rPr>
          <w:b w:val="0"/>
          <w:bCs w:val="0"/>
        </w:rPr>
      </w:r>
      <w:r>
        <w:rPr/>
        <w:t>第六节</w:t>
      </w:r>
      <w:r>
        <w:rPr>
          <w:spacing w:val="-6"/>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2602"/>
        <w:jc w:val="left"/>
        <w:rPr>
          <w:b w:val="0"/>
          <w:bCs w:val="0"/>
        </w:rPr>
      </w:pPr>
      <w:bookmarkStart w:name="一、股份变动情况" w:id="107"/>
      <w:bookmarkEnd w:id="107"/>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2602"/>
        <w:jc w:val="left"/>
        <w:rPr>
          <w:b w:val="0"/>
          <w:bCs w:val="0"/>
        </w:rPr>
      </w:pPr>
      <w:bookmarkStart w:name="1、股份变动情况" w:id="108"/>
      <w:bookmarkEnd w:id="108"/>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单位：股</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62"/>
        <w:gridCol w:w="1147"/>
        <w:gridCol w:w="850"/>
        <w:gridCol w:w="566"/>
        <w:gridCol w:w="427"/>
        <w:gridCol w:w="708"/>
        <w:gridCol w:w="991"/>
        <w:gridCol w:w="994"/>
        <w:gridCol w:w="1124"/>
        <w:gridCol w:w="792"/>
      </w:tblGrid>
      <w:tr>
        <w:trPr>
          <w:trHeight w:val="403" w:hRule="exact"/>
        </w:trPr>
        <w:tc>
          <w:tcPr>
            <w:tcW w:w="196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4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687"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4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9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4"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1962" w:type="dxa"/>
            <w:vMerge w:val="restart"/>
            <w:tcBorders>
              <w:top w:val="nil" w:sz="6" w:space="0" w:color="auto"/>
              <w:left w:val="single" w:sz="4" w:space="0" w:color="000000"/>
              <w:right w:val="single" w:sz="4" w:space="0" w:color="000000"/>
            </w:tcBorders>
            <w:shd w:val="clear" w:color="auto" w:fill="D2D2D2"/>
          </w:tcPr>
          <w:p>
            <w:pPr/>
          </w:p>
        </w:tc>
        <w:tc>
          <w:tcPr>
            <w:tcW w:w="1147" w:type="dxa"/>
            <w:tcBorders>
              <w:top w:val="single" w:sz="4" w:space="0" w:color="000000"/>
              <w:left w:val="single" w:sz="4" w:space="0" w:color="000000"/>
              <w:bottom w:val="nil" w:sz="6" w:space="0" w:color="auto"/>
              <w:right w:val="single" w:sz="4" w:space="0" w:color="000000"/>
            </w:tcBorders>
            <w:shd w:val="clear" w:color="auto" w:fill="D2D2D2"/>
          </w:tcPr>
          <w:p>
            <w:pPr/>
          </w:p>
        </w:tc>
        <w:tc>
          <w:tcPr>
            <w:tcW w:w="850" w:type="dxa"/>
            <w:tcBorders>
              <w:top w:val="single" w:sz="4" w:space="0" w:color="000000"/>
              <w:left w:val="single" w:sz="4" w:space="0" w:color="000000"/>
              <w:bottom w:val="nil" w:sz="6" w:space="0" w:color="auto"/>
              <w:right w:val="single" w:sz="4" w:space="0" w:color="000000"/>
            </w:tcBorders>
            <w:shd w:val="clear" w:color="auto" w:fill="D2D2D2"/>
          </w:tcPr>
          <w:p>
            <w:pP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98" w:right="96"/>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170" w:right="77" w:hanging="92"/>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991" w:type="dxa"/>
            <w:tcBorders>
              <w:top w:val="single" w:sz="4" w:space="0" w:color="000000"/>
              <w:left w:val="single" w:sz="4" w:space="0" w:color="000000"/>
              <w:bottom w:val="nil" w:sz="6" w:space="0" w:color="auto"/>
              <w:right w:val="single" w:sz="4" w:space="0" w:color="000000"/>
            </w:tcBorders>
            <w:shd w:val="clear" w:color="auto" w:fill="D2D2D2"/>
          </w:tcPr>
          <w:p>
            <w:pPr/>
          </w:p>
        </w:tc>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962" w:type="dxa"/>
            <w:vMerge/>
            <w:tcBorders>
              <w:left w:val="single" w:sz="4" w:space="0" w:color="000000"/>
              <w:bottom w:val="nil" w:sz="6" w:space="0" w:color="auto"/>
              <w:right w:val="single" w:sz="4" w:space="0" w:color="000000"/>
            </w:tcBorders>
            <w:shd w:val="clear" w:color="auto" w:fill="D2D2D2"/>
          </w:tcPr>
          <w:p>
            <w:pPr/>
          </w:p>
        </w:tc>
        <w:tc>
          <w:tcPr>
            <w:tcW w:w="114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85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3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566" w:type="dxa"/>
            <w:vMerge/>
            <w:tcBorders>
              <w:left w:val="single" w:sz="4" w:space="0" w:color="000000"/>
              <w:right w:val="single" w:sz="4" w:space="0" w:color="000000"/>
            </w:tcBorders>
            <w:shd w:val="clear" w:color="auto" w:fill="D2D2D2"/>
          </w:tcPr>
          <w:p>
            <w:pPr/>
          </w:p>
        </w:tc>
        <w:tc>
          <w:tcPr>
            <w:tcW w:w="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vMerge/>
            <w:tcBorders>
              <w:left w:val="single" w:sz="4" w:space="0" w:color="000000"/>
              <w:right w:val="single" w:sz="4" w:space="0" w:color="000000"/>
            </w:tcBorders>
            <w:shd w:val="clear" w:color="auto" w:fill="D2D2D2"/>
          </w:tcPr>
          <w:p>
            <w:pPr/>
          </w:p>
        </w:tc>
        <w:tc>
          <w:tcPr>
            <w:tcW w:w="9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1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0" w:hRule="exact"/>
        </w:trPr>
        <w:tc>
          <w:tcPr>
            <w:tcW w:w="1962" w:type="dxa"/>
            <w:vMerge w:val="restart"/>
            <w:tcBorders>
              <w:top w:val="nil" w:sz="6" w:space="0" w:color="auto"/>
              <w:left w:val="single" w:sz="4" w:space="0" w:color="000000"/>
              <w:right w:val="single" w:sz="4" w:space="0" w:color="000000"/>
            </w:tcBorders>
            <w:shd w:val="clear" w:color="auto" w:fill="D2D2D2"/>
          </w:tcPr>
          <w:p>
            <w:pPr/>
          </w:p>
        </w:tc>
        <w:tc>
          <w:tcPr>
            <w:tcW w:w="1147" w:type="dxa"/>
            <w:vMerge/>
            <w:tcBorders>
              <w:left w:val="single" w:sz="4" w:space="0" w:color="000000"/>
              <w:bottom w:val="nil" w:sz="6" w:space="0" w:color="auto"/>
              <w:right w:val="single" w:sz="4" w:space="0" w:color="000000"/>
            </w:tcBorders>
            <w:shd w:val="clear" w:color="auto" w:fill="D2D2D2"/>
          </w:tcPr>
          <w:p>
            <w:pPr/>
          </w:p>
        </w:tc>
        <w:tc>
          <w:tcPr>
            <w:tcW w:w="850" w:type="dxa"/>
            <w:vMerge/>
            <w:tcBorders>
              <w:left w:val="single" w:sz="4" w:space="0" w:color="000000"/>
              <w:bottom w:val="nil" w:sz="6" w:space="0" w:color="auto"/>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427"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994" w:type="dxa"/>
            <w:vMerge/>
            <w:tcBorders>
              <w:left w:val="single" w:sz="4" w:space="0" w:color="000000"/>
              <w:bottom w:val="nil" w:sz="6" w:space="0" w:color="auto"/>
              <w:right w:val="single" w:sz="4" w:space="0" w:color="000000"/>
            </w:tcBorders>
            <w:shd w:val="clear" w:color="auto" w:fill="D2D2D2"/>
          </w:tcPr>
          <w:p>
            <w:pPr/>
          </w:p>
        </w:tc>
        <w:tc>
          <w:tcPr>
            <w:tcW w:w="1124" w:type="dxa"/>
            <w:vMerge/>
            <w:tcBorders>
              <w:left w:val="single" w:sz="4" w:space="0" w:color="000000"/>
              <w:bottom w:val="nil" w:sz="6" w:space="0" w:color="auto"/>
              <w:right w:val="single" w:sz="4" w:space="0" w:color="000000"/>
            </w:tcBorders>
            <w:shd w:val="clear" w:color="auto" w:fill="D2D2D2"/>
          </w:tcPr>
          <w:p>
            <w:pPr/>
          </w:p>
        </w:tc>
        <w:tc>
          <w:tcPr>
            <w:tcW w:w="792"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962" w:type="dxa"/>
            <w:vMerge/>
            <w:tcBorders>
              <w:left w:val="single" w:sz="4" w:space="0" w:color="000000"/>
              <w:bottom w:val="single" w:sz="4" w:space="0" w:color="000000"/>
              <w:right w:val="single" w:sz="4" w:space="0" w:color="000000"/>
            </w:tcBorders>
            <w:shd w:val="clear" w:color="auto" w:fill="D2D2D2"/>
          </w:tcPr>
          <w:p>
            <w:pPr/>
          </w:p>
        </w:tc>
        <w:tc>
          <w:tcPr>
            <w:tcW w:w="1147" w:type="dxa"/>
            <w:tcBorders>
              <w:top w:val="nil" w:sz="6" w:space="0" w:color="auto"/>
              <w:left w:val="single" w:sz="4" w:space="0" w:color="000000"/>
              <w:bottom w:val="single" w:sz="4" w:space="0" w:color="000000"/>
              <w:right w:val="single" w:sz="4" w:space="0" w:color="000000"/>
            </w:tcBorders>
            <w:shd w:val="clear" w:color="auto" w:fill="D2D2D2"/>
          </w:tcPr>
          <w:p>
            <w:pPr/>
          </w:p>
        </w:tc>
        <w:tc>
          <w:tcPr>
            <w:tcW w:w="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991" w:type="dxa"/>
            <w:tcBorders>
              <w:top w:val="nil" w:sz="6" w:space="0" w:color="auto"/>
              <w:left w:val="single" w:sz="4" w:space="0" w:color="000000"/>
              <w:bottom w:val="single" w:sz="4" w:space="0" w:color="000000"/>
              <w:right w:val="single" w:sz="4" w:space="0" w:color="000000"/>
            </w:tcBorders>
            <w:shd w:val="clear" w:color="auto" w:fill="D2D2D2"/>
          </w:tcPr>
          <w:p>
            <w:pPr/>
          </w:p>
        </w:tc>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4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7,318,831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0.67%</w:t>
            </w:r>
          </w:p>
        </w:tc>
        <w:tc>
          <w:tcPr>
            <w:tcW w:w="566"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1,527,750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1,527,750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8,846,581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0.78%</w:t>
            </w:r>
          </w:p>
        </w:tc>
      </w:tr>
      <w:tr>
        <w:trPr>
          <w:trHeight w:val="401"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4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7,318,831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0.67%</w:t>
            </w:r>
          </w:p>
        </w:tc>
        <w:tc>
          <w:tcPr>
            <w:tcW w:w="566"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1,527,750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1,527,750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8,846,581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0.78%</w:t>
            </w:r>
          </w:p>
        </w:tc>
      </w:tr>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14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7,318,831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0.67%</w:t>
            </w:r>
          </w:p>
        </w:tc>
        <w:tc>
          <w:tcPr>
            <w:tcW w:w="566"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1,527,750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1,527,750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8,846,581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0.78%</w:t>
            </w:r>
          </w:p>
        </w:tc>
      </w:tr>
      <w:tr>
        <w:trPr>
          <w:trHeight w:val="401"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4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1,092,130,857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99.33%</w:t>
            </w:r>
          </w:p>
        </w:tc>
        <w:tc>
          <w:tcPr>
            <w:tcW w:w="566"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38,876,583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38,876,583</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1,131,007,440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99.22%</w:t>
            </w:r>
          </w:p>
        </w:tc>
      </w:tr>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4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1,092,130,857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99.33%</w:t>
            </w:r>
          </w:p>
        </w:tc>
        <w:tc>
          <w:tcPr>
            <w:tcW w:w="566"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38,876,583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38,876,583</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1,131,007,440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99.22%</w:t>
            </w:r>
          </w:p>
        </w:tc>
      </w:tr>
      <w:tr>
        <w:trPr>
          <w:trHeight w:val="401"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4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1,099,449,688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40,404,333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40,404,333</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1,139,854,021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240" w:lineRule="auto" w:before="49"/>
        <w:ind w:right="0"/>
        <w:jc w:val="both"/>
      </w:pPr>
      <w:r>
        <w:rPr/>
        <w:t>股份变动的原因</w:t>
      </w:r>
    </w:p>
    <w:p>
      <w:pPr>
        <w:pStyle w:val="BodyText"/>
        <w:spacing w:line="240" w:lineRule="auto" w:before="117"/>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4"/>
          <w:szCs w:val="14"/>
        </w:rPr>
      </w:pPr>
    </w:p>
    <w:p>
      <w:pPr>
        <w:pStyle w:val="BodyText"/>
        <w:spacing w:line="240" w:lineRule="auto"/>
        <w:ind w:left="513" w:right="0"/>
        <w:jc w:val="left"/>
      </w:pPr>
      <w:r>
        <w:rPr>
          <w:spacing w:val="6"/>
        </w:rPr>
        <w:t>报告期内，公司因 </w:t>
      </w:r>
      <w:r>
        <w:rPr>
          <w:rFonts w:ascii="Times New Roman" w:hAnsi="Times New Roman" w:cs="Times New Roman" w:eastAsia="Times New Roman" w:hint="default"/>
        </w:rPr>
        <w:t>2018  </w:t>
      </w:r>
      <w:r>
        <w:rPr>
          <w:spacing w:val="7"/>
        </w:rPr>
        <w:t>年度公开发行可转换公司债券转股而发生股本变动，公司总股本由 </w:t>
      </w:r>
      <w:r>
        <w:rPr>
          <w:rFonts w:ascii="Times New Roman" w:hAnsi="Times New Roman" w:cs="Times New Roman" w:eastAsia="Times New Roman" w:hint="default"/>
        </w:rPr>
        <w:t>1,099,449,688 </w:t>
      </w:r>
      <w:r>
        <w:rPr>
          <w:rFonts w:ascii="Times New Roman" w:hAnsi="Times New Roman" w:cs="Times New Roman" w:eastAsia="Times New Roman" w:hint="default"/>
          <w:spacing w:val="36"/>
        </w:rPr>
        <w:t> </w:t>
      </w:r>
      <w:r>
        <w:rPr>
          <w:spacing w:val="7"/>
        </w:rPr>
        <w:t>股增至</w:t>
      </w:r>
      <w:r>
        <w:rPr/>
      </w:r>
    </w:p>
    <w:p>
      <w:pPr>
        <w:pStyle w:val="BodyText"/>
        <w:spacing w:line="240" w:lineRule="auto" w:before="63"/>
        <w:ind w:right="0"/>
        <w:jc w:val="both"/>
      </w:pPr>
      <w:r>
        <w:rPr>
          <w:rFonts w:ascii="Times New Roman" w:hAnsi="Times New Roman" w:cs="Times New Roman" w:eastAsia="Times New Roman" w:hint="default"/>
        </w:rPr>
        <w:t>1,139,854,021</w:t>
      </w:r>
      <w:r>
        <w:rPr>
          <w:rFonts w:ascii="Times New Roman" w:hAnsi="Times New Roman" w:cs="Times New Roman" w:eastAsia="Times New Roman" w:hint="default"/>
          <w:spacing w:val="-1"/>
        </w:rPr>
        <w:t> </w:t>
      </w:r>
      <w:r>
        <w:rPr/>
        <w:t>股。</w:t>
      </w:r>
    </w:p>
    <w:p>
      <w:pPr>
        <w:spacing w:line="240" w:lineRule="auto" w:before="13"/>
        <w:rPr>
          <w:rFonts w:ascii="宋体" w:hAnsi="宋体" w:cs="宋体" w:eastAsia="宋体" w:hint="default"/>
          <w:sz w:val="22"/>
          <w:szCs w:val="22"/>
        </w:rPr>
      </w:pPr>
    </w:p>
    <w:p>
      <w:pPr>
        <w:pStyle w:val="BodyText"/>
        <w:spacing w:line="240" w:lineRule="auto"/>
        <w:ind w:right="0"/>
        <w:jc w:val="both"/>
      </w:pPr>
      <w:r>
        <w:rPr/>
        <w:t>股份变动的批准情况</w:t>
      </w:r>
    </w:p>
    <w:p>
      <w:pPr>
        <w:pStyle w:val="BodyText"/>
        <w:spacing w:line="240" w:lineRule="auto" w:before="117"/>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14"/>
          <w:szCs w:val="14"/>
        </w:rPr>
      </w:pPr>
    </w:p>
    <w:p>
      <w:pPr>
        <w:pStyle w:val="BodyText"/>
        <w:spacing w:line="297" w:lineRule="auto"/>
        <w:ind w:right="1120" w:firstLine="360"/>
        <w:jc w:val="left"/>
      </w:pPr>
      <w:r>
        <w:rPr/>
        <w:t>经中国证券监督管理委员会“证监许可〔</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60</w:t>
      </w:r>
      <w:r>
        <w:rPr>
          <w:rFonts w:ascii="Times New Roman" w:hAnsi="Times New Roman" w:cs="Times New Roman" w:eastAsia="Times New Roman" w:hint="default"/>
          <w:spacing w:val="-11"/>
        </w:rPr>
        <w:t> </w:t>
      </w:r>
      <w:r>
        <w:rPr>
          <w:spacing w:val="-4"/>
        </w:rPr>
        <w:t>号”文《关于核准万达信息公开发行可转换公司债券的批复》核准，</w:t>
      </w:r>
      <w:r>
        <w:rPr/>
        <w:t> 公司于</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w:t>
      </w:r>
      <w:r>
        <w:rPr>
          <w:spacing w:val="-4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49"/>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日公开发行了</w:t>
      </w:r>
      <w:r>
        <w:rPr>
          <w:spacing w:val="-46"/>
        </w:rPr>
        <w:t> </w:t>
      </w:r>
      <w:r>
        <w:rPr>
          <w:rFonts w:ascii="Times New Roman" w:hAnsi="Times New Roman" w:cs="Times New Roman" w:eastAsia="Times New Roman" w:hint="default"/>
        </w:rPr>
        <w:t>1,200</w:t>
      </w:r>
      <w:r>
        <w:rPr>
          <w:rFonts w:ascii="Times New Roman" w:hAnsi="Times New Roman" w:cs="Times New Roman" w:eastAsia="Times New Roman" w:hint="default"/>
          <w:spacing w:val="-10"/>
        </w:rPr>
        <w:t> </w:t>
      </w:r>
      <w:r>
        <w:rPr/>
        <w:t>万张可转换公司债券，每张面值</w:t>
      </w:r>
      <w:r>
        <w:rPr>
          <w:spacing w:val="-47"/>
        </w:rPr>
        <w:t> </w:t>
      </w:r>
      <w:r>
        <w:rPr>
          <w:rFonts w:ascii="Times New Roman" w:hAnsi="Times New Roman" w:cs="Times New Roman" w:eastAsia="Times New Roman" w:hint="default"/>
        </w:rPr>
        <w:t>100</w:t>
      </w:r>
      <w:r>
        <w:rPr>
          <w:rFonts w:ascii="Times New Roman" w:hAnsi="Times New Roman" w:cs="Times New Roman" w:eastAsia="Times New Roman" w:hint="default"/>
          <w:spacing w:val="-10"/>
        </w:rPr>
        <w:t> </w:t>
      </w:r>
      <w:r>
        <w:rPr/>
        <w:t>元，发行总额</w:t>
      </w:r>
      <w:r>
        <w:rPr>
          <w:spacing w:val="-47"/>
        </w:rPr>
        <w:t> </w:t>
      </w:r>
      <w:r>
        <w:rPr>
          <w:rFonts w:ascii="Times New Roman" w:hAnsi="Times New Roman" w:cs="Times New Roman" w:eastAsia="Times New Roman" w:hint="default"/>
        </w:rPr>
        <w:t>120,000</w:t>
      </w:r>
      <w:r>
        <w:rPr>
          <w:rFonts w:ascii="Times New Roman" w:hAnsi="Times New Roman" w:cs="Times New Roman" w:eastAsia="Times New Roman" w:hint="default"/>
          <w:spacing w:val="-9"/>
        </w:rPr>
        <w:t> </w:t>
      </w:r>
      <w:r>
        <w:rPr>
          <w:spacing w:val="-3"/>
        </w:rPr>
        <w:t>万元，期限为</w:t>
      </w:r>
      <w:r>
        <w:rPr>
          <w:spacing w:val="-47"/>
        </w:rPr>
        <w:t> </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spacing w:val="-5"/>
        </w:rPr>
        <w:t>年。经</w:t>
      </w:r>
    </w:p>
    <w:p>
      <w:pPr>
        <w:pStyle w:val="BodyText"/>
        <w:spacing w:line="300" w:lineRule="auto" w:before="15"/>
        <w:ind w:right="1128"/>
        <w:jc w:val="both"/>
      </w:pPr>
      <w:r>
        <w:rPr/>
        <w:t>深圳证券交易所“深证上〔</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124</w:t>
      </w:r>
      <w:r>
        <w:rPr>
          <w:rFonts w:ascii="Times New Roman" w:hAnsi="Times New Roman" w:cs="Times New Roman" w:eastAsia="Times New Roman" w:hint="default"/>
          <w:spacing w:val="-10"/>
        </w:rPr>
        <w:t> </w:t>
      </w:r>
      <w:r>
        <w:rPr/>
        <w:t>号”文同意，公司</w:t>
      </w:r>
      <w:r>
        <w:rPr>
          <w:spacing w:val="-42"/>
        </w:rPr>
        <w:t> </w:t>
      </w:r>
      <w:r>
        <w:rPr>
          <w:rFonts w:ascii="Times New Roman" w:hAnsi="Times New Roman" w:cs="Times New Roman" w:eastAsia="Times New Roman" w:hint="default"/>
        </w:rPr>
        <w:t>120,000</w:t>
      </w:r>
      <w:r>
        <w:rPr>
          <w:rFonts w:ascii="Times New Roman" w:hAnsi="Times New Roman" w:cs="Times New Roman" w:eastAsia="Times New Roman" w:hint="default"/>
          <w:spacing w:val="-10"/>
        </w:rPr>
        <w:t> </w:t>
      </w:r>
      <w:r>
        <w:rPr/>
        <w:t>万元可转换公司债券自自</w:t>
      </w:r>
      <w:r>
        <w:rPr>
          <w:spacing w:val="-4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2"/>
        </w:rPr>
        <w:t> </w:t>
      </w:r>
      <w:r>
        <w:rPr/>
        <w:t>年</w:t>
      </w:r>
      <w:r>
        <w:rPr>
          <w:spacing w:val="-41"/>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t>月</w:t>
      </w:r>
      <w:r>
        <w:rPr>
          <w:spacing w:val="-42"/>
        </w:rPr>
        <w:t> </w:t>
      </w:r>
      <w:r>
        <w:rPr>
          <w:rFonts w:ascii="Times New Roman" w:hAnsi="Times New Roman" w:cs="Times New Roman" w:eastAsia="Times New Roman" w:hint="default"/>
        </w:rPr>
        <w:t>25</w:t>
      </w:r>
      <w:r>
        <w:rPr>
          <w:rFonts w:ascii="Times New Roman" w:hAnsi="Times New Roman" w:cs="Times New Roman" w:eastAsia="Times New Roman" w:hint="default"/>
          <w:spacing w:val="7"/>
        </w:rPr>
        <w:t> </w:t>
      </w:r>
      <w:r>
        <w:rPr/>
        <w:t>日起在深圳证券 交易所挂牌交易，债券简称“万信转</w:t>
      </w:r>
      <w:r>
        <w:rPr>
          <w:spacing w:val="-29"/>
        </w:rPr>
        <w:t> </w:t>
      </w:r>
      <w:r>
        <w:rPr>
          <w:rFonts w:ascii="Times New Roman" w:hAnsi="Times New Roman" w:cs="Times New Roman" w:eastAsia="Times New Roman" w:hint="default"/>
        </w:rPr>
        <w:t>2</w:t>
      </w:r>
      <w:r>
        <w:rPr/>
        <w:t>”，债券代码“</w:t>
      </w:r>
      <w:r>
        <w:rPr>
          <w:rFonts w:ascii="Times New Roman" w:hAnsi="Times New Roman" w:cs="Times New Roman" w:eastAsia="Times New Roman" w:hint="default"/>
        </w:rPr>
        <w:t>123021</w:t>
      </w:r>
      <w:r>
        <w:rPr/>
        <w:t>”。根据相关规定和《公司</w:t>
      </w:r>
      <w:r>
        <w:rPr>
          <w:spacing w:val="-30"/>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6"/>
        </w:rPr>
        <w:t> </w:t>
      </w:r>
      <w:r>
        <w:rPr/>
        <w:t>年度创业板公开发行可转换 公司债券募集说明书》，公司本次发行的可转债“万信转</w:t>
      </w:r>
      <w:r>
        <w:rPr>
          <w:spacing w:val="-46"/>
        </w:rPr>
        <w:t> </w:t>
      </w:r>
      <w:r>
        <w:rPr>
          <w:rFonts w:ascii="Times New Roman" w:hAnsi="Times New Roman" w:cs="Times New Roman" w:eastAsia="Times New Roman" w:hint="default"/>
        </w:rPr>
        <w:t>2</w:t>
      </w:r>
      <w:r>
        <w:rPr/>
        <w:t>”自</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9"/>
        </w:rPr>
        <w:t> </w:t>
      </w:r>
      <w:r>
        <w:rPr/>
        <w:t>年</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9"/>
        </w:rPr>
        <w:t> </w:t>
      </w:r>
      <w:r>
        <w:rPr/>
        <w:t>月</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9"/>
        </w:rPr>
        <w:t> </w:t>
      </w:r>
      <w:r>
        <w:rPr/>
        <w:t>日起可转换为公司股份。</w:t>
      </w:r>
    </w:p>
    <w:p>
      <w:pPr>
        <w:spacing w:line="240" w:lineRule="auto" w:before="4"/>
        <w:rPr>
          <w:rFonts w:ascii="宋体" w:hAnsi="宋体" w:cs="宋体" w:eastAsia="宋体" w:hint="default"/>
          <w:sz w:val="19"/>
          <w:szCs w:val="19"/>
        </w:rPr>
      </w:pPr>
    </w:p>
    <w:p>
      <w:pPr>
        <w:pStyle w:val="BodyText"/>
        <w:spacing w:line="240" w:lineRule="auto"/>
        <w:ind w:right="0"/>
        <w:jc w:val="both"/>
      </w:pPr>
      <w:r>
        <w:rPr/>
        <w:t>股份变动的过户情况</w:t>
      </w:r>
    </w:p>
    <w:p>
      <w:pPr>
        <w:pStyle w:val="BodyText"/>
        <w:spacing w:line="240" w:lineRule="auto" w:before="118"/>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3"/>
          <w:szCs w:val="23"/>
        </w:rPr>
      </w:pPr>
    </w:p>
    <w:p>
      <w:pPr>
        <w:pStyle w:val="BodyText"/>
        <w:spacing w:line="240" w:lineRule="auto"/>
        <w:ind w:right="0"/>
        <w:jc w:val="both"/>
      </w:pPr>
      <w:r>
        <w:rPr/>
        <w:t>股份回购的实施进展情况</w:t>
      </w:r>
    </w:p>
    <w:p>
      <w:pPr>
        <w:pStyle w:val="BodyText"/>
        <w:spacing w:line="240" w:lineRule="auto" w:before="117"/>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13"/>
          <w:szCs w:val="13"/>
        </w:rPr>
      </w:pPr>
    </w:p>
    <w:p>
      <w:pPr>
        <w:pStyle w:val="BodyText"/>
        <w:spacing w:line="300" w:lineRule="auto"/>
        <w:ind w:right="1032" w:firstLine="360"/>
        <w:jc w:val="left"/>
      </w:pPr>
      <w:r>
        <w:rPr>
          <w:spacing w:val="-3"/>
        </w:rPr>
        <w:t>报告期内，公司累计通过股票回购专用证券账户以集中竞价交易方式回购公司股份</w:t>
      </w:r>
      <w:r>
        <w:rPr>
          <w:spacing w:val="-52"/>
        </w:rPr>
        <w:t> </w:t>
      </w:r>
      <w:r>
        <w:rPr>
          <w:rFonts w:ascii="Times New Roman" w:hAnsi="Times New Roman" w:cs="Times New Roman" w:eastAsia="Times New Roman" w:hint="default"/>
        </w:rPr>
        <w:t>2,563,415</w:t>
      </w:r>
      <w:r>
        <w:rPr>
          <w:rFonts w:ascii="Times New Roman" w:hAnsi="Times New Roman" w:cs="Times New Roman" w:eastAsia="Times New Roman" w:hint="default"/>
          <w:spacing w:val="-16"/>
        </w:rPr>
        <w:t> </w:t>
      </w:r>
      <w:r>
        <w:rPr>
          <w:spacing w:val="-11"/>
        </w:rPr>
        <w:t>股，占公司总股本的</w:t>
      </w:r>
      <w:r>
        <w:rPr>
          <w:spacing w:val="-53"/>
        </w:rPr>
        <w:t> </w:t>
      </w:r>
      <w:r>
        <w:rPr>
          <w:rFonts w:ascii="Times New Roman" w:hAnsi="Times New Roman" w:cs="Times New Roman" w:eastAsia="Times New Roman" w:hint="default"/>
        </w:rPr>
        <w:t>0.22%</w:t>
      </w:r>
      <w:r>
        <w:rPr/>
        <w:t>。 本次回购最高成交价为</w:t>
      </w:r>
      <w:r>
        <w:rPr>
          <w:spacing w:val="-46"/>
        </w:rPr>
        <w:t> </w:t>
      </w:r>
      <w:r>
        <w:rPr>
          <w:rFonts w:ascii="Times New Roman" w:hAnsi="Times New Roman" w:cs="Times New Roman" w:eastAsia="Times New Roman" w:hint="default"/>
        </w:rPr>
        <w:t>11.93</w:t>
      </w:r>
      <w:r>
        <w:rPr>
          <w:rFonts w:ascii="Times New Roman" w:hAnsi="Times New Roman" w:cs="Times New Roman" w:eastAsia="Times New Roman" w:hint="default"/>
          <w:spacing w:val="-12"/>
        </w:rPr>
        <w:t> </w:t>
      </w:r>
      <w:r>
        <w:rPr/>
        <w:t>元</w:t>
      </w:r>
      <w:r>
        <w:rPr>
          <w:rFonts w:ascii="Times New Roman" w:hAnsi="Times New Roman" w:cs="Times New Roman" w:eastAsia="Times New Roman" w:hint="default"/>
        </w:rPr>
        <w:t>/</w:t>
      </w:r>
      <w:r>
        <w:rPr/>
        <w:t>股，最低成交价为</w:t>
      </w:r>
      <w:r>
        <w:rPr>
          <w:spacing w:val="-46"/>
        </w:rPr>
        <w:t> </w:t>
      </w:r>
      <w:r>
        <w:rPr>
          <w:rFonts w:ascii="Times New Roman" w:hAnsi="Times New Roman" w:cs="Times New Roman" w:eastAsia="Times New Roman" w:hint="default"/>
        </w:rPr>
        <w:t>11.12</w:t>
      </w:r>
      <w:r>
        <w:rPr>
          <w:rFonts w:ascii="Times New Roman" w:hAnsi="Times New Roman" w:cs="Times New Roman" w:eastAsia="Times New Roman" w:hint="default"/>
          <w:spacing w:val="-10"/>
        </w:rPr>
        <w:t> </w:t>
      </w:r>
      <w:r>
        <w:rPr/>
        <w:t>元，成交总金额为</w:t>
      </w:r>
      <w:r>
        <w:rPr>
          <w:spacing w:val="-47"/>
        </w:rPr>
        <w:t> </w:t>
      </w:r>
      <w:r>
        <w:rPr>
          <w:rFonts w:ascii="Times New Roman" w:hAnsi="Times New Roman" w:cs="Times New Roman" w:eastAsia="Times New Roman" w:hint="default"/>
        </w:rPr>
        <w:t>29,984,265.25</w:t>
      </w:r>
      <w:r>
        <w:rPr>
          <w:rFonts w:ascii="Times New Roman" w:hAnsi="Times New Roman" w:cs="Times New Roman" w:eastAsia="Times New Roman" w:hint="default"/>
          <w:spacing w:val="-12"/>
        </w:rPr>
        <w:t> </w:t>
      </w:r>
      <w:r>
        <w:rPr/>
        <w:t>元（含交易费用）。</w:t>
      </w:r>
    </w:p>
    <w:p>
      <w:pPr>
        <w:spacing w:line="240" w:lineRule="auto" w:before="2"/>
        <w:rPr>
          <w:rFonts w:ascii="宋体" w:hAnsi="宋体" w:cs="宋体" w:eastAsia="宋体" w:hint="default"/>
          <w:sz w:val="19"/>
          <w:szCs w:val="19"/>
        </w:rPr>
      </w:pPr>
    </w:p>
    <w:p>
      <w:pPr>
        <w:pStyle w:val="BodyText"/>
        <w:spacing w:line="240" w:lineRule="auto"/>
        <w:ind w:right="0"/>
        <w:jc w:val="both"/>
      </w:pPr>
      <w:r>
        <w:rPr/>
        <w:t>采用集中竞价方式减持回购股份的实施进展情况</w:t>
      </w:r>
    </w:p>
    <w:p>
      <w:pPr>
        <w:pStyle w:val="BodyText"/>
        <w:spacing w:line="240" w:lineRule="auto" w:before="117"/>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both"/>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0"/>
        <w:jc w:val="left"/>
      </w:pPr>
      <w:r>
        <w:rPr/>
        <w:t>股份变动对最近一年和最近一期基本每股收益和稀释每股收益、归属于公司普通股股东的每股净资产等财务指标的影响</w:t>
      </w:r>
    </w:p>
    <w:p>
      <w:pPr>
        <w:pStyle w:val="BodyText"/>
        <w:spacing w:line="240" w:lineRule="auto" w:before="117"/>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0"/>
        <w:rPr>
          <w:rFonts w:ascii="宋体" w:hAnsi="宋体" w:cs="宋体" w:eastAsia="宋体" w:hint="default"/>
          <w:sz w:val="13"/>
          <w:szCs w:val="13"/>
        </w:rPr>
      </w:pPr>
    </w:p>
    <w:p>
      <w:pPr>
        <w:pStyle w:val="BodyText"/>
        <w:spacing w:line="240" w:lineRule="auto"/>
        <w:ind w:left="513" w:right="2602"/>
        <w:jc w:val="left"/>
      </w:pPr>
      <w:r>
        <w:rPr/>
        <w:t>具体指标详见“第二节</w:t>
      </w:r>
      <w:r>
        <w:rPr>
          <w:spacing w:val="-19"/>
        </w:rPr>
        <w:t> </w:t>
      </w:r>
      <w:r>
        <w:rPr/>
        <w:t>公司简介和主要财务指标”之“五、主要会计数据和财务指标”。</w:t>
      </w:r>
    </w:p>
    <w:p>
      <w:pPr>
        <w:spacing w:line="240" w:lineRule="auto" w:before="2"/>
        <w:rPr>
          <w:rFonts w:ascii="宋体" w:hAnsi="宋体" w:cs="宋体" w:eastAsia="宋体" w:hint="default"/>
          <w:sz w:val="24"/>
          <w:szCs w:val="24"/>
        </w:rPr>
      </w:pPr>
    </w:p>
    <w:p>
      <w:pPr>
        <w:pStyle w:val="BodyText"/>
        <w:spacing w:line="240" w:lineRule="auto"/>
        <w:ind w:right="2602"/>
        <w:jc w:val="left"/>
      </w:pPr>
      <w:r>
        <w:rPr/>
        <w:t>公司认为必要或证券监管机构要求披露的其他内容</w:t>
      </w:r>
    </w:p>
    <w:p>
      <w:pPr>
        <w:pStyle w:val="BodyText"/>
        <w:spacing w:line="240" w:lineRule="auto" w:before="117"/>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2、限售股份变动情况" w:id="109"/>
      <w:bookmarkEnd w:id="109"/>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单位：股</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992"/>
        <w:gridCol w:w="1416"/>
        <w:gridCol w:w="1277"/>
        <w:gridCol w:w="1274"/>
        <w:gridCol w:w="1275"/>
        <w:gridCol w:w="1274"/>
        <w:gridCol w:w="2053"/>
      </w:tblGrid>
      <w:tr>
        <w:trPr>
          <w:trHeight w:val="917" w:hRule="exact"/>
        </w:trPr>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50"/>
              <w:ind w:left="454" w:right="92" w:hanging="361"/>
              <w:jc w:val="left"/>
              <w:rPr>
                <w:rFonts w:ascii="宋体" w:hAnsi="宋体" w:cs="宋体" w:eastAsia="宋体" w:hint="default"/>
                <w:sz w:val="18"/>
                <w:szCs w:val="18"/>
              </w:rPr>
            </w:pPr>
            <w:r>
              <w:rPr>
                <w:rFonts w:ascii="宋体" w:hAnsi="宋体" w:cs="宋体" w:eastAsia="宋体" w:hint="default"/>
                <w:sz w:val="18"/>
                <w:szCs w:val="18"/>
              </w:rPr>
              <w:t>本期增加限售 股数</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50"/>
              <w:ind w:left="453" w:right="89"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91"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2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754" w:hRule="exact"/>
        </w:trPr>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李光亚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1,031,850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1,031,850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8"/>
              <w:ind w:left="23" w:right="38"/>
              <w:jc w:val="left"/>
              <w:rPr>
                <w:rFonts w:ascii="宋体" w:hAnsi="宋体" w:cs="宋体" w:eastAsia="宋体" w:hint="default"/>
                <w:sz w:val="18"/>
                <w:szCs w:val="18"/>
              </w:rPr>
            </w:pPr>
            <w:r>
              <w:rPr>
                <w:rFonts w:ascii="宋体" w:hAnsi="宋体" w:cs="宋体" w:eastAsia="宋体" w:hint="default"/>
                <w:sz w:val="18"/>
                <w:szCs w:val="18"/>
              </w:rPr>
              <w:t>在任期间，每年所持股份 总数的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可流通</w:t>
            </w:r>
          </w:p>
        </w:tc>
      </w:tr>
      <w:tr>
        <w:trPr>
          <w:trHeight w:val="744" w:hRule="exact"/>
        </w:trPr>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杨玲</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199,681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199,681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3"/>
              <w:ind w:left="23" w:right="38"/>
              <w:jc w:val="left"/>
              <w:rPr>
                <w:rFonts w:ascii="宋体" w:hAnsi="宋体" w:cs="宋体" w:eastAsia="宋体" w:hint="default"/>
                <w:sz w:val="18"/>
                <w:szCs w:val="18"/>
              </w:rPr>
            </w:pPr>
            <w:r>
              <w:rPr>
                <w:rFonts w:ascii="宋体" w:hAnsi="宋体" w:cs="宋体" w:eastAsia="宋体" w:hint="default"/>
                <w:sz w:val="18"/>
                <w:szCs w:val="18"/>
              </w:rPr>
              <w:t>在任期间，每年所持股份 总数的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可流通</w:t>
            </w:r>
          </w:p>
        </w:tc>
      </w:tr>
      <w:tr>
        <w:trPr>
          <w:trHeight w:val="1078" w:hRule="exact"/>
        </w:trPr>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24" w:right="0"/>
              <w:jc w:val="left"/>
              <w:rPr>
                <w:rFonts w:ascii="宋体" w:hAnsi="宋体" w:cs="宋体" w:eastAsia="宋体" w:hint="default"/>
                <w:sz w:val="18"/>
                <w:szCs w:val="18"/>
              </w:rPr>
            </w:pPr>
            <w:r>
              <w:rPr>
                <w:rFonts w:ascii="宋体" w:hAnsi="宋体" w:cs="宋体" w:eastAsia="宋体" w:hint="default"/>
                <w:sz w:val="18"/>
                <w:szCs w:val="18"/>
              </w:rPr>
              <w:t>史一兵</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4,131,450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1,377,150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5,508,600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23" w:right="0"/>
              <w:jc w:val="left"/>
              <w:rPr>
                <w:rFonts w:ascii="宋体" w:hAnsi="宋体" w:cs="宋体" w:eastAsia="宋体" w:hint="default"/>
                <w:sz w:val="18"/>
                <w:szCs w:val="18"/>
              </w:rPr>
            </w:pPr>
            <w:r>
              <w:rPr>
                <w:rFonts w:ascii="宋体" w:hAnsi="宋体" w:cs="宋体" w:eastAsia="宋体" w:hint="default"/>
                <w:sz w:val="18"/>
                <w:szCs w:val="18"/>
              </w:rPr>
              <w:t>离任高管锁定</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日至</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2020</w:t>
            </w:r>
          </w:p>
          <w:p>
            <w:pPr>
              <w:pStyle w:val="TableParagraph"/>
              <w:spacing w:line="300" w:lineRule="auto" w:before="60"/>
              <w:ind w:left="23" w:right="35"/>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日，每年所持股 份总数的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可流通</w:t>
            </w:r>
          </w:p>
        </w:tc>
      </w:tr>
      <w:tr>
        <w:trPr>
          <w:trHeight w:val="1068" w:hRule="exact"/>
        </w:trPr>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24" w:right="0"/>
              <w:jc w:val="left"/>
              <w:rPr>
                <w:rFonts w:ascii="宋体" w:hAnsi="宋体" w:cs="宋体" w:eastAsia="宋体" w:hint="default"/>
                <w:sz w:val="18"/>
                <w:szCs w:val="18"/>
              </w:rPr>
            </w:pPr>
            <w:r>
              <w:rPr>
                <w:rFonts w:ascii="宋体" w:hAnsi="宋体" w:cs="宋体" w:eastAsia="宋体" w:hint="default"/>
                <w:sz w:val="18"/>
                <w:szCs w:val="18"/>
              </w:rPr>
              <w:t>张天仁</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158,400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52,800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211,200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23" w:right="0"/>
              <w:jc w:val="left"/>
              <w:rPr>
                <w:rFonts w:ascii="宋体" w:hAnsi="宋体" w:cs="宋体" w:eastAsia="宋体" w:hint="default"/>
                <w:sz w:val="18"/>
                <w:szCs w:val="18"/>
              </w:rPr>
            </w:pPr>
            <w:r>
              <w:rPr>
                <w:rFonts w:ascii="宋体" w:hAnsi="宋体" w:cs="宋体" w:eastAsia="宋体" w:hint="default"/>
                <w:sz w:val="18"/>
                <w:szCs w:val="18"/>
              </w:rPr>
              <w:t>离任高管锁定</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日至</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2020</w:t>
            </w:r>
          </w:p>
          <w:p>
            <w:pPr>
              <w:pStyle w:val="TableParagraph"/>
              <w:spacing w:line="300" w:lineRule="auto" w:before="61"/>
              <w:ind w:left="23" w:right="35"/>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日，每年所持股 份总数的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可流通</w:t>
            </w:r>
          </w:p>
        </w:tc>
      </w:tr>
      <w:tr>
        <w:trPr>
          <w:trHeight w:val="1078" w:hRule="exact"/>
        </w:trPr>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24" w:right="0"/>
              <w:jc w:val="left"/>
              <w:rPr>
                <w:rFonts w:ascii="宋体" w:hAnsi="宋体" w:cs="宋体" w:eastAsia="宋体" w:hint="default"/>
                <w:sz w:val="18"/>
                <w:szCs w:val="18"/>
              </w:rPr>
            </w:pPr>
            <w:r>
              <w:rPr>
                <w:rFonts w:ascii="宋体" w:hAnsi="宋体" w:cs="宋体" w:eastAsia="宋体" w:hint="default"/>
                <w:sz w:val="18"/>
                <w:szCs w:val="18"/>
              </w:rPr>
              <w:t>张令庆</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293,400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97,800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391,200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23" w:right="0"/>
              <w:jc w:val="left"/>
              <w:rPr>
                <w:rFonts w:ascii="宋体" w:hAnsi="宋体" w:cs="宋体" w:eastAsia="宋体" w:hint="default"/>
                <w:sz w:val="18"/>
                <w:szCs w:val="18"/>
              </w:rPr>
            </w:pPr>
            <w:r>
              <w:rPr>
                <w:rFonts w:ascii="宋体" w:hAnsi="宋体" w:cs="宋体" w:eastAsia="宋体" w:hint="default"/>
                <w:sz w:val="18"/>
                <w:szCs w:val="18"/>
              </w:rPr>
              <w:t>离任高管锁定</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p>
          <w:p>
            <w:pPr>
              <w:pStyle w:val="TableParagraph"/>
              <w:spacing w:line="300" w:lineRule="auto" w:before="60"/>
              <w:ind w:left="23" w:right="35"/>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日，每年所持股 份总数的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可流通</w:t>
            </w:r>
          </w:p>
        </w:tc>
      </w:tr>
      <w:tr>
        <w:trPr>
          <w:trHeight w:val="1068" w:hRule="exact"/>
        </w:trPr>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24" w:right="0"/>
              <w:jc w:val="left"/>
              <w:rPr>
                <w:rFonts w:ascii="宋体" w:hAnsi="宋体" w:cs="宋体" w:eastAsia="宋体" w:hint="default"/>
                <w:sz w:val="18"/>
                <w:szCs w:val="18"/>
              </w:rPr>
            </w:pPr>
            <w:r>
              <w:rPr>
                <w:rFonts w:ascii="宋体" w:hAnsi="宋体" w:cs="宋体" w:eastAsia="宋体" w:hint="default"/>
                <w:sz w:val="18"/>
                <w:szCs w:val="18"/>
              </w:rPr>
              <w:t>王清</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1,267,800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1,267,800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23" w:right="0"/>
              <w:jc w:val="left"/>
              <w:rPr>
                <w:rFonts w:ascii="宋体" w:hAnsi="宋体" w:cs="宋体" w:eastAsia="宋体" w:hint="default"/>
                <w:sz w:val="18"/>
                <w:szCs w:val="18"/>
              </w:rPr>
            </w:pPr>
            <w:r>
              <w:rPr>
                <w:rFonts w:ascii="宋体" w:hAnsi="宋体" w:cs="宋体" w:eastAsia="宋体" w:hint="default"/>
                <w:sz w:val="18"/>
                <w:szCs w:val="18"/>
              </w:rPr>
              <w:t>离任高管锁定</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日至</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2020</w:t>
            </w:r>
          </w:p>
          <w:p>
            <w:pPr>
              <w:pStyle w:val="TableParagraph"/>
              <w:spacing w:line="300" w:lineRule="auto" w:before="63"/>
              <w:ind w:left="23" w:right="35"/>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日，每年所持股 份总数的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可流通</w:t>
            </w:r>
          </w:p>
        </w:tc>
      </w:tr>
      <w:tr>
        <w:trPr>
          <w:trHeight w:val="1078" w:hRule="exact"/>
        </w:trPr>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24" w:right="0"/>
              <w:jc w:val="left"/>
              <w:rPr>
                <w:rFonts w:ascii="宋体" w:hAnsi="宋体" w:cs="宋体" w:eastAsia="宋体" w:hint="default"/>
                <w:sz w:val="18"/>
                <w:szCs w:val="18"/>
              </w:rPr>
            </w:pPr>
            <w:r>
              <w:rPr>
                <w:rFonts w:ascii="宋体" w:hAnsi="宋体" w:cs="宋体" w:eastAsia="宋体" w:hint="default"/>
                <w:sz w:val="18"/>
                <w:szCs w:val="18"/>
              </w:rPr>
              <w:t>翁思跃</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236,250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236,250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23" w:right="0"/>
              <w:jc w:val="left"/>
              <w:rPr>
                <w:rFonts w:ascii="宋体" w:hAnsi="宋体" w:cs="宋体" w:eastAsia="宋体" w:hint="default"/>
                <w:sz w:val="18"/>
                <w:szCs w:val="18"/>
              </w:rPr>
            </w:pPr>
            <w:r>
              <w:rPr>
                <w:rFonts w:ascii="宋体" w:hAnsi="宋体" w:cs="宋体" w:eastAsia="宋体" w:hint="default"/>
                <w:sz w:val="18"/>
                <w:szCs w:val="18"/>
              </w:rPr>
              <w:t>离任高管锁定</w:t>
            </w:r>
          </w:p>
        </w:tc>
        <w:tc>
          <w:tcPr>
            <w:tcW w:w="2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2020</w:t>
            </w:r>
          </w:p>
          <w:p>
            <w:pPr>
              <w:pStyle w:val="TableParagraph"/>
              <w:spacing w:line="300" w:lineRule="auto" w:before="63"/>
              <w:ind w:left="23" w:right="35"/>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日，每年所持股 份总数的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可流通</w:t>
            </w:r>
          </w:p>
        </w:tc>
      </w:tr>
      <w:tr>
        <w:trPr>
          <w:trHeight w:val="646" w:hRule="exact"/>
        </w:trPr>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7,318,831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1,527,750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8,846,581</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2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sz w:val="18"/>
          <w:szCs w:val="18"/>
        </w:rPr>
      </w:pPr>
    </w:p>
    <w:p>
      <w:pPr>
        <w:pStyle w:val="Heading2"/>
        <w:spacing w:line="240" w:lineRule="auto" w:before="26"/>
        <w:ind w:right="2602"/>
        <w:jc w:val="left"/>
        <w:rPr>
          <w:b w:val="0"/>
          <w:bCs w:val="0"/>
        </w:rPr>
      </w:pPr>
      <w:bookmarkStart w:name="二、证券发行与上市情况" w:id="110"/>
      <w:bookmarkEnd w:id="110"/>
      <w:r>
        <w:rPr>
          <w:b w:val="0"/>
          <w:bCs w:val="0"/>
        </w:rPr>
      </w:r>
      <w:r>
        <w:rPr/>
        <w:t>二、证券发行与上市情况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2602"/>
        <w:jc w:val="left"/>
        <w:rPr>
          <w:b w:val="0"/>
          <w:bCs w:val="0"/>
        </w:rPr>
      </w:pPr>
      <w:bookmarkStart w:name="1、报告期内证券发行（不含优先股）情况" w:id="111"/>
      <w:bookmarkEnd w:id="111"/>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after="0" w:line="240" w:lineRule="auto"/>
        <w:jc w:val="lef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276"/>
        <w:gridCol w:w="1700"/>
        <w:gridCol w:w="1277"/>
        <w:gridCol w:w="1136"/>
        <w:gridCol w:w="1558"/>
        <w:gridCol w:w="941"/>
        <w:gridCol w:w="1682"/>
      </w:tblGrid>
      <w:tr>
        <w:trPr>
          <w:trHeight w:val="744"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272" w:right="93" w:hanging="181"/>
              <w:jc w:val="left"/>
              <w:rPr>
                <w:rFonts w:ascii="宋体" w:hAnsi="宋体" w:cs="宋体" w:eastAsia="宋体" w:hint="default"/>
                <w:sz w:val="18"/>
                <w:szCs w:val="18"/>
              </w:rPr>
            </w:pPr>
            <w:r>
              <w:rPr>
                <w:rFonts w:ascii="宋体" w:hAnsi="宋体" w:cs="宋体" w:eastAsia="宋体" w:hint="default"/>
                <w:sz w:val="18"/>
                <w:szCs w:val="18"/>
              </w:rPr>
              <w:t>股票及其衍生 证券名称</w:t>
            </w:r>
          </w:p>
        </w:tc>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5" w:right="0"/>
              <w:jc w:val="left"/>
              <w:rPr>
                <w:rFonts w:ascii="宋体" w:hAnsi="宋体" w:cs="宋体" w:eastAsia="宋体" w:hint="default"/>
                <w:sz w:val="18"/>
                <w:szCs w:val="18"/>
              </w:rPr>
            </w:pPr>
            <w:r>
              <w:rPr>
                <w:rFonts w:ascii="宋体" w:hAnsi="宋体" w:cs="宋体" w:eastAsia="宋体" w:hint="default"/>
                <w:sz w:val="18"/>
                <w:szCs w:val="18"/>
              </w:rPr>
              <w:t>发行价格</w:t>
            </w:r>
          </w:p>
          <w:p>
            <w:pPr>
              <w:pStyle w:val="TableParagraph"/>
              <w:spacing w:line="240" w:lineRule="auto" w:before="115"/>
              <w:ind w:left="184" w:right="0"/>
              <w:jc w:val="left"/>
              <w:rPr>
                <w:rFonts w:ascii="宋体" w:hAnsi="宋体" w:cs="宋体" w:eastAsia="宋体" w:hint="default"/>
                <w:sz w:val="18"/>
                <w:szCs w:val="18"/>
              </w:rPr>
            </w:pPr>
            <w:r>
              <w:rPr>
                <w:rFonts w:ascii="宋体" w:hAnsi="宋体" w:cs="宋体" w:eastAsia="宋体" w:hint="default"/>
                <w:sz w:val="18"/>
                <w:szCs w:val="18"/>
              </w:rPr>
              <w:t>（或利率）</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上市日期</w:t>
            </w:r>
          </w:p>
        </w:tc>
        <w:tc>
          <w:tcPr>
            <w:tcW w:w="9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105" w:right="104"/>
              <w:jc w:val="left"/>
              <w:rPr>
                <w:rFonts w:ascii="宋体" w:hAnsi="宋体" w:cs="宋体" w:eastAsia="宋体" w:hint="default"/>
                <w:sz w:val="18"/>
                <w:szCs w:val="18"/>
              </w:rPr>
            </w:pPr>
            <w:r>
              <w:rPr>
                <w:rFonts w:ascii="宋体" w:hAnsi="宋体" w:cs="宋体" w:eastAsia="宋体" w:hint="default"/>
                <w:sz w:val="18"/>
                <w:szCs w:val="18"/>
              </w:rPr>
              <w:t>获准上市 交易数量</w:t>
            </w:r>
          </w:p>
        </w:tc>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13"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2" w:right="0"/>
              <w:jc w:val="left"/>
              <w:rPr>
                <w:rFonts w:ascii="宋体" w:hAnsi="宋体" w:cs="宋体" w:eastAsia="宋体" w:hint="default"/>
                <w:sz w:val="18"/>
                <w:szCs w:val="18"/>
              </w:rPr>
            </w:pPr>
            <w:r>
              <w:rPr>
                <w:rFonts w:ascii="宋体" w:hAnsi="宋体" w:cs="宋体" w:eastAsia="宋体" w:hint="default"/>
                <w:sz w:val="18"/>
                <w:szCs w:val="18"/>
              </w:rPr>
              <w:t>股票类（无）</w:t>
            </w:r>
          </w:p>
        </w:tc>
      </w:tr>
      <w:tr>
        <w:trPr>
          <w:trHeight w:val="401"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403"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万信转</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张</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12,000,000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6" w:right="0"/>
              <w:jc w:val="left"/>
              <w:rPr>
                <w:rFonts w:ascii="Times New Roman" w:hAnsi="Times New Roman" w:cs="Times New Roman" w:eastAsia="Times New Roman" w:hint="default"/>
                <w:sz w:val="18"/>
                <w:szCs w:val="18"/>
              </w:rPr>
            </w:pPr>
            <w:r>
              <w:rPr>
                <w:rFonts w:ascii="Times New Roman"/>
                <w:sz w:val="18"/>
              </w:rPr>
              <w:t>12,000,000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r>
      <w:tr>
        <w:trPr>
          <w:trHeight w:val="401"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其他衍生证券类（无）</w:t>
            </w:r>
          </w:p>
        </w:tc>
      </w:tr>
    </w:tbl>
    <w:p>
      <w:pPr>
        <w:pStyle w:val="BodyText"/>
        <w:spacing w:line="240" w:lineRule="auto" w:before="49"/>
        <w:ind w:right="2602"/>
        <w:jc w:val="left"/>
      </w:pPr>
      <w:r>
        <w:rPr/>
        <w:t>报告期内证券发行（不含优先股）情况的说明</w:t>
      </w:r>
    </w:p>
    <w:p>
      <w:pPr>
        <w:spacing w:line="240" w:lineRule="auto" w:before="3"/>
        <w:rPr>
          <w:rFonts w:ascii="宋体" w:hAnsi="宋体" w:cs="宋体" w:eastAsia="宋体" w:hint="default"/>
          <w:sz w:val="15"/>
          <w:szCs w:val="15"/>
        </w:rPr>
      </w:pPr>
    </w:p>
    <w:p>
      <w:pPr>
        <w:pStyle w:val="BodyText"/>
        <w:spacing w:line="297" w:lineRule="auto"/>
        <w:ind w:right="1042" w:firstLine="360"/>
        <w:jc w:val="both"/>
      </w:pPr>
      <w:r>
        <w:rPr/>
        <w:t>经中国证券监督管理委员会“证监许可〔</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60</w:t>
      </w:r>
      <w:r>
        <w:rPr>
          <w:rFonts w:ascii="Times New Roman" w:hAnsi="Times New Roman" w:cs="Times New Roman" w:eastAsia="Times New Roman" w:hint="default"/>
          <w:spacing w:val="2"/>
        </w:rPr>
        <w:t> </w:t>
      </w:r>
      <w:r>
        <w:rPr/>
        <w:t>号”文《关于核准万达信息股份有限公司公开发行可转换公司债券 的批复》核准，公司于</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rPr>
        <w:t>3 </w:t>
      </w:r>
      <w:r>
        <w:rPr/>
        <w:t>月</w:t>
      </w:r>
      <w:r>
        <w:rPr>
          <w:spacing w:val="-45"/>
        </w:rPr>
        <w:t> </w:t>
      </w:r>
      <w:r>
        <w:rPr>
          <w:rFonts w:ascii="Times New Roman" w:hAnsi="Times New Roman" w:cs="Times New Roman" w:eastAsia="Times New Roman" w:hint="default"/>
        </w:rPr>
        <w:t>4 </w:t>
      </w:r>
      <w:r>
        <w:rPr/>
        <w:t>日公开发行了</w:t>
      </w:r>
      <w:r>
        <w:rPr>
          <w:spacing w:val="-46"/>
        </w:rPr>
        <w:t> </w:t>
      </w:r>
      <w:r>
        <w:rPr>
          <w:rFonts w:ascii="Times New Roman" w:hAnsi="Times New Roman" w:cs="Times New Roman" w:eastAsia="Times New Roman" w:hint="default"/>
        </w:rPr>
        <w:t>1,200</w:t>
      </w:r>
      <w:r>
        <w:rPr>
          <w:rFonts w:ascii="Times New Roman" w:hAnsi="Times New Roman" w:cs="Times New Roman" w:eastAsia="Times New Roman" w:hint="default"/>
          <w:spacing w:val="-2"/>
        </w:rPr>
        <w:t> </w:t>
      </w:r>
      <w:r>
        <w:rPr/>
        <w:t>万张可转换公司债券，每张面值</w:t>
      </w:r>
      <w:r>
        <w:rPr>
          <w:spacing w:val="-45"/>
        </w:rPr>
        <w:t> </w:t>
      </w:r>
      <w:r>
        <w:rPr>
          <w:rFonts w:ascii="Times New Roman" w:hAnsi="Times New Roman" w:cs="Times New Roman" w:eastAsia="Times New Roman" w:hint="default"/>
        </w:rPr>
        <w:t>100 </w:t>
      </w:r>
      <w:r>
        <w:rPr/>
        <w:t>元，发行总额</w:t>
      </w:r>
      <w:r>
        <w:rPr>
          <w:spacing w:val="-48"/>
        </w:rPr>
        <w:t> </w:t>
      </w:r>
      <w:r>
        <w:rPr>
          <w:rFonts w:ascii="Times New Roman" w:hAnsi="Times New Roman" w:cs="Times New Roman" w:eastAsia="Times New Roman" w:hint="default"/>
        </w:rPr>
        <w:t>120,000</w:t>
      </w:r>
      <w:r>
        <w:rPr>
          <w:rFonts w:ascii="Times New Roman" w:hAnsi="Times New Roman" w:cs="Times New Roman" w:eastAsia="Times New Roman" w:hint="default"/>
          <w:spacing w:val="-2"/>
        </w:rPr>
        <w:t> </w:t>
      </w:r>
      <w:r>
        <w:rPr/>
        <w:t>万元，</w:t>
      </w:r>
    </w:p>
    <w:p>
      <w:pPr>
        <w:pStyle w:val="BodyText"/>
        <w:spacing w:line="240" w:lineRule="auto" w:before="15"/>
        <w:ind w:right="0"/>
        <w:jc w:val="left"/>
      </w:pPr>
      <w:r>
        <w:rPr/>
        <w:t>期限为</w:t>
      </w:r>
      <w:r>
        <w:rPr>
          <w:spacing w:val="-45"/>
        </w:rPr>
        <w:t> </w:t>
      </w:r>
      <w:r>
        <w:rPr>
          <w:rFonts w:ascii="Times New Roman" w:hAnsi="Times New Roman" w:cs="Times New Roman" w:eastAsia="Times New Roman" w:hint="default"/>
        </w:rPr>
        <w:t>6 </w:t>
      </w:r>
      <w:r>
        <w:rPr/>
        <w:t>年。经深圳证券交易所“深证上〔</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124 </w:t>
      </w:r>
      <w:r>
        <w:rPr/>
        <w:t>号”文同意，公司</w:t>
      </w:r>
      <w:r>
        <w:rPr>
          <w:spacing w:val="-45"/>
        </w:rPr>
        <w:t> </w:t>
      </w:r>
      <w:r>
        <w:rPr>
          <w:rFonts w:ascii="Times New Roman" w:hAnsi="Times New Roman" w:cs="Times New Roman" w:eastAsia="Times New Roman" w:hint="default"/>
        </w:rPr>
        <w:t>120,000</w:t>
      </w:r>
      <w:r>
        <w:rPr>
          <w:rFonts w:ascii="Times New Roman" w:hAnsi="Times New Roman" w:cs="Times New Roman" w:eastAsia="Times New Roman" w:hint="default"/>
          <w:spacing w:val="1"/>
        </w:rPr>
        <w:t> </w:t>
      </w:r>
      <w:r>
        <w:rPr/>
        <w:t>万元可转换公司债券自</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3 </w:t>
      </w:r>
      <w:r>
        <w:rPr/>
        <w:t>月</w:t>
      </w:r>
      <w:r>
        <w:rPr>
          <w:spacing w:val="-48"/>
        </w:rPr>
        <w:t> </w:t>
      </w:r>
      <w:r>
        <w:rPr>
          <w:rFonts w:ascii="Times New Roman" w:hAnsi="Times New Roman" w:cs="Times New Roman" w:eastAsia="Times New Roman" w:hint="default"/>
        </w:rPr>
        <w:t>25 </w:t>
      </w:r>
      <w:r>
        <w:rPr/>
        <w:t>日</w:t>
      </w:r>
    </w:p>
    <w:p>
      <w:pPr>
        <w:pStyle w:val="BodyText"/>
        <w:spacing w:line="240" w:lineRule="auto" w:before="63"/>
        <w:ind w:right="0"/>
        <w:jc w:val="left"/>
        <w:rPr>
          <w:rFonts w:ascii="Times New Roman" w:hAnsi="Times New Roman" w:cs="Times New Roman" w:eastAsia="Times New Roman" w:hint="default"/>
        </w:rPr>
      </w:pPr>
      <w:r>
        <w:rPr>
          <w:spacing w:val="-4"/>
        </w:rPr>
        <w:t>起在深圳证券交易所挂牌交易，债券简称“万信转 </w:t>
      </w:r>
      <w:r>
        <w:rPr>
          <w:rFonts w:ascii="Times New Roman" w:hAnsi="Times New Roman" w:cs="Times New Roman" w:eastAsia="Times New Roman" w:hint="default"/>
          <w:spacing w:val="-6"/>
        </w:rPr>
        <w:t>2</w:t>
      </w:r>
      <w:r>
        <w:rPr>
          <w:spacing w:val="-6"/>
        </w:rPr>
        <w:t>”，债券代码“</w:t>
      </w:r>
      <w:r>
        <w:rPr>
          <w:rFonts w:ascii="Times New Roman" w:hAnsi="Times New Roman" w:cs="Times New Roman" w:eastAsia="Times New Roman" w:hint="default"/>
          <w:spacing w:val="-6"/>
        </w:rPr>
        <w:t>123021</w:t>
      </w:r>
      <w:r>
        <w:rPr>
          <w:spacing w:val="-6"/>
        </w:rPr>
        <w:t>”。根据相关规定和《万达信息股份有限公司</w:t>
      </w:r>
      <w:r>
        <w:rPr>
          <w:spacing w:val="-61"/>
        </w:rPr>
        <w:t> </w:t>
      </w:r>
      <w:r>
        <w:rPr>
          <w:rFonts w:ascii="Times New Roman" w:hAnsi="Times New Roman" w:cs="Times New Roman" w:eastAsia="Times New Roman" w:hint="default"/>
        </w:rPr>
        <w:t>2018</w:t>
      </w:r>
    </w:p>
    <w:p>
      <w:pPr>
        <w:pStyle w:val="BodyText"/>
        <w:spacing w:line="240" w:lineRule="auto" w:before="63"/>
        <w:ind w:right="0"/>
        <w:jc w:val="left"/>
      </w:pPr>
      <w:r>
        <w:rPr/>
        <w:t>年度创业板公开发行可转换公司债券募集说明书》（以下简称“募集说明书”）的规定，公司本次发行的可转债自</w:t>
      </w:r>
      <w:r>
        <w:rPr>
          <w:spacing w:val="-4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p>
    <w:p>
      <w:pPr>
        <w:pStyle w:val="BodyText"/>
        <w:spacing w:line="240" w:lineRule="auto" w:before="63"/>
        <w:ind w:right="2602"/>
        <w:jc w:val="left"/>
      </w:pPr>
      <w:r>
        <w:rPr>
          <w:rFonts w:ascii="Times New Roman" w:hAnsi="Times New Roman" w:cs="Times New Roman" w:eastAsia="Times New Roman" w:hint="default"/>
        </w:rPr>
        <w:t>9 </w:t>
      </w:r>
      <w:r>
        <w:rPr/>
        <w:t>月</w:t>
      </w:r>
      <w:r>
        <w:rPr>
          <w:spacing w:val="-48"/>
        </w:rPr>
        <w:t> </w:t>
      </w:r>
      <w:r>
        <w:rPr>
          <w:rFonts w:ascii="Times New Roman" w:hAnsi="Times New Roman" w:cs="Times New Roman" w:eastAsia="Times New Roman" w:hint="default"/>
        </w:rPr>
        <w:t>9 </w:t>
      </w:r>
      <w:r>
        <w:rPr/>
        <w:t>日起可转换为公司股份。</w:t>
      </w:r>
    </w:p>
    <w:p>
      <w:pPr>
        <w:pStyle w:val="BodyText"/>
        <w:spacing w:line="300" w:lineRule="auto" w:before="103"/>
        <w:ind w:right="1129" w:firstLine="360"/>
        <w:jc w:val="both"/>
      </w:pPr>
      <w:r>
        <w:rPr/>
        <w:t>公司股票自</w:t>
      </w:r>
      <w:r>
        <w:rPr>
          <w:spacing w:val="-43"/>
        </w:rPr>
        <w:t> </w:t>
      </w:r>
      <w:r>
        <w:rPr>
          <w:rFonts w:ascii="Times New Roman" w:hAnsi="Times New Roman" w:cs="Times New Roman" w:eastAsia="Times New Roman" w:hint="default"/>
        </w:rPr>
        <w:t>2020</w:t>
      </w:r>
      <w:r>
        <w:rPr>
          <w:rFonts w:ascii="Times New Roman" w:hAnsi="Times New Roman" w:cs="Times New Roman" w:eastAsia="Times New Roman" w:hint="default"/>
          <w:spacing w:val="4"/>
        </w:rPr>
        <w:t> </w:t>
      </w:r>
      <w:r>
        <w:rPr/>
        <w:t>年</w:t>
      </w:r>
      <w:r>
        <w:rPr>
          <w:spacing w:val="-42"/>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42"/>
        </w:rPr>
        <w:t> </w:t>
      </w:r>
      <w:r>
        <w:rPr>
          <w:rFonts w:ascii="Times New Roman" w:hAnsi="Times New Roman" w:cs="Times New Roman" w:eastAsia="Times New Roman" w:hint="default"/>
        </w:rPr>
        <w:t>13</w:t>
      </w:r>
      <w:r>
        <w:rPr>
          <w:rFonts w:ascii="Times New Roman" w:hAnsi="Times New Roman" w:cs="Times New Roman" w:eastAsia="Times New Roman" w:hint="default"/>
          <w:spacing w:val="4"/>
        </w:rPr>
        <w:t> </w:t>
      </w:r>
      <w:r>
        <w:rPr/>
        <w:t>日至</w:t>
      </w:r>
      <w:r>
        <w:rPr>
          <w:spacing w:val="-42"/>
        </w:rPr>
        <w:t> </w:t>
      </w:r>
      <w:r>
        <w:rPr>
          <w:rFonts w:ascii="Times New Roman" w:hAnsi="Times New Roman" w:cs="Times New Roman" w:eastAsia="Times New Roman" w:hint="default"/>
        </w:rPr>
        <w:t>2020</w:t>
      </w:r>
      <w:r>
        <w:rPr>
          <w:rFonts w:ascii="Times New Roman" w:hAnsi="Times New Roman" w:cs="Times New Roman" w:eastAsia="Times New Roman" w:hint="default"/>
          <w:spacing w:val="4"/>
        </w:rPr>
        <w:t> </w:t>
      </w:r>
      <w:r>
        <w:rPr/>
        <w:t>年</w:t>
      </w:r>
      <w:r>
        <w:rPr>
          <w:spacing w:val="-42"/>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w:t>
      </w:r>
      <w:r>
        <w:rPr>
          <w:spacing w:val="-42"/>
        </w:rPr>
        <w:t>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t>日连续三十个交易日中有十五个交易日的收盘价格不低于“万信转</w:t>
      </w:r>
      <w:r>
        <w:rPr>
          <w:spacing w:val="-42"/>
        </w:rPr>
        <w:t> </w:t>
      </w:r>
      <w:r>
        <w:rPr>
          <w:rFonts w:ascii="Times New Roman" w:hAnsi="Times New Roman" w:cs="Times New Roman" w:eastAsia="Times New Roman" w:hint="default"/>
        </w:rPr>
        <w:t>2</w:t>
      </w:r>
      <w:r>
        <w:rPr/>
        <w:t>” 当期转股价格（</w:t>
      </w:r>
      <w:r>
        <w:rPr>
          <w:rFonts w:ascii="Times New Roman" w:hAnsi="Times New Roman" w:cs="Times New Roman" w:eastAsia="Times New Roman" w:hint="default"/>
        </w:rPr>
        <w:t>13.60</w:t>
      </w:r>
      <w:r>
        <w:rPr>
          <w:rFonts w:ascii="Times New Roman" w:hAnsi="Times New Roman" w:cs="Times New Roman" w:eastAsia="Times New Roman" w:hint="default"/>
          <w:spacing w:val="-17"/>
        </w:rPr>
        <w:t> </w:t>
      </w:r>
      <w:r>
        <w:rPr/>
        <w:t>元／股）的</w:t>
      </w:r>
      <w:r>
        <w:rPr>
          <w:spacing w:val="-63"/>
        </w:rPr>
        <w:t> </w:t>
      </w:r>
      <w:r>
        <w:rPr>
          <w:rFonts w:ascii="Times New Roman" w:hAnsi="Times New Roman" w:cs="Times New Roman" w:eastAsia="Times New Roman" w:hint="default"/>
        </w:rPr>
        <w:t>130%</w:t>
      </w:r>
      <w:r>
        <w:rPr/>
        <w:t>，根据《募集说明书》中的约定，已触发“万信转</w:t>
      </w:r>
      <w:r>
        <w:rPr>
          <w:spacing w:val="-63"/>
        </w:rPr>
        <w:t> </w:t>
      </w:r>
      <w:r>
        <w:rPr>
          <w:rFonts w:ascii="Times New Roman" w:hAnsi="Times New Roman" w:cs="Times New Roman" w:eastAsia="Times New Roman" w:hint="default"/>
        </w:rPr>
        <w:t>2</w:t>
      </w:r>
      <w:r>
        <w:rPr/>
        <w:t>”的有条件赎回条款。公司第七 届董事会</w:t>
      </w:r>
      <w:r>
        <w:rPr>
          <w:spacing w:val="-44"/>
        </w:rPr>
        <w:t> </w:t>
      </w:r>
      <w:r>
        <w:rPr>
          <w:rFonts w:ascii="Times New Roman" w:hAnsi="Times New Roman" w:cs="Times New Roman" w:eastAsia="Times New Roman" w:hint="default"/>
        </w:rPr>
        <w:t>2020</w:t>
      </w:r>
      <w:r>
        <w:rPr>
          <w:rFonts w:ascii="Times New Roman" w:hAnsi="Times New Roman" w:cs="Times New Roman" w:eastAsia="Times New Roman" w:hint="default"/>
          <w:spacing w:val="2"/>
        </w:rPr>
        <w:t> </w:t>
      </w:r>
      <w:r>
        <w:rPr/>
        <w:t>年第四次临时会议于</w:t>
      </w:r>
      <w:r>
        <w:rPr>
          <w:spacing w:val="-44"/>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spacing w:val="-3"/>
        </w:rPr>
        <w:t>日审议通过了《关于赎回全部已发行可转换公司债券的议案》，董事会决</w:t>
      </w:r>
      <w:r>
        <w:rPr/>
        <w:t> 定行使公司可转债的提前赎回权，按照债券面值加当期应计利息的价格赎回在赎回登记日登记在册的全部“万信转</w:t>
      </w:r>
      <w:r>
        <w:rPr>
          <w:spacing w:val="-45"/>
        </w:rPr>
        <w:t> </w:t>
      </w:r>
      <w:r>
        <w:rPr>
          <w:rFonts w:ascii="Times New Roman" w:hAnsi="Times New Roman" w:cs="Times New Roman" w:eastAsia="Times New Roman" w:hint="default"/>
        </w:rPr>
        <w:t>2</w:t>
      </w:r>
      <w:r>
        <w:rPr/>
        <w:t>”。</w:t>
      </w:r>
    </w:p>
    <w:p>
      <w:pPr>
        <w:pStyle w:val="BodyText"/>
        <w:spacing w:line="300" w:lineRule="auto" w:before="51"/>
        <w:ind w:right="1131" w:firstLine="360"/>
        <w:jc w:val="both"/>
      </w:pPr>
      <w:r>
        <w:rPr/>
        <w:t>因本次赎回为全部赎回，“万信转</w:t>
      </w:r>
      <w:r>
        <w:rPr>
          <w:spacing w:val="-38"/>
        </w:rPr>
        <w:t> </w:t>
      </w:r>
      <w:r>
        <w:rPr>
          <w:rFonts w:ascii="Times New Roman" w:hAnsi="Times New Roman" w:cs="Times New Roman" w:eastAsia="Times New Roman" w:hint="default"/>
        </w:rPr>
        <w:t>2</w:t>
      </w:r>
      <w:r>
        <w:rPr/>
        <w:t>”不再具备上市条件而需摘牌。</w:t>
      </w:r>
      <w:r>
        <w:rPr>
          <w:rFonts w:ascii="Times New Roman" w:hAnsi="Times New Roman" w:cs="Times New Roman" w:eastAsia="Times New Roman" w:hint="default"/>
        </w:rPr>
        <w:t>2020</w:t>
      </w:r>
      <w:r>
        <w:rPr>
          <w:rFonts w:ascii="Times New Roman" w:hAnsi="Times New Roman" w:cs="Times New Roman" w:eastAsia="Times New Roman" w:hint="default"/>
          <w:spacing w:val="8"/>
        </w:rPr>
        <w:t> </w:t>
      </w:r>
      <w:r>
        <w:rPr/>
        <w:t>年</w:t>
      </w:r>
      <w:r>
        <w:rPr>
          <w:spacing w:val="-41"/>
        </w:rPr>
        <w:t> </w:t>
      </w:r>
      <w:r>
        <w:rPr>
          <w:rFonts w:ascii="Times New Roman" w:hAnsi="Times New Roman" w:cs="Times New Roman" w:eastAsia="Times New Roman" w:hint="default"/>
        </w:rPr>
        <w:t>4</w:t>
      </w:r>
      <w:r>
        <w:rPr>
          <w:rFonts w:ascii="Times New Roman" w:hAnsi="Times New Roman" w:cs="Times New Roman" w:eastAsia="Times New Roman" w:hint="default"/>
          <w:spacing w:val="8"/>
        </w:rPr>
        <w:t> </w:t>
      </w:r>
      <w:r>
        <w:rPr/>
        <w:t>月</w:t>
      </w:r>
      <w:r>
        <w:rPr>
          <w:spacing w:val="-39"/>
        </w:rPr>
        <w:t> </w:t>
      </w:r>
      <w:r>
        <w:rPr>
          <w:rFonts w:ascii="Times New Roman" w:hAnsi="Times New Roman" w:cs="Times New Roman" w:eastAsia="Times New Roman" w:hint="default"/>
        </w:rPr>
        <w:t>22</w:t>
      </w:r>
      <w:r>
        <w:rPr>
          <w:rFonts w:ascii="Times New Roman" w:hAnsi="Times New Roman" w:cs="Times New Roman" w:eastAsia="Times New Roman" w:hint="default"/>
          <w:spacing w:val="8"/>
        </w:rPr>
        <w:t> </w:t>
      </w:r>
      <w:r>
        <w:rPr/>
        <w:t>日，公司发行的“万信转</w:t>
      </w:r>
      <w:r>
        <w:rPr>
          <w:spacing w:val="-39"/>
        </w:rPr>
        <w:t> </w:t>
      </w:r>
      <w:r>
        <w:rPr>
          <w:rFonts w:ascii="Times New Roman" w:hAnsi="Times New Roman" w:cs="Times New Roman" w:eastAsia="Times New Roman" w:hint="default"/>
        </w:rPr>
        <w:t>2</w:t>
      </w:r>
      <w:r>
        <w:rPr/>
        <w:t>”已在 深圳证券交易所摘牌。</w:t>
      </w:r>
    </w:p>
    <w:p>
      <w:pPr>
        <w:spacing w:line="240" w:lineRule="auto" w:before="10"/>
        <w:rPr>
          <w:rFonts w:ascii="宋体" w:hAnsi="宋体" w:cs="宋体" w:eastAsia="宋体" w:hint="default"/>
          <w:sz w:val="23"/>
          <w:szCs w:val="23"/>
        </w:rPr>
      </w:pPr>
    </w:p>
    <w:p>
      <w:pPr>
        <w:pStyle w:val="Heading3"/>
        <w:spacing w:line="240" w:lineRule="auto"/>
        <w:ind w:right="2602"/>
        <w:jc w:val="left"/>
        <w:rPr>
          <w:b w:val="0"/>
          <w:bCs w:val="0"/>
        </w:rPr>
      </w:pPr>
      <w:bookmarkStart w:name="2、公司股份总数及股东结构的变动、公司资产和负债结构的变动情况说明" w:id="112"/>
      <w:bookmarkEnd w:id="112"/>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14"/>
          <w:szCs w:val="14"/>
        </w:rPr>
      </w:pPr>
    </w:p>
    <w:p>
      <w:pPr>
        <w:pStyle w:val="BodyText"/>
        <w:spacing w:line="240" w:lineRule="auto"/>
        <w:ind w:left="513" w:right="0"/>
        <w:jc w:val="left"/>
      </w:pPr>
      <w:r>
        <w:rPr>
          <w:spacing w:val="7"/>
        </w:rPr>
        <w:t>报告期内，公司因 </w:t>
      </w:r>
      <w:r>
        <w:rPr>
          <w:rFonts w:ascii="Times New Roman" w:hAnsi="Times New Roman" w:cs="Times New Roman" w:eastAsia="Times New Roman" w:hint="default"/>
        </w:rPr>
        <w:t>2018  </w:t>
      </w:r>
      <w:r>
        <w:rPr>
          <w:spacing w:val="7"/>
        </w:rPr>
        <w:t>年度公开发行可转换公司债券转股而发生股本变动，公司总股本由 </w:t>
      </w:r>
      <w:r>
        <w:rPr>
          <w:rFonts w:ascii="Times New Roman" w:hAnsi="Times New Roman" w:cs="Times New Roman" w:eastAsia="Times New Roman" w:hint="default"/>
        </w:rPr>
        <w:t>1,099,449,688 </w:t>
      </w:r>
      <w:r>
        <w:rPr>
          <w:rFonts w:ascii="Times New Roman" w:hAnsi="Times New Roman" w:cs="Times New Roman" w:eastAsia="Times New Roman" w:hint="default"/>
          <w:spacing w:val="20"/>
        </w:rPr>
        <w:t> </w:t>
      </w:r>
      <w:r>
        <w:rPr>
          <w:spacing w:val="5"/>
        </w:rPr>
        <w:t>股增至</w:t>
      </w:r>
    </w:p>
    <w:p>
      <w:pPr>
        <w:pStyle w:val="BodyText"/>
        <w:spacing w:line="240" w:lineRule="auto" w:before="60"/>
        <w:ind w:right="2602"/>
        <w:jc w:val="left"/>
      </w:pPr>
      <w:r>
        <w:rPr>
          <w:rFonts w:ascii="Times New Roman" w:hAnsi="Times New Roman" w:cs="Times New Roman" w:eastAsia="Times New Roman" w:hint="default"/>
        </w:rPr>
        <w:t>1,139,854,021</w:t>
      </w:r>
      <w:r>
        <w:rPr>
          <w:rFonts w:ascii="Times New Roman" w:hAnsi="Times New Roman" w:cs="Times New Roman" w:eastAsia="Times New Roman" w:hint="default"/>
          <w:spacing w:val="-11"/>
        </w:rPr>
        <w:t> </w:t>
      </w:r>
      <w:r>
        <w:rPr/>
        <w:t>股。</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3、现存的内部职工股情况" w:id="113"/>
      <w:bookmarkEnd w:id="113"/>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2602"/>
        <w:jc w:val="left"/>
        <w:rPr>
          <w:b w:val="0"/>
          <w:bCs w:val="0"/>
        </w:rPr>
      </w:pPr>
      <w:bookmarkStart w:name="三、股东和实际控制人情况" w:id="114"/>
      <w:bookmarkEnd w:id="114"/>
      <w:r>
        <w:rPr>
          <w:b w:val="0"/>
          <w:bCs w:val="0"/>
        </w:rPr>
      </w:r>
      <w:r>
        <w:rPr/>
        <w:t>三、股东和实际控制人情况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公司股东数量及持股情况" w:id="115"/>
      <w:bookmarkEnd w:id="115"/>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单位：股</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79"/>
        <w:gridCol w:w="719"/>
        <w:gridCol w:w="1550"/>
        <w:gridCol w:w="872"/>
        <w:gridCol w:w="1962"/>
        <w:gridCol w:w="306"/>
        <w:gridCol w:w="2246"/>
        <w:gridCol w:w="224"/>
      </w:tblGrid>
      <w:tr>
        <w:trPr>
          <w:trHeight w:val="161" w:hRule="exact"/>
        </w:trPr>
        <w:tc>
          <w:tcPr>
            <w:tcW w:w="1679" w:type="dxa"/>
            <w:tcBorders>
              <w:top w:val="single" w:sz="4" w:space="0" w:color="000000"/>
              <w:left w:val="single" w:sz="4" w:space="0" w:color="000000"/>
              <w:bottom w:val="nil" w:sz="6" w:space="0" w:color="auto"/>
              <w:right w:val="single" w:sz="4" w:space="0" w:color="000000"/>
            </w:tcBorders>
            <w:shd w:val="clear" w:color="auto" w:fill="D2D2D2"/>
          </w:tcPr>
          <w:p>
            <w:pPr/>
          </w:p>
        </w:tc>
        <w:tc>
          <w:tcPr>
            <w:tcW w:w="719" w:type="dxa"/>
            <w:vMerge w:val="restart"/>
            <w:tcBorders>
              <w:top w:val="single" w:sz="4" w:space="0" w:color="000000"/>
              <w:left w:val="single" w:sz="9"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56,029</w:t>
            </w:r>
          </w:p>
        </w:tc>
        <w:tc>
          <w:tcPr>
            <w:tcW w:w="155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 w:right="86"/>
              <w:jc w:val="both"/>
              <w:rPr>
                <w:rFonts w:ascii="宋体" w:hAnsi="宋体" w:cs="宋体" w:eastAsia="宋体" w:hint="default"/>
                <w:sz w:val="18"/>
                <w:szCs w:val="18"/>
              </w:rPr>
            </w:pPr>
            <w:r>
              <w:rPr>
                <w:rFonts w:ascii="宋体" w:hAnsi="宋体" w:cs="宋体" w:eastAsia="宋体" w:hint="default"/>
                <w:sz w:val="18"/>
                <w:szCs w:val="18"/>
              </w:rPr>
              <w:t>年度报告披露日前 上一月末普通股股 东总数</w:t>
            </w:r>
          </w:p>
        </w:tc>
        <w:tc>
          <w:tcPr>
            <w:tcW w:w="872" w:type="dxa"/>
            <w:vMerge w:val="restart"/>
            <w:tcBorders>
              <w:top w:val="single" w:sz="4" w:space="0" w:color="000000"/>
              <w:left w:val="single" w:sz="12"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4" w:right="0"/>
              <w:jc w:val="left"/>
              <w:rPr>
                <w:rFonts w:ascii="Times New Roman" w:hAnsi="Times New Roman" w:cs="Times New Roman" w:eastAsia="Times New Roman" w:hint="default"/>
                <w:sz w:val="18"/>
                <w:szCs w:val="18"/>
              </w:rPr>
            </w:pPr>
            <w:r>
              <w:rPr>
                <w:rFonts w:ascii="Times New Roman"/>
                <w:sz w:val="18"/>
              </w:rPr>
              <w:t>40,841</w:t>
            </w:r>
          </w:p>
        </w:tc>
        <w:tc>
          <w:tcPr>
            <w:tcW w:w="196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6" w:type="dxa"/>
            <w:vMerge w:val="restart"/>
            <w:tcBorders>
              <w:top w:val="single" w:sz="4" w:space="0" w:color="000000"/>
              <w:left w:val="single" w:sz="9" w:space="0" w:color="FFFFFF"/>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5" w:right="0"/>
              <w:jc w:val="left"/>
              <w:rPr>
                <w:rFonts w:ascii="Times New Roman" w:hAnsi="Times New Roman" w:cs="Times New Roman" w:eastAsia="Times New Roman" w:hint="default"/>
                <w:sz w:val="18"/>
                <w:szCs w:val="18"/>
              </w:rPr>
            </w:pPr>
            <w:r>
              <w:rPr>
                <w:rFonts w:ascii="Times New Roman"/>
                <w:sz w:val="18"/>
              </w:rPr>
              <w:t>0</w:t>
            </w:r>
          </w:p>
        </w:tc>
        <w:tc>
          <w:tcPr>
            <w:tcW w:w="224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 w:right="62"/>
              <w:jc w:val="both"/>
              <w:rPr>
                <w:rFonts w:ascii="宋体" w:hAnsi="宋体" w:cs="宋体" w:eastAsia="宋体" w:hint="default"/>
                <w:sz w:val="18"/>
                <w:szCs w:val="18"/>
              </w:rPr>
            </w:pPr>
            <w:r>
              <w:rPr>
                <w:rFonts w:ascii="宋体" w:hAnsi="宋体" w:cs="宋体" w:eastAsia="宋体" w:hint="default"/>
                <w:sz w:val="18"/>
                <w:szCs w:val="18"/>
              </w:rPr>
              <w:t>年度报告披露日前上一月末 表决权恢复的优先股股东总 数（如有）</w:t>
            </w:r>
          </w:p>
        </w:tc>
        <w:tc>
          <w:tcPr>
            <w:tcW w:w="224"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0</w:t>
            </w:r>
          </w:p>
        </w:tc>
      </w:tr>
      <w:tr>
        <w:trPr>
          <w:trHeight w:val="706" w:hRule="exact"/>
        </w:trPr>
        <w:tc>
          <w:tcPr>
            <w:tcW w:w="16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35"/>
              <w:jc w:val="left"/>
              <w:rPr>
                <w:rFonts w:ascii="宋体" w:hAnsi="宋体" w:cs="宋体" w:eastAsia="宋体" w:hint="default"/>
                <w:sz w:val="18"/>
                <w:szCs w:val="18"/>
              </w:rPr>
            </w:pPr>
            <w:r>
              <w:rPr>
                <w:rFonts w:ascii="宋体" w:hAnsi="宋体" w:cs="宋体" w:eastAsia="宋体" w:hint="default"/>
                <w:sz w:val="18"/>
                <w:szCs w:val="18"/>
              </w:rPr>
              <w:t>报告期末普通股股东 总数</w:t>
            </w:r>
          </w:p>
        </w:tc>
        <w:tc>
          <w:tcPr>
            <w:tcW w:w="719" w:type="dxa"/>
            <w:vMerge/>
            <w:tcBorders>
              <w:left w:val="single" w:sz="9" w:space="0" w:color="D2D2D2"/>
              <w:right w:val="single" w:sz="10" w:space="0" w:color="D2D2D2"/>
            </w:tcBorders>
          </w:tcPr>
          <w:p>
            <w:pPr/>
          </w:p>
        </w:tc>
        <w:tc>
          <w:tcPr>
            <w:tcW w:w="1550" w:type="dxa"/>
            <w:vMerge/>
            <w:tcBorders>
              <w:left w:val="single" w:sz="4" w:space="0" w:color="000000"/>
              <w:right w:val="single" w:sz="4" w:space="0" w:color="000000"/>
            </w:tcBorders>
            <w:shd w:val="clear" w:color="auto" w:fill="D2D2D2"/>
          </w:tcPr>
          <w:p>
            <w:pPr/>
          </w:p>
        </w:tc>
        <w:tc>
          <w:tcPr>
            <w:tcW w:w="872" w:type="dxa"/>
            <w:vMerge/>
            <w:tcBorders>
              <w:left w:val="single" w:sz="12" w:space="0" w:color="D2D2D2"/>
              <w:right w:val="single" w:sz="9" w:space="0" w:color="D2D2D2"/>
            </w:tcBorders>
          </w:tcPr>
          <w:p>
            <w:pPr/>
          </w:p>
        </w:tc>
        <w:tc>
          <w:tcPr>
            <w:tcW w:w="1962" w:type="dxa"/>
            <w:tcBorders>
              <w:top w:val="nil" w:sz="6" w:space="0" w:color="auto"/>
              <w:left w:val="single" w:sz="4" w:space="0" w:color="000000"/>
              <w:bottom w:val="nil" w:sz="6" w:space="0" w:color="auto"/>
              <w:right w:val="single" w:sz="13" w:space="0" w:color="FFFFFF"/>
            </w:tcBorders>
            <w:shd w:val="clear" w:color="auto" w:fill="D2D2D2"/>
          </w:tcPr>
          <w:p>
            <w:pPr>
              <w:pStyle w:val="TableParagraph"/>
              <w:spacing w:line="316" w:lineRule="auto" w:before="49"/>
              <w:ind w:left="11" w:right="-52"/>
              <w:jc w:val="left"/>
              <w:rPr>
                <w:rFonts w:ascii="宋体" w:hAnsi="宋体" w:cs="宋体" w:eastAsia="宋体" w:hint="default"/>
                <w:sz w:val="18"/>
                <w:szCs w:val="18"/>
              </w:rPr>
            </w:pPr>
            <w:r>
              <w:rPr>
                <w:rFonts w:ascii="宋体" w:hAnsi="宋体" w:cs="宋体" w:eastAsia="宋体" w:hint="default"/>
                <w:sz w:val="18"/>
                <w:szCs w:val="18"/>
              </w:rPr>
              <w:t>报告期末表决权恢复的 优先股股东总数（如有）</w:t>
            </w:r>
          </w:p>
        </w:tc>
        <w:tc>
          <w:tcPr>
            <w:tcW w:w="306" w:type="dxa"/>
            <w:vMerge/>
            <w:tcBorders>
              <w:left w:val="single" w:sz="9" w:space="0" w:color="FFFFFF"/>
              <w:right w:val="single" w:sz="13" w:space="0" w:color="D2D2D2"/>
            </w:tcBorders>
          </w:tcPr>
          <w:p>
            <w:pPr/>
          </w:p>
        </w:tc>
        <w:tc>
          <w:tcPr>
            <w:tcW w:w="2246" w:type="dxa"/>
            <w:vMerge/>
            <w:tcBorders>
              <w:left w:val="single" w:sz="4" w:space="0" w:color="000000"/>
              <w:right w:val="single" w:sz="4" w:space="0" w:color="000000"/>
            </w:tcBorders>
            <w:shd w:val="clear" w:color="auto" w:fill="D2D2D2"/>
          </w:tcPr>
          <w:p>
            <w:pPr/>
          </w:p>
        </w:tc>
        <w:tc>
          <w:tcPr>
            <w:tcW w:w="224" w:type="dxa"/>
            <w:vMerge/>
            <w:tcBorders>
              <w:left w:val="single" w:sz="10" w:space="0" w:color="D2D2D2"/>
              <w:right w:val="single" w:sz="4" w:space="0" w:color="000000"/>
            </w:tcBorders>
          </w:tcPr>
          <w:p>
            <w:pPr/>
          </w:p>
        </w:tc>
      </w:tr>
      <w:tr>
        <w:trPr>
          <w:trHeight w:val="166" w:hRule="exact"/>
        </w:trPr>
        <w:tc>
          <w:tcPr>
            <w:tcW w:w="1679" w:type="dxa"/>
            <w:tcBorders>
              <w:top w:val="nil" w:sz="6" w:space="0" w:color="auto"/>
              <w:left w:val="single" w:sz="4" w:space="0" w:color="000000"/>
              <w:bottom w:val="single" w:sz="4" w:space="0" w:color="000000"/>
              <w:right w:val="single" w:sz="4" w:space="0" w:color="000000"/>
            </w:tcBorders>
            <w:shd w:val="clear" w:color="auto" w:fill="D2D2D2"/>
          </w:tcPr>
          <w:p>
            <w:pPr/>
          </w:p>
        </w:tc>
        <w:tc>
          <w:tcPr>
            <w:tcW w:w="719" w:type="dxa"/>
            <w:vMerge/>
            <w:tcBorders>
              <w:left w:val="single" w:sz="9" w:space="0" w:color="D2D2D2"/>
              <w:bottom w:val="single" w:sz="4" w:space="0" w:color="000000"/>
              <w:right w:val="single" w:sz="10" w:space="0" w:color="D2D2D2"/>
            </w:tcBorders>
          </w:tcPr>
          <w:p>
            <w:pPr/>
          </w:p>
        </w:tc>
        <w:tc>
          <w:tcPr>
            <w:tcW w:w="1550" w:type="dxa"/>
            <w:vMerge/>
            <w:tcBorders>
              <w:left w:val="single" w:sz="4" w:space="0" w:color="000000"/>
              <w:bottom w:val="single" w:sz="4" w:space="0" w:color="000000"/>
              <w:right w:val="single" w:sz="4" w:space="0" w:color="000000"/>
            </w:tcBorders>
            <w:shd w:val="clear" w:color="auto" w:fill="D2D2D2"/>
          </w:tcPr>
          <w:p>
            <w:pPr/>
          </w:p>
        </w:tc>
        <w:tc>
          <w:tcPr>
            <w:tcW w:w="872" w:type="dxa"/>
            <w:vMerge/>
            <w:tcBorders>
              <w:left w:val="single" w:sz="12" w:space="0" w:color="D2D2D2"/>
              <w:bottom w:val="single" w:sz="4" w:space="0" w:color="000000"/>
              <w:right w:val="single" w:sz="9" w:space="0" w:color="D2D2D2"/>
            </w:tcBorders>
          </w:tcPr>
          <w:p>
            <w:pPr/>
          </w:p>
        </w:tc>
        <w:tc>
          <w:tcPr>
            <w:tcW w:w="196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6" w:type="dxa"/>
            <w:vMerge/>
            <w:tcBorders>
              <w:left w:val="single" w:sz="9" w:space="0" w:color="FFFFFF"/>
              <w:bottom w:val="single" w:sz="4" w:space="0" w:color="000000"/>
              <w:right w:val="single" w:sz="13" w:space="0" w:color="D2D2D2"/>
            </w:tcBorders>
          </w:tcPr>
          <w:p>
            <w:pPr/>
          </w:p>
        </w:tc>
        <w:tc>
          <w:tcPr>
            <w:tcW w:w="2246" w:type="dxa"/>
            <w:vMerge/>
            <w:tcBorders>
              <w:left w:val="single" w:sz="4" w:space="0" w:color="000000"/>
              <w:bottom w:val="single" w:sz="4" w:space="0" w:color="000000"/>
              <w:right w:val="single" w:sz="4" w:space="0" w:color="000000"/>
            </w:tcBorders>
            <w:shd w:val="clear" w:color="auto" w:fill="D2D2D2"/>
          </w:tcPr>
          <w:p>
            <w:pPr/>
          </w:p>
        </w:tc>
        <w:tc>
          <w:tcPr>
            <w:tcW w:w="224" w:type="dxa"/>
            <w:vMerge/>
            <w:tcBorders>
              <w:left w:val="single" w:sz="10" w:space="0" w:color="D2D2D2"/>
              <w:bottom w:val="single" w:sz="4" w:space="0" w:color="000000"/>
              <w:right w:val="single" w:sz="4" w:space="0" w:color="000000"/>
            </w:tcBorders>
          </w:tcPr>
          <w:p>
            <w:pPr/>
          </w:p>
        </w:tc>
      </w:tr>
      <w:tr>
        <w:trPr>
          <w:trHeight w:val="216" w:hRule="exact"/>
        </w:trPr>
        <w:tc>
          <w:tcPr>
            <w:tcW w:w="9559" w:type="dxa"/>
            <w:gridSpan w:val="8"/>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9559" w:type="dxa"/>
            <w:gridSpan w:val="8"/>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05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221" w:hRule="exact"/>
        </w:trPr>
        <w:tc>
          <w:tcPr>
            <w:tcW w:w="9559" w:type="dxa"/>
            <w:gridSpan w:val="8"/>
            <w:tcBorders>
              <w:top w:val="nil" w:sz="6" w:space="0" w:color="auto"/>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5" w:footer="980" w:top="1060" w:bottom="1160" w:left="980" w:right="0"/>
        </w:sectPr>
      </w:pPr>
    </w:p>
    <w:p>
      <w:pPr>
        <w:spacing w:line="240" w:lineRule="auto" w:before="0"/>
        <w:rPr>
          <w:rFonts w:ascii="宋体" w:hAnsi="宋体" w:cs="宋体" w:eastAsia="宋体" w:hint="default"/>
          <w:sz w:val="20"/>
          <w:szCs w:val="20"/>
        </w:rPr>
      </w:pPr>
      <w:r>
        <w:rPr/>
        <w:pict>
          <v:shape style="position:absolute;margin-left:56.400002pt;margin-top:71.999985pt;width:479.3pt;height:685.1pt;mso-position-horizontal-relative:page;mso-position-vertical-relative:page;z-index:18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68"/>
                    <w:gridCol w:w="994"/>
                    <w:gridCol w:w="708"/>
                    <w:gridCol w:w="1133"/>
                    <w:gridCol w:w="286"/>
                    <w:gridCol w:w="850"/>
                    <w:gridCol w:w="850"/>
                    <w:gridCol w:w="994"/>
                    <w:gridCol w:w="425"/>
                    <w:gridCol w:w="1063"/>
                  </w:tblGrid>
                  <w:tr>
                    <w:trPr>
                      <w:trHeight w:val="402" w:hRule="exact"/>
                    </w:trPr>
                    <w:tc>
                      <w:tcPr>
                        <w:tcW w:w="22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357" w:lineRule="auto"/>
                          <w:ind w:left="170" w:right="167"/>
                          <w:jc w:val="left"/>
                          <w:rPr>
                            <w:rFonts w:ascii="宋体" w:hAnsi="宋体" w:cs="宋体" w:eastAsia="宋体" w:hint="default"/>
                            <w:sz w:val="18"/>
                            <w:szCs w:val="18"/>
                          </w:rPr>
                        </w:pPr>
                        <w:r>
                          <w:rPr>
                            <w:rFonts w:ascii="宋体" w:hAnsi="宋体" w:cs="宋体" w:eastAsia="宋体" w:hint="default"/>
                            <w:sz w:val="18"/>
                            <w:szCs w:val="18"/>
                          </w:rPr>
                          <w:t>持股 比例</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357" w:lineRule="auto"/>
                          <w:ind w:left="201" w:right="199"/>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113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113" w:right="110"/>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4"/>
                          <w:ind w:left="59" w:right="59"/>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4"/>
                          <w:ind w:left="40" w:right="41"/>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14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0"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714" w:hRule="exact"/>
                    </w:trPr>
                    <w:tc>
                      <w:tcPr>
                        <w:tcW w:w="2268"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136" w:type="dxa"/>
                        <w:gridSpan w:val="2"/>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8" w:right="24"/>
                          <w:jc w:val="left"/>
                          <w:rPr>
                            <w:rFonts w:ascii="宋体" w:hAnsi="宋体" w:cs="宋体" w:eastAsia="宋体" w:hint="default"/>
                            <w:sz w:val="18"/>
                            <w:szCs w:val="18"/>
                          </w:rPr>
                        </w:pPr>
                        <w:r>
                          <w:rPr>
                            <w:rFonts w:ascii="宋体" w:hAnsi="宋体" w:cs="宋体" w:eastAsia="宋体" w:hint="default"/>
                            <w:sz w:val="18"/>
                            <w:szCs w:val="18"/>
                          </w:rPr>
                          <w:t>股份 状态</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71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上海万豪投资有限公司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58"/>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17.74%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200,588,800</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200,588,800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冻结</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200,588,800</w:t>
                        </w:r>
                      </w:p>
                    </w:tc>
                  </w:tr>
                  <w:tr>
                    <w:trPr>
                      <w:trHeight w:val="1027"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－传统－普通保险产品</w:t>
                        </w:r>
                      </w:p>
                      <w:p>
                        <w:pPr>
                          <w:pStyle w:val="TableParagraph"/>
                          <w:spacing w:line="240" w:lineRule="auto" w:before="7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-005L-CT001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深</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13.37%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151,270,082</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+151,270,082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151,270,082</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上海科技创业投资有限公司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57,348,219</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1" w:right="0"/>
                          <w:jc w:val="left"/>
                          <w:rPr>
                            <w:rFonts w:ascii="Times New Roman" w:hAnsi="Times New Roman" w:cs="Times New Roman" w:eastAsia="Times New Roman" w:hint="default"/>
                            <w:sz w:val="18"/>
                            <w:szCs w:val="18"/>
                          </w:rPr>
                        </w:pPr>
                        <w:r>
                          <w:rPr>
                            <w:rFonts w:ascii="Times New Roman"/>
                            <w:sz w:val="18"/>
                          </w:rPr>
                          <w:t>-9,795,781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57,348,219</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72"/>
                          <w:jc w:val="both"/>
                          <w:rPr>
                            <w:rFonts w:ascii="宋体" w:hAnsi="宋体" w:cs="宋体" w:eastAsia="宋体" w:hint="default"/>
                            <w:sz w:val="18"/>
                            <w:szCs w:val="18"/>
                          </w:rPr>
                        </w:pPr>
                        <w:r>
                          <w:rPr>
                            <w:rFonts w:ascii="宋体" w:hAnsi="宋体" w:cs="宋体" w:eastAsia="宋体" w:hint="default"/>
                            <w:sz w:val="18"/>
                            <w:szCs w:val="18"/>
                          </w:rPr>
                          <w:t>中国人寿资管－农业银行－ 国寿资产－凤凰系列专项产 品（第</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55,000,000</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+55,000,000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55,000,000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上海长安信息技术咨询开发 中心</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47,738,832</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47,738,832</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陈耀远</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3.32%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37,535,690</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37,535,690</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陈洁</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14,729,643</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14,729,643</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王淑玉</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1.23%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13,867,124</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6" w:right="0"/>
                          <w:jc w:val="left"/>
                          <w:rPr>
                            <w:rFonts w:ascii="Times New Roman" w:hAnsi="Times New Roman" w:cs="Times New Roman" w:eastAsia="Times New Roman" w:hint="default"/>
                            <w:sz w:val="18"/>
                            <w:szCs w:val="18"/>
                          </w:rPr>
                        </w:pPr>
                        <w:r>
                          <w:rPr>
                            <w:rFonts w:ascii="Times New Roman"/>
                            <w:sz w:val="18"/>
                          </w:rPr>
                          <w:t>-180,100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13,867,124</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许海培</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12,048,400</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left"/>
                          <w:rPr>
                            <w:rFonts w:ascii="Times New Roman" w:hAnsi="Times New Roman" w:cs="Times New Roman" w:eastAsia="Times New Roman" w:hint="default"/>
                            <w:sz w:val="18"/>
                            <w:szCs w:val="18"/>
                          </w:rPr>
                        </w:pPr>
                        <w:r>
                          <w:rPr>
                            <w:rFonts w:ascii="Times New Roman"/>
                            <w:sz w:val="18"/>
                          </w:rPr>
                          <w:t>+12,048,400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12,048,400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黄秋痕</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1.03%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11,692,550</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97" w:right="0"/>
                          <w:jc w:val="left"/>
                          <w:rPr>
                            <w:rFonts w:ascii="Times New Roman" w:hAnsi="Times New Roman" w:cs="Times New Roman" w:eastAsia="Times New Roman" w:hint="default"/>
                            <w:sz w:val="18"/>
                            <w:szCs w:val="18"/>
                          </w:rPr>
                        </w:pPr>
                        <w:r>
                          <w:rPr>
                            <w:rFonts w:ascii="Times New Roman"/>
                            <w:sz w:val="18"/>
                          </w:rPr>
                          <w:t>+11,692,550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11,692,550</w:t>
                        </w:r>
                      </w:p>
                    </w:tc>
                    <w:tc>
                      <w:tcPr>
                        <w:tcW w:w="42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2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29"/>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战略投资者或一般法人因配售新股成为 前</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名股东的情况（如有）（参见注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308" w:type="dxa"/>
                        <w:gridSpan w:val="8"/>
                        <w:tcBorders>
                          <w:top w:val="single" w:sz="4" w:space="0" w:color="000000"/>
                          <w:left w:val="single" w:sz="9"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631" w:hRule="exact"/>
                    </w:trPr>
                    <w:tc>
                      <w:tcPr>
                        <w:tcW w:w="3263"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308" w:type="dxa"/>
                        <w:gridSpan w:val="8"/>
                        <w:vMerge w:val="restart"/>
                        <w:tcBorders>
                          <w:top w:val="single" w:sz="4" w:space="0" w:color="000000"/>
                          <w:left w:val="single" w:sz="9" w:space="0" w:color="D2D2D2"/>
                          <w:right w:val="single" w:sz="4" w:space="0" w:color="000000"/>
                        </w:tcBorders>
                      </w:tcPr>
                      <w:p>
                        <w:pPr>
                          <w:pStyle w:val="TableParagraph"/>
                          <w:spacing w:line="297" w:lineRule="auto" w:before="51"/>
                          <w:ind w:left="18" w:right="17"/>
                          <w:jc w:val="left"/>
                          <w:rPr>
                            <w:rFonts w:ascii="宋体" w:hAnsi="宋体" w:cs="宋体" w:eastAsia="宋体" w:hint="default"/>
                            <w:sz w:val="18"/>
                            <w:szCs w:val="18"/>
                          </w:rPr>
                        </w:pPr>
                        <w:r>
                          <w:rPr>
                            <w:rFonts w:ascii="宋体" w:hAnsi="宋体" w:cs="宋体" w:eastAsia="宋体" w:hint="default"/>
                            <w:sz w:val="18"/>
                            <w:szCs w:val="18"/>
                          </w:rPr>
                          <w:t>中国人寿保险股份有限公司－传统－普通保险产品</w:t>
                        </w:r>
                        <w:r>
                          <w:rPr>
                            <w:rFonts w:ascii="Times New Roman" w:hAnsi="Times New Roman" w:cs="Times New Roman" w:eastAsia="Times New Roman" w:hint="default"/>
                            <w:sz w:val="18"/>
                            <w:szCs w:val="18"/>
                          </w:rPr>
                          <w:t>-005L-CT001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深和中国人寿资 管－农业银行－国寿资产－凤凰系列专项产品（第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期）的管理人受同一控制人</w:t>
                        </w:r>
                      </w:p>
                      <w:p>
                        <w:pPr>
                          <w:pStyle w:val="TableParagraph"/>
                          <w:spacing w:line="240" w:lineRule="auto" w:before="15"/>
                          <w:ind w:left="18"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中国人寿保险股份有限公司控制。陈洁、陈耀远、王淑玉的一致行动关系于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2019</w:t>
                        </w:r>
                      </w:p>
                      <w:p>
                        <w:pPr>
                          <w:pStyle w:val="TableParagraph"/>
                          <w:spacing w:line="300" w:lineRule="auto" w:before="63"/>
                          <w:ind w:left="18" w:right="111"/>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pacing w:val="-5"/>
                            <w:sz w:val="18"/>
                            <w:szCs w:val="18"/>
                          </w:rPr>
                          <w:t>日到期解除。除此之外，公司未知上述其他股东之间是否存在关联关系</w:t>
                        </w:r>
                        <w:r>
                          <w:rPr>
                            <w:rFonts w:ascii="宋体" w:hAnsi="宋体" w:cs="宋体" w:eastAsia="宋体" w:hint="default"/>
                            <w:sz w:val="18"/>
                            <w:szCs w:val="18"/>
                          </w:rPr>
                          <w:t> 或属于一致行动人。</w:t>
                        </w:r>
                      </w:p>
                    </w:tc>
                  </w:tr>
                  <w:tr>
                    <w:trPr>
                      <w:trHeight w:val="391" w:hRule="exact"/>
                    </w:trPr>
                    <w:tc>
                      <w:tcPr>
                        <w:tcW w:w="3263"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6308" w:type="dxa"/>
                        <w:gridSpan w:val="8"/>
                        <w:vMerge/>
                        <w:tcBorders>
                          <w:left w:val="single" w:sz="9" w:space="0" w:color="D2D2D2"/>
                          <w:right w:val="single" w:sz="4" w:space="0" w:color="000000"/>
                        </w:tcBorders>
                      </w:tcPr>
                      <w:p>
                        <w:pPr/>
                      </w:p>
                    </w:tc>
                  </w:tr>
                  <w:tr>
                    <w:trPr>
                      <w:trHeight w:val="629" w:hRule="exact"/>
                    </w:trPr>
                    <w:tc>
                      <w:tcPr>
                        <w:tcW w:w="3263"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308" w:type="dxa"/>
                        <w:gridSpan w:val="8"/>
                        <w:vMerge/>
                        <w:tcBorders>
                          <w:left w:val="single" w:sz="9" w:space="0" w:color="D2D2D2"/>
                          <w:bottom w:val="single" w:sz="4" w:space="0" w:color="000000"/>
                          <w:right w:val="single" w:sz="4" w:space="0" w:color="000000"/>
                        </w:tcBorders>
                      </w:tcPr>
                      <w:p>
                        <w:pPr/>
                      </w:p>
                    </w:tc>
                  </w:tr>
                  <w:tr>
                    <w:trPr>
                      <w:trHeight w:val="154" w:hRule="exact"/>
                    </w:trPr>
                    <w:tc>
                      <w:tcPr>
                        <w:tcW w:w="9571" w:type="dxa"/>
                        <w:gridSpan w:val="10"/>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4" w:hRule="exact"/>
                    </w:trPr>
                    <w:tc>
                      <w:tcPr>
                        <w:tcW w:w="9571" w:type="dxa"/>
                        <w:gridSpan w:val="10"/>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149" w:hRule="exact"/>
                    </w:trPr>
                    <w:tc>
                      <w:tcPr>
                        <w:tcW w:w="9571" w:type="dxa"/>
                        <w:gridSpan w:val="10"/>
                        <w:tcBorders>
                          <w:top w:val="nil" w:sz="6" w:space="0" w:color="auto"/>
                          <w:left w:val="single" w:sz="4" w:space="0" w:color="000000"/>
                          <w:bottom w:val="single" w:sz="4" w:space="0" w:color="000000"/>
                          <w:right w:val="single" w:sz="4" w:space="0" w:color="000000"/>
                        </w:tcBorders>
                        <w:shd w:val="clear" w:color="auto" w:fill="D2D2D2"/>
                      </w:tcPr>
                      <w:p>
                        <w:pPr/>
                      </w:p>
                    </w:tc>
                  </w:tr>
                  <w:tr>
                    <w:trPr>
                      <w:trHeight w:val="211" w:hRule="exact"/>
                    </w:trPr>
                    <w:tc>
                      <w:tcPr>
                        <w:tcW w:w="5389"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169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304" w:right="31" w:hanging="269"/>
                          <w:jc w:val="left"/>
                          <w:rPr>
                            <w:rFonts w:ascii="宋体" w:hAnsi="宋体" w:cs="宋体" w:eastAsia="宋体" w:hint="default"/>
                            <w:sz w:val="18"/>
                            <w:szCs w:val="18"/>
                          </w:rPr>
                        </w:pPr>
                        <w:r>
                          <w:rPr>
                            <w:rFonts w:ascii="宋体" w:hAnsi="宋体" w:cs="宋体" w:eastAsia="宋体" w:hint="default"/>
                            <w:sz w:val="18"/>
                            <w:szCs w:val="18"/>
                          </w:rPr>
                          <w:t>报告期末持有无限售 条件股份数量</w:t>
                        </w:r>
                      </w:p>
                    </w:tc>
                    <w:tc>
                      <w:tcPr>
                        <w:tcW w:w="141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5389" w:type="dxa"/>
                        <w:gridSpan w:val="5"/>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699" w:type="dxa"/>
                        <w:gridSpan w:val="2"/>
                        <w:vMerge/>
                        <w:tcBorders>
                          <w:left w:val="single" w:sz="4" w:space="0" w:color="000000"/>
                          <w:right w:val="single" w:sz="4" w:space="0" w:color="000000"/>
                        </w:tcBorders>
                        <w:shd w:val="clear" w:color="auto" w:fill="D2D2D2"/>
                      </w:tcPr>
                      <w:p>
                        <w:pPr/>
                      </w:p>
                    </w:tc>
                    <w:tc>
                      <w:tcPr>
                        <w:tcW w:w="141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0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5389"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699" w:type="dxa"/>
                        <w:gridSpan w:val="2"/>
                        <w:vMerge/>
                        <w:tcBorders>
                          <w:left w:val="single" w:sz="4" w:space="0" w:color="000000"/>
                          <w:bottom w:val="single" w:sz="4" w:space="0" w:color="000000"/>
                          <w:right w:val="single" w:sz="4" w:space="0" w:color="000000"/>
                        </w:tcBorders>
                        <w:shd w:val="clear" w:color="auto" w:fill="D2D2D2"/>
                      </w:tcPr>
                      <w:p>
                        <w:pPr/>
                      </w:p>
                    </w:tc>
                    <w:tc>
                      <w:tcPr>
                        <w:tcW w:w="141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53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上海万豪投资有限公司</w:t>
                        </w:r>
                      </w:p>
                    </w:tc>
                    <w:tc>
                      <w:tcPr>
                        <w:tcW w:w="1699" w:type="dxa"/>
                        <w:gridSpan w:val="2"/>
                        <w:tcBorders>
                          <w:top w:val="single" w:sz="18" w:space="0" w:color="D2D2D2"/>
                          <w:left w:val="single" w:sz="4" w:space="0" w:color="000000"/>
                          <w:bottom w:val="single" w:sz="4" w:space="0" w:color="000000"/>
                          <w:right w:val="single" w:sz="4" w:space="0" w:color="000000"/>
                        </w:tcBorders>
                      </w:tcPr>
                      <w:p>
                        <w:pPr>
                          <w:pStyle w:val="TableParagraph"/>
                          <w:spacing w:line="240" w:lineRule="auto" w:before="73"/>
                          <w:ind w:left="768" w:right="0"/>
                          <w:jc w:val="left"/>
                          <w:rPr>
                            <w:rFonts w:ascii="Times New Roman" w:hAnsi="Times New Roman" w:cs="Times New Roman" w:eastAsia="Times New Roman" w:hint="default"/>
                            <w:sz w:val="18"/>
                            <w:szCs w:val="18"/>
                          </w:rPr>
                        </w:pPr>
                        <w:r>
                          <w:rPr>
                            <w:rFonts w:ascii="Times New Roman"/>
                            <w:sz w:val="18"/>
                          </w:rPr>
                          <w:t>200,588,800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200,588,800</w:t>
                        </w:r>
                      </w:p>
                    </w:tc>
                  </w:tr>
                  <w:tr>
                    <w:trPr>
                      <w:trHeight w:val="403" w:hRule="exact"/>
                    </w:trPr>
                    <w:tc>
                      <w:tcPr>
                        <w:tcW w:w="53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中国人寿保险股份有限公司－传统－普通保险产品</w:t>
                        </w:r>
                        <w:r>
                          <w:rPr>
                            <w:rFonts w:ascii="Times New Roman" w:hAnsi="Times New Roman" w:cs="Times New Roman" w:eastAsia="Times New Roman" w:hint="default"/>
                            <w:sz w:val="18"/>
                            <w:szCs w:val="18"/>
                          </w:rPr>
                          <w:t>-005L-CT001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深</w:t>
                        </w:r>
                      </w:p>
                    </w:tc>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8" w:right="0"/>
                          <w:jc w:val="left"/>
                          <w:rPr>
                            <w:rFonts w:ascii="Times New Roman" w:hAnsi="Times New Roman" w:cs="Times New Roman" w:eastAsia="Times New Roman" w:hint="default"/>
                            <w:sz w:val="18"/>
                            <w:szCs w:val="18"/>
                          </w:rPr>
                        </w:pPr>
                        <w:r>
                          <w:rPr>
                            <w:rFonts w:ascii="Times New Roman"/>
                            <w:sz w:val="18"/>
                          </w:rPr>
                          <w:t>151,270,082</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151,270,082</w:t>
                        </w:r>
                      </w:p>
                    </w:tc>
                  </w:tr>
                  <w:tr>
                    <w:trPr>
                      <w:trHeight w:val="401" w:hRule="exact"/>
                    </w:trPr>
                    <w:tc>
                      <w:tcPr>
                        <w:tcW w:w="53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上海科技创业投资有限公司</w:t>
                        </w:r>
                      </w:p>
                    </w:tc>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6" w:right="0"/>
                          <w:jc w:val="left"/>
                          <w:rPr>
                            <w:rFonts w:ascii="Times New Roman" w:hAnsi="Times New Roman" w:cs="Times New Roman" w:eastAsia="Times New Roman" w:hint="default"/>
                            <w:sz w:val="18"/>
                            <w:szCs w:val="18"/>
                          </w:rPr>
                        </w:pPr>
                        <w:r>
                          <w:rPr>
                            <w:rFonts w:ascii="Times New Roman"/>
                            <w:sz w:val="18"/>
                          </w:rPr>
                          <w:t>57,348,219</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57,348,219</w:t>
                        </w:r>
                      </w:p>
                    </w:tc>
                  </w:tr>
                  <w:tr>
                    <w:trPr>
                      <w:trHeight w:val="403" w:hRule="exact"/>
                    </w:trPr>
                    <w:tc>
                      <w:tcPr>
                        <w:tcW w:w="53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48"/>
                          <w:jc w:val="left"/>
                          <w:rPr>
                            <w:rFonts w:ascii="宋体" w:hAnsi="宋体" w:cs="宋体" w:eastAsia="宋体" w:hint="default"/>
                            <w:sz w:val="18"/>
                            <w:szCs w:val="18"/>
                          </w:rPr>
                        </w:pPr>
                        <w:r>
                          <w:rPr>
                            <w:rFonts w:ascii="宋体" w:hAnsi="宋体" w:cs="宋体" w:eastAsia="宋体" w:hint="default"/>
                            <w:sz w:val="18"/>
                            <w:szCs w:val="18"/>
                          </w:rPr>
                          <w:t>中国人寿资管－农业银行－国寿资产－凤凰系列专项产品（第</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w:t>
                        </w:r>
                      </w:p>
                    </w:tc>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6" w:right="0"/>
                          <w:jc w:val="left"/>
                          <w:rPr>
                            <w:rFonts w:ascii="Times New Roman" w:hAnsi="Times New Roman" w:cs="Times New Roman" w:eastAsia="Times New Roman" w:hint="default"/>
                            <w:sz w:val="18"/>
                            <w:szCs w:val="18"/>
                          </w:rPr>
                        </w:pPr>
                        <w:r>
                          <w:rPr>
                            <w:rFonts w:ascii="Times New Roman"/>
                            <w:sz w:val="18"/>
                          </w:rPr>
                          <w:t>55,000,000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55,000,000</w:t>
                        </w:r>
                      </w:p>
                    </w:tc>
                  </w:tr>
                  <w:tr>
                    <w:trPr>
                      <w:trHeight w:val="401" w:hRule="exact"/>
                    </w:trPr>
                    <w:tc>
                      <w:tcPr>
                        <w:tcW w:w="53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上海长安信息技术咨询开发中心</w:t>
                        </w:r>
                      </w:p>
                    </w:tc>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6" w:right="0"/>
                          <w:jc w:val="left"/>
                          <w:rPr>
                            <w:rFonts w:ascii="Times New Roman" w:hAnsi="Times New Roman" w:cs="Times New Roman" w:eastAsia="Times New Roman" w:hint="default"/>
                            <w:sz w:val="18"/>
                            <w:szCs w:val="18"/>
                          </w:rPr>
                        </w:pPr>
                        <w:r>
                          <w:rPr>
                            <w:rFonts w:ascii="Times New Roman"/>
                            <w:sz w:val="18"/>
                          </w:rPr>
                          <w:t>47,738,832</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47,738,832</w:t>
                        </w:r>
                      </w:p>
                    </w:tc>
                  </w:tr>
                  <w:tr>
                    <w:trPr>
                      <w:trHeight w:val="403" w:hRule="exact"/>
                    </w:trPr>
                    <w:tc>
                      <w:tcPr>
                        <w:tcW w:w="53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陈耀远</w:t>
                        </w:r>
                      </w:p>
                    </w:tc>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6" w:right="0"/>
                          <w:jc w:val="left"/>
                          <w:rPr>
                            <w:rFonts w:ascii="Times New Roman" w:hAnsi="Times New Roman" w:cs="Times New Roman" w:eastAsia="Times New Roman" w:hint="default"/>
                            <w:sz w:val="18"/>
                            <w:szCs w:val="18"/>
                          </w:rPr>
                        </w:pPr>
                        <w:r>
                          <w:rPr>
                            <w:rFonts w:ascii="Times New Roman"/>
                            <w:sz w:val="18"/>
                          </w:rPr>
                          <w:t>37,535,690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37,535,690</w:t>
                        </w:r>
                      </w:p>
                    </w:tc>
                  </w:tr>
                  <w:tr>
                    <w:trPr>
                      <w:trHeight w:val="401" w:hRule="exact"/>
                    </w:trPr>
                    <w:tc>
                      <w:tcPr>
                        <w:tcW w:w="53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陈洁</w:t>
                        </w:r>
                      </w:p>
                    </w:tc>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6" w:right="0"/>
                          <w:jc w:val="left"/>
                          <w:rPr>
                            <w:rFonts w:ascii="Times New Roman" w:hAnsi="Times New Roman" w:cs="Times New Roman" w:eastAsia="Times New Roman" w:hint="default"/>
                            <w:sz w:val="18"/>
                            <w:szCs w:val="18"/>
                          </w:rPr>
                        </w:pPr>
                        <w:r>
                          <w:rPr>
                            <w:rFonts w:ascii="Times New Roman"/>
                            <w:sz w:val="18"/>
                          </w:rPr>
                          <w:t>14,729,643</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14,729,643</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BodyText"/>
        <w:spacing w:line="240" w:lineRule="auto"/>
        <w:ind w:left="0" w:right="1139"/>
        <w:jc w:val="right"/>
      </w:pPr>
      <w:r>
        <w:rPr/>
        <w:t>，</w:t>
      </w:r>
    </w:p>
    <w:p>
      <w:pPr>
        <w:spacing w:after="0" w:line="240" w:lineRule="auto"/>
        <w:jc w:val="righ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BodyText"/>
        <w:spacing w:line="240" w:lineRule="auto" w:before="44"/>
        <w:ind w:left="0" w:right="1139"/>
        <w:jc w:val="right"/>
      </w:pPr>
      <w:r>
        <w:rPr/>
        <w:pict>
          <v:shape style="position:absolute;margin-left:56.459999pt;margin-top:-147.988312pt;width:479.2pt;height:336.45pt;mso-position-horizontal-relative:page;mso-position-vertical-relative:paragraph;z-index:19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61"/>
                    <w:gridCol w:w="2127"/>
                    <w:gridCol w:w="1699"/>
                    <w:gridCol w:w="1419"/>
                    <w:gridCol w:w="1063"/>
                  </w:tblGrid>
                  <w:tr>
                    <w:trPr>
                      <w:trHeight w:val="804" w:hRule="exact"/>
                    </w:trPr>
                    <w:tc>
                      <w:tcPr>
                        <w:tcW w:w="53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6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94"/>
                          <w:ind w:left="304" w:right="31" w:hanging="269"/>
                          <w:jc w:val="left"/>
                          <w:rPr>
                            <w:rFonts w:ascii="宋体" w:hAnsi="宋体" w:cs="宋体" w:eastAsia="宋体" w:hint="default"/>
                            <w:sz w:val="18"/>
                            <w:szCs w:val="18"/>
                          </w:rPr>
                        </w:pPr>
                        <w:r>
                          <w:rPr>
                            <w:rFonts w:ascii="宋体" w:hAnsi="宋体" w:cs="宋体" w:eastAsia="宋体" w:hint="default"/>
                            <w:sz w:val="18"/>
                            <w:szCs w:val="18"/>
                          </w:rPr>
                          <w:t>报告期末持有无限售 条件股份数量</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44"/>
                          <w:jc w:val="right"/>
                          <w:rPr>
                            <w:rFonts w:ascii="宋体" w:hAnsi="宋体" w:cs="宋体" w:eastAsia="宋体" w:hint="default"/>
                            <w:sz w:val="18"/>
                            <w:szCs w:val="18"/>
                          </w:rPr>
                        </w:pPr>
                        <w:r>
                          <w:rPr>
                            <w:rFonts w:ascii="宋体" w:hAnsi="宋体" w:cs="宋体" w:eastAsia="宋体" w:hint="default"/>
                            <w:sz w:val="18"/>
                            <w:szCs w:val="18"/>
                          </w:rPr>
                          <w:t>股份种类</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401" w:hRule="exact"/>
                    </w:trPr>
                    <w:tc>
                      <w:tcPr>
                        <w:tcW w:w="53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王淑玉</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13,867,124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3"/>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13,867,124</w:t>
                        </w:r>
                      </w:p>
                    </w:tc>
                  </w:tr>
                  <w:tr>
                    <w:trPr>
                      <w:trHeight w:val="403" w:hRule="exact"/>
                    </w:trPr>
                    <w:tc>
                      <w:tcPr>
                        <w:tcW w:w="53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许海培</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12,048,400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03"/>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12,048,400</w:t>
                        </w:r>
                      </w:p>
                    </w:tc>
                  </w:tr>
                  <w:tr>
                    <w:trPr>
                      <w:trHeight w:val="401" w:hRule="exact"/>
                    </w:trPr>
                    <w:tc>
                      <w:tcPr>
                        <w:tcW w:w="53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黄秋痕</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11,692,550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3"/>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11,692,550</w:t>
                        </w:r>
                      </w:p>
                    </w:tc>
                  </w:tr>
                  <w:tr>
                    <w:trPr>
                      <w:trHeight w:val="1651" w:hRule="exact"/>
                    </w:trPr>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名无限售流通股股东之间，以及前</w:t>
                        </w:r>
                      </w:p>
                      <w:p>
                        <w:pPr>
                          <w:pStyle w:val="TableParagraph"/>
                          <w:spacing w:line="300" w:lineRule="auto" w:before="60"/>
                          <w:ind w:left="22"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 间关联关系或一致行动的说明</w:t>
                        </w:r>
                      </w:p>
                    </w:tc>
                    <w:tc>
                      <w:tcPr>
                        <w:tcW w:w="6308" w:type="dxa"/>
                        <w:gridSpan w:val="4"/>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17"/>
                          <w:jc w:val="left"/>
                          <w:rPr>
                            <w:rFonts w:ascii="宋体" w:hAnsi="宋体" w:cs="宋体" w:eastAsia="宋体" w:hint="default"/>
                            <w:sz w:val="18"/>
                            <w:szCs w:val="18"/>
                          </w:rPr>
                        </w:pPr>
                        <w:r>
                          <w:rPr>
                            <w:rFonts w:ascii="宋体" w:hAnsi="宋体" w:cs="宋体" w:eastAsia="宋体" w:hint="default"/>
                            <w:sz w:val="18"/>
                            <w:szCs w:val="18"/>
                          </w:rPr>
                          <w:t>中国人寿保险股份有限公司－传统－普通保险产品</w:t>
                        </w:r>
                        <w:r>
                          <w:rPr>
                            <w:rFonts w:ascii="Times New Roman" w:hAnsi="Times New Roman" w:cs="Times New Roman" w:eastAsia="Times New Roman" w:hint="default"/>
                            <w:sz w:val="18"/>
                            <w:szCs w:val="18"/>
                          </w:rPr>
                          <w:t>-005L-CT001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深和中国人寿资 管－农业银行－国寿资产－凤凰系列专项产品（第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期）的管理人受同一控制人</w:t>
                        </w:r>
                      </w:p>
                      <w:p>
                        <w:pPr>
                          <w:pStyle w:val="TableParagraph"/>
                          <w:spacing w:line="240" w:lineRule="auto" w:before="15"/>
                          <w:ind w:left="24"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中国人寿保险股份有限公司控制。陈洁、陈耀远、王淑玉的一致行动关系于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2019</w:t>
                        </w:r>
                      </w:p>
                      <w:p>
                        <w:pPr>
                          <w:pStyle w:val="TableParagraph"/>
                          <w:spacing w:line="300" w:lineRule="auto" w:before="63"/>
                          <w:ind w:left="24" w:right="111"/>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pacing w:val="-5"/>
                            <w:sz w:val="18"/>
                            <w:szCs w:val="18"/>
                          </w:rPr>
                          <w:t>日到期解除。除此之外，公司未知上述其他股东之间是否存在关联关系</w:t>
                        </w:r>
                        <w:r>
                          <w:rPr>
                            <w:rFonts w:ascii="宋体" w:hAnsi="宋体" w:cs="宋体" w:eastAsia="宋体" w:hint="default"/>
                            <w:sz w:val="18"/>
                            <w:szCs w:val="18"/>
                          </w:rPr>
                          <w:t> 或属于一致行动人。</w:t>
                        </w:r>
                      </w:p>
                    </w:tc>
                  </w:tr>
                  <w:tr>
                    <w:trPr>
                      <w:trHeight w:val="3058" w:hRule="exact"/>
                    </w:trPr>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2" w:right="-12"/>
                          <w:jc w:val="left"/>
                          <w:rPr>
                            <w:rFonts w:ascii="宋体" w:hAnsi="宋体" w:cs="宋体" w:eastAsia="宋体" w:hint="default"/>
                            <w:sz w:val="18"/>
                            <w:szCs w:val="18"/>
                          </w:rPr>
                        </w:pPr>
                        <w:r>
                          <w:rPr>
                            <w:rFonts w:ascii="宋体" w:hAnsi="宋体" w:cs="宋体" w:eastAsia="宋体" w:hint="default"/>
                            <w:sz w:val="18"/>
                            <w:szCs w:val="18"/>
                          </w:rPr>
                          <w:t>参与融资融券业务股东情况说明（如有）</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630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、陈耀远持有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37,535,690 </w:t>
                        </w:r>
                        <w:r>
                          <w:rPr>
                            <w:rFonts w:ascii="宋体" w:hAnsi="宋体" w:cs="宋体" w:eastAsia="宋体" w:hint="default"/>
                            <w:sz w:val="18"/>
                            <w:szCs w:val="18"/>
                          </w:rPr>
                          <w:t>股，其中通过普通证券账户持有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股，通过</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信用证券账户持有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22,535,690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w:t>
                        </w:r>
                      </w:p>
                      <w:p>
                        <w:pPr>
                          <w:pStyle w:val="TableParagraph"/>
                          <w:spacing w:line="240" w:lineRule="auto" w:before="10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、陈洁持有</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14,729,643 </w:t>
                        </w:r>
                        <w:r>
                          <w:rPr>
                            <w:rFonts w:ascii="宋体" w:hAnsi="宋体" w:cs="宋体" w:eastAsia="宋体" w:hint="default"/>
                            <w:sz w:val="18"/>
                            <w:szCs w:val="18"/>
                          </w:rPr>
                          <w:t>股，其中通过普通证券账户持有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5,700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股，通过信用证</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14,723,943 </w:t>
                        </w:r>
                        <w:r>
                          <w:rPr>
                            <w:rFonts w:ascii="宋体" w:hAnsi="宋体" w:cs="宋体" w:eastAsia="宋体" w:hint="default"/>
                            <w:sz w:val="18"/>
                            <w:szCs w:val="18"/>
                          </w:rPr>
                          <w:t>股；</w:t>
                        </w:r>
                      </w:p>
                      <w:p>
                        <w:pPr>
                          <w:pStyle w:val="TableParagraph"/>
                          <w:spacing w:line="240" w:lineRule="auto" w:before="10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、王淑玉持有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13,867,124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股，全部通过信用证券账户持有；</w:t>
                        </w:r>
                      </w:p>
                      <w:p>
                        <w:pPr>
                          <w:pStyle w:val="TableParagraph"/>
                          <w:spacing w:line="240" w:lineRule="auto" w:before="10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、许海培持有</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12,048,400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股，其中通过普通证券账户持有</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1,116,100</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股，通过信</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用证券账户持有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10,932,300 </w:t>
                        </w:r>
                        <w:r>
                          <w:rPr>
                            <w:rFonts w:ascii="宋体" w:hAnsi="宋体" w:cs="宋体" w:eastAsia="宋体" w:hint="default"/>
                            <w:spacing w:val="-3"/>
                            <w:sz w:val="18"/>
                            <w:szCs w:val="18"/>
                          </w:rPr>
                          <w:t>股；</w:t>
                        </w:r>
                        <w:r>
                          <w:rPr>
                            <w:rFonts w:ascii="宋体" w:hAnsi="宋体" w:cs="宋体" w:eastAsia="宋体" w:hint="default"/>
                            <w:sz w:val="18"/>
                            <w:szCs w:val="18"/>
                          </w:rPr>
                        </w:r>
                      </w:p>
                      <w:p>
                        <w:pPr>
                          <w:pStyle w:val="TableParagraph"/>
                          <w:spacing w:line="240" w:lineRule="auto" w:before="10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、黄秋痕持有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11,692,550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股，其中通过普通证券账户持有</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股，通过信用</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证券账户持有</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11,670,550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股。</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pStyle w:val="BodyText"/>
        <w:spacing w:line="240" w:lineRule="auto" w:before="44"/>
        <w:ind w:right="2602"/>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pStyle w:val="BodyText"/>
        <w:spacing w:line="240" w:lineRule="auto" w:before="103"/>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pStyle w:val="BodyText"/>
        <w:spacing w:line="240" w:lineRule="auto" w:before="101"/>
        <w:ind w:right="2602"/>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2、公司控股股东情况" w:id="116"/>
      <w:bookmarkEnd w:id="116"/>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8234"/>
        <w:jc w:val="left"/>
      </w:pPr>
      <w:r>
        <w:rPr/>
        <w:t>控股股东性质：无控股主体 控股股东类型：不存在 公司不存在控股股东情况的说明</w:t>
      </w:r>
    </w:p>
    <w:p>
      <w:pPr>
        <w:pStyle w:val="BodyText"/>
        <w:spacing w:line="240" w:lineRule="auto" w:before="110"/>
        <w:ind w:left="513" w:right="0"/>
        <w:jc w:val="left"/>
      </w:pPr>
      <w:r>
        <w:rPr/>
        <w:t>截至</w:t>
      </w:r>
      <w:r>
        <w:rPr>
          <w:spacing w:val="-44"/>
        </w:rPr>
        <w:t> </w:t>
      </w:r>
      <w:r>
        <w:rPr>
          <w:rFonts w:ascii="Times New Roman" w:hAnsi="Times New Roman" w:cs="Times New Roman" w:eastAsia="Times New Roman" w:hint="default"/>
        </w:rPr>
        <w:t>2019 </w:t>
      </w:r>
      <w:r>
        <w:rPr/>
        <w:t>年</w:t>
      </w:r>
      <w:r>
        <w:rPr>
          <w:spacing w:val="-44"/>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
        </w:rPr>
        <w:t> </w:t>
      </w:r>
      <w:r>
        <w:rPr/>
        <w:t>月</w:t>
      </w:r>
      <w:r>
        <w:rPr>
          <w:spacing w:val="-46"/>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日，万达信息股份有限公司股东中国人寿保险股份有限公司及其一致行动人中国人寿保险（集团）</w:t>
      </w:r>
    </w:p>
    <w:p>
      <w:pPr>
        <w:pStyle w:val="BodyText"/>
        <w:spacing w:line="240" w:lineRule="auto" w:before="60"/>
        <w:ind w:right="0"/>
        <w:jc w:val="left"/>
      </w:pPr>
      <w:r>
        <w:rPr/>
        <w:t>公司、中国人寿资产管理有限公司合计持有公司</w:t>
      </w:r>
      <w:r>
        <w:rPr>
          <w:spacing w:val="-46"/>
        </w:rPr>
        <w:t> </w:t>
      </w:r>
      <w:r>
        <w:rPr>
          <w:rFonts w:ascii="Times New Roman" w:hAnsi="Times New Roman" w:cs="Times New Roman" w:eastAsia="Times New Roman" w:hint="default"/>
        </w:rPr>
        <w:t>206,323,682</w:t>
      </w:r>
      <w:r>
        <w:rPr>
          <w:rFonts w:ascii="Times New Roman" w:hAnsi="Times New Roman" w:cs="Times New Roman" w:eastAsia="Times New Roman" w:hint="default"/>
          <w:spacing w:val="-2"/>
        </w:rPr>
        <w:t> </w:t>
      </w:r>
      <w:r>
        <w:rPr/>
        <w:t>股股份，已超过公司原第一大股东上海万豪投资有限公司及其</w:t>
      </w:r>
    </w:p>
    <w:p>
      <w:pPr>
        <w:pStyle w:val="BodyText"/>
        <w:spacing w:line="240" w:lineRule="auto" w:before="63"/>
        <w:ind w:right="0"/>
        <w:jc w:val="left"/>
      </w:pPr>
      <w:r>
        <w:rPr/>
        <w:t>实际控制人史一兵合计持有的</w:t>
      </w:r>
      <w:r>
        <w:rPr>
          <w:spacing w:val="-47"/>
        </w:rPr>
        <w:t> </w:t>
      </w:r>
      <w:r>
        <w:rPr>
          <w:rFonts w:ascii="Times New Roman" w:hAnsi="Times New Roman" w:cs="Times New Roman" w:eastAsia="Times New Roman" w:hint="default"/>
        </w:rPr>
        <w:t>206,097,400</w:t>
      </w:r>
      <w:r>
        <w:rPr>
          <w:rFonts w:ascii="Times New Roman" w:hAnsi="Times New Roman" w:cs="Times New Roman" w:eastAsia="Times New Roman" w:hint="default"/>
          <w:spacing w:val="-1"/>
        </w:rPr>
        <w:t> </w:t>
      </w:r>
      <w:r>
        <w:rPr/>
        <w:t>股股份，成为公司第一大股东。公司变更为无控股股东、无实际控制人。</w:t>
      </w:r>
    </w:p>
    <w:p>
      <w:pPr>
        <w:pStyle w:val="BodyText"/>
        <w:spacing w:line="300" w:lineRule="auto" w:before="103"/>
        <w:ind w:right="1118" w:firstLine="360"/>
        <w:jc w:val="left"/>
      </w:pPr>
      <w:r>
        <w:rPr/>
        <w:t>截至</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月</w:t>
      </w:r>
      <w:r>
        <w:rPr>
          <w:spacing w:val="-48"/>
        </w:rPr>
        <w:t> </w:t>
      </w:r>
      <w:r>
        <w:rPr>
          <w:rFonts w:ascii="Times New Roman" w:hAnsi="Times New Roman" w:cs="Times New Roman" w:eastAsia="Times New Roman" w:hint="default"/>
        </w:rPr>
        <w:t>7 </w:t>
      </w:r>
      <w:r>
        <w:rPr/>
        <w:t>日，中国人寿及其一致行动人持有公司有表决权的股份比例为</w:t>
      </w:r>
      <w:r>
        <w:rPr>
          <w:spacing w:val="-45"/>
        </w:rPr>
        <w:t> </w:t>
      </w:r>
      <w:r>
        <w:rPr>
          <w:rFonts w:ascii="Times New Roman" w:hAnsi="Times New Roman" w:cs="Times New Roman" w:eastAsia="Times New Roman" w:hint="default"/>
        </w:rPr>
        <w:t>18.3279%</w:t>
      </w:r>
      <w:r>
        <w:rPr/>
        <w:t>，万豪投资持有公司有表 决权的股份比例为</w:t>
      </w:r>
      <w:r>
        <w:rPr>
          <w:spacing w:val="-57"/>
        </w:rPr>
        <w:t> </w:t>
      </w:r>
      <w:r>
        <w:rPr>
          <w:rFonts w:ascii="Times New Roman" w:hAnsi="Times New Roman" w:cs="Times New Roman" w:eastAsia="Times New Roman" w:hint="default"/>
        </w:rPr>
        <w:t>17.82%</w:t>
      </w:r>
      <w:r>
        <w:rPr/>
        <w:t>，史一兵直接及通过万豪投资持有公司有表决权的股份比例为</w:t>
      </w:r>
      <w:r>
        <w:rPr>
          <w:spacing w:val="-57"/>
        </w:rPr>
        <w:t> </w:t>
      </w:r>
      <w:r>
        <w:rPr>
          <w:rFonts w:ascii="Times New Roman" w:hAnsi="Times New Roman" w:cs="Times New Roman" w:eastAsia="Times New Roman" w:hint="default"/>
        </w:rPr>
        <w:t>18.31%</w:t>
      </w:r>
      <w:r>
        <w:rPr/>
        <w:t>，其持股比例均较低、公司 股东持股较分散，并无单一股东持有公司</w:t>
      </w:r>
      <w:r>
        <w:rPr>
          <w:spacing w:val="-47"/>
        </w:rPr>
        <w:t> </w:t>
      </w:r>
      <w:r>
        <w:rPr>
          <w:rFonts w:ascii="Times New Roman" w:hAnsi="Times New Roman" w:cs="Times New Roman" w:eastAsia="Times New Roman" w:hint="default"/>
        </w:rPr>
        <w:t>50%</w:t>
      </w:r>
      <w:r>
        <w:rPr/>
        <w:t>以上的股份比例，亦无单一股东可以实际支配公司股份表决权超过</w:t>
      </w:r>
      <w:r>
        <w:rPr>
          <w:spacing w:val="-47"/>
        </w:rPr>
        <w:t> </w:t>
      </w:r>
      <w:r>
        <w:rPr>
          <w:rFonts w:ascii="Times New Roman" w:hAnsi="Times New Roman" w:cs="Times New Roman" w:eastAsia="Times New Roman" w:hint="default"/>
        </w:rPr>
        <w:t>30%</w:t>
      </w:r>
      <w:r>
        <w:rPr/>
        <w:t>，公</w:t>
      </w:r>
      <w:r>
        <w:rPr>
          <w:spacing w:val="-3"/>
        </w:rPr>
        <w:t> </w:t>
      </w:r>
      <w:r>
        <w:rPr/>
        <w:t>司任一股东实际可支配的公司表决权份额均无法对公司股东大会决议产生重大影响。</w:t>
      </w:r>
    </w:p>
    <w:p>
      <w:pPr>
        <w:pStyle w:val="BodyText"/>
        <w:spacing w:line="312" w:lineRule="auto" w:before="72"/>
        <w:ind w:right="1131" w:firstLine="360"/>
        <w:jc w:val="both"/>
      </w:pPr>
      <w:r>
        <w:rPr>
          <w:spacing w:val="-4"/>
        </w:rPr>
        <w:t>此外，公司董事会共</w:t>
      </w:r>
      <w:r>
        <w:rPr>
          <w:spacing w:val="-42"/>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spacing w:val="-5"/>
        </w:rPr>
        <w:t>人，其中独立董事</w:t>
      </w:r>
      <w:r>
        <w:rPr>
          <w:spacing w:val="-41"/>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spacing w:val="-6"/>
        </w:rPr>
        <w:t>名，非独立董事</w:t>
      </w:r>
      <w:r>
        <w:rPr>
          <w:spacing w:val="-44"/>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spacing w:val="-12"/>
        </w:rPr>
        <w:t>名。</w:t>
      </w:r>
      <w:r>
        <w:rPr>
          <w:rFonts w:ascii="Times New Roman" w:hAnsi="Times New Roman" w:cs="Times New Roman" w:eastAsia="Times New Roman" w:hint="default"/>
          <w:spacing w:val="-12"/>
        </w:rPr>
        <w:t>3</w:t>
      </w:r>
      <w:r>
        <w:rPr>
          <w:rFonts w:ascii="Times New Roman" w:hAnsi="Times New Roman" w:cs="Times New Roman" w:eastAsia="Times New Roman" w:hint="default"/>
          <w:spacing w:val="4"/>
        </w:rPr>
        <w:t> </w:t>
      </w:r>
      <w:r>
        <w:rPr>
          <w:spacing w:val="-4"/>
        </w:rPr>
        <w:t>名独立董事由公司董事会提名，根据中国证监会《关</w:t>
      </w:r>
      <w:r>
        <w:rPr/>
        <w:t> </w:t>
      </w:r>
      <w:r>
        <w:rPr>
          <w:spacing w:val="-2"/>
        </w:rPr>
        <w:t>于在上市公司建立独立董事制度的指导意见》及《公司章程》，独立董事独立履行职责，不受公司主要股东、实际控制人、</w:t>
      </w:r>
      <w:r>
        <w:rPr>
          <w:spacing w:val="-71"/>
        </w:rPr>
        <w:t> </w:t>
      </w:r>
      <w:r>
        <w:rPr>
          <w:spacing w:val="-71"/>
        </w:rPr>
      </w:r>
      <w:r>
        <w:rPr>
          <w:spacing w:val="-5"/>
        </w:rPr>
        <w:t>或者其他与公司存在利害关系的单位或个人的影响。非独立董事中，匡涛、胡宏伟、钱维章为中国人寿及其一致行动人提名，</w:t>
      </w:r>
      <w:r>
        <w:rPr>
          <w:spacing w:val="-78"/>
        </w:rPr>
        <w:t> </w:t>
      </w:r>
      <w:r>
        <w:rPr>
          <w:spacing w:val="-78"/>
        </w:rPr>
      </w:r>
      <w:r>
        <w:rPr>
          <w:spacing w:val="-2"/>
        </w:rPr>
        <w:t>李光亚、杨玲、姜锋为万豪投资提名。因此，公司第一大股东中国人寿及其一致行动人推荐的董事未达到公司董事会人数的</w:t>
      </w:r>
      <w:r>
        <w:rPr>
          <w:spacing w:val="-66"/>
        </w:rPr>
        <w:t> </w:t>
      </w:r>
      <w:r>
        <w:rPr>
          <w:spacing w:val="-66"/>
        </w:rPr>
      </w:r>
      <w:r>
        <w:rPr/>
        <w:t>二分之一以上，其无法形成对公司董事会的控制。</w:t>
      </w:r>
    </w:p>
    <w:p>
      <w:pPr>
        <w:spacing w:after="0" w:line="312" w:lineRule="auto"/>
        <w:jc w:val="both"/>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19" w:lineRule="auto" w:before="44"/>
        <w:ind w:right="1129" w:firstLine="360"/>
        <w:jc w:val="both"/>
      </w:pPr>
      <w:r>
        <w:rPr>
          <w:spacing w:val="-2"/>
        </w:rPr>
        <w:t>根据《公司章程》的规定，公司经理、副经理、财务负责人、董事会秘书为高级管理人员，由董事会聘任或解聘。基于</w:t>
      </w:r>
      <w:r>
        <w:rPr/>
        <w:t> </w:t>
      </w:r>
      <w:r>
        <w:rPr>
          <w:spacing w:val="-2"/>
        </w:rPr>
        <w:t>公司第一大股东中国人寿及其一致行动人及其他股东均无法单独对公司董事会形成控制，因此，任一股东无法单方面决定公</w:t>
      </w:r>
      <w:r>
        <w:rPr>
          <w:spacing w:val="-64"/>
        </w:rPr>
        <w:t> </w:t>
      </w:r>
      <w:r>
        <w:rPr>
          <w:spacing w:val="-64"/>
        </w:rPr>
      </w:r>
      <w:r>
        <w:rPr/>
        <w:t>司主要管理人员，亦无法在公司重大财务及经营决策机制方面拥有决定权。</w:t>
      </w:r>
    </w:p>
    <w:p>
      <w:pPr>
        <w:pStyle w:val="BodyText"/>
        <w:spacing w:line="316" w:lineRule="auto" w:before="58"/>
        <w:ind w:right="1129" w:firstLine="360"/>
        <w:jc w:val="both"/>
      </w:pPr>
      <w:r>
        <w:rPr>
          <w:spacing w:val="-2"/>
        </w:rPr>
        <w:t>综上所述，公司各股东分别持有的公司有表决权的股份比例均较低，无法对公司股东大会、董事会进行控制或产生重大</w:t>
      </w:r>
      <w:r>
        <w:rPr/>
        <w:t> </w:t>
      </w:r>
      <w:r>
        <w:rPr>
          <w:spacing w:val="-5"/>
        </w:rPr>
        <w:t>影响，亦无法单方面决定公司主要管理人员，或在公司重大财务及经营决策机制方面拥有决定权。公司不存在通过投资关系、</w:t>
      </w:r>
      <w:r>
        <w:rPr>
          <w:spacing w:val="-75"/>
        </w:rPr>
        <w:t> </w:t>
      </w:r>
      <w:r>
        <w:rPr>
          <w:spacing w:val="-75"/>
        </w:rPr>
      </w:r>
      <w:r>
        <w:rPr/>
        <w:t>协议或者其他安排，能够实际支配公司行为的人。因此，公司变更为无控股股东、无实际控制人。</w:t>
      </w:r>
    </w:p>
    <w:p>
      <w:pPr>
        <w:spacing w:line="240" w:lineRule="auto" w:before="8"/>
        <w:rPr>
          <w:rFonts w:ascii="宋体" w:hAnsi="宋体" w:cs="宋体" w:eastAsia="宋体" w:hint="default"/>
          <w:sz w:val="19"/>
          <w:szCs w:val="19"/>
        </w:rPr>
      </w:pPr>
    </w:p>
    <w:p>
      <w:pPr>
        <w:pStyle w:val="BodyText"/>
        <w:spacing w:line="240" w:lineRule="auto"/>
        <w:ind w:right="2602"/>
        <w:jc w:val="left"/>
      </w:pPr>
      <w:r>
        <w:rPr/>
        <w:t>控股股东报告期内变更</w:t>
      </w:r>
    </w:p>
    <w:p>
      <w:pPr>
        <w:pStyle w:val="BodyText"/>
        <w:spacing w:line="240" w:lineRule="auto" w:before="117"/>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540"/>
        <w:gridCol w:w="7030"/>
      </w:tblGrid>
      <w:tr>
        <w:trPr>
          <w:trHeight w:val="401" w:hRule="exact"/>
        </w:trPr>
        <w:tc>
          <w:tcPr>
            <w:tcW w:w="2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新控股股东名称</w:t>
            </w:r>
          </w:p>
        </w:tc>
        <w:tc>
          <w:tcPr>
            <w:tcW w:w="70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03" w:hRule="exact"/>
        </w:trPr>
        <w:tc>
          <w:tcPr>
            <w:tcW w:w="2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变更日期</w:t>
            </w:r>
          </w:p>
        </w:tc>
        <w:tc>
          <w:tcPr>
            <w:tcW w:w="70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r>
      <w:tr>
        <w:trPr>
          <w:trHeight w:val="401" w:hRule="exact"/>
        </w:trPr>
        <w:tc>
          <w:tcPr>
            <w:tcW w:w="2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指定网站查询索引</w:t>
            </w:r>
          </w:p>
        </w:tc>
        <w:tc>
          <w:tcPr>
            <w:tcW w:w="70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《关于公司第一大股东变更暨无实际控制人的提示性公告</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公告编号</w:t>
            </w:r>
            <w:r>
              <w:rPr>
                <w:rFonts w:ascii="宋体" w:hAnsi="宋体" w:cs="宋体" w:eastAsia="宋体" w:hint="default"/>
                <w:spacing w:val="-43"/>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19</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pacing w:val="1"/>
                <w:sz w:val="18"/>
                <w:szCs w:val="18"/>
              </w:rPr>
              <w:t>2</w:t>
            </w:r>
            <w:r>
              <w:rPr>
                <w:rFonts w:ascii="宋体" w:hAnsi="宋体" w:cs="宋体" w:eastAsia="宋体" w:hint="default"/>
                <w:sz w:val="18"/>
                <w:szCs w:val="18"/>
              </w:rPr>
              <w:t>）</w:t>
            </w:r>
          </w:p>
        </w:tc>
      </w:tr>
      <w:tr>
        <w:trPr>
          <w:trHeight w:val="403" w:hRule="exact"/>
        </w:trPr>
        <w:tc>
          <w:tcPr>
            <w:tcW w:w="2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指定网站披露日期</w:t>
            </w:r>
          </w:p>
        </w:tc>
        <w:tc>
          <w:tcPr>
            <w:tcW w:w="70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公司实际控制人及其一致行动人" w:id="117"/>
      <w:bookmarkEnd w:id="117"/>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8054"/>
        <w:jc w:val="left"/>
      </w:pPr>
      <w:r>
        <w:rPr/>
        <w:t>实际控制人性质：无实际控制人 实际控制人类型：不存在 公司不存在实际控制人情况的说明</w:t>
      </w:r>
    </w:p>
    <w:p>
      <w:pPr>
        <w:pStyle w:val="BodyText"/>
        <w:spacing w:line="240" w:lineRule="auto" w:before="110"/>
        <w:ind w:left="0" w:right="5937"/>
        <w:jc w:val="center"/>
      </w:pPr>
      <w:r>
        <w:rPr/>
        <w:t>具体内容同前述公司不存在控股股东情况的说明。</w:t>
      </w:r>
    </w:p>
    <w:p>
      <w:pPr>
        <w:spacing w:line="240" w:lineRule="auto" w:before="11"/>
        <w:rPr>
          <w:rFonts w:ascii="宋体" w:hAnsi="宋体" w:cs="宋体" w:eastAsia="宋体" w:hint="default"/>
          <w:sz w:val="14"/>
          <w:szCs w:val="14"/>
        </w:rPr>
      </w:pPr>
    </w:p>
    <w:p>
      <w:pPr>
        <w:pStyle w:val="BodyText"/>
        <w:spacing w:line="240" w:lineRule="auto"/>
        <w:ind w:right="2602"/>
        <w:jc w:val="left"/>
      </w:pPr>
      <w:r>
        <w:rPr/>
        <w:t>公司最终控制层面是否存在持股比例在</w:t>
      </w:r>
      <w:r>
        <w:rPr>
          <w:spacing w:val="-44"/>
        </w:rPr>
        <w:t> </w:t>
      </w:r>
      <w:r>
        <w:rPr>
          <w:rFonts w:ascii="Times New Roman" w:hAnsi="Times New Roman" w:cs="Times New Roman" w:eastAsia="Times New Roman" w:hint="default"/>
        </w:rPr>
        <w:t>10%</w:t>
      </w:r>
      <w:r>
        <w:rPr/>
        <w:t>以上的股东情况</w:t>
      </w:r>
    </w:p>
    <w:p>
      <w:pPr>
        <w:pStyle w:val="BodyText"/>
        <w:spacing w:line="338" w:lineRule="auto" w:before="104"/>
        <w:ind w:right="968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法人</w:t>
      </w:r>
    </w:p>
    <w:p>
      <w:pPr>
        <w:pStyle w:val="BodyText"/>
        <w:spacing w:line="240" w:lineRule="auto" w:before="43"/>
        <w:ind w:right="2602"/>
        <w:jc w:val="left"/>
      </w:pPr>
      <w:r>
        <w:rPr/>
        <w:t>最终控制层面持股情况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BodyText"/>
        <w:spacing w:line="240" w:lineRule="auto" w:before="44"/>
        <w:ind w:left="0" w:right="1066"/>
        <w:jc w:val="right"/>
      </w:pPr>
      <w:r>
        <w:rPr/>
        <w:pict>
          <v:shape style="position:absolute;margin-left:56.400002pt;margin-top:-83.168289pt;width:482.9pt;height:267.4pt;mso-position-horizontal-relative:page;mso-position-vertical-relative:paragraph;z-index:19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85"/>
                    <w:gridCol w:w="288"/>
                    <w:gridCol w:w="851"/>
                    <w:gridCol w:w="990"/>
                    <w:gridCol w:w="1215"/>
                    <w:gridCol w:w="874"/>
                    <w:gridCol w:w="3440"/>
                  </w:tblGrid>
                  <w:tr>
                    <w:trPr>
                      <w:trHeight w:val="71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hAnsi="宋体" w:cs="宋体" w:eastAsia="宋体" w:hint="default"/>
                            <w:sz w:val="18"/>
                            <w:szCs w:val="18"/>
                          </w:rPr>
                          <w:t>最终控制层面股东名称</w:t>
                        </w:r>
                      </w:p>
                    </w:tc>
                    <w:tc>
                      <w:tcPr>
                        <w:tcW w:w="113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12" w:right="90" w:hanging="27"/>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 </w:t>
                        </w:r>
                        <w:r>
                          <w:rPr>
                            <w:rFonts w:ascii="宋体" w:hAnsi="宋体" w:cs="宋体" w:eastAsia="宋体" w:hint="default"/>
                            <w:sz w:val="18"/>
                            <w:szCs w:val="18"/>
                          </w:rPr>
                          <w:t>单位负责人</w:t>
                        </w:r>
                      </w:p>
                    </w:tc>
                    <w:tc>
                      <w:tcPr>
                        <w:tcW w:w="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20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94"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3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228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中国人寿股份有限公司</w:t>
                        </w:r>
                      </w:p>
                    </w:tc>
                    <w:tc>
                      <w:tcPr>
                        <w:tcW w:w="1139" w:type="dxa"/>
                        <w:gridSpan w:val="2"/>
                        <w:tcBorders>
                          <w:top w:val="single" w:sz="4" w:space="0" w:color="000000"/>
                          <w:left w:val="single" w:sz="4" w:space="0" w:color="000000"/>
                          <w:bottom w:val="single" w:sz="6" w:space="0" w:color="FFFFFF"/>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王滨</w:t>
                        </w:r>
                      </w:p>
                    </w:tc>
                    <w:tc>
                      <w:tcPr>
                        <w:tcW w:w="990" w:type="dxa"/>
                        <w:tcBorders>
                          <w:top w:val="single" w:sz="4" w:space="0" w:color="000000"/>
                          <w:left w:val="single" w:sz="4" w:space="0" w:color="000000"/>
                          <w:bottom w:val="single" w:sz="10" w:space="0" w:color="FFFFFF"/>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088" w:type="dxa"/>
                        <w:gridSpan w:val="2"/>
                        <w:tcBorders>
                          <w:top w:val="single" w:sz="4" w:space="0" w:color="000000"/>
                          <w:left w:val="single" w:sz="4" w:space="0" w:color="000000"/>
                          <w:bottom w:val="single" w:sz="10" w:space="0" w:color="FFFFFF"/>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sz w:val="18"/>
                          </w:rPr>
                          <w:t>9110000071092841XX</w:t>
                        </w:r>
                      </w:p>
                    </w:tc>
                    <w:tc>
                      <w:tcPr>
                        <w:tcW w:w="3440" w:type="dxa"/>
                        <w:tcBorders>
                          <w:top w:val="single" w:sz="4" w:space="0" w:color="000000"/>
                          <w:left w:val="single" w:sz="4" w:space="0" w:color="000000"/>
                          <w:bottom w:val="single" w:sz="10" w:space="0" w:color="FFFFFF"/>
                          <w:right w:val="single" w:sz="4" w:space="0" w:color="000000"/>
                        </w:tcBorders>
                      </w:tcPr>
                      <w:p>
                        <w:pPr>
                          <w:pStyle w:val="TableParagraph"/>
                          <w:spacing w:line="319" w:lineRule="auto" w:before="49"/>
                          <w:ind w:left="16" w:right="-7"/>
                          <w:jc w:val="left"/>
                          <w:rPr>
                            <w:rFonts w:ascii="宋体" w:hAnsi="宋体" w:cs="宋体" w:eastAsia="宋体" w:hint="default"/>
                            <w:sz w:val="18"/>
                            <w:szCs w:val="18"/>
                          </w:rPr>
                        </w:pPr>
                        <w:r>
                          <w:rPr>
                            <w:rFonts w:ascii="宋体" w:hAnsi="宋体" w:cs="宋体" w:eastAsia="宋体" w:hint="default"/>
                            <w:spacing w:val="-2"/>
                            <w:sz w:val="18"/>
                            <w:szCs w:val="18"/>
                          </w:rPr>
                          <w:t>人寿保险、健康保险、意外伤害保险等各类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人身保险业务；人身保险的再保险业务；国</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家法律、法规允许或国务院批准的资金运用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7"/>
                            <w:sz w:val="18"/>
                            <w:szCs w:val="18"/>
                          </w:rPr>
                          <w:t>业务；各类人身保险服务、咨询和代理业务</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2"/>
                            <w:sz w:val="18"/>
                            <w:szCs w:val="18"/>
                          </w:rPr>
                          <w:t>证券投资基金销售业务；国家保险监督管理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部门批准的其他业务。（依法须经批准的项</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目，经相关部门批准后方可开展经营活动）</w:t>
                        </w:r>
                      </w:p>
                    </w:tc>
                  </w:tr>
                  <w:tr>
                    <w:trPr>
                      <w:trHeight w:val="658" w:hRule="exact"/>
                    </w:trPr>
                    <w:tc>
                      <w:tcPr>
                        <w:tcW w:w="1985" w:type="dxa"/>
                        <w:vMerge w:val="restart"/>
                        <w:tcBorders>
                          <w:top w:val="single" w:sz="4" w:space="0" w:color="000000"/>
                          <w:left w:val="single" w:sz="4" w:space="0" w:color="000000"/>
                          <w:right w:val="single" w:sz="4" w:space="0" w:color="000000"/>
                        </w:tcBorders>
                        <w:shd w:val="clear" w:color="auto" w:fill="BEBEBE"/>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316" w:lineRule="auto"/>
                          <w:ind w:left="24" w:right="149"/>
                          <w:jc w:val="both"/>
                          <w:rPr>
                            <w:rFonts w:ascii="宋体" w:hAnsi="宋体" w:cs="宋体" w:eastAsia="宋体" w:hint="default"/>
                            <w:sz w:val="18"/>
                            <w:szCs w:val="18"/>
                          </w:rPr>
                        </w:pPr>
                        <w:r>
                          <w:rPr>
                            <w:rFonts w:ascii="宋体" w:hAnsi="宋体" w:cs="宋体" w:eastAsia="宋体" w:hint="default"/>
                            <w:sz w:val="18"/>
                            <w:szCs w:val="18"/>
                          </w:rPr>
                          <w:t>最终控制层面股东报告 期内控制的其他境内外 上市公司的股权情况</w:t>
                        </w:r>
                      </w:p>
                    </w:tc>
                    <w:tc>
                      <w:tcPr>
                        <w:tcW w:w="288" w:type="dxa"/>
                        <w:tcBorders>
                          <w:top w:val="single" w:sz="4" w:space="0" w:color="000000"/>
                          <w:left w:val="single" w:sz="4" w:space="0" w:color="000000"/>
                          <w:bottom w:val="single" w:sz="6" w:space="0" w:color="000000"/>
                          <w:right w:val="single" w:sz="6" w:space="0" w:color="000000"/>
                        </w:tcBorders>
                      </w:tcPr>
                      <w:p>
                        <w:pPr>
                          <w:pStyle w:val="TableParagraph"/>
                          <w:spacing w:line="316" w:lineRule="auto" w:before="15"/>
                          <w:ind w:left="62" w:right="31"/>
                          <w:jc w:val="left"/>
                          <w:rPr>
                            <w:rFonts w:ascii="宋体" w:hAnsi="宋体" w:cs="宋体" w:eastAsia="宋体" w:hint="default"/>
                            <w:sz w:val="18"/>
                            <w:szCs w:val="18"/>
                          </w:rPr>
                        </w:pPr>
                        <w:r>
                          <w:rPr>
                            <w:rFonts w:ascii="宋体" w:hAnsi="宋体" w:cs="宋体" w:eastAsia="宋体" w:hint="default"/>
                            <w:sz w:val="18"/>
                            <w:szCs w:val="18"/>
                          </w:rPr>
                          <w:t>序 号</w:t>
                        </w:r>
                      </w:p>
                    </w:tc>
                    <w:tc>
                      <w:tcPr>
                        <w:tcW w:w="851" w:type="dxa"/>
                        <w:tcBorders>
                          <w:top w:val="single" w:sz="10" w:space="0" w:color="FFFFFF"/>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证券简称</w:t>
                        </w:r>
                      </w:p>
                    </w:tc>
                    <w:tc>
                      <w:tcPr>
                        <w:tcW w:w="990" w:type="dxa"/>
                        <w:tcBorders>
                          <w:top w:val="single" w:sz="10" w:space="0" w:color="FFFFFF"/>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6" w:right="0"/>
                          <w:jc w:val="left"/>
                          <w:rPr>
                            <w:rFonts w:ascii="宋体" w:hAnsi="宋体" w:cs="宋体" w:eastAsia="宋体" w:hint="default"/>
                            <w:sz w:val="18"/>
                            <w:szCs w:val="18"/>
                          </w:rPr>
                        </w:pPr>
                        <w:r>
                          <w:rPr>
                            <w:rFonts w:ascii="宋体" w:hAnsi="宋体" w:cs="宋体" w:eastAsia="宋体" w:hint="default"/>
                            <w:sz w:val="18"/>
                            <w:szCs w:val="18"/>
                          </w:rPr>
                          <w:t>证券代码</w:t>
                        </w:r>
                      </w:p>
                    </w:tc>
                    <w:tc>
                      <w:tcPr>
                        <w:tcW w:w="1215" w:type="dxa"/>
                        <w:tcBorders>
                          <w:top w:val="single" w:sz="10" w:space="0" w:color="FFFFFF"/>
                          <w:left w:val="single" w:sz="6" w:space="0" w:color="000000"/>
                          <w:bottom w:val="single" w:sz="6" w:space="0" w:color="000000"/>
                          <w:right w:val="single" w:sz="6" w:space="0" w:color="000000"/>
                        </w:tcBorders>
                      </w:tcPr>
                      <w:p>
                        <w:pPr>
                          <w:pStyle w:val="TableParagraph"/>
                          <w:spacing w:line="316" w:lineRule="auto" w:before="8"/>
                          <w:ind w:left="240" w:right="5" w:hanging="233"/>
                          <w:jc w:val="left"/>
                          <w:rPr>
                            <w:rFonts w:ascii="宋体" w:hAnsi="宋体" w:cs="宋体" w:eastAsia="宋体" w:hint="default"/>
                            <w:sz w:val="18"/>
                            <w:szCs w:val="18"/>
                          </w:rPr>
                        </w:pPr>
                        <w:r>
                          <w:rPr>
                            <w:rFonts w:ascii="宋体" w:hAnsi="宋体" w:cs="宋体" w:eastAsia="宋体" w:hint="default"/>
                            <w:spacing w:val="-11"/>
                            <w:sz w:val="18"/>
                            <w:szCs w:val="18"/>
                          </w:rPr>
                          <w:t>直接、间接持股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比例合计</w:t>
                        </w:r>
                      </w:p>
                    </w:tc>
                    <w:tc>
                      <w:tcPr>
                        <w:tcW w:w="874" w:type="dxa"/>
                        <w:tcBorders>
                          <w:top w:val="single" w:sz="10" w:space="0" w:color="FFFFFF"/>
                          <w:left w:val="single" w:sz="6" w:space="0" w:color="000000"/>
                          <w:bottom w:val="single" w:sz="6" w:space="0" w:color="000000"/>
                          <w:right w:val="single" w:sz="6" w:space="0" w:color="000000"/>
                        </w:tcBorders>
                      </w:tcPr>
                      <w:p>
                        <w:pPr>
                          <w:pStyle w:val="TableParagraph"/>
                          <w:spacing w:line="316" w:lineRule="auto" w:before="8"/>
                          <w:ind w:left="251" w:right="65" w:hanging="180"/>
                          <w:jc w:val="left"/>
                          <w:rPr>
                            <w:rFonts w:ascii="宋体" w:hAnsi="宋体" w:cs="宋体" w:eastAsia="宋体" w:hint="default"/>
                            <w:sz w:val="18"/>
                            <w:szCs w:val="18"/>
                          </w:rPr>
                        </w:pPr>
                        <w:r>
                          <w:rPr>
                            <w:rFonts w:ascii="宋体" w:hAnsi="宋体" w:cs="宋体" w:eastAsia="宋体" w:hint="default"/>
                            <w:sz w:val="18"/>
                            <w:szCs w:val="18"/>
                          </w:rPr>
                          <w:t>是否达到 控制</w:t>
                        </w:r>
                      </w:p>
                    </w:tc>
                    <w:tc>
                      <w:tcPr>
                        <w:tcW w:w="3440" w:type="dxa"/>
                        <w:tcBorders>
                          <w:top w:val="single" w:sz="10" w:space="0" w:color="FFFFFF"/>
                          <w:left w:val="single" w:sz="6" w:space="0" w:color="000000"/>
                          <w:bottom w:val="single" w:sz="6"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2"/>
                          <w:jc w:val="center"/>
                          <w:rPr>
                            <w:rFonts w:ascii="宋体" w:hAnsi="宋体" w:cs="宋体" w:eastAsia="宋体" w:hint="default"/>
                            <w:sz w:val="18"/>
                            <w:szCs w:val="18"/>
                          </w:rPr>
                        </w:pPr>
                        <w:r>
                          <w:rPr>
                            <w:rFonts w:ascii="宋体" w:hAnsi="宋体" w:cs="宋体" w:eastAsia="宋体" w:hint="default"/>
                            <w:sz w:val="18"/>
                            <w:szCs w:val="18"/>
                          </w:rPr>
                          <w:t>主营业务</w:t>
                        </w:r>
                      </w:p>
                    </w:tc>
                  </w:tr>
                  <w:tr>
                    <w:trPr>
                      <w:trHeight w:val="1685" w:hRule="exact"/>
                    </w:trPr>
                    <w:tc>
                      <w:tcPr>
                        <w:tcW w:w="1985" w:type="dxa"/>
                        <w:vMerge/>
                        <w:tcBorders>
                          <w:left w:val="single" w:sz="4" w:space="0" w:color="000000"/>
                          <w:bottom w:val="single" w:sz="4" w:space="0" w:color="000000"/>
                          <w:right w:val="single" w:sz="4" w:space="0" w:color="000000"/>
                        </w:tcBorders>
                        <w:shd w:val="clear" w:color="auto" w:fill="BEBEBE"/>
                      </w:tcPr>
                      <w:p>
                        <w:pPr/>
                      </w:p>
                    </w:tc>
                    <w:tc>
                      <w:tcPr>
                        <w:tcW w:w="288"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w:t>
                        </w:r>
                      </w:p>
                    </w:tc>
                    <w:tc>
                      <w:tcPr>
                        <w:tcW w:w="851"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中国人寿</w:t>
                        </w:r>
                      </w:p>
                    </w:tc>
                    <w:tc>
                      <w:tcPr>
                        <w:tcW w:w="99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601628.SH</w:t>
                        </w:r>
                      </w:p>
                    </w:tc>
                    <w:tc>
                      <w:tcPr>
                        <w:tcW w:w="1215"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638" w:right="0"/>
                          <w:jc w:val="left"/>
                          <w:rPr>
                            <w:rFonts w:ascii="Times New Roman" w:hAnsi="Times New Roman" w:cs="Times New Roman" w:eastAsia="Times New Roman" w:hint="default"/>
                            <w:sz w:val="18"/>
                            <w:szCs w:val="18"/>
                          </w:rPr>
                        </w:pPr>
                        <w:r>
                          <w:rPr>
                            <w:rFonts w:ascii="Times New Roman"/>
                            <w:sz w:val="18"/>
                          </w:rPr>
                          <w:t>68.37%</w:t>
                        </w:r>
                      </w:p>
                    </w:tc>
                    <w:tc>
                      <w:tcPr>
                        <w:tcW w:w="87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3440" w:type="dxa"/>
                        <w:tcBorders>
                          <w:top w:val="single" w:sz="6" w:space="0" w:color="000000"/>
                          <w:left w:val="single" w:sz="6" w:space="0" w:color="000000"/>
                          <w:bottom w:val="single" w:sz="4" w:space="0" w:color="000000"/>
                          <w:right w:val="single" w:sz="4" w:space="0" w:color="000000"/>
                        </w:tcBorders>
                      </w:tcPr>
                      <w:p>
                        <w:pPr>
                          <w:pStyle w:val="TableParagraph"/>
                          <w:spacing w:line="312" w:lineRule="auto" w:before="65"/>
                          <w:ind w:left="14" w:right="36"/>
                          <w:jc w:val="left"/>
                          <w:rPr>
                            <w:rFonts w:ascii="宋体" w:hAnsi="宋体" w:cs="宋体" w:eastAsia="宋体" w:hint="default"/>
                            <w:sz w:val="18"/>
                            <w:szCs w:val="18"/>
                          </w:rPr>
                        </w:pPr>
                        <w:r>
                          <w:rPr>
                            <w:rFonts w:ascii="宋体" w:hAnsi="宋体" w:cs="宋体" w:eastAsia="宋体" w:hint="default"/>
                            <w:spacing w:val="-3"/>
                            <w:sz w:val="18"/>
                            <w:szCs w:val="18"/>
                          </w:rPr>
                          <w:t>人寿保险、健康保险、意外伤害险等各类人</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身保险业务</w:t>
                        </w:r>
                        <w:r>
                          <w:rPr>
                            <w:rFonts w:ascii="Times New Roman" w:hAnsi="Times New Roman" w:cs="Times New Roman" w:eastAsia="Times New Roman" w:hint="default"/>
                            <w:sz w:val="18"/>
                            <w:szCs w:val="18"/>
                          </w:rPr>
                          <w:t>;</w:t>
                        </w:r>
                        <w:r>
                          <w:rPr>
                            <w:rFonts w:ascii="宋体" w:hAnsi="宋体" w:cs="宋体" w:eastAsia="宋体" w:hint="default"/>
                            <w:sz w:val="18"/>
                            <w:szCs w:val="18"/>
                          </w:rPr>
                          <w:t>人身保险的再保险业务；国家 </w:t>
                        </w:r>
                        <w:r>
                          <w:rPr>
                            <w:rFonts w:ascii="宋体" w:hAnsi="宋体" w:cs="宋体" w:eastAsia="宋体" w:hint="default"/>
                            <w:spacing w:val="-3"/>
                            <w:sz w:val="18"/>
                            <w:szCs w:val="18"/>
                          </w:rPr>
                          <w:t>法律、法规允许的或经国务院批准的资金运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用业务；各类人身保险服务、咨询和代理业</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务；国家保险监管部门批准的其他业务。</w:t>
                        </w:r>
                      </w:p>
                    </w:tc>
                  </w:tr>
                </w:tbl>
                <w:p>
                  <w:pPr/>
                </w:p>
              </w:txbxContent>
            </v:textbox>
            <w10:wrap type="none"/>
          </v:shape>
        </w:pict>
      </w:r>
      <w:r>
        <w:rPr/>
        <w:t>；</w:t>
      </w:r>
    </w:p>
    <w:p>
      <w:pPr>
        <w:spacing w:after="0" w:line="240" w:lineRule="auto"/>
        <w:jc w:val="righ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240" w:lineRule="auto"/>
        <w:ind w:left="0" w:right="1081"/>
        <w:jc w:val="right"/>
      </w:pPr>
      <w:r>
        <w:rPr/>
        <w:pict>
          <v:shape style="position:absolute;margin-left:56.459999pt;margin-top:-186.938309pt;width:483.95pt;height:274.05pt;mso-position-horizontal-relative:page;mso-position-vertical-relative:paragraph;z-index:1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84"/>
                    <w:gridCol w:w="288"/>
                    <w:gridCol w:w="853"/>
                    <w:gridCol w:w="989"/>
                    <w:gridCol w:w="1215"/>
                    <w:gridCol w:w="878"/>
                    <w:gridCol w:w="3458"/>
                  </w:tblGrid>
                  <w:tr>
                    <w:trPr>
                      <w:trHeight w:val="660" w:hRule="exact"/>
                    </w:trPr>
                    <w:tc>
                      <w:tcPr>
                        <w:tcW w:w="1984" w:type="dxa"/>
                        <w:vMerge w:val="restart"/>
                        <w:tcBorders>
                          <w:top w:val="single" w:sz="4" w:space="0" w:color="000000"/>
                          <w:left w:val="single" w:sz="4" w:space="0" w:color="000000"/>
                          <w:right w:val="single" w:sz="4" w:space="0" w:color="000000"/>
                        </w:tcBorders>
                        <w:shd w:val="clear" w:color="auto" w:fill="BEBEBE"/>
                      </w:tcPr>
                      <w:p>
                        <w:pPr/>
                      </w:p>
                    </w:tc>
                    <w:tc>
                      <w:tcPr>
                        <w:tcW w:w="288" w:type="dxa"/>
                        <w:tcBorders>
                          <w:top w:val="single" w:sz="4" w:space="0" w:color="000000"/>
                          <w:left w:val="single" w:sz="4" w:space="0" w:color="000000"/>
                          <w:bottom w:val="single" w:sz="6" w:space="0" w:color="000000"/>
                          <w:right w:val="single" w:sz="6" w:space="0" w:color="000000"/>
                        </w:tcBorders>
                      </w:tcPr>
                      <w:p>
                        <w:pPr>
                          <w:pStyle w:val="TableParagraph"/>
                          <w:spacing w:line="319" w:lineRule="auto" w:before="15"/>
                          <w:ind w:left="62" w:right="31"/>
                          <w:jc w:val="left"/>
                          <w:rPr>
                            <w:rFonts w:ascii="宋体" w:hAnsi="宋体" w:cs="宋体" w:eastAsia="宋体" w:hint="default"/>
                            <w:sz w:val="18"/>
                            <w:szCs w:val="18"/>
                          </w:rPr>
                        </w:pPr>
                        <w:r>
                          <w:rPr>
                            <w:rFonts w:ascii="宋体" w:hAnsi="宋体" w:cs="宋体" w:eastAsia="宋体" w:hint="default"/>
                            <w:sz w:val="18"/>
                            <w:szCs w:val="18"/>
                          </w:rPr>
                          <w:t>序 号</w:t>
                        </w:r>
                      </w:p>
                    </w:tc>
                    <w:tc>
                      <w:tcPr>
                        <w:tcW w:w="853" w:type="dxa"/>
                        <w:tcBorders>
                          <w:top w:val="single" w:sz="10" w:space="0" w:color="FFFFFF"/>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证券简称</w:t>
                        </w:r>
                      </w:p>
                    </w:tc>
                    <w:tc>
                      <w:tcPr>
                        <w:tcW w:w="989" w:type="dxa"/>
                        <w:tcBorders>
                          <w:top w:val="single" w:sz="10" w:space="0" w:color="FFFFFF"/>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证券代码</w:t>
                        </w:r>
                      </w:p>
                    </w:tc>
                    <w:tc>
                      <w:tcPr>
                        <w:tcW w:w="1215" w:type="dxa"/>
                        <w:tcBorders>
                          <w:top w:val="single" w:sz="10" w:space="0" w:color="FFFFFF"/>
                          <w:left w:val="single" w:sz="6" w:space="0" w:color="000000"/>
                          <w:bottom w:val="single" w:sz="6" w:space="0" w:color="000000"/>
                          <w:right w:val="single" w:sz="6" w:space="0" w:color="000000"/>
                        </w:tcBorders>
                      </w:tcPr>
                      <w:p>
                        <w:pPr>
                          <w:pStyle w:val="TableParagraph"/>
                          <w:spacing w:line="319" w:lineRule="auto" w:before="8"/>
                          <w:ind w:left="240" w:right="5" w:hanging="233"/>
                          <w:jc w:val="left"/>
                          <w:rPr>
                            <w:rFonts w:ascii="宋体" w:hAnsi="宋体" w:cs="宋体" w:eastAsia="宋体" w:hint="default"/>
                            <w:sz w:val="18"/>
                            <w:szCs w:val="18"/>
                          </w:rPr>
                        </w:pPr>
                        <w:r>
                          <w:rPr>
                            <w:rFonts w:ascii="宋体" w:hAnsi="宋体" w:cs="宋体" w:eastAsia="宋体" w:hint="default"/>
                            <w:spacing w:val="-11"/>
                            <w:sz w:val="18"/>
                            <w:szCs w:val="18"/>
                          </w:rPr>
                          <w:t>直接、间接持股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比例合计</w:t>
                        </w:r>
                      </w:p>
                    </w:tc>
                    <w:tc>
                      <w:tcPr>
                        <w:tcW w:w="878" w:type="dxa"/>
                        <w:tcBorders>
                          <w:top w:val="single" w:sz="10" w:space="0" w:color="FFFFFF"/>
                          <w:left w:val="single" w:sz="6" w:space="0" w:color="000000"/>
                          <w:bottom w:val="single" w:sz="6" w:space="0" w:color="000000"/>
                          <w:right w:val="single" w:sz="6" w:space="0" w:color="000000"/>
                        </w:tcBorders>
                      </w:tcPr>
                      <w:p>
                        <w:pPr>
                          <w:pStyle w:val="TableParagraph"/>
                          <w:spacing w:line="319" w:lineRule="auto" w:before="8"/>
                          <w:ind w:left="251" w:right="71" w:hanging="180"/>
                          <w:jc w:val="left"/>
                          <w:rPr>
                            <w:rFonts w:ascii="宋体" w:hAnsi="宋体" w:cs="宋体" w:eastAsia="宋体" w:hint="default"/>
                            <w:sz w:val="18"/>
                            <w:szCs w:val="18"/>
                          </w:rPr>
                        </w:pPr>
                        <w:r>
                          <w:rPr>
                            <w:rFonts w:ascii="宋体" w:hAnsi="宋体" w:cs="宋体" w:eastAsia="宋体" w:hint="default"/>
                            <w:sz w:val="18"/>
                            <w:szCs w:val="18"/>
                          </w:rPr>
                          <w:t>是否达到 控制</w:t>
                        </w:r>
                      </w:p>
                    </w:tc>
                    <w:tc>
                      <w:tcPr>
                        <w:tcW w:w="3458" w:type="dxa"/>
                        <w:tcBorders>
                          <w:top w:val="single" w:sz="10" w:space="0" w:color="FFFFFF"/>
                          <w:left w:val="single" w:sz="6" w:space="0" w:color="000000"/>
                          <w:bottom w:val="single" w:sz="6"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9"/>
                          <w:jc w:val="center"/>
                          <w:rPr>
                            <w:rFonts w:ascii="宋体" w:hAnsi="宋体" w:cs="宋体" w:eastAsia="宋体" w:hint="default"/>
                            <w:sz w:val="18"/>
                            <w:szCs w:val="18"/>
                          </w:rPr>
                        </w:pPr>
                        <w:r>
                          <w:rPr>
                            <w:rFonts w:ascii="宋体" w:hAnsi="宋体" w:cs="宋体" w:eastAsia="宋体" w:hint="default"/>
                            <w:sz w:val="18"/>
                            <w:szCs w:val="18"/>
                          </w:rPr>
                          <w:t>主营业务</w:t>
                        </w:r>
                      </w:p>
                    </w:tc>
                  </w:tr>
                  <w:tr>
                    <w:trPr>
                      <w:trHeight w:val="749" w:hRule="exact"/>
                    </w:trPr>
                    <w:tc>
                      <w:tcPr>
                        <w:tcW w:w="1984" w:type="dxa"/>
                        <w:vMerge/>
                        <w:tcBorders>
                          <w:left w:val="single" w:sz="4" w:space="0" w:color="000000"/>
                          <w:right w:val="single" w:sz="4" w:space="0" w:color="000000"/>
                        </w:tcBorders>
                        <w:shd w:val="clear" w:color="auto" w:fill="BEBEBE"/>
                      </w:tcPr>
                      <w:p>
                        <w:pPr/>
                      </w:p>
                    </w:tc>
                    <w:tc>
                      <w:tcPr>
                        <w:tcW w:w="28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w:t>
                        </w:r>
                      </w:p>
                    </w:tc>
                    <w:tc>
                      <w:tcPr>
                        <w:tcW w:w="85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3"/>
                          <w:ind w:left="237" w:right="58" w:hanging="180"/>
                          <w:jc w:val="left"/>
                          <w:rPr>
                            <w:rFonts w:ascii="宋体" w:hAnsi="宋体" w:cs="宋体" w:eastAsia="宋体" w:hint="default"/>
                            <w:sz w:val="18"/>
                            <w:szCs w:val="18"/>
                          </w:rPr>
                        </w:pPr>
                        <w:r>
                          <w:rPr>
                            <w:rFonts w:ascii="宋体" w:hAnsi="宋体" w:cs="宋体" w:eastAsia="宋体" w:hint="default"/>
                            <w:sz w:val="18"/>
                            <w:szCs w:val="18"/>
                          </w:rPr>
                          <w:t>康健国际 医疗</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3886.HK</w:t>
                        </w:r>
                      </w:p>
                    </w:tc>
                    <w:tc>
                      <w:tcPr>
                        <w:tcW w:w="12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23.72%</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3458" w:type="dxa"/>
                        <w:tcBorders>
                          <w:top w:val="single" w:sz="6" w:space="0" w:color="000000"/>
                          <w:left w:val="single" w:sz="6" w:space="0" w:color="000000"/>
                          <w:bottom w:val="single" w:sz="6" w:space="0" w:color="000000"/>
                          <w:right w:val="single" w:sz="4" w:space="0" w:color="000000"/>
                        </w:tcBorders>
                      </w:tcPr>
                      <w:p>
                        <w:pPr>
                          <w:pStyle w:val="TableParagraph"/>
                          <w:spacing w:line="316" w:lineRule="auto" w:before="63"/>
                          <w:ind w:left="9" w:right="59"/>
                          <w:jc w:val="left"/>
                          <w:rPr>
                            <w:rFonts w:ascii="宋体" w:hAnsi="宋体" w:cs="宋体" w:eastAsia="宋体" w:hint="default"/>
                            <w:sz w:val="18"/>
                            <w:szCs w:val="18"/>
                          </w:rPr>
                        </w:pPr>
                        <w:r>
                          <w:rPr>
                            <w:rFonts w:ascii="宋体" w:hAnsi="宋体" w:cs="宋体" w:eastAsia="宋体" w:hint="default"/>
                            <w:spacing w:val="-3"/>
                            <w:sz w:val="18"/>
                            <w:szCs w:val="18"/>
                          </w:rPr>
                          <w:t>提供医疗保健及牙科服务、医疗管理及医学</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美容业务。</w:t>
                        </w:r>
                      </w:p>
                    </w:tc>
                  </w:tr>
                  <w:tr>
                    <w:trPr>
                      <w:trHeight w:val="437" w:hRule="exact"/>
                    </w:trPr>
                    <w:tc>
                      <w:tcPr>
                        <w:tcW w:w="1984" w:type="dxa"/>
                        <w:vMerge/>
                        <w:tcBorders>
                          <w:left w:val="single" w:sz="4" w:space="0" w:color="000000"/>
                          <w:right w:val="single" w:sz="4" w:space="0" w:color="000000"/>
                        </w:tcBorders>
                        <w:shd w:val="clear" w:color="auto" w:fill="BEBEBE"/>
                      </w:tcPr>
                      <w:p>
                        <w:pPr/>
                      </w:p>
                    </w:tc>
                    <w:tc>
                      <w:tcPr>
                        <w:tcW w:w="28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3</w:t>
                        </w:r>
                      </w:p>
                    </w:tc>
                    <w:tc>
                      <w:tcPr>
                        <w:tcW w:w="8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57" w:right="0"/>
                          <w:jc w:val="left"/>
                          <w:rPr>
                            <w:rFonts w:ascii="宋体" w:hAnsi="宋体" w:cs="宋体" w:eastAsia="宋体" w:hint="default"/>
                            <w:sz w:val="18"/>
                            <w:szCs w:val="18"/>
                          </w:rPr>
                        </w:pPr>
                        <w:r>
                          <w:rPr>
                            <w:rFonts w:ascii="宋体" w:hAnsi="宋体" w:cs="宋体" w:eastAsia="宋体" w:hint="default"/>
                            <w:sz w:val="18"/>
                            <w:szCs w:val="18"/>
                          </w:rPr>
                          <w:t>远洋集团</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5"/>
                          <w:jc w:val="right"/>
                          <w:rPr>
                            <w:rFonts w:ascii="Times New Roman" w:hAnsi="Times New Roman" w:cs="Times New Roman" w:eastAsia="Times New Roman" w:hint="default"/>
                            <w:sz w:val="18"/>
                            <w:szCs w:val="18"/>
                          </w:rPr>
                        </w:pPr>
                        <w:r>
                          <w:rPr>
                            <w:rFonts w:ascii="Times New Roman"/>
                            <w:sz w:val="18"/>
                          </w:rPr>
                          <w:t>3377.HK</w:t>
                        </w:r>
                      </w:p>
                    </w:tc>
                    <w:tc>
                      <w:tcPr>
                        <w:tcW w:w="12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z w:val="18"/>
                          </w:rPr>
                          <w:t>29.59%</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34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34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3"/>
                          <w:ind w:left="9" w:right="0"/>
                          <w:jc w:val="left"/>
                          <w:rPr>
                            <w:rFonts w:ascii="宋体" w:hAnsi="宋体" w:cs="宋体" w:eastAsia="宋体" w:hint="default"/>
                            <w:sz w:val="18"/>
                            <w:szCs w:val="18"/>
                          </w:rPr>
                        </w:pPr>
                        <w:r>
                          <w:rPr>
                            <w:rFonts w:ascii="宋体" w:hAnsi="宋体" w:cs="宋体" w:eastAsia="宋体" w:hint="default"/>
                            <w:sz w:val="18"/>
                            <w:szCs w:val="18"/>
                          </w:rPr>
                          <w:t>物业发展及物业投资</w:t>
                        </w:r>
                      </w:p>
                    </w:tc>
                  </w:tr>
                  <w:tr>
                    <w:trPr>
                      <w:trHeight w:val="1061" w:hRule="exact"/>
                    </w:trPr>
                    <w:tc>
                      <w:tcPr>
                        <w:tcW w:w="1984" w:type="dxa"/>
                        <w:vMerge/>
                        <w:tcBorders>
                          <w:left w:val="single" w:sz="4" w:space="0" w:color="000000"/>
                          <w:right w:val="single" w:sz="4" w:space="0" w:color="000000"/>
                        </w:tcBorders>
                        <w:shd w:val="clear" w:color="auto" w:fill="BEBEBE"/>
                      </w:tcPr>
                      <w:p>
                        <w:pPr/>
                      </w:p>
                    </w:tc>
                    <w:tc>
                      <w:tcPr>
                        <w:tcW w:w="28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4</w:t>
                        </w:r>
                      </w:p>
                    </w:tc>
                    <w:tc>
                      <w:tcPr>
                        <w:tcW w:w="8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left="57" w:right="0"/>
                          <w:jc w:val="left"/>
                          <w:rPr>
                            <w:rFonts w:ascii="宋体" w:hAnsi="宋体" w:cs="宋体" w:eastAsia="宋体" w:hint="default"/>
                            <w:sz w:val="18"/>
                            <w:szCs w:val="18"/>
                          </w:rPr>
                        </w:pPr>
                        <w:r>
                          <w:rPr>
                            <w:rFonts w:ascii="宋体" w:hAnsi="宋体" w:cs="宋体" w:eastAsia="宋体" w:hint="default"/>
                            <w:sz w:val="18"/>
                            <w:szCs w:val="18"/>
                          </w:rPr>
                          <w:t>中国联通</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600050.SH</w:t>
                        </w:r>
                      </w:p>
                    </w:tc>
                    <w:tc>
                      <w:tcPr>
                        <w:tcW w:w="12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10.30%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left="34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3458" w:type="dxa"/>
                        <w:tcBorders>
                          <w:top w:val="single" w:sz="6" w:space="0" w:color="000000"/>
                          <w:left w:val="single" w:sz="6" w:space="0" w:color="000000"/>
                          <w:bottom w:val="single" w:sz="6" w:space="0" w:color="000000"/>
                          <w:right w:val="single" w:sz="4" w:space="0" w:color="000000"/>
                        </w:tcBorders>
                      </w:tcPr>
                      <w:p>
                        <w:pPr>
                          <w:pStyle w:val="TableParagraph"/>
                          <w:spacing w:line="309" w:lineRule="auto" w:before="63"/>
                          <w:ind w:left="9" w:right="57"/>
                          <w:jc w:val="both"/>
                          <w:rPr>
                            <w:rFonts w:ascii="宋体" w:hAnsi="宋体" w:cs="宋体" w:eastAsia="宋体" w:hint="default"/>
                            <w:sz w:val="18"/>
                            <w:szCs w:val="18"/>
                          </w:rPr>
                        </w:pPr>
                        <w:r>
                          <w:rPr>
                            <w:rFonts w:ascii="宋体" w:hAnsi="宋体" w:cs="宋体" w:eastAsia="宋体" w:hint="default"/>
                            <w:spacing w:val="-3"/>
                            <w:sz w:val="18"/>
                            <w:szCs w:val="18"/>
                          </w:rPr>
                          <w:t>全方位的电信服务，包括移动宽带、固网宽</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4"/>
                            <w:sz w:val="18"/>
                            <w:szCs w:val="18"/>
                          </w:rPr>
                          <w:t>带、</w:t>
                        </w:r>
                        <w:r>
                          <w:rPr>
                            <w:rFonts w:ascii="Times New Roman" w:hAnsi="Times New Roman" w:cs="Times New Roman" w:eastAsia="Times New Roman" w:hint="default"/>
                            <w:spacing w:val="-4"/>
                            <w:sz w:val="18"/>
                            <w:szCs w:val="18"/>
                          </w:rPr>
                          <w:t>GSM</w:t>
                        </w:r>
                        <w:r>
                          <w:rPr>
                            <w:rFonts w:ascii="宋体" w:hAnsi="宋体" w:cs="宋体" w:eastAsia="宋体" w:hint="default"/>
                            <w:spacing w:val="-4"/>
                            <w:sz w:val="18"/>
                            <w:szCs w:val="18"/>
                          </w:rPr>
                          <w:t>、固网本地电话、信息通信技术服</w:t>
                        </w:r>
                        <w:r>
                          <w:rPr>
                            <w:rFonts w:ascii="宋体" w:hAnsi="宋体" w:cs="宋体" w:eastAsia="宋体" w:hint="default"/>
                            <w:sz w:val="18"/>
                            <w:szCs w:val="18"/>
                          </w:rPr>
                          <w:t> 务、数据通信服务以及其他相关增值服务</w:t>
                        </w:r>
                      </w:p>
                    </w:tc>
                  </w:tr>
                  <w:tr>
                    <w:trPr>
                      <w:trHeight w:val="749" w:hRule="exact"/>
                    </w:trPr>
                    <w:tc>
                      <w:tcPr>
                        <w:tcW w:w="1984" w:type="dxa"/>
                        <w:vMerge/>
                        <w:tcBorders>
                          <w:left w:val="single" w:sz="4" w:space="0" w:color="000000"/>
                          <w:right w:val="single" w:sz="4" w:space="0" w:color="000000"/>
                        </w:tcBorders>
                        <w:shd w:val="clear" w:color="auto" w:fill="BEBEBE"/>
                      </w:tcPr>
                      <w:p>
                        <w:pPr/>
                      </w:p>
                    </w:tc>
                    <w:tc>
                      <w:tcPr>
                        <w:tcW w:w="28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5</w:t>
                        </w:r>
                      </w:p>
                    </w:tc>
                    <w:tc>
                      <w:tcPr>
                        <w:tcW w:w="8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京能电力</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600578.SH</w:t>
                        </w:r>
                      </w:p>
                    </w:tc>
                    <w:tc>
                      <w:tcPr>
                        <w:tcW w:w="12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10.83%</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3458" w:type="dxa"/>
                        <w:tcBorders>
                          <w:top w:val="single" w:sz="6" w:space="0" w:color="000000"/>
                          <w:left w:val="single" w:sz="6" w:space="0" w:color="000000"/>
                          <w:bottom w:val="single" w:sz="6" w:space="0" w:color="000000"/>
                          <w:right w:val="single" w:sz="4" w:space="0" w:color="000000"/>
                        </w:tcBorders>
                      </w:tcPr>
                      <w:p>
                        <w:pPr>
                          <w:pStyle w:val="TableParagraph"/>
                          <w:spacing w:line="316" w:lineRule="auto" w:before="63"/>
                          <w:ind w:left="9" w:right="13"/>
                          <w:jc w:val="left"/>
                          <w:rPr>
                            <w:rFonts w:ascii="宋体" w:hAnsi="宋体" w:cs="宋体" w:eastAsia="宋体" w:hint="default"/>
                            <w:sz w:val="18"/>
                            <w:szCs w:val="18"/>
                          </w:rPr>
                        </w:pPr>
                        <w:r>
                          <w:rPr>
                            <w:rFonts w:ascii="宋体" w:hAnsi="宋体" w:cs="宋体" w:eastAsia="宋体" w:hint="default"/>
                            <w:sz w:val="18"/>
                            <w:szCs w:val="18"/>
                          </w:rPr>
                          <w:t>电力、热力产品生产销售，电力设备运行， 发电设备检测、修理等。</w:t>
                        </w:r>
                      </w:p>
                    </w:tc>
                  </w:tr>
                  <w:tr>
                    <w:trPr>
                      <w:trHeight w:val="1373" w:hRule="exact"/>
                    </w:trPr>
                    <w:tc>
                      <w:tcPr>
                        <w:tcW w:w="1984" w:type="dxa"/>
                        <w:vMerge/>
                        <w:tcBorders>
                          <w:left w:val="single" w:sz="4" w:space="0" w:color="000000"/>
                          <w:right w:val="single" w:sz="4" w:space="0" w:color="000000"/>
                        </w:tcBorders>
                        <w:shd w:val="clear" w:color="auto" w:fill="BEBEBE"/>
                      </w:tcPr>
                      <w:p>
                        <w:pPr/>
                      </w:p>
                    </w:tc>
                    <w:tc>
                      <w:tcPr>
                        <w:tcW w:w="28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6</w:t>
                        </w:r>
                      </w:p>
                    </w:tc>
                    <w:tc>
                      <w:tcPr>
                        <w:tcW w:w="8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杭州银行</w:t>
                        </w:r>
                      </w:p>
                    </w:tc>
                    <w:tc>
                      <w:tcPr>
                        <w:tcW w:w="9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600926.SH</w:t>
                        </w:r>
                      </w:p>
                    </w:tc>
                    <w:tc>
                      <w:tcPr>
                        <w:tcW w:w="12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5.55%</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3458" w:type="dxa"/>
                        <w:tcBorders>
                          <w:top w:val="single" w:sz="6" w:space="0" w:color="000000"/>
                          <w:left w:val="single" w:sz="6" w:space="0" w:color="000000"/>
                          <w:bottom w:val="single" w:sz="6" w:space="0" w:color="000000"/>
                          <w:right w:val="single" w:sz="4" w:space="0" w:color="000000"/>
                        </w:tcBorders>
                      </w:tcPr>
                      <w:p>
                        <w:pPr>
                          <w:pStyle w:val="TableParagraph"/>
                          <w:spacing w:line="316" w:lineRule="auto" w:before="64"/>
                          <w:ind w:left="9" w:right="57"/>
                          <w:jc w:val="left"/>
                          <w:rPr>
                            <w:rFonts w:ascii="宋体" w:hAnsi="宋体" w:cs="宋体" w:eastAsia="宋体" w:hint="default"/>
                            <w:sz w:val="18"/>
                            <w:szCs w:val="18"/>
                          </w:rPr>
                        </w:pPr>
                        <w:r>
                          <w:rPr>
                            <w:rFonts w:ascii="宋体" w:hAnsi="宋体" w:cs="宋体" w:eastAsia="宋体" w:hint="default"/>
                            <w:spacing w:val="-8"/>
                            <w:sz w:val="18"/>
                            <w:szCs w:val="18"/>
                          </w:rPr>
                          <w:t>吸收公众存款；发放短期、中期及长期贷款</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办理国内外结算；票据承兑与贴现；债券承</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销发行及买卖；银行卡业务；同业拆借；外</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汇业务；银行卡业务等</w:t>
                        </w:r>
                      </w:p>
                    </w:tc>
                  </w:tr>
                  <w:tr>
                    <w:trPr>
                      <w:trHeight w:val="434" w:hRule="exact"/>
                    </w:trPr>
                    <w:tc>
                      <w:tcPr>
                        <w:tcW w:w="1984" w:type="dxa"/>
                        <w:vMerge/>
                        <w:tcBorders>
                          <w:left w:val="single" w:sz="4" w:space="0" w:color="000000"/>
                          <w:bottom w:val="single" w:sz="4" w:space="0" w:color="000000"/>
                          <w:right w:val="single" w:sz="4" w:space="0" w:color="000000"/>
                        </w:tcBorders>
                        <w:shd w:val="clear" w:color="auto" w:fill="BEBEBE"/>
                      </w:tcPr>
                      <w:p>
                        <w:pPr/>
                      </w:p>
                    </w:tc>
                    <w:tc>
                      <w:tcPr>
                        <w:tcW w:w="288"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before="108"/>
                          <w:ind w:left="105" w:right="0"/>
                          <w:jc w:val="left"/>
                          <w:rPr>
                            <w:rFonts w:ascii="Times New Roman" w:hAnsi="Times New Roman" w:cs="Times New Roman" w:eastAsia="Times New Roman" w:hint="default"/>
                            <w:sz w:val="18"/>
                            <w:szCs w:val="18"/>
                          </w:rPr>
                        </w:pPr>
                        <w:r>
                          <w:rPr>
                            <w:rFonts w:ascii="Times New Roman"/>
                            <w:sz w:val="18"/>
                          </w:rPr>
                          <w:t>7</w:t>
                        </w:r>
                      </w:p>
                    </w:tc>
                    <w:tc>
                      <w:tcPr>
                        <w:tcW w:w="853"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left="57" w:right="0"/>
                          <w:jc w:val="left"/>
                          <w:rPr>
                            <w:rFonts w:ascii="宋体" w:hAnsi="宋体" w:cs="宋体" w:eastAsia="宋体" w:hint="default"/>
                            <w:sz w:val="18"/>
                            <w:szCs w:val="18"/>
                          </w:rPr>
                        </w:pPr>
                        <w:r>
                          <w:rPr>
                            <w:rFonts w:ascii="宋体" w:hAnsi="宋体" w:cs="宋体" w:eastAsia="宋体" w:hint="default"/>
                            <w:sz w:val="18"/>
                            <w:szCs w:val="18"/>
                          </w:rPr>
                          <w:t>通威股份</w:t>
                        </w:r>
                      </w:p>
                    </w:tc>
                    <w:tc>
                      <w:tcPr>
                        <w:tcW w:w="989"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8"/>
                          <w:ind w:right="8"/>
                          <w:jc w:val="right"/>
                          <w:rPr>
                            <w:rFonts w:ascii="Times New Roman" w:hAnsi="Times New Roman" w:cs="Times New Roman" w:eastAsia="Times New Roman" w:hint="default"/>
                            <w:sz w:val="18"/>
                            <w:szCs w:val="18"/>
                          </w:rPr>
                        </w:pPr>
                        <w:r>
                          <w:rPr>
                            <w:rFonts w:ascii="Times New Roman"/>
                            <w:spacing w:val="-1"/>
                            <w:sz w:val="18"/>
                          </w:rPr>
                          <w:t>600438.SH</w:t>
                        </w:r>
                      </w:p>
                    </w:tc>
                    <w:tc>
                      <w:tcPr>
                        <w:tcW w:w="1215"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8"/>
                          <w:ind w:right="4"/>
                          <w:jc w:val="right"/>
                          <w:rPr>
                            <w:rFonts w:ascii="Times New Roman" w:hAnsi="Times New Roman" w:cs="Times New Roman" w:eastAsia="Times New Roman" w:hint="default"/>
                            <w:sz w:val="18"/>
                            <w:szCs w:val="18"/>
                          </w:rPr>
                        </w:pPr>
                        <w:r>
                          <w:rPr>
                            <w:rFonts w:ascii="Times New Roman"/>
                            <w:sz w:val="18"/>
                          </w:rPr>
                          <w:t>5.00%</w:t>
                        </w:r>
                      </w:p>
                    </w:tc>
                    <w:tc>
                      <w:tcPr>
                        <w:tcW w:w="878"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left="34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3458"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65"/>
                          <w:ind w:left="9" w:right="0"/>
                          <w:jc w:val="left"/>
                          <w:rPr>
                            <w:rFonts w:ascii="宋体" w:hAnsi="宋体" w:cs="宋体" w:eastAsia="宋体" w:hint="default"/>
                            <w:sz w:val="18"/>
                            <w:szCs w:val="18"/>
                          </w:rPr>
                        </w:pPr>
                        <w:r>
                          <w:rPr>
                            <w:rFonts w:ascii="宋体" w:hAnsi="宋体" w:cs="宋体" w:eastAsia="宋体" w:hint="default"/>
                            <w:spacing w:val="-3"/>
                            <w:sz w:val="18"/>
                            <w:szCs w:val="18"/>
                          </w:rPr>
                          <w:t>水产饲料、畜禽饲料等的研究、生产和销售</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BodyText"/>
        <w:spacing w:line="240" w:lineRule="auto" w:before="44"/>
        <w:ind w:right="2602"/>
        <w:jc w:val="left"/>
      </w:pPr>
      <w:r>
        <w:rPr/>
        <w:t>实际控制人报告期内变更</w:t>
      </w:r>
    </w:p>
    <w:p>
      <w:pPr>
        <w:pStyle w:val="BodyText"/>
        <w:spacing w:line="240" w:lineRule="auto" w:before="115"/>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before="44"/>
        <w:ind w:left="0" w:right="1136"/>
        <w:jc w:val="right"/>
      </w:pPr>
      <w:r>
        <w:rPr/>
        <w:pict>
          <v:shape style="position:absolute;margin-left:56.459999pt;margin-top:-40.948288pt;width:479.2pt;height:96.5pt;mso-position-horizontal-relative:page;mso-position-vertical-relative:paragraph;z-index:1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20"/>
                    <w:gridCol w:w="6450"/>
                  </w:tblGrid>
                  <w:tr>
                    <w:trPr>
                      <w:trHeight w:val="401" w:hRule="exact"/>
                    </w:trPr>
                    <w:tc>
                      <w:tcPr>
                        <w:tcW w:w="3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新实际控制人名称</w:t>
                        </w:r>
                      </w:p>
                    </w:tc>
                    <w:tc>
                      <w:tcPr>
                        <w:tcW w:w="6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03" w:hRule="exact"/>
                    </w:trPr>
                    <w:tc>
                      <w:tcPr>
                        <w:tcW w:w="3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变更日期</w:t>
                        </w:r>
                      </w:p>
                    </w:tc>
                    <w:tc>
                      <w:tcPr>
                        <w:tcW w:w="6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r>
                  <w:tr>
                    <w:trPr>
                      <w:trHeight w:val="713" w:hRule="exact"/>
                    </w:trPr>
                    <w:tc>
                      <w:tcPr>
                        <w:tcW w:w="3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指定网站查询索引</w:t>
                        </w:r>
                      </w:p>
                    </w:tc>
                    <w:tc>
                      <w:tcPr>
                        <w:tcW w:w="645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108"/>
                          <w:jc w:val="left"/>
                          <w:rPr>
                            <w:rFonts w:ascii="宋体" w:hAnsi="宋体" w:cs="宋体" w:eastAsia="宋体" w:hint="default"/>
                            <w:sz w:val="18"/>
                            <w:szCs w:val="18"/>
                          </w:rPr>
                        </w:pPr>
                        <w:r>
                          <w:rPr>
                            <w:rFonts w:ascii="宋体" w:hAnsi="宋体" w:cs="宋体" w:eastAsia="宋体" w:hint="default"/>
                            <w:spacing w:val="-4"/>
                            <w:sz w:val="18"/>
                            <w:szCs w:val="18"/>
                          </w:rPr>
                          <w:t>《关于公司第一大股东变更暨无实际控制人的提示性公告》（公告编号</w:t>
                        </w:r>
                        <w:r>
                          <w:rPr>
                            <w:rFonts w:ascii="宋体" w:hAnsi="宋体" w:cs="宋体" w:eastAsia="宋体" w:hint="default"/>
                            <w:spacing w:val="-25"/>
                            <w:sz w:val="18"/>
                            <w:szCs w:val="18"/>
                          </w:rPr>
                          <w:t> </w:t>
                        </w:r>
                        <w:r>
                          <w:rPr>
                            <w:rFonts w:ascii="Times New Roman" w:hAnsi="Times New Roman" w:cs="Times New Roman" w:eastAsia="Times New Roman" w:hint="default"/>
                            <w:spacing w:val="-11"/>
                            <w:sz w:val="18"/>
                            <w:szCs w:val="18"/>
                          </w:rPr>
                          <w:t>2019-152</w:t>
                        </w:r>
                        <w:r>
                          <w:rPr>
                            <w:rFonts w:ascii="宋体" w:hAnsi="宋体" w:cs="宋体" w:eastAsia="宋体" w:hint="default"/>
                            <w:spacing w:val="-11"/>
                            <w:sz w:val="18"/>
                            <w:szCs w:val="18"/>
                          </w:rPr>
                          <w:t>）</w:t>
                        </w:r>
                        <w:r>
                          <w:rPr>
                            <w:rFonts w:ascii="宋体" w:hAnsi="宋体" w:cs="宋体" w:eastAsia="宋体" w:hint="default"/>
                            <w:spacing w:val="-83"/>
                            <w:sz w:val="18"/>
                            <w:szCs w:val="18"/>
                          </w:rPr>
                          <w:t> </w:t>
                        </w:r>
                        <w:r>
                          <w:rPr>
                            <w:rFonts w:ascii="宋体" w:hAnsi="宋体" w:cs="宋体" w:eastAsia="宋体" w:hint="default"/>
                            <w:sz w:val="18"/>
                            <w:szCs w:val="18"/>
                          </w:rPr>
                          <w:t>巨潮资讯网（</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r>
                  <w:tr>
                    <w:trPr>
                      <w:trHeight w:val="403" w:hRule="exact"/>
                    </w:trPr>
                    <w:tc>
                      <w:tcPr>
                        <w:tcW w:w="3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指定网站披露日期</w:t>
                        </w:r>
                      </w:p>
                    </w:tc>
                    <w:tc>
                      <w:tcPr>
                        <w:tcW w:w="6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44"/>
        <w:ind w:right="2602"/>
        <w:jc w:val="left"/>
      </w:pPr>
      <w:r>
        <w:rPr/>
        <w:t>公司与实际控制人之间的产权及控制关系的方框图</w:t>
      </w:r>
    </w:p>
    <w:p>
      <w:pPr>
        <w:spacing w:line="240" w:lineRule="auto" w:before="1"/>
        <w:rPr>
          <w:rFonts w:ascii="宋体" w:hAnsi="宋体" w:cs="宋体" w:eastAsia="宋体" w:hint="default"/>
          <w:sz w:val="26"/>
          <w:szCs w:val="26"/>
        </w:rPr>
      </w:pPr>
    </w:p>
    <w:p>
      <w:pPr>
        <w:spacing w:line="4514" w:lineRule="exact"/>
        <w:ind w:left="2002" w:right="0" w:firstLine="0"/>
        <w:rPr>
          <w:rFonts w:ascii="宋体" w:hAnsi="宋体" w:cs="宋体" w:eastAsia="宋体" w:hint="default"/>
          <w:sz w:val="20"/>
          <w:szCs w:val="20"/>
        </w:rPr>
      </w:pPr>
      <w:r>
        <w:rPr>
          <w:rFonts w:ascii="宋体" w:hAnsi="宋体" w:cs="宋体" w:eastAsia="宋体" w:hint="default"/>
          <w:position w:val="-89"/>
          <w:sz w:val="20"/>
          <w:szCs w:val="20"/>
        </w:rPr>
        <w:drawing>
          <wp:inline distT="0" distB="0" distL="0" distR="0">
            <wp:extent cx="3761392" cy="2866644"/>
            <wp:effectExtent l="0" t="0" r="0" b="0"/>
            <wp:docPr id="29" name="image19.jpeg" descr=""/>
            <wp:cNvGraphicFramePr>
              <a:graphicFrameLocks noChangeAspect="1"/>
            </wp:cNvGraphicFramePr>
            <a:graphic>
              <a:graphicData uri="http://schemas.openxmlformats.org/drawingml/2006/picture">
                <pic:pic>
                  <pic:nvPicPr>
                    <pic:cNvPr id="30" name="image19.jpeg"/>
                    <pic:cNvPicPr/>
                  </pic:nvPicPr>
                  <pic:blipFill>
                    <a:blip r:embed="rId30" cstate="print"/>
                    <a:stretch>
                      <a:fillRect/>
                    </a:stretch>
                  </pic:blipFill>
                  <pic:spPr>
                    <a:xfrm>
                      <a:off x="0" y="0"/>
                      <a:ext cx="3761392" cy="2866644"/>
                    </a:xfrm>
                    <a:prstGeom prst="rect">
                      <a:avLst/>
                    </a:prstGeom>
                  </pic:spPr>
                </pic:pic>
              </a:graphicData>
            </a:graphic>
          </wp:inline>
        </w:drawing>
      </w:r>
      <w:r>
        <w:rPr>
          <w:rFonts w:ascii="宋体" w:hAnsi="宋体" w:cs="宋体" w:eastAsia="宋体" w:hint="default"/>
          <w:position w:val="-89"/>
          <w:sz w:val="20"/>
          <w:szCs w:val="20"/>
        </w:rPr>
      </w:r>
    </w:p>
    <w:p>
      <w:pPr>
        <w:spacing w:after="0" w:line="4514" w:lineRule="exact"/>
        <w:rPr>
          <w:rFonts w:ascii="宋体" w:hAnsi="宋体" w:cs="宋体" w:eastAsia="宋体" w:hint="default"/>
          <w:sz w:val="20"/>
          <w:szCs w:val="20"/>
        </w:rPr>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2602"/>
        <w:jc w:val="left"/>
      </w:pPr>
      <w:r>
        <w:rPr/>
        <w:t>实际控制人通过信托或其他资产管理方式控制公司</w:t>
      </w:r>
    </w:p>
    <w:p>
      <w:pPr>
        <w:pStyle w:val="BodyText"/>
        <w:spacing w:line="240" w:lineRule="auto" w:before="117"/>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3"/>
        <w:spacing w:line="240" w:lineRule="auto"/>
        <w:ind w:right="2602"/>
        <w:jc w:val="left"/>
        <w:rPr>
          <w:b w:val="0"/>
          <w:bCs w:val="0"/>
        </w:rPr>
      </w:pPr>
      <w:bookmarkStart w:name="4、其他持股在10%以上的法人股东" w:id="118"/>
      <w:bookmarkEnd w:id="118"/>
      <w:r>
        <w:rPr>
          <w:b w:val="0"/>
          <w:bCs w:val="0"/>
        </w:rPr>
      </w:r>
      <w:r>
        <w:rPr>
          <w:rFonts w:ascii="Times New Roman" w:hAnsi="Times New Roman" w:cs="Times New Roman" w:eastAsia="Times New Roman" w:hint="default"/>
        </w:rPr>
        <w:t>4</w:t>
      </w:r>
      <w:r>
        <w:rPr/>
        <w:t>、其他持股在</w:t>
      </w:r>
      <w:r>
        <w:rPr>
          <w:spacing w:val="-52"/>
        </w:rPr>
        <w:t> </w:t>
      </w:r>
      <w:r>
        <w:rPr>
          <w:rFonts w:ascii="Times New Roman" w:hAnsi="Times New Roman" w:cs="Times New Roman" w:eastAsia="Times New Roman" w:hint="default"/>
        </w:rPr>
        <w:t>10%</w:t>
      </w:r>
      <w:r>
        <w:rPr/>
        <w:t>以上的法人股东</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BodyText"/>
        <w:spacing w:line="240" w:lineRule="auto" w:before="44"/>
        <w:ind w:left="0" w:right="1139"/>
        <w:jc w:val="right"/>
      </w:pPr>
      <w:r>
        <w:rPr/>
        <w:pict>
          <v:shape style="position:absolute;margin-left:56.400002pt;margin-top:-36.488319pt;width:479.3pt;height:87.5pt;mso-position-horizontal-relative:page;mso-position-vertical-relative:paragraph;z-index:20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85"/>
                    <w:gridCol w:w="1277"/>
                    <w:gridCol w:w="1702"/>
                    <w:gridCol w:w="1416"/>
                    <w:gridCol w:w="3190"/>
                  </w:tblGrid>
                  <w:tr>
                    <w:trPr>
                      <w:trHeight w:val="71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49" w:right="0"/>
                          <w:jc w:val="left"/>
                          <w:rPr>
                            <w:rFonts w:ascii="宋体" w:hAnsi="宋体" w:cs="宋体" w:eastAsia="宋体" w:hint="default"/>
                            <w:sz w:val="18"/>
                            <w:szCs w:val="18"/>
                          </w:rPr>
                        </w:pPr>
                        <w:r>
                          <w:rPr>
                            <w:rFonts w:ascii="宋体" w:hAnsi="宋体" w:cs="宋体" w:eastAsia="宋体" w:hint="default"/>
                            <w:sz w:val="18"/>
                            <w:szCs w:val="18"/>
                          </w:rPr>
                          <w:t>法人股东名称</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73" w:right="67" w:hanging="207"/>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 位负责人</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9" w:right="0"/>
                          <w:jc w:val="left"/>
                          <w:rPr>
                            <w:rFonts w:ascii="宋体" w:hAnsi="宋体" w:cs="宋体" w:eastAsia="宋体" w:hint="default"/>
                            <w:sz w:val="18"/>
                            <w:szCs w:val="18"/>
                          </w:rPr>
                        </w:pPr>
                        <w:r>
                          <w:rPr>
                            <w:rFonts w:ascii="宋体" w:hAnsi="宋体" w:cs="宋体" w:eastAsia="宋体" w:hint="default"/>
                            <w:sz w:val="18"/>
                            <w:szCs w:val="18"/>
                          </w:rPr>
                          <w:t>主要经营业务或管理活动</w:t>
                        </w:r>
                      </w:p>
                    </w:tc>
                  </w:tr>
                  <w:tr>
                    <w:trPr>
                      <w:trHeight w:val="1027"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上海万豪投资有限公司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史一兵</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3"/>
                          <w:jc w:val="left"/>
                          <w:rPr>
                            <w:rFonts w:ascii="宋体" w:hAnsi="宋体" w:cs="宋体" w:eastAsia="宋体" w:hint="default"/>
                            <w:sz w:val="18"/>
                            <w:szCs w:val="18"/>
                          </w:rPr>
                        </w:pPr>
                        <w:r>
                          <w:rPr>
                            <w:rFonts w:ascii="宋体" w:hAnsi="宋体" w:cs="宋体" w:eastAsia="宋体" w:hint="default"/>
                            <w:sz w:val="18"/>
                            <w:szCs w:val="18"/>
                          </w:rPr>
                          <w:t>高科技投资，实业投资，资产经营管理 </w:t>
                        </w:r>
                        <w:r>
                          <w:rPr>
                            <w:rFonts w:ascii="宋体" w:hAnsi="宋体" w:cs="宋体" w:eastAsia="宋体" w:hint="default"/>
                            <w:spacing w:val="-5"/>
                            <w:sz w:val="18"/>
                            <w:szCs w:val="18"/>
                          </w:rPr>
                          <w:t>投资咨询（除中介）（涉及行政许可的，</w:t>
                        </w:r>
                        <w:r>
                          <w:rPr>
                            <w:rFonts w:ascii="宋体" w:hAnsi="宋体" w:cs="宋体" w:eastAsia="宋体" w:hint="default"/>
                            <w:sz w:val="18"/>
                            <w:szCs w:val="18"/>
                          </w:rPr>
                          <w:t> </w:t>
                        </w:r>
                        <w:r>
                          <w:rPr>
                            <w:rFonts w:ascii="宋体" w:hAnsi="宋体" w:cs="宋体" w:eastAsia="宋体" w:hint="default"/>
                            <w:spacing w:val="-12"/>
                            <w:sz w:val="18"/>
                            <w:szCs w:val="18"/>
                          </w:rPr>
                          <w:t>凭许可证经营）。</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Heading3"/>
        <w:spacing w:line="240" w:lineRule="auto" w:before="36"/>
        <w:ind w:right="2602"/>
        <w:jc w:val="left"/>
        <w:rPr>
          <w:b w:val="0"/>
          <w:bCs w:val="0"/>
        </w:rPr>
      </w:pPr>
      <w:bookmarkStart w:name="5、控股股东、实际控制人、重组方及其他承诺主体股份限制减持情况" w:id="119"/>
      <w:bookmarkEnd w:id="119"/>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285" w:right="2602"/>
        <w:jc w:val="left"/>
        <w:rPr>
          <w:b w:val="0"/>
          <w:bCs w:val="0"/>
        </w:rPr>
      </w:pPr>
      <w:bookmarkStart w:name="第七节 优先股相关情况" w:id="120"/>
      <w:bookmarkEnd w:id="120"/>
      <w:r>
        <w:rPr>
          <w:b w:val="0"/>
          <w:bCs w:val="0"/>
        </w:rPr>
      </w:r>
      <w:bookmarkStart w:name="_bookmark6" w:id="121"/>
      <w:bookmarkEnd w:id="121"/>
      <w:r>
        <w:rPr>
          <w:b w:val="0"/>
          <w:bCs w:val="0"/>
        </w:rPr>
      </w:r>
      <w:r>
        <w:rPr/>
        <w:t>第七节</w:t>
      </w:r>
      <w:r>
        <w:rPr>
          <w:spacing w:val="-6"/>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pStyle w:val="BodyText"/>
        <w:spacing w:line="338" w:lineRule="auto" w:before="44"/>
        <w:ind w:right="85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报告期公司不存在优先股。</w:t>
      </w:r>
    </w:p>
    <w:p>
      <w:pPr>
        <w:spacing w:after="0" w:line="338"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642" w:right="2602"/>
        <w:jc w:val="left"/>
        <w:rPr>
          <w:b w:val="0"/>
          <w:bCs w:val="0"/>
        </w:rPr>
      </w:pPr>
      <w:bookmarkStart w:name="第八节 可转换公司债券相关情况" w:id="122"/>
      <w:bookmarkEnd w:id="122"/>
      <w:r>
        <w:rPr>
          <w:b w:val="0"/>
          <w:bCs w:val="0"/>
        </w:rPr>
      </w:r>
      <w:bookmarkStart w:name="_bookmark7" w:id="123"/>
      <w:bookmarkEnd w:id="123"/>
      <w:r>
        <w:rPr>
          <w:b w:val="0"/>
          <w:bCs w:val="0"/>
        </w:rPr>
      </w:r>
      <w:r>
        <w:rPr/>
        <w:t>第八节</w:t>
      </w:r>
      <w:r>
        <w:rPr>
          <w:spacing w:val="-5"/>
        </w:rPr>
        <w:t> </w:t>
      </w:r>
      <w:r>
        <w:rPr/>
        <w:t>可转换公司债券相关情况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4"/>
          <w:szCs w:val="24"/>
        </w:rPr>
      </w:pPr>
    </w:p>
    <w:p>
      <w:pPr>
        <w:pStyle w:val="Heading2"/>
        <w:spacing w:line="240" w:lineRule="auto"/>
        <w:ind w:right="2602"/>
        <w:jc w:val="left"/>
        <w:rPr>
          <w:b w:val="0"/>
          <w:bCs w:val="0"/>
        </w:rPr>
      </w:pPr>
      <w:bookmarkStart w:name="一、转股价格历次调整情况" w:id="124"/>
      <w:bookmarkEnd w:id="124"/>
      <w:r>
        <w:rPr>
          <w:b w:val="0"/>
          <w:bCs w:val="0"/>
        </w:rPr>
      </w:r>
      <w:r>
        <w:rPr/>
        <w:t>一、转股价格历次调整情况</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right="1034" w:firstLine="360"/>
        <w:jc w:val="left"/>
      </w:pPr>
      <w:r>
        <w:rPr/>
        <w:t>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4</w:t>
      </w:r>
      <w:r>
        <w:rPr/>
        <w:t>日发布《关于可转换公司债券转股价格调整的公告》（公告编号</w:t>
      </w:r>
      <w:r>
        <w:rPr>
          <w:rFonts w:ascii="Times New Roman" w:hAnsi="Times New Roman" w:cs="Times New Roman" w:eastAsia="Times New Roman" w:hint="default"/>
        </w:rPr>
        <w:t>2019-088</w:t>
      </w:r>
      <w:r>
        <w:rPr/>
        <w:t>），根据公司</w:t>
      </w:r>
      <w:r>
        <w:rPr>
          <w:rFonts w:ascii="Times New Roman" w:hAnsi="Times New Roman" w:cs="Times New Roman" w:eastAsia="Times New Roman" w:hint="default"/>
        </w:rPr>
        <w:t>2018</w:t>
      </w:r>
      <w:r>
        <w:rPr/>
        <w:t>年度股东 大会决议，公司实施</w:t>
      </w:r>
      <w:r>
        <w:rPr>
          <w:rFonts w:ascii="Times New Roman" w:hAnsi="Times New Roman" w:cs="Times New Roman" w:eastAsia="Times New Roman" w:hint="default"/>
        </w:rPr>
        <w:t>2018</w:t>
      </w:r>
      <w:r>
        <w:rPr/>
        <w:t>年度权益分派方案，以未来实施</w:t>
      </w:r>
      <w:r>
        <w:rPr>
          <w:rFonts w:ascii="Times New Roman" w:hAnsi="Times New Roman" w:cs="Times New Roman" w:eastAsia="Times New Roman" w:hint="default"/>
        </w:rPr>
        <w:t>2018</w:t>
      </w:r>
      <w:r>
        <w:rPr/>
        <w:t>年年度权益分配方案时股权登记日的总股本（剔除回购股份） 为基数，向全体股东按每</w:t>
      </w:r>
      <w:r>
        <w:rPr>
          <w:rFonts w:ascii="Times New Roman" w:hAnsi="Times New Roman" w:cs="Times New Roman" w:eastAsia="Times New Roman" w:hint="default"/>
        </w:rPr>
        <w:t>10</w:t>
      </w:r>
      <w:r>
        <w:rPr/>
        <w:t>股派发现金红利人民币</w:t>
      </w:r>
      <w:r>
        <w:rPr>
          <w:rFonts w:ascii="Times New Roman" w:hAnsi="Times New Roman" w:cs="Times New Roman" w:eastAsia="Times New Roman" w:hint="default"/>
        </w:rPr>
        <w:t>0.25</w:t>
      </w:r>
      <w:r>
        <w:rPr/>
        <w:t>元（含税），不送红股，也不以资本公积金转增股本，剩余未分配利 润结转入下一年度。（现金分红金额以截至本公告披露日扣除公司回购专户上已回购股份后的总股本</w:t>
      </w:r>
      <w:r>
        <w:rPr>
          <w:rFonts w:ascii="Times New Roman" w:hAnsi="Times New Roman" w:cs="Times New Roman" w:eastAsia="Times New Roman" w:hint="default"/>
        </w:rPr>
        <w:t>1,096,886,273</w:t>
      </w:r>
      <w:r>
        <w:rPr/>
        <w:t>股为基数 进行测算，共计</w:t>
      </w:r>
      <w:r>
        <w:rPr>
          <w:rFonts w:ascii="Times New Roman" w:hAnsi="Times New Roman" w:cs="Times New Roman" w:eastAsia="Times New Roman" w:hint="default"/>
        </w:rPr>
        <w:t>27,422,156.83</w:t>
      </w:r>
      <w:r>
        <w:rPr/>
        <w:t>元。）</w:t>
      </w:r>
    </w:p>
    <w:p>
      <w:pPr>
        <w:pStyle w:val="BodyText"/>
        <w:spacing w:line="300" w:lineRule="auto" w:before="13"/>
        <w:ind w:right="1204" w:firstLine="360"/>
        <w:jc w:val="left"/>
      </w:pPr>
      <w:r>
        <w:rPr/>
        <w:t>根据上述方案，“万信转</w:t>
      </w:r>
      <w:r>
        <w:rPr>
          <w:rFonts w:ascii="Times New Roman" w:hAnsi="Times New Roman" w:cs="Times New Roman" w:eastAsia="Times New Roman" w:hint="default"/>
        </w:rPr>
        <w:t>2</w:t>
      </w:r>
      <w:r>
        <w:rPr/>
        <w:t>”转股价格从</w:t>
      </w:r>
      <w:r>
        <w:rPr>
          <w:rFonts w:ascii="Times New Roman" w:hAnsi="Times New Roman" w:cs="Times New Roman" w:eastAsia="Times New Roman" w:hint="default"/>
        </w:rPr>
        <w:t>13.62</w:t>
      </w:r>
      <w:r>
        <w:rPr/>
        <w:t>元</w:t>
      </w:r>
      <w:r>
        <w:rPr>
          <w:rFonts w:ascii="Times New Roman" w:hAnsi="Times New Roman" w:cs="Times New Roman" w:eastAsia="Times New Roman" w:hint="default"/>
        </w:rPr>
        <w:t>/</w:t>
      </w:r>
      <w:r>
        <w:rPr/>
        <w:t>股调整为</w:t>
      </w:r>
      <w:r>
        <w:rPr>
          <w:rFonts w:ascii="Times New Roman" w:hAnsi="Times New Roman" w:cs="Times New Roman" w:eastAsia="Times New Roman" w:hint="default"/>
        </w:rPr>
        <w:t>13.60</w:t>
      </w:r>
      <w:r>
        <w:rPr/>
        <w:t>元</w:t>
      </w:r>
      <w:r>
        <w:rPr>
          <w:rFonts w:ascii="Times New Roman" w:hAnsi="Times New Roman" w:cs="Times New Roman" w:eastAsia="Times New Roman" w:hint="default"/>
        </w:rPr>
        <w:t>/</w:t>
      </w:r>
      <w:r>
        <w:rPr/>
        <w:t>股，调整后的转股价格自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12</w:t>
      </w:r>
      <w:r>
        <w:rPr/>
        <w:t>日（除权除息 日）起生效。</w:t>
      </w:r>
    </w:p>
    <w:p>
      <w:pPr>
        <w:spacing w:line="240" w:lineRule="auto" w:before="11"/>
        <w:rPr>
          <w:rFonts w:ascii="宋体" w:hAnsi="宋体" w:cs="宋体" w:eastAsia="宋体" w:hint="default"/>
          <w:sz w:val="21"/>
          <w:szCs w:val="21"/>
        </w:rPr>
      </w:pPr>
    </w:p>
    <w:p>
      <w:pPr>
        <w:pStyle w:val="Heading2"/>
        <w:spacing w:line="240" w:lineRule="auto"/>
        <w:ind w:right="2602"/>
        <w:jc w:val="left"/>
        <w:rPr>
          <w:b w:val="0"/>
          <w:bCs w:val="0"/>
        </w:rPr>
      </w:pPr>
      <w:bookmarkStart w:name="二、累计转股情况" w:id="125"/>
      <w:bookmarkEnd w:id="125"/>
      <w:r>
        <w:rPr>
          <w:b w:val="0"/>
          <w:bCs w:val="0"/>
        </w:rPr>
      </w:r>
      <w:r>
        <w:rPr/>
        <w:t>二、累计转股情况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851"/>
        <w:gridCol w:w="850"/>
        <w:gridCol w:w="994"/>
        <w:gridCol w:w="1416"/>
        <w:gridCol w:w="1208"/>
        <w:gridCol w:w="1063"/>
        <w:gridCol w:w="1066"/>
        <w:gridCol w:w="1201"/>
        <w:gridCol w:w="922"/>
      </w:tblGrid>
      <w:tr>
        <w:trPr>
          <w:trHeight w:val="1652"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转债简称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9" w:right="59" w:hanging="180"/>
              <w:jc w:val="left"/>
              <w:rPr>
                <w:rFonts w:ascii="宋体" w:hAnsi="宋体" w:cs="宋体" w:eastAsia="宋体" w:hint="default"/>
                <w:sz w:val="18"/>
                <w:szCs w:val="18"/>
              </w:rPr>
            </w:pPr>
            <w:r>
              <w:rPr>
                <w:rFonts w:ascii="宋体" w:hAnsi="宋体" w:cs="宋体" w:eastAsia="宋体" w:hint="default"/>
                <w:sz w:val="18"/>
                <w:szCs w:val="18"/>
              </w:rPr>
              <w:t>转股起始 日期</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发行总量</w:t>
            </w:r>
          </w:p>
          <w:p>
            <w:pPr>
              <w:pStyle w:val="TableParagraph"/>
              <w:spacing w:line="240" w:lineRule="auto" w:before="76"/>
              <w:ind w:left="220" w:right="0"/>
              <w:jc w:val="left"/>
              <w:rPr>
                <w:rFonts w:ascii="宋体" w:hAnsi="宋体" w:cs="宋体" w:eastAsia="宋体" w:hint="default"/>
                <w:sz w:val="18"/>
                <w:szCs w:val="18"/>
              </w:rPr>
            </w:pPr>
            <w:r>
              <w:rPr>
                <w:rFonts w:ascii="宋体" w:hAnsi="宋体" w:cs="宋体" w:eastAsia="宋体" w:hint="default"/>
                <w:sz w:val="18"/>
                <w:szCs w:val="18"/>
              </w:rPr>
              <w:t>（张）</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发行总金额</w:t>
            </w:r>
          </w:p>
        </w:tc>
        <w:tc>
          <w:tcPr>
            <w:tcW w:w="1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累计转股金额</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（元）</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累计转股数</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6" w:right="77"/>
              <w:jc w:val="center"/>
              <w:rPr>
                <w:rFonts w:ascii="宋体" w:hAnsi="宋体" w:cs="宋体" w:eastAsia="宋体" w:hint="default"/>
                <w:sz w:val="18"/>
                <w:szCs w:val="18"/>
              </w:rPr>
            </w:pPr>
            <w:r>
              <w:rPr>
                <w:rFonts w:ascii="宋体" w:hAnsi="宋体" w:cs="宋体" w:eastAsia="宋体" w:hint="default"/>
                <w:sz w:val="18"/>
                <w:szCs w:val="18"/>
              </w:rPr>
              <w:t>转股数量占 转股开始日 前公司已发 行股份总额 的比例</w:t>
            </w:r>
          </w:p>
        </w:tc>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尚未转股金额</w:t>
            </w:r>
          </w:p>
          <w:p>
            <w:pPr>
              <w:pStyle w:val="TableParagraph"/>
              <w:spacing w:line="240" w:lineRule="auto" w:before="76"/>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6" w:right="95"/>
              <w:jc w:val="center"/>
              <w:rPr>
                <w:rFonts w:ascii="宋体" w:hAnsi="宋体" w:cs="宋体" w:eastAsia="宋体" w:hint="default"/>
                <w:sz w:val="18"/>
                <w:szCs w:val="18"/>
              </w:rPr>
            </w:pPr>
            <w:r>
              <w:rPr>
                <w:rFonts w:ascii="宋体" w:hAnsi="宋体" w:cs="宋体" w:eastAsia="宋体" w:hint="default"/>
                <w:sz w:val="18"/>
                <w:szCs w:val="18"/>
              </w:rPr>
              <w:t>未转股金 额占发行 总金额的 比例</w:t>
            </w:r>
          </w:p>
        </w:tc>
      </w:tr>
      <w:tr>
        <w:trPr>
          <w:trHeight w:val="713"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19"/>
              <w:jc w:val="center"/>
              <w:rPr>
                <w:rFonts w:ascii="Times New Roman" w:hAnsi="Times New Roman" w:cs="Times New Roman" w:eastAsia="Times New Roman" w:hint="default"/>
                <w:sz w:val="18"/>
                <w:szCs w:val="18"/>
              </w:rPr>
            </w:pPr>
            <w:r>
              <w:rPr>
                <w:rFonts w:ascii="宋体" w:hAnsi="宋体" w:cs="宋体" w:eastAsia="宋体" w:hint="default"/>
                <w:sz w:val="18"/>
                <w:szCs w:val="18"/>
              </w:rPr>
              <w:t>万信转</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12,000,000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2" w:right="0"/>
              <w:jc w:val="center"/>
              <w:rPr>
                <w:rFonts w:ascii="Times New Roman" w:hAnsi="Times New Roman" w:cs="Times New Roman" w:eastAsia="Times New Roman" w:hint="default"/>
                <w:sz w:val="18"/>
                <w:szCs w:val="18"/>
              </w:rPr>
            </w:pPr>
            <w:r>
              <w:rPr>
                <w:rFonts w:ascii="Times New Roman"/>
                <w:sz w:val="18"/>
              </w:rPr>
              <w:t>1,200,000,000.00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549,508,200.00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40,404,333</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3.67%</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650,491,800.00</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36" w:right="0"/>
              <w:jc w:val="left"/>
              <w:rPr>
                <w:rFonts w:ascii="Times New Roman" w:hAnsi="Times New Roman" w:cs="Times New Roman" w:eastAsia="Times New Roman" w:hint="default"/>
                <w:sz w:val="18"/>
                <w:szCs w:val="18"/>
              </w:rPr>
            </w:pPr>
            <w:r>
              <w:rPr>
                <w:rFonts w:ascii="Times New Roman"/>
                <w:sz w:val="18"/>
              </w:rPr>
              <w:t>54.21%</w:t>
            </w:r>
          </w:p>
        </w:tc>
      </w:tr>
    </w:tbl>
    <w:p>
      <w:pPr>
        <w:spacing w:line="240" w:lineRule="auto" w:before="1"/>
        <w:rPr>
          <w:rFonts w:ascii="宋体" w:hAnsi="宋体" w:cs="宋体" w:eastAsia="宋体" w:hint="default"/>
          <w:sz w:val="18"/>
          <w:szCs w:val="18"/>
        </w:rPr>
      </w:pPr>
    </w:p>
    <w:p>
      <w:pPr>
        <w:pStyle w:val="Heading2"/>
        <w:spacing w:line="240" w:lineRule="auto" w:before="26"/>
        <w:ind w:right="2602"/>
        <w:jc w:val="left"/>
        <w:rPr>
          <w:b w:val="0"/>
          <w:bCs w:val="0"/>
        </w:rPr>
      </w:pPr>
      <w:bookmarkStart w:name="三、前十名可转债持有人情况" w:id="126"/>
      <w:bookmarkEnd w:id="126"/>
      <w:r>
        <w:rPr>
          <w:b w:val="0"/>
          <w:bCs w:val="0"/>
        </w:rPr>
      </w:r>
      <w:r>
        <w:rPr/>
        <w:t>三、前十名可转债持有人情况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单位：股</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72"/>
        <w:gridCol w:w="3970"/>
        <w:gridCol w:w="1277"/>
        <w:gridCol w:w="1416"/>
        <w:gridCol w:w="1419"/>
        <w:gridCol w:w="1202"/>
      </w:tblGrid>
      <w:tr>
        <w:trPr>
          <w:trHeight w:val="161" w:hRule="exact"/>
        </w:trPr>
        <w:tc>
          <w:tcPr>
            <w:tcW w:w="27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6" w:right="44"/>
              <w:jc w:val="left"/>
              <w:rPr>
                <w:rFonts w:ascii="宋体" w:hAnsi="宋体" w:cs="宋体" w:eastAsia="宋体" w:hint="default"/>
                <w:sz w:val="18"/>
                <w:szCs w:val="18"/>
              </w:rPr>
            </w:pPr>
            <w:r>
              <w:rPr>
                <w:rFonts w:ascii="宋体" w:hAnsi="宋体" w:cs="宋体" w:eastAsia="宋体" w:hint="default"/>
                <w:sz w:val="18"/>
                <w:szCs w:val="18"/>
              </w:rPr>
              <w:t>序 号</w:t>
            </w:r>
          </w:p>
        </w:tc>
        <w:tc>
          <w:tcPr>
            <w:tcW w:w="39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53" w:right="93" w:hanging="360"/>
              <w:jc w:val="left"/>
              <w:rPr>
                <w:rFonts w:ascii="宋体" w:hAnsi="宋体" w:cs="宋体" w:eastAsia="宋体" w:hint="default"/>
                <w:sz w:val="18"/>
                <w:szCs w:val="18"/>
              </w:rPr>
            </w:pPr>
            <w:r>
              <w:rPr>
                <w:rFonts w:ascii="宋体" w:hAnsi="宋体" w:cs="宋体" w:eastAsia="宋体" w:hint="default"/>
                <w:sz w:val="18"/>
                <w:szCs w:val="18"/>
              </w:rPr>
              <w:t>可转债持有人 性质</w:t>
            </w:r>
          </w:p>
        </w:tc>
        <w:tc>
          <w:tcPr>
            <w:tcW w:w="141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74" w:right="71"/>
              <w:jc w:val="left"/>
              <w:rPr>
                <w:rFonts w:ascii="宋体" w:hAnsi="宋体" w:cs="宋体" w:eastAsia="宋体" w:hint="default"/>
                <w:sz w:val="18"/>
                <w:szCs w:val="18"/>
              </w:rPr>
            </w:pPr>
            <w:r>
              <w:rPr>
                <w:rFonts w:ascii="宋体" w:hAnsi="宋体" w:cs="宋体" w:eastAsia="宋体" w:hint="default"/>
                <w:sz w:val="18"/>
                <w:szCs w:val="18"/>
              </w:rPr>
              <w:t>报告期末持有可 转债数量（张）</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74" w:right="74"/>
              <w:jc w:val="left"/>
              <w:rPr>
                <w:rFonts w:ascii="宋体" w:hAnsi="宋体" w:cs="宋体" w:eastAsia="宋体" w:hint="default"/>
                <w:sz w:val="18"/>
                <w:szCs w:val="18"/>
              </w:rPr>
            </w:pPr>
            <w:r>
              <w:rPr>
                <w:rFonts w:ascii="宋体" w:hAnsi="宋体" w:cs="宋体" w:eastAsia="宋体" w:hint="default"/>
                <w:sz w:val="18"/>
                <w:szCs w:val="18"/>
              </w:rPr>
              <w:t>报告期末持有可 转债金额（元）</w:t>
            </w:r>
          </w:p>
        </w:tc>
        <w:tc>
          <w:tcPr>
            <w:tcW w:w="120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46" w:right="53" w:hanging="89"/>
              <w:jc w:val="left"/>
              <w:rPr>
                <w:rFonts w:ascii="宋体" w:hAnsi="宋体" w:cs="宋体" w:eastAsia="宋体" w:hint="default"/>
                <w:sz w:val="18"/>
                <w:szCs w:val="18"/>
              </w:rPr>
            </w:pPr>
            <w:r>
              <w:rPr>
                <w:rFonts w:ascii="宋体" w:hAnsi="宋体" w:cs="宋体" w:eastAsia="宋体" w:hint="default"/>
                <w:sz w:val="18"/>
                <w:szCs w:val="18"/>
              </w:rPr>
              <w:t>报告期末持有 可转债占比</w:t>
            </w:r>
          </w:p>
        </w:tc>
      </w:tr>
      <w:tr>
        <w:trPr>
          <w:trHeight w:val="391" w:hRule="exact"/>
        </w:trPr>
        <w:tc>
          <w:tcPr>
            <w:tcW w:w="272" w:type="dxa"/>
            <w:vMerge/>
            <w:tcBorders>
              <w:left w:val="single" w:sz="4" w:space="0" w:color="000000"/>
              <w:right w:val="single" w:sz="4" w:space="0" w:color="000000"/>
            </w:tcBorders>
            <w:shd w:val="clear" w:color="auto" w:fill="D2D2D2"/>
          </w:tcPr>
          <w:p>
            <w:pPr/>
          </w:p>
        </w:tc>
        <w:tc>
          <w:tcPr>
            <w:tcW w:w="39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59" w:right="0"/>
              <w:jc w:val="left"/>
              <w:rPr>
                <w:rFonts w:ascii="宋体" w:hAnsi="宋体" w:cs="宋体" w:eastAsia="宋体" w:hint="default"/>
                <w:sz w:val="18"/>
                <w:szCs w:val="18"/>
              </w:rPr>
            </w:pPr>
            <w:r>
              <w:rPr>
                <w:rFonts w:ascii="宋体" w:hAnsi="宋体" w:cs="宋体" w:eastAsia="宋体" w:hint="default"/>
                <w:sz w:val="18"/>
                <w:szCs w:val="18"/>
              </w:rPr>
              <w:t>可转债持有人名称</w:t>
            </w:r>
          </w:p>
        </w:tc>
        <w:tc>
          <w:tcPr>
            <w:tcW w:w="1277" w:type="dxa"/>
            <w:vMerge/>
            <w:tcBorders>
              <w:left w:val="single" w:sz="4" w:space="0" w:color="000000"/>
              <w:right w:val="single" w:sz="4" w:space="0" w:color="000000"/>
            </w:tcBorders>
            <w:shd w:val="clear" w:color="auto" w:fill="D2D2D2"/>
          </w:tcPr>
          <w:p>
            <w:pPr/>
          </w:p>
        </w:tc>
        <w:tc>
          <w:tcPr>
            <w:tcW w:w="1416" w:type="dxa"/>
            <w:vMerge/>
            <w:tcBorders>
              <w:left w:val="single" w:sz="4" w:space="0" w:color="000000"/>
              <w:right w:val="single" w:sz="4" w:space="0" w:color="000000"/>
            </w:tcBorders>
            <w:shd w:val="clear" w:color="auto" w:fill="D2D2D2"/>
          </w:tcPr>
          <w:p>
            <w:pPr/>
          </w:p>
        </w:tc>
        <w:tc>
          <w:tcPr>
            <w:tcW w:w="1419" w:type="dxa"/>
            <w:vMerge/>
            <w:tcBorders>
              <w:left w:val="single" w:sz="4" w:space="0" w:color="000000"/>
              <w:right w:val="single" w:sz="4" w:space="0" w:color="000000"/>
            </w:tcBorders>
            <w:shd w:val="clear" w:color="auto" w:fill="D2D2D2"/>
          </w:tcPr>
          <w:p>
            <w:pPr/>
          </w:p>
        </w:tc>
        <w:tc>
          <w:tcPr>
            <w:tcW w:w="1202" w:type="dxa"/>
            <w:vMerge/>
            <w:tcBorders>
              <w:left w:val="single" w:sz="4" w:space="0" w:color="000000"/>
              <w:right w:val="single" w:sz="4" w:space="0" w:color="000000"/>
            </w:tcBorders>
            <w:shd w:val="clear" w:color="auto" w:fill="D2D2D2"/>
          </w:tcPr>
          <w:p>
            <w:pPr/>
          </w:p>
        </w:tc>
      </w:tr>
      <w:tr>
        <w:trPr>
          <w:trHeight w:val="161" w:hRule="exact"/>
        </w:trPr>
        <w:tc>
          <w:tcPr>
            <w:tcW w:w="272" w:type="dxa"/>
            <w:vMerge/>
            <w:tcBorders>
              <w:left w:val="single" w:sz="4" w:space="0" w:color="000000"/>
              <w:bottom w:val="single" w:sz="4" w:space="0" w:color="000000"/>
              <w:right w:val="single" w:sz="4" w:space="0" w:color="000000"/>
            </w:tcBorders>
            <w:shd w:val="clear" w:color="auto" w:fill="D2D2D2"/>
          </w:tcPr>
          <w:p>
            <w:pPr/>
          </w:p>
        </w:tc>
        <w:tc>
          <w:tcPr>
            <w:tcW w:w="39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416"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1</w:t>
            </w:r>
          </w:p>
        </w:tc>
        <w:tc>
          <w:tcPr>
            <w:tcW w:w="397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6" w:right="0"/>
              <w:jc w:val="left"/>
              <w:rPr>
                <w:rFonts w:ascii="Times New Roman" w:hAnsi="Times New Roman" w:cs="Times New Roman" w:eastAsia="Times New Roman" w:hint="default"/>
                <w:sz w:val="18"/>
                <w:szCs w:val="18"/>
              </w:rPr>
            </w:pPr>
            <w:r>
              <w:rPr>
                <w:rFonts w:ascii="Times New Roman"/>
                <w:sz w:val="18"/>
              </w:rPr>
              <w:t>UBS</w:t>
            </w:r>
            <w:r>
              <w:rPr>
                <w:rFonts w:ascii="Times New Roman"/>
                <w:spacing w:val="-10"/>
                <w:sz w:val="18"/>
              </w:rPr>
              <w:t> </w:t>
            </w:r>
            <w:r>
              <w:rPr>
                <w:rFonts w:ascii="Times New Roman"/>
                <w:sz w:val="18"/>
              </w:rPr>
              <w:t>AG</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492,689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49,268,900.00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7.57%</w:t>
            </w:r>
          </w:p>
        </w:tc>
      </w:tr>
      <w:tr>
        <w:trPr>
          <w:trHeight w:val="161" w:hRule="exact"/>
        </w:trPr>
        <w:tc>
          <w:tcPr>
            <w:tcW w:w="272" w:type="dxa"/>
            <w:tcBorders>
              <w:top w:val="single" w:sz="4" w:space="0" w:color="000000"/>
              <w:left w:val="single" w:sz="4" w:space="0" w:color="000000"/>
              <w:bottom w:val="nil" w:sz="6" w:space="0" w:color="auto"/>
              <w:right w:val="single" w:sz="4" w:space="0" w:color="000000"/>
            </w:tcBorders>
            <w:shd w:val="clear" w:color="auto" w:fill="D2D2D2"/>
          </w:tcPr>
          <w:p>
            <w:pPr/>
          </w:p>
        </w:tc>
        <w:tc>
          <w:tcPr>
            <w:tcW w:w="3970" w:type="dxa"/>
            <w:vMerge w:val="restart"/>
            <w:tcBorders>
              <w:top w:val="single" w:sz="4" w:space="0" w:color="000000"/>
              <w:left w:val="single" w:sz="10" w:space="0" w:color="D2D2D2"/>
              <w:right w:val="single" w:sz="4" w:space="0" w:color="000000"/>
            </w:tcBorders>
          </w:tcPr>
          <w:p>
            <w:pPr>
              <w:pStyle w:val="TableParagraph"/>
              <w:spacing w:line="316" w:lineRule="auto" w:before="49"/>
              <w:ind w:left="16" w:right="154"/>
              <w:jc w:val="left"/>
              <w:rPr>
                <w:rFonts w:ascii="宋体" w:hAnsi="宋体" w:cs="宋体" w:eastAsia="宋体" w:hint="default"/>
                <w:sz w:val="18"/>
                <w:szCs w:val="18"/>
              </w:rPr>
            </w:pPr>
            <w:r>
              <w:rPr>
                <w:rFonts w:ascii="宋体" w:hAnsi="宋体" w:cs="宋体" w:eastAsia="宋体" w:hint="default"/>
                <w:sz w:val="18"/>
                <w:szCs w:val="18"/>
              </w:rPr>
              <w:t>南方东英资产管理有限公司－南方东英龙腾中国 基金（交易所）</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9" w:right="0"/>
              <w:jc w:val="left"/>
              <w:rPr>
                <w:rFonts w:ascii="Times New Roman" w:hAnsi="Times New Roman" w:cs="Times New Roman" w:eastAsia="Times New Roman" w:hint="default"/>
                <w:sz w:val="18"/>
                <w:szCs w:val="18"/>
              </w:rPr>
            </w:pPr>
            <w:r>
              <w:rPr>
                <w:rFonts w:ascii="Times New Roman"/>
                <w:sz w:val="18"/>
              </w:rPr>
              <w:t>457,991</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45,799,100.00</w:t>
            </w: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05" w:right="0"/>
              <w:jc w:val="left"/>
              <w:rPr>
                <w:rFonts w:ascii="Times New Roman" w:hAnsi="Times New Roman" w:cs="Times New Roman" w:eastAsia="Times New Roman" w:hint="default"/>
                <w:sz w:val="18"/>
                <w:szCs w:val="18"/>
              </w:rPr>
            </w:pPr>
            <w:r>
              <w:rPr>
                <w:rFonts w:ascii="Times New Roman"/>
                <w:sz w:val="18"/>
              </w:rPr>
              <w:t>7.04%</w:t>
            </w:r>
          </w:p>
        </w:tc>
      </w:tr>
      <w:tr>
        <w:trPr>
          <w:trHeight w:val="392" w:hRule="exact"/>
        </w:trPr>
        <w:tc>
          <w:tcPr>
            <w:tcW w:w="2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2</w:t>
            </w:r>
          </w:p>
        </w:tc>
        <w:tc>
          <w:tcPr>
            <w:tcW w:w="3970" w:type="dxa"/>
            <w:vMerge/>
            <w:tcBorders>
              <w:left w:val="single" w:sz="10" w:space="0" w:color="D2D2D2"/>
              <w:right w:val="single" w:sz="4" w:space="0" w:color="000000"/>
            </w:tcBorders>
          </w:tcPr>
          <w:p>
            <w:pPr/>
          </w:p>
        </w:tc>
        <w:tc>
          <w:tcPr>
            <w:tcW w:w="1277"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1" w:hRule="exact"/>
        </w:trPr>
        <w:tc>
          <w:tcPr>
            <w:tcW w:w="272" w:type="dxa"/>
            <w:tcBorders>
              <w:top w:val="nil" w:sz="6" w:space="0" w:color="auto"/>
              <w:left w:val="single" w:sz="4" w:space="0" w:color="000000"/>
              <w:bottom w:val="single" w:sz="4" w:space="0" w:color="000000"/>
              <w:right w:val="single" w:sz="4" w:space="0" w:color="000000"/>
            </w:tcBorders>
            <w:shd w:val="clear" w:color="auto" w:fill="D2D2D2"/>
          </w:tcPr>
          <w:p>
            <w:pPr/>
          </w:p>
        </w:tc>
        <w:tc>
          <w:tcPr>
            <w:tcW w:w="3970" w:type="dxa"/>
            <w:vMerge/>
            <w:tcBorders>
              <w:left w:val="single" w:sz="10" w:space="0" w:color="D2D2D2"/>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r>
        <w:trPr>
          <w:trHeight w:val="403" w:hRule="exact"/>
        </w:trPr>
        <w:tc>
          <w:tcPr>
            <w:tcW w:w="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3</w:t>
            </w:r>
          </w:p>
        </w:tc>
        <w:tc>
          <w:tcPr>
            <w:tcW w:w="397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中国银行－易方达稳健收益债券型证券投资基金</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363,879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36,387,900.00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5.59%</w:t>
            </w:r>
          </w:p>
        </w:tc>
      </w:tr>
      <w:tr>
        <w:trPr>
          <w:trHeight w:val="161" w:hRule="exact"/>
        </w:trPr>
        <w:tc>
          <w:tcPr>
            <w:tcW w:w="272" w:type="dxa"/>
            <w:tcBorders>
              <w:top w:val="single" w:sz="4" w:space="0" w:color="000000"/>
              <w:left w:val="single" w:sz="4" w:space="0" w:color="000000"/>
              <w:bottom w:val="nil" w:sz="6" w:space="0" w:color="auto"/>
              <w:right w:val="single" w:sz="4" w:space="0" w:color="000000"/>
            </w:tcBorders>
            <w:shd w:val="clear" w:color="auto" w:fill="D2D2D2"/>
          </w:tcPr>
          <w:p>
            <w:pPr/>
          </w:p>
        </w:tc>
        <w:tc>
          <w:tcPr>
            <w:tcW w:w="3970" w:type="dxa"/>
            <w:vMerge w:val="restart"/>
            <w:tcBorders>
              <w:top w:val="single" w:sz="4" w:space="0" w:color="000000"/>
              <w:left w:val="single" w:sz="10" w:space="0" w:color="D2D2D2"/>
              <w:right w:val="single" w:sz="4" w:space="0" w:color="000000"/>
            </w:tcBorders>
          </w:tcPr>
          <w:p>
            <w:pPr>
              <w:pStyle w:val="TableParagraph"/>
              <w:spacing w:line="316" w:lineRule="auto" w:before="49"/>
              <w:ind w:left="16" w:right="22"/>
              <w:jc w:val="left"/>
              <w:rPr>
                <w:rFonts w:ascii="宋体" w:hAnsi="宋体" w:cs="宋体" w:eastAsia="宋体" w:hint="default"/>
                <w:sz w:val="18"/>
                <w:szCs w:val="18"/>
              </w:rPr>
            </w:pPr>
            <w:r>
              <w:rPr>
                <w:rFonts w:ascii="宋体" w:hAnsi="宋体" w:cs="宋体" w:eastAsia="宋体" w:hint="default"/>
                <w:spacing w:val="-3"/>
                <w:sz w:val="18"/>
                <w:szCs w:val="18"/>
              </w:rPr>
              <w:t>富国基金－宁波银行－富国资产管理（上海）有限</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9" w:right="0"/>
              <w:jc w:val="left"/>
              <w:rPr>
                <w:rFonts w:ascii="Times New Roman" w:hAnsi="Times New Roman" w:cs="Times New Roman" w:eastAsia="Times New Roman" w:hint="default"/>
                <w:sz w:val="18"/>
                <w:szCs w:val="18"/>
              </w:rPr>
            </w:pPr>
            <w:r>
              <w:rPr>
                <w:rFonts w:ascii="Times New Roman"/>
                <w:sz w:val="18"/>
              </w:rPr>
              <w:t>194,633</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19,463,300.00</w:t>
            </w: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05" w:right="0"/>
              <w:jc w:val="left"/>
              <w:rPr>
                <w:rFonts w:ascii="Times New Roman" w:hAnsi="Times New Roman" w:cs="Times New Roman" w:eastAsia="Times New Roman" w:hint="default"/>
                <w:sz w:val="18"/>
                <w:szCs w:val="18"/>
              </w:rPr>
            </w:pPr>
            <w:r>
              <w:rPr>
                <w:rFonts w:ascii="Times New Roman"/>
                <w:sz w:val="18"/>
              </w:rPr>
              <w:t>2.99%</w:t>
            </w:r>
          </w:p>
        </w:tc>
      </w:tr>
      <w:tr>
        <w:trPr>
          <w:trHeight w:val="391" w:hRule="exact"/>
        </w:trPr>
        <w:tc>
          <w:tcPr>
            <w:tcW w:w="2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4</w:t>
            </w:r>
          </w:p>
        </w:tc>
        <w:tc>
          <w:tcPr>
            <w:tcW w:w="3970" w:type="dxa"/>
            <w:vMerge/>
            <w:tcBorders>
              <w:left w:val="single" w:sz="10" w:space="0" w:color="D2D2D2"/>
              <w:right w:val="single" w:sz="4" w:space="0" w:color="000000"/>
            </w:tcBorders>
          </w:tcPr>
          <w:p>
            <w:pPr/>
          </w:p>
        </w:tc>
        <w:tc>
          <w:tcPr>
            <w:tcW w:w="1277"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1" w:hRule="exact"/>
        </w:trPr>
        <w:tc>
          <w:tcPr>
            <w:tcW w:w="272" w:type="dxa"/>
            <w:tcBorders>
              <w:top w:val="nil" w:sz="6" w:space="0" w:color="auto"/>
              <w:left w:val="single" w:sz="4" w:space="0" w:color="000000"/>
              <w:bottom w:val="single" w:sz="4" w:space="0" w:color="000000"/>
              <w:right w:val="single" w:sz="4" w:space="0" w:color="000000"/>
            </w:tcBorders>
            <w:shd w:val="clear" w:color="auto" w:fill="D2D2D2"/>
          </w:tcPr>
          <w:p>
            <w:pPr/>
          </w:p>
        </w:tc>
        <w:tc>
          <w:tcPr>
            <w:tcW w:w="3970" w:type="dxa"/>
            <w:vMerge/>
            <w:tcBorders>
              <w:left w:val="single" w:sz="10" w:space="0" w:color="D2D2D2"/>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r>
        <w:trPr>
          <w:trHeight w:val="161" w:hRule="exact"/>
        </w:trPr>
        <w:tc>
          <w:tcPr>
            <w:tcW w:w="272" w:type="dxa"/>
            <w:tcBorders>
              <w:top w:val="single" w:sz="4" w:space="0" w:color="000000"/>
              <w:left w:val="single" w:sz="4" w:space="0" w:color="000000"/>
              <w:bottom w:val="nil" w:sz="6" w:space="0" w:color="auto"/>
              <w:right w:val="single" w:sz="4" w:space="0" w:color="000000"/>
            </w:tcBorders>
            <w:shd w:val="clear" w:color="auto" w:fill="D2D2D2"/>
          </w:tcPr>
          <w:p>
            <w:pPr/>
          </w:p>
        </w:tc>
        <w:tc>
          <w:tcPr>
            <w:tcW w:w="3970" w:type="dxa"/>
            <w:vMerge w:val="restart"/>
            <w:tcBorders>
              <w:top w:val="single" w:sz="4" w:space="0" w:color="000000"/>
              <w:left w:val="single" w:sz="10" w:space="0" w:color="D2D2D2"/>
              <w:right w:val="single" w:sz="4" w:space="0" w:color="000000"/>
            </w:tcBorders>
          </w:tcPr>
          <w:p>
            <w:pPr>
              <w:pStyle w:val="TableParagraph"/>
              <w:spacing w:line="316" w:lineRule="auto" w:before="49"/>
              <w:ind w:left="16" w:right="154"/>
              <w:jc w:val="left"/>
              <w:rPr>
                <w:rFonts w:ascii="宋体" w:hAnsi="宋体" w:cs="宋体" w:eastAsia="宋体" w:hint="default"/>
                <w:sz w:val="18"/>
                <w:szCs w:val="18"/>
              </w:rPr>
            </w:pPr>
            <w:r>
              <w:rPr>
                <w:rFonts w:ascii="宋体" w:hAnsi="宋体" w:cs="宋体" w:eastAsia="宋体" w:hint="default"/>
                <w:sz w:val="18"/>
                <w:szCs w:val="18"/>
              </w:rPr>
              <w:t>富国富益进取固定收益型养老金产品－中国工商 银行股份有限公司</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9" w:right="0"/>
              <w:jc w:val="left"/>
              <w:rPr>
                <w:rFonts w:ascii="Times New Roman" w:hAnsi="Times New Roman" w:cs="Times New Roman" w:eastAsia="Times New Roman" w:hint="default"/>
                <w:sz w:val="18"/>
                <w:szCs w:val="18"/>
              </w:rPr>
            </w:pPr>
            <w:r>
              <w:rPr>
                <w:rFonts w:ascii="Times New Roman"/>
                <w:sz w:val="18"/>
              </w:rPr>
              <w:t>155,486</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15,548,600.00</w:t>
            </w: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05" w:right="0"/>
              <w:jc w:val="left"/>
              <w:rPr>
                <w:rFonts w:ascii="Times New Roman" w:hAnsi="Times New Roman" w:cs="Times New Roman" w:eastAsia="Times New Roman" w:hint="default"/>
                <w:sz w:val="18"/>
                <w:szCs w:val="18"/>
              </w:rPr>
            </w:pPr>
            <w:r>
              <w:rPr>
                <w:rFonts w:ascii="Times New Roman"/>
                <w:sz w:val="18"/>
              </w:rPr>
              <w:t>2.39%</w:t>
            </w:r>
          </w:p>
        </w:tc>
      </w:tr>
      <w:tr>
        <w:trPr>
          <w:trHeight w:val="394" w:hRule="exact"/>
        </w:trPr>
        <w:tc>
          <w:tcPr>
            <w:tcW w:w="2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5</w:t>
            </w:r>
          </w:p>
        </w:tc>
        <w:tc>
          <w:tcPr>
            <w:tcW w:w="3970" w:type="dxa"/>
            <w:vMerge/>
            <w:tcBorders>
              <w:left w:val="single" w:sz="10" w:space="0" w:color="D2D2D2"/>
              <w:right w:val="single" w:sz="4" w:space="0" w:color="000000"/>
            </w:tcBorders>
          </w:tcPr>
          <w:p>
            <w:pPr/>
          </w:p>
        </w:tc>
        <w:tc>
          <w:tcPr>
            <w:tcW w:w="1277"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1" w:hRule="exact"/>
        </w:trPr>
        <w:tc>
          <w:tcPr>
            <w:tcW w:w="272" w:type="dxa"/>
            <w:tcBorders>
              <w:top w:val="nil" w:sz="6" w:space="0" w:color="auto"/>
              <w:left w:val="single" w:sz="4" w:space="0" w:color="000000"/>
              <w:bottom w:val="single" w:sz="4" w:space="0" w:color="000000"/>
              <w:right w:val="single" w:sz="4" w:space="0" w:color="000000"/>
            </w:tcBorders>
            <w:shd w:val="clear" w:color="auto" w:fill="D2D2D2"/>
          </w:tcPr>
          <w:p>
            <w:pPr/>
          </w:p>
        </w:tc>
        <w:tc>
          <w:tcPr>
            <w:tcW w:w="3970" w:type="dxa"/>
            <w:vMerge/>
            <w:tcBorders>
              <w:left w:val="single" w:sz="10" w:space="0" w:color="D2D2D2"/>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r>
        <w:trPr>
          <w:trHeight w:val="401" w:hRule="exact"/>
        </w:trPr>
        <w:tc>
          <w:tcPr>
            <w:tcW w:w="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6</w:t>
            </w:r>
          </w:p>
        </w:tc>
        <w:tc>
          <w:tcPr>
            <w:tcW w:w="397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太平资产管理有限公司－太平之星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153,935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15,393,500.00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61"/>
        <w:gridCol w:w="3981"/>
        <w:gridCol w:w="1277"/>
        <w:gridCol w:w="1416"/>
        <w:gridCol w:w="1419"/>
        <w:gridCol w:w="1202"/>
      </w:tblGrid>
      <w:tr>
        <w:trPr>
          <w:trHeight w:val="161" w:hRule="exact"/>
        </w:trPr>
        <w:tc>
          <w:tcPr>
            <w:tcW w:w="261"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36" w:right="33"/>
              <w:jc w:val="left"/>
              <w:rPr>
                <w:rFonts w:ascii="宋体" w:hAnsi="宋体" w:cs="宋体" w:eastAsia="宋体" w:hint="default"/>
                <w:sz w:val="18"/>
                <w:szCs w:val="18"/>
              </w:rPr>
            </w:pPr>
            <w:r>
              <w:rPr>
                <w:rFonts w:ascii="宋体" w:hAnsi="宋体" w:cs="宋体" w:eastAsia="宋体" w:hint="default"/>
                <w:sz w:val="18"/>
                <w:szCs w:val="18"/>
              </w:rPr>
              <w:t>序 号</w:t>
            </w:r>
          </w:p>
        </w:tc>
        <w:tc>
          <w:tcPr>
            <w:tcW w:w="3981"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453" w:right="93" w:hanging="360"/>
              <w:jc w:val="left"/>
              <w:rPr>
                <w:rFonts w:ascii="宋体" w:hAnsi="宋体" w:cs="宋体" w:eastAsia="宋体" w:hint="default"/>
                <w:sz w:val="18"/>
                <w:szCs w:val="18"/>
              </w:rPr>
            </w:pPr>
            <w:r>
              <w:rPr>
                <w:rFonts w:ascii="宋体" w:hAnsi="宋体" w:cs="宋体" w:eastAsia="宋体" w:hint="default"/>
                <w:sz w:val="18"/>
                <w:szCs w:val="18"/>
              </w:rPr>
              <w:t>可转债持有人 性质</w:t>
            </w:r>
          </w:p>
        </w:tc>
        <w:tc>
          <w:tcPr>
            <w:tcW w:w="141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74" w:right="71"/>
              <w:jc w:val="left"/>
              <w:rPr>
                <w:rFonts w:ascii="宋体" w:hAnsi="宋体" w:cs="宋体" w:eastAsia="宋体" w:hint="default"/>
                <w:sz w:val="18"/>
                <w:szCs w:val="18"/>
              </w:rPr>
            </w:pPr>
            <w:r>
              <w:rPr>
                <w:rFonts w:ascii="宋体" w:hAnsi="宋体" w:cs="宋体" w:eastAsia="宋体" w:hint="default"/>
                <w:sz w:val="18"/>
                <w:szCs w:val="18"/>
              </w:rPr>
              <w:t>报告期末持有可 转债数量（张）</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74" w:right="74"/>
              <w:jc w:val="left"/>
              <w:rPr>
                <w:rFonts w:ascii="宋体" w:hAnsi="宋体" w:cs="宋体" w:eastAsia="宋体" w:hint="default"/>
                <w:sz w:val="18"/>
                <w:szCs w:val="18"/>
              </w:rPr>
            </w:pPr>
            <w:r>
              <w:rPr>
                <w:rFonts w:ascii="宋体" w:hAnsi="宋体" w:cs="宋体" w:eastAsia="宋体" w:hint="default"/>
                <w:sz w:val="18"/>
                <w:szCs w:val="18"/>
              </w:rPr>
              <w:t>报告期末持有可 转债金额（元）</w:t>
            </w:r>
          </w:p>
        </w:tc>
        <w:tc>
          <w:tcPr>
            <w:tcW w:w="120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146" w:right="53" w:hanging="89"/>
              <w:jc w:val="left"/>
              <w:rPr>
                <w:rFonts w:ascii="宋体" w:hAnsi="宋体" w:cs="宋体" w:eastAsia="宋体" w:hint="default"/>
                <w:sz w:val="18"/>
                <w:szCs w:val="18"/>
              </w:rPr>
            </w:pPr>
            <w:r>
              <w:rPr>
                <w:rFonts w:ascii="宋体" w:hAnsi="宋体" w:cs="宋体" w:eastAsia="宋体" w:hint="default"/>
                <w:sz w:val="18"/>
                <w:szCs w:val="18"/>
              </w:rPr>
              <w:t>报告期末持有 可转债占比</w:t>
            </w:r>
          </w:p>
        </w:tc>
      </w:tr>
      <w:tr>
        <w:trPr>
          <w:trHeight w:val="392" w:hRule="exact"/>
        </w:trPr>
        <w:tc>
          <w:tcPr>
            <w:tcW w:w="261" w:type="dxa"/>
            <w:vMerge/>
            <w:tcBorders>
              <w:left w:val="single" w:sz="4" w:space="0" w:color="000000"/>
              <w:right w:val="single" w:sz="4" w:space="0" w:color="000000"/>
            </w:tcBorders>
            <w:shd w:val="clear" w:color="auto" w:fill="D2D2D2"/>
          </w:tcPr>
          <w:p>
            <w:pPr/>
          </w:p>
        </w:tc>
        <w:tc>
          <w:tcPr>
            <w:tcW w:w="39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70" w:right="0"/>
              <w:jc w:val="left"/>
              <w:rPr>
                <w:rFonts w:ascii="宋体" w:hAnsi="宋体" w:cs="宋体" w:eastAsia="宋体" w:hint="default"/>
                <w:sz w:val="18"/>
                <w:szCs w:val="18"/>
              </w:rPr>
            </w:pPr>
            <w:r>
              <w:rPr>
                <w:rFonts w:ascii="宋体" w:hAnsi="宋体" w:cs="宋体" w:eastAsia="宋体" w:hint="default"/>
                <w:sz w:val="18"/>
                <w:szCs w:val="18"/>
              </w:rPr>
              <w:t>可转债持有人名称</w:t>
            </w:r>
          </w:p>
        </w:tc>
        <w:tc>
          <w:tcPr>
            <w:tcW w:w="1277" w:type="dxa"/>
            <w:vMerge/>
            <w:tcBorders>
              <w:left w:val="single" w:sz="4" w:space="0" w:color="000000"/>
              <w:right w:val="single" w:sz="4" w:space="0" w:color="000000"/>
            </w:tcBorders>
            <w:shd w:val="clear" w:color="auto" w:fill="D2D2D2"/>
          </w:tcPr>
          <w:p>
            <w:pPr/>
          </w:p>
        </w:tc>
        <w:tc>
          <w:tcPr>
            <w:tcW w:w="1416" w:type="dxa"/>
            <w:vMerge/>
            <w:tcBorders>
              <w:left w:val="single" w:sz="4" w:space="0" w:color="000000"/>
              <w:right w:val="single" w:sz="4" w:space="0" w:color="000000"/>
            </w:tcBorders>
            <w:shd w:val="clear" w:color="auto" w:fill="D2D2D2"/>
          </w:tcPr>
          <w:p>
            <w:pPr/>
          </w:p>
        </w:tc>
        <w:tc>
          <w:tcPr>
            <w:tcW w:w="1419" w:type="dxa"/>
            <w:vMerge/>
            <w:tcBorders>
              <w:left w:val="single" w:sz="4" w:space="0" w:color="000000"/>
              <w:right w:val="single" w:sz="4" w:space="0" w:color="000000"/>
            </w:tcBorders>
            <w:shd w:val="clear" w:color="auto" w:fill="D2D2D2"/>
          </w:tcPr>
          <w:p>
            <w:pPr/>
          </w:p>
        </w:tc>
        <w:tc>
          <w:tcPr>
            <w:tcW w:w="1202" w:type="dxa"/>
            <w:vMerge/>
            <w:tcBorders>
              <w:left w:val="single" w:sz="4" w:space="0" w:color="000000"/>
              <w:right w:val="single" w:sz="4" w:space="0" w:color="000000"/>
            </w:tcBorders>
            <w:shd w:val="clear" w:color="auto" w:fill="D2D2D2"/>
          </w:tcPr>
          <w:p>
            <w:pPr/>
          </w:p>
        </w:tc>
      </w:tr>
      <w:tr>
        <w:trPr>
          <w:trHeight w:val="161" w:hRule="exact"/>
        </w:trPr>
        <w:tc>
          <w:tcPr>
            <w:tcW w:w="261" w:type="dxa"/>
            <w:vMerge/>
            <w:tcBorders>
              <w:left w:val="single" w:sz="4" w:space="0" w:color="000000"/>
              <w:bottom w:val="single" w:sz="4" w:space="0" w:color="000000"/>
              <w:right w:val="single" w:sz="4" w:space="0" w:color="000000"/>
            </w:tcBorders>
            <w:shd w:val="clear" w:color="auto" w:fill="D2D2D2"/>
          </w:tcPr>
          <w:p>
            <w:pPr/>
          </w:p>
        </w:tc>
        <w:tc>
          <w:tcPr>
            <w:tcW w:w="39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416"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r>
      <w:tr>
        <w:trPr>
          <w:trHeight w:val="163" w:hRule="exact"/>
        </w:trPr>
        <w:tc>
          <w:tcPr>
            <w:tcW w:w="261" w:type="dxa"/>
            <w:tcBorders>
              <w:top w:val="single" w:sz="4" w:space="0" w:color="000000"/>
              <w:left w:val="single" w:sz="4" w:space="0" w:color="000000"/>
              <w:bottom w:val="nil" w:sz="6" w:space="0" w:color="auto"/>
              <w:right w:val="single" w:sz="4" w:space="0" w:color="000000"/>
            </w:tcBorders>
            <w:shd w:val="clear" w:color="auto" w:fill="D2D2D2"/>
          </w:tcPr>
          <w:p>
            <w:pPr/>
          </w:p>
        </w:tc>
        <w:tc>
          <w:tcPr>
            <w:tcW w:w="3981" w:type="dxa"/>
            <w:vMerge w:val="restart"/>
            <w:tcBorders>
              <w:top w:val="single" w:sz="4" w:space="0" w:color="000000"/>
              <w:left w:val="single" w:sz="10" w:space="0" w:color="D2D2D2"/>
              <w:right w:val="single" w:sz="4" w:space="0" w:color="000000"/>
            </w:tcBorders>
          </w:tcPr>
          <w:p>
            <w:pPr>
              <w:pStyle w:val="TableParagraph"/>
              <w:spacing w:line="314" w:lineRule="auto" w:before="51"/>
              <w:ind w:left="27" w:right="154"/>
              <w:jc w:val="left"/>
              <w:rPr>
                <w:rFonts w:ascii="宋体" w:hAnsi="宋体" w:cs="宋体" w:eastAsia="宋体" w:hint="default"/>
                <w:sz w:val="18"/>
                <w:szCs w:val="18"/>
              </w:rPr>
            </w:pPr>
            <w:r>
              <w:rPr>
                <w:rFonts w:ascii="宋体" w:hAnsi="宋体" w:cs="宋体" w:eastAsia="宋体" w:hint="default"/>
                <w:sz w:val="18"/>
                <w:szCs w:val="18"/>
              </w:rPr>
              <w:t>中国对外经济贸易信托有限公司－外贸信托－睿 郡稳享私募证券投资基金</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99" w:right="0"/>
              <w:jc w:val="left"/>
              <w:rPr>
                <w:rFonts w:ascii="Times New Roman" w:hAnsi="Times New Roman" w:cs="Times New Roman" w:eastAsia="Times New Roman" w:hint="default"/>
                <w:sz w:val="18"/>
                <w:szCs w:val="18"/>
              </w:rPr>
            </w:pPr>
            <w:r>
              <w:rPr>
                <w:rFonts w:ascii="Times New Roman"/>
                <w:sz w:val="18"/>
              </w:rPr>
              <w:t>143,791</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14,379,100.00</w:t>
            </w: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05" w:right="0"/>
              <w:jc w:val="left"/>
              <w:rPr>
                <w:rFonts w:ascii="Times New Roman" w:hAnsi="Times New Roman" w:cs="Times New Roman" w:eastAsia="Times New Roman" w:hint="default"/>
                <w:sz w:val="18"/>
                <w:szCs w:val="18"/>
              </w:rPr>
            </w:pPr>
            <w:r>
              <w:rPr>
                <w:rFonts w:ascii="Times New Roman"/>
                <w:sz w:val="18"/>
              </w:rPr>
              <w:t>2.21%</w:t>
            </w:r>
          </w:p>
        </w:tc>
      </w:tr>
      <w:tr>
        <w:trPr>
          <w:trHeight w:val="391" w:hRule="exact"/>
        </w:trPr>
        <w:tc>
          <w:tcPr>
            <w:tcW w:w="26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7</w:t>
            </w:r>
          </w:p>
        </w:tc>
        <w:tc>
          <w:tcPr>
            <w:tcW w:w="3981" w:type="dxa"/>
            <w:vMerge/>
            <w:tcBorders>
              <w:left w:val="single" w:sz="10" w:space="0" w:color="D2D2D2"/>
              <w:right w:val="single" w:sz="4" w:space="0" w:color="000000"/>
            </w:tcBorders>
          </w:tcPr>
          <w:p>
            <w:pPr/>
          </w:p>
        </w:tc>
        <w:tc>
          <w:tcPr>
            <w:tcW w:w="1277"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1" w:hRule="exact"/>
        </w:trPr>
        <w:tc>
          <w:tcPr>
            <w:tcW w:w="261" w:type="dxa"/>
            <w:tcBorders>
              <w:top w:val="nil" w:sz="6" w:space="0" w:color="auto"/>
              <w:left w:val="single" w:sz="4" w:space="0" w:color="000000"/>
              <w:bottom w:val="single" w:sz="4" w:space="0" w:color="000000"/>
              <w:right w:val="single" w:sz="4" w:space="0" w:color="000000"/>
            </w:tcBorders>
            <w:shd w:val="clear" w:color="auto" w:fill="D2D2D2"/>
          </w:tcPr>
          <w:p>
            <w:pPr/>
          </w:p>
        </w:tc>
        <w:tc>
          <w:tcPr>
            <w:tcW w:w="3981" w:type="dxa"/>
            <w:vMerge/>
            <w:tcBorders>
              <w:left w:val="single" w:sz="10" w:space="0" w:color="D2D2D2"/>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r>
        <w:trPr>
          <w:trHeight w:val="401" w:hRule="exact"/>
        </w:trPr>
        <w:tc>
          <w:tcPr>
            <w:tcW w:w="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8</w:t>
            </w:r>
          </w:p>
        </w:tc>
        <w:tc>
          <w:tcPr>
            <w:tcW w:w="398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全国社保基金二零八组合</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9" w:right="0"/>
              <w:jc w:val="left"/>
              <w:rPr>
                <w:rFonts w:ascii="Times New Roman" w:hAnsi="Times New Roman" w:cs="Times New Roman" w:eastAsia="Times New Roman" w:hint="default"/>
                <w:sz w:val="18"/>
                <w:szCs w:val="18"/>
              </w:rPr>
            </w:pPr>
            <w:r>
              <w:rPr>
                <w:rFonts w:ascii="Times New Roman"/>
                <w:sz w:val="18"/>
              </w:rPr>
              <w:t>109,491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2" w:right="0"/>
              <w:jc w:val="left"/>
              <w:rPr>
                <w:rFonts w:ascii="Times New Roman" w:hAnsi="Times New Roman" w:cs="Times New Roman" w:eastAsia="Times New Roman" w:hint="default"/>
                <w:sz w:val="18"/>
                <w:szCs w:val="18"/>
              </w:rPr>
            </w:pPr>
            <w:r>
              <w:rPr>
                <w:rFonts w:ascii="Times New Roman"/>
                <w:sz w:val="18"/>
              </w:rPr>
              <w:t>10,949,100.00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5" w:right="0"/>
              <w:jc w:val="left"/>
              <w:rPr>
                <w:rFonts w:ascii="Times New Roman" w:hAnsi="Times New Roman" w:cs="Times New Roman" w:eastAsia="Times New Roman" w:hint="default"/>
                <w:sz w:val="18"/>
                <w:szCs w:val="18"/>
              </w:rPr>
            </w:pPr>
            <w:r>
              <w:rPr>
                <w:rFonts w:ascii="Times New Roman"/>
                <w:sz w:val="18"/>
              </w:rPr>
              <w:t>1.68%</w:t>
            </w:r>
          </w:p>
        </w:tc>
      </w:tr>
      <w:tr>
        <w:trPr>
          <w:trHeight w:val="163" w:hRule="exact"/>
        </w:trPr>
        <w:tc>
          <w:tcPr>
            <w:tcW w:w="261" w:type="dxa"/>
            <w:tcBorders>
              <w:top w:val="single" w:sz="4" w:space="0" w:color="000000"/>
              <w:left w:val="single" w:sz="4" w:space="0" w:color="000000"/>
              <w:bottom w:val="nil" w:sz="6" w:space="0" w:color="auto"/>
              <w:right w:val="single" w:sz="4" w:space="0" w:color="000000"/>
            </w:tcBorders>
            <w:shd w:val="clear" w:color="auto" w:fill="D2D2D2"/>
          </w:tcPr>
          <w:p>
            <w:pPr/>
          </w:p>
        </w:tc>
        <w:tc>
          <w:tcPr>
            <w:tcW w:w="3981" w:type="dxa"/>
            <w:vMerge w:val="restart"/>
            <w:tcBorders>
              <w:top w:val="single" w:sz="4" w:space="0" w:color="000000"/>
              <w:left w:val="single" w:sz="10" w:space="0" w:color="D2D2D2"/>
              <w:right w:val="single" w:sz="4" w:space="0" w:color="000000"/>
            </w:tcBorders>
          </w:tcPr>
          <w:p>
            <w:pPr>
              <w:pStyle w:val="TableParagraph"/>
              <w:spacing w:line="314" w:lineRule="auto" w:before="51"/>
              <w:ind w:left="27" w:right="154"/>
              <w:jc w:val="left"/>
              <w:rPr>
                <w:rFonts w:ascii="宋体" w:hAnsi="宋体" w:cs="宋体" w:eastAsia="宋体" w:hint="default"/>
                <w:sz w:val="18"/>
                <w:szCs w:val="18"/>
              </w:rPr>
            </w:pPr>
            <w:r>
              <w:rPr>
                <w:rFonts w:ascii="宋体" w:hAnsi="宋体" w:cs="宋体" w:eastAsia="宋体" w:hint="default"/>
                <w:sz w:val="18"/>
                <w:szCs w:val="18"/>
              </w:rPr>
              <w:t>中国工商银行股份有限公司－泓德裕祥债券型证 券投资基金</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99" w:right="0"/>
              <w:jc w:val="left"/>
              <w:rPr>
                <w:rFonts w:ascii="Times New Roman" w:hAnsi="Times New Roman" w:cs="Times New Roman" w:eastAsia="Times New Roman" w:hint="default"/>
                <w:sz w:val="18"/>
                <w:szCs w:val="18"/>
              </w:rPr>
            </w:pPr>
            <w:r>
              <w:rPr>
                <w:rFonts w:ascii="Times New Roman"/>
                <w:sz w:val="18"/>
              </w:rPr>
              <w:t>108,370</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10,837,000.00</w:t>
            </w: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05" w:right="0"/>
              <w:jc w:val="left"/>
              <w:rPr>
                <w:rFonts w:ascii="Times New Roman" w:hAnsi="Times New Roman" w:cs="Times New Roman" w:eastAsia="Times New Roman" w:hint="default"/>
                <w:sz w:val="18"/>
                <w:szCs w:val="18"/>
              </w:rPr>
            </w:pPr>
            <w:r>
              <w:rPr>
                <w:rFonts w:ascii="Times New Roman"/>
                <w:sz w:val="18"/>
              </w:rPr>
              <w:t>1.67%</w:t>
            </w:r>
          </w:p>
        </w:tc>
      </w:tr>
      <w:tr>
        <w:trPr>
          <w:trHeight w:val="391" w:hRule="exact"/>
        </w:trPr>
        <w:tc>
          <w:tcPr>
            <w:tcW w:w="26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9</w:t>
            </w:r>
          </w:p>
        </w:tc>
        <w:tc>
          <w:tcPr>
            <w:tcW w:w="3981" w:type="dxa"/>
            <w:vMerge/>
            <w:tcBorders>
              <w:left w:val="single" w:sz="10" w:space="0" w:color="D2D2D2"/>
              <w:right w:val="single" w:sz="4" w:space="0" w:color="000000"/>
            </w:tcBorders>
          </w:tcPr>
          <w:p>
            <w:pPr/>
          </w:p>
        </w:tc>
        <w:tc>
          <w:tcPr>
            <w:tcW w:w="1277"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1" w:hRule="exact"/>
        </w:trPr>
        <w:tc>
          <w:tcPr>
            <w:tcW w:w="261" w:type="dxa"/>
            <w:tcBorders>
              <w:top w:val="nil" w:sz="6" w:space="0" w:color="auto"/>
              <w:left w:val="single" w:sz="4" w:space="0" w:color="000000"/>
              <w:bottom w:val="single" w:sz="4" w:space="0" w:color="000000"/>
              <w:right w:val="single" w:sz="4" w:space="0" w:color="000000"/>
            </w:tcBorders>
            <w:shd w:val="clear" w:color="auto" w:fill="D2D2D2"/>
          </w:tcPr>
          <w:p>
            <w:pPr/>
          </w:p>
        </w:tc>
        <w:tc>
          <w:tcPr>
            <w:tcW w:w="3981" w:type="dxa"/>
            <w:vMerge/>
            <w:tcBorders>
              <w:left w:val="single" w:sz="10" w:space="0" w:color="D2D2D2"/>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r>
        <w:trPr>
          <w:trHeight w:val="161" w:hRule="exact"/>
        </w:trPr>
        <w:tc>
          <w:tcPr>
            <w:tcW w:w="261" w:type="dxa"/>
            <w:tcBorders>
              <w:top w:val="single" w:sz="4" w:space="0" w:color="000000"/>
              <w:left w:val="single" w:sz="4" w:space="0" w:color="000000"/>
              <w:bottom w:val="nil" w:sz="6" w:space="0" w:color="auto"/>
              <w:right w:val="single" w:sz="4" w:space="0" w:color="000000"/>
            </w:tcBorders>
            <w:shd w:val="clear" w:color="auto" w:fill="D2D2D2"/>
          </w:tcPr>
          <w:p>
            <w:pPr/>
          </w:p>
        </w:tc>
        <w:tc>
          <w:tcPr>
            <w:tcW w:w="3981" w:type="dxa"/>
            <w:vMerge w:val="restart"/>
            <w:tcBorders>
              <w:top w:val="single" w:sz="4" w:space="0" w:color="000000"/>
              <w:left w:val="single" w:sz="10" w:space="0" w:color="D2D2D2"/>
              <w:right w:val="single" w:sz="4" w:space="0" w:color="000000"/>
            </w:tcBorders>
          </w:tcPr>
          <w:p>
            <w:pPr>
              <w:pStyle w:val="TableParagraph"/>
              <w:spacing w:line="316" w:lineRule="auto" w:before="49"/>
              <w:ind w:left="27" w:right="154"/>
              <w:jc w:val="left"/>
              <w:rPr>
                <w:rFonts w:ascii="宋体" w:hAnsi="宋体" w:cs="宋体" w:eastAsia="宋体" w:hint="default"/>
                <w:sz w:val="18"/>
                <w:szCs w:val="18"/>
              </w:rPr>
            </w:pPr>
            <w:r>
              <w:rPr>
                <w:rFonts w:ascii="宋体" w:hAnsi="宋体" w:cs="宋体" w:eastAsia="宋体" w:hint="default"/>
                <w:sz w:val="18"/>
                <w:szCs w:val="18"/>
              </w:rPr>
              <w:t>招商银行股份有限公司－鹏扬汇利债券型证券投 资基金</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9" w:right="0"/>
              <w:jc w:val="left"/>
              <w:rPr>
                <w:rFonts w:ascii="Times New Roman" w:hAnsi="Times New Roman" w:cs="Times New Roman" w:eastAsia="Times New Roman" w:hint="default"/>
                <w:sz w:val="18"/>
                <w:szCs w:val="18"/>
              </w:rPr>
            </w:pPr>
            <w:r>
              <w:rPr>
                <w:rFonts w:ascii="Times New Roman"/>
                <w:sz w:val="18"/>
              </w:rPr>
              <w:t>100,000</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10,000,000.00</w:t>
            </w: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05" w:right="0"/>
              <w:jc w:val="left"/>
              <w:rPr>
                <w:rFonts w:ascii="Times New Roman" w:hAnsi="Times New Roman" w:cs="Times New Roman" w:eastAsia="Times New Roman" w:hint="default"/>
                <w:sz w:val="18"/>
                <w:szCs w:val="18"/>
              </w:rPr>
            </w:pPr>
            <w:r>
              <w:rPr>
                <w:rFonts w:ascii="Times New Roman"/>
                <w:sz w:val="18"/>
              </w:rPr>
              <w:t>1.54%</w:t>
            </w:r>
          </w:p>
        </w:tc>
      </w:tr>
      <w:tr>
        <w:trPr>
          <w:trHeight w:val="391" w:hRule="exact"/>
        </w:trPr>
        <w:tc>
          <w:tcPr>
            <w:tcW w:w="26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10</w:t>
            </w:r>
          </w:p>
        </w:tc>
        <w:tc>
          <w:tcPr>
            <w:tcW w:w="3981" w:type="dxa"/>
            <w:vMerge/>
            <w:tcBorders>
              <w:left w:val="single" w:sz="10" w:space="0" w:color="D2D2D2"/>
              <w:right w:val="single" w:sz="4" w:space="0" w:color="000000"/>
            </w:tcBorders>
          </w:tcPr>
          <w:p>
            <w:pPr/>
          </w:p>
        </w:tc>
        <w:tc>
          <w:tcPr>
            <w:tcW w:w="1277"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3" w:hRule="exact"/>
        </w:trPr>
        <w:tc>
          <w:tcPr>
            <w:tcW w:w="261" w:type="dxa"/>
            <w:tcBorders>
              <w:top w:val="nil" w:sz="6" w:space="0" w:color="auto"/>
              <w:left w:val="single" w:sz="4" w:space="0" w:color="000000"/>
              <w:bottom w:val="single" w:sz="4" w:space="0" w:color="000000"/>
              <w:right w:val="single" w:sz="4" w:space="0" w:color="000000"/>
            </w:tcBorders>
            <w:shd w:val="clear" w:color="auto" w:fill="D2D2D2"/>
          </w:tcPr>
          <w:p>
            <w:pPr/>
          </w:p>
        </w:tc>
        <w:tc>
          <w:tcPr>
            <w:tcW w:w="3981" w:type="dxa"/>
            <w:vMerge/>
            <w:tcBorders>
              <w:left w:val="single" w:sz="10" w:space="0" w:color="D2D2D2"/>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8"/>
          <w:szCs w:val="18"/>
        </w:rPr>
      </w:pPr>
    </w:p>
    <w:p>
      <w:pPr>
        <w:pStyle w:val="Heading2"/>
        <w:spacing w:line="240" w:lineRule="auto" w:before="26"/>
        <w:ind w:right="2602"/>
        <w:jc w:val="left"/>
        <w:rPr>
          <w:b w:val="0"/>
          <w:bCs w:val="0"/>
        </w:rPr>
      </w:pPr>
      <w:bookmarkStart w:name="四、担保人盈利能力、资产状况和信用状况发生重大变化的情况" w:id="127"/>
      <w:bookmarkEnd w:id="127"/>
      <w:r>
        <w:rPr>
          <w:b w:val="0"/>
          <w:bCs w:val="0"/>
        </w:rPr>
      </w:r>
      <w:r>
        <w:rPr/>
        <w:t>四、担保人盈利能力、资产状况和信用状况发生重大变化的情况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0"/>
        <w:jc w:val="left"/>
        <w:rPr>
          <w:b w:val="0"/>
          <w:bCs w:val="0"/>
        </w:rPr>
      </w:pPr>
      <w:bookmarkStart w:name="五、报告期末公司的负债情况、资信变化情况以及在未来年度还债的现金安排" w:id="128"/>
      <w:bookmarkEnd w:id="128"/>
      <w:r>
        <w:rPr>
          <w:b w:val="0"/>
          <w:bCs w:val="0"/>
        </w:rPr>
      </w:r>
      <w:r>
        <w:rPr/>
        <w:t>五、报告期末公司的负债情况、资信变化情况以及在未来年度还债的现金安排</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513" w:right="2602"/>
        <w:jc w:val="left"/>
      </w:pPr>
      <w:r>
        <w:rPr>
          <w:rFonts w:ascii="Times New Roman" w:hAnsi="Times New Roman" w:cs="Times New Roman" w:eastAsia="Times New Roman" w:hint="default"/>
        </w:rPr>
        <w:t>1</w:t>
      </w:r>
      <w:r>
        <w:rPr/>
        <w:t>、相关会计数据和财务指标以及同期对比变动情况</w:t>
      </w:r>
    </w:p>
    <w:p>
      <w:pPr>
        <w:pStyle w:val="BodyText"/>
        <w:spacing w:line="240" w:lineRule="auto" w:before="103"/>
        <w:ind w:left="0" w:right="1131"/>
        <w:jc w:val="right"/>
      </w:pPr>
      <w:r>
        <w:rPr/>
        <w:t>单位：万元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6216"/>
        <w:gridCol w:w="1144"/>
        <w:gridCol w:w="1136"/>
        <w:gridCol w:w="1063"/>
      </w:tblGrid>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11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4"/>
              <w:jc w:val="right"/>
              <w:rPr>
                <w:rFonts w:ascii="宋体" w:hAnsi="宋体" w:cs="宋体" w:eastAsia="宋体" w:hint="default"/>
                <w:sz w:val="18"/>
                <w:szCs w:val="18"/>
              </w:rPr>
            </w:pPr>
            <w:r>
              <w:rPr>
                <w:rFonts w:ascii="宋体" w:hAnsi="宋体" w:cs="宋体" w:eastAsia="宋体" w:hint="default"/>
                <w:sz w:val="18"/>
                <w:szCs w:val="18"/>
              </w:rPr>
              <w:t>同期变动率</w:t>
            </w:r>
          </w:p>
        </w:tc>
      </w:tr>
      <w:tr>
        <w:trPr>
          <w:trHeight w:val="401"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息税折旧摊销前利润</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-85,709.22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62,496.98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-237.14%</w:t>
            </w:r>
          </w:p>
        </w:tc>
      </w:tr>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流动比率</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106.26%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121.65%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-15.39%</w:t>
            </w:r>
          </w:p>
        </w:tc>
      </w:tr>
      <w:tr>
        <w:trPr>
          <w:trHeight w:val="401"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资产负债率</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61.47%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53.26%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8.21%</w:t>
            </w:r>
          </w:p>
        </w:tc>
      </w:tr>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速动比率</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90.97%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88.14%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2.83%</w:t>
            </w:r>
          </w:p>
        </w:tc>
      </w:tr>
      <w:tr>
        <w:trPr>
          <w:trHeight w:val="401"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EBITDA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全部债务比</w:t>
            </w:r>
            <w:r>
              <w:rPr>
                <w:rFonts w:ascii="Times New Roman" w:hAnsi="Times New Roman" w:cs="Times New Roman" w:eastAsia="Times New Roman" w:hint="default"/>
                <w:sz w:val="18"/>
                <w:szCs w:val="18"/>
              </w:rPr>
              <w:t>=</w:t>
            </w:r>
            <w:r>
              <w:rPr>
                <w:rFonts w:ascii="宋体" w:hAnsi="宋体" w:cs="宋体" w:eastAsia="宋体" w:hint="default"/>
                <w:sz w:val="18"/>
                <w:szCs w:val="18"/>
              </w:rPr>
              <w:t>息税折旧摊销前利润</w:t>
            </w:r>
            <w:r>
              <w:rPr>
                <w:rFonts w:ascii="Times New Roman" w:hAnsi="Times New Roman" w:cs="Times New Roman" w:eastAsia="Times New Roman" w:hint="default"/>
                <w:sz w:val="18"/>
                <w:szCs w:val="18"/>
              </w:rPr>
              <w:t>/</w:t>
            </w:r>
            <w:r>
              <w:rPr>
                <w:rFonts w:ascii="宋体" w:hAnsi="宋体" w:cs="宋体" w:eastAsia="宋体" w:hint="default"/>
                <w:sz w:val="18"/>
                <w:szCs w:val="18"/>
              </w:rPr>
              <w:t>全部债务</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-22.39%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15.00%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-37.39%</w:t>
            </w:r>
          </w:p>
        </w:tc>
      </w:tr>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利息保障倍数</w:t>
            </w:r>
            <w:r>
              <w:rPr>
                <w:rFonts w:ascii="Times New Roman" w:hAnsi="Times New Roman" w:cs="Times New Roman" w:eastAsia="Times New Roman" w:hint="default"/>
                <w:sz w:val="18"/>
                <w:szCs w:val="18"/>
              </w:rPr>
              <w:t>=</w:t>
            </w:r>
            <w:r>
              <w:rPr>
                <w:rFonts w:ascii="宋体" w:hAnsi="宋体" w:cs="宋体" w:eastAsia="宋体" w:hint="default"/>
                <w:sz w:val="18"/>
                <w:szCs w:val="18"/>
              </w:rPr>
              <w:t>息税前利润</w:t>
            </w:r>
            <w:r>
              <w:rPr>
                <w:rFonts w:ascii="Times New Roman" w:hAnsi="Times New Roman" w:cs="Times New Roman" w:eastAsia="Times New Roman" w:hint="default"/>
                <w:sz w:val="18"/>
                <w:szCs w:val="18"/>
              </w:rPr>
              <w:t>/</w:t>
            </w:r>
            <w:r>
              <w:rPr>
                <w:rFonts w:ascii="宋体" w:hAnsi="宋体" w:cs="宋体" w:eastAsia="宋体" w:hint="default"/>
                <w:sz w:val="18"/>
                <w:szCs w:val="18"/>
              </w:rPr>
              <w:t>（计入财务费用的利息支出</w:t>
            </w:r>
            <w:r>
              <w:rPr>
                <w:rFonts w:ascii="Times New Roman" w:hAnsi="Times New Roman" w:cs="Times New Roman" w:eastAsia="Times New Roman" w:hint="default"/>
                <w:sz w:val="18"/>
                <w:szCs w:val="18"/>
              </w:rPr>
              <w:t>+</w:t>
            </w:r>
            <w:r>
              <w:rPr>
                <w:rFonts w:ascii="宋体" w:hAnsi="宋体" w:cs="宋体" w:eastAsia="宋体" w:hint="default"/>
                <w:sz w:val="18"/>
                <w:szCs w:val="18"/>
              </w:rPr>
              <w:t>资本化的利息支出）</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-5.83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-315.93%</w:t>
            </w:r>
          </w:p>
        </w:tc>
      </w:tr>
      <w:tr>
        <w:trPr>
          <w:trHeight w:val="754"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现金利息保障倍数</w:t>
            </w:r>
          </w:p>
          <w:p>
            <w:pPr>
              <w:pStyle w:val="TableParagraph"/>
              <w:spacing w:line="240" w:lineRule="auto" w:before="115"/>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（经营活动产生的现金流量净额</w:t>
            </w:r>
            <w:r>
              <w:rPr>
                <w:rFonts w:ascii="Times New Roman" w:hAnsi="Times New Roman" w:cs="Times New Roman" w:eastAsia="Times New Roman" w:hint="default"/>
                <w:sz w:val="18"/>
                <w:szCs w:val="18"/>
              </w:rPr>
              <w:t>+</w:t>
            </w:r>
            <w:r>
              <w:rPr>
                <w:rFonts w:ascii="宋体" w:hAnsi="宋体" w:cs="宋体" w:eastAsia="宋体" w:hint="default"/>
                <w:sz w:val="18"/>
                <w:szCs w:val="18"/>
              </w:rPr>
              <w:t>现金利息支出</w:t>
            </w:r>
            <w:r>
              <w:rPr>
                <w:rFonts w:ascii="Times New Roman" w:hAnsi="Times New Roman" w:cs="Times New Roman" w:eastAsia="Times New Roman" w:hint="default"/>
                <w:sz w:val="18"/>
                <w:szCs w:val="18"/>
              </w:rPr>
              <w:t>+</w:t>
            </w:r>
            <w:r>
              <w:rPr>
                <w:rFonts w:ascii="宋体" w:hAnsi="宋体" w:cs="宋体" w:eastAsia="宋体" w:hint="default"/>
                <w:sz w:val="18"/>
                <w:szCs w:val="18"/>
              </w:rPr>
              <w:t>所得税付现）</w:t>
            </w:r>
            <w:r>
              <w:rPr>
                <w:rFonts w:ascii="Times New Roman" w:hAnsi="Times New Roman" w:cs="Times New Roman" w:eastAsia="Times New Roman" w:hint="default"/>
                <w:sz w:val="18"/>
                <w:szCs w:val="18"/>
              </w:rPr>
              <w:t>/</w:t>
            </w:r>
            <w:r>
              <w:rPr>
                <w:rFonts w:ascii="宋体" w:hAnsi="宋体" w:cs="宋体" w:eastAsia="宋体" w:hint="default"/>
                <w:sz w:val="18"/>
                <w:szCs w:val="18"/>
              </w:rPr>
              <w:t>现金利息支出</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62.00%</w:t>
            </w:r>
          </w:p>
        </w:tc>
      </w:tr>
      <w:tr>
        <w:trPr>
          <w:trHeight w:val="754"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EBITDA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利息保障倍数</w:t>
            </w:r>
          </w:p>
          <w:p>
            <w:pPr>
              <w:pStyle w:val="TableParagraph"/>
              <w:spacing w:line="240" w:lineRule="auto" w:before="10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息税折旧摊销前利润</w:t>
            </w:r>
            <w:r>
              <w:rPr>
                <w:rFonts w:ascii="Times New Roman" w:hAnsi="Times New Roman" w:cs="Times New Roman" w:eastAsia="Times New Roman" w:hint="default"/>
                <w:sz w:val="18"/>
                <w:szCs w:val="18"/>
              </w:rPr>
              <w:t>/</w:t>
            </w:r>
            <w:r>
              <w:rPr>
                <w:rFonts w:ascii="宋体" w:hAnsi="宋体" w:cs="宋体" w:eastAsia="宋体" w:hint="default"/>
                <w:sz w:val="18"/>
                <w:szCs w:val="18"/>
              </w:rPr>
              <w:t>（计入财务费用的利息支出</w:t>
            </w:r>
            <w:r>
              <w:rPr>
                <w:rFonts w:ascii="Times New Roman" w:hAnsi="Times New Roman" w:cs="Times New Roman" w:eastAsia="Times New Roman" w:hint="default"/>
                <w:sz w:val="18"/>
                <w:szCs w:val="18"/>
              </w:rPr>
              <w:t>+</w:t>
            </w:r>
            <w:r>
              <w:rPr>
                <w:rFonts w:ascii="宋体" w:hAnsi="宋体" w:cs="宋体" w:eastAsia="宋体" w:hint="default"/>
                <w:sz w:val="18"/>
                <w:szCs w:val="18"/>
              </w:rPr>
              <w:t>资本化的利息支出）</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-4.31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w w:val="95"/>
                <w:sz w:val="18"/>
              </w:rPr>
              <w:t>-204.11%</w:t>
            </w:r>
            <w:r>
              <w:rPr>
                <w:rFonts w:ascii="Times New Roman"/>
                <w:spacing w:val="-1"/>
                <w:sz w:val="18"/>
              </w:rPr>
            </w:r>
          </w:p>
        </w:tc>
      </w:tr>
      <w:tr>
        <w:trPr>
          <w:trHeight w:val="402"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贷款偿还率</w:t>
            </w:r>
            <w:r>
              <w:rPr>
                <w:rFonts w:ascii="Times New Roman" w:hAnsi="Times New Roman" w:cs="Times New Roman" w:eastAsia="Times New Roman" w:hint="default"/>
                <w:sz w:val="18"/>
                <w:szCs w:val="18"/>
              </w:rPr>
              <w:t>=</w:t>
            </w:r>
            <w:r>
              <w:rPr>
                <w:rFonts w:ascii="宋体" w:hAnsi="宋体" w:cs="宋体" w:eastAsia="宋体" w:hint="default"/>
                <w:sz w:val="18"/>
                <w:szCs w:val="18"/>
              </w:rPr>
              <w:t>实际贷款偿还额</w:t>
            </w:r>
            <w:r>
              <w:rPr>
                <w:rFonts w:ascii="Times New Roman" w:hAnsi="Times New Roman" w:cs="Times New Roman" w:eastAsia="Times New Roman" w:hint="default"/>
                <w:sz w:val="18"/>
                <w:szCs w:val="18"/>
              </w:rPr>
              <w:t>/</w:t>
            </w:r>
            <w:r>
              <w:rPr>
                <w:rFonts w:ascii="宋体" w:hAnsi="宋体" w:cs="宋体" w:eastAsia="宋体" w:hint="default"/>
                <w:sz w:val="18"/>
                <w:szCs w:val="18"/>
              </w:rPr>
              <w:t>应偿还贷款额</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6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利息偿付率</w:t>
            </w:r>
            <w:r>
              <w:rPr>
                <w:rFonts w:ascii="Times New Roman" w:hAnsi="Times New Roman" w:cs="Times New Roman" w:eastAsia="Times New Roman" w:hint="default"/>
                <w:sz w:val="18"/>
                <w:szCs w:val="18"/>
              </w:rPr>
              <w:t>=</w:t>
            </w:r>
            <w:r>
              <w:rPr>
                <w:rFonts w:ascii="宋体" w:hAnsi="宋体" w:cs="宋体" w:eastAsia="宋体" w:hint="default"/>
                <w:sz w:val="18"/>
                <w:szCs w:val="18"/>
              </w:rPr>
              <w:t>实际支付利息</w:t>
            </w:r>
            <w:r>
              <w:rPr>
                <w:rFonts w:ascii="Times New Roman" w:hAnsi="Times New Roman" w:cs="Times New Roman" w:eastAsia="Times New Roman" w:hint="default"/>
                <w:sz w:val="18"/>
                <w:szCs w:val="18"/>
              </w:rPr>
              <w:t>/</w:t>
            </w:r>
            <w:r>
              <w:rPr>
                <w:rFonts w:ascii="宋体" w:hAnsi="宋体" w:cs="宋体" w:eastAsia="宋体" w:hint="default"/>
                <w:sz w:val="18"/>
                <w:szCs w:val="18"/>
              </w:rPr>
              <w:t>应付利息</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2602"/>
        <w:jc w:val="left"/>
      </w:pPr>
      <w:r>
        <w:rPr/>
        <w:t>上述会计数据和财务指标同比变动超过</w:t>
      </w:r>
      <w:r>
        <w:rPr>
          <w:spacing w:val="-44"/>
        </w:rPr>
        <w:t> </w:t>
      </w:r>
      <w:r>
        <w:rPr>
          <w:rFonts w:ascii="Times New Roman" w:hAnsi="Times New Roman" w:cs="Times New Roman" w:eastAsia="Times New Roman" w:hint="default"/>
        </w:rPr>
        <w:t>30%</w:t>
      </w:r>
      <w:r>
        <w:rPr/>
        <w:t>的主要原因</w:t>
      </w:r>
    </w:p>
    <w:p>
      <w:pPr>
        <w:pStyle w:val="BodyText"/>
        <w:spacing w:line="240" w:lineRule="auto" w:before="101"/>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13"/>
          <w:szCs w:val="13"/>
        </w:rPr>
      </w:pPr>
    </w:p>
    <w:p>
      <w:pPr>
        <w:pStyle w:val="BodyText"/>
        <w:spacing w:line="240" w:lineRule="auto"/>
        <w:ind w:left="513" w:right="2602"/>
        <w:jc w:val="left"/>
      </w:pPr>
      <w:r>
        <w:rPr>
          <w:rFonts w:ascii="Times New Roman" w:hAnsi="Times New Roman" w:cs="Times New Roman" w:eastAsia="Times New Roman" w:hint="default"/>
        </w:rPr>
        <w:t>1</w:t>
      </w:r>
      <w:r>
        <w:rPr/>
        <w:t>）息税折旧摊销前利润较上年同期减少了</w:t>
      </w:r>
      <w:r>
        <w:rPr>
          <w:rFonts w:ascii="Times New Roman" w:hAnsi="Times New Roman" w:cs="Times New Roman" w:eastAsia="Times New Roman" w:hint="default"/>
        </w:rPr>
        <w:t>237.14%</w:t>
      </w:r>
      <w:r>
        <w:rPr/>
        <w:t>，主要系净利润下降所致；</w:t>
      </w:r>
    </w:p>
    <w:p>
      <w:pPr>
        <w:pStyle w:val="BodyText"/>
        <w:spacing w:line="240" w:lineRule="auto" w:before="103"/>
        <w:ind w:left="513" w:right="2602"/>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EBITDA</w:t>
      </w:r>
      <w:r>
        <w:rPr/>
        <w:t>全部债务比较上年同期减少了</w:t>
      </w:r>
      <w:r>
        <w:rPr>
          <w:rFonts w:ascii="Times New Roman" w:hAnsi="Times New Roman" w:cs="Times New Roman" w:eastAsia="Times New Roman" w:hint="default"/>
        </w:rPr>
        <w:t>37.39%</w:t>
      </w:r>
      <w:r>
        <w:rPr/>
        <w:t>，主要系息税折旧摊销前利润下降所致；</w:t>
      </w:r>
    </w:p>
    <w:p>
      <w:pPr>
        <w:pStyle w:val="BodyText"/>
        <w:spacing w:line="240" w:lineRule="auto" w:before="103"/>
        <w:ind w:left="513" w:right="2602"/>
        <w:jc w:val="left"/>
      </w:pPr>
      <w:r>
        <w:rPr>
          <w:rFonts w:ascii="Times New Roman" w:hAnsi="Times New Roman" w:cs="Times New Roman" w:eastAsia="Times New Roman" w:hint="default"/>
        </w:rPr>
        <w:t>3</w:t>
      </w:r>
      <w:r>
        <w:rPr/>
        <w:t>）利息保障倍数较上年同期减少了</w:t>
      </w:r>
      <w:r>
        <w:rPr>
          <w:rFonts w:ascii="Times New Roman" w:hAnsi="Times New Roman" w:cs="Times New Roman" w:eastAsia="Times New Roman" w:hint="default"/>
        </w:rPr>
        <w:t>315.93%</w:t>
      </w:r>
      <w:r>
        <w:rPr/>
        <w:t>，主要系净利润下降所致；</w:t>
      </w:r>
    </w:p>
    <w:p>
      <w:pPr>
        <w:pStyle w:val="BodyText"/>
        <w:spacing w:line="240" w:lineRule="auto" w:before="101"/>
        <w:ind w:left="513" w:right="2602"/>
        <w:jc w:val="left"/>
      </w:pPr>
      <w:r>
        <w:rPr>
          <w:rFonts w:ascii="Times New Roman" w:hAnsi="Times New Roman" w:cs="Times New Roman" w:eastAsia="Times New Roman" w:hint="default"/>
        </w:rPr>
        <w:t>4</w:t>
      </w:r>
      <w:r>
        <w:rPr/>
        <w:t>）现金利息保障倍数上年同期增加了</w:t>
      </w:r>
      <w:r>
        <w:rPr>
          <w:rFonts w:ascii="Times New Roman" w:hAnsi="Times New Roman" w:cs="Times New Roman" w:eastAsia="Times New Roman" w:hint="default"/>
        </w:rPr>
        <w:t>62.00%</w:t>
      </w:r>
      <w:r>
        <w:rPr/>
        <w:t>，主要系经营活动产生的现金流量净额增加所致；</w:t>
      </w:r>
    </w:p>
    <w:p>
      <w:pPr>
        <w:pStyle w:val="BodyText"/>
        <w:spacing w:line="240" w:lineRule="auto" w:before="103"/>
        <w:ind w:left="513" w:right="2602"/>
        <w:jc w:val="left"/>
      </w:pPr>
      <w:r>
        <w:rPr>
          <w:rFonts w:ascii="Times New Roman" w:hAnsi="Times New Roman" w:cs="Times New Roman" w:eastAsia="Times New Roman" w:hint="default"/>
        </w:rPr>
        <w:t>5</w:t>
      </w:r>
      <w:r>
        <w:rPr/>
        <w:t>）</w:t>
      </w:r>
      <w:r>
        <w:rPr>
          <w:rFonts w:ascii="Times New Roman" w:hAnsi="Times New Roman" w:cs="Times New Roman" w:eastAsia="Times New Roman" w:hint="default"/>
        </w:rPr>
        <w:t>EBITDA</w:t>
      </w:r>
      <w:r>
        <w:rPr/>
        <w:t>利息保障倍数较上年同期减少了</w:t>
      </w:r>
      <w:r>
        <w:rPr>
          <w:rFonts w:ascii="Times New Roman" w:hAnsi="Times New Roman" w:cs="Times New Roman" w:eastAsia="Times New Roman" w:hint="default"/>
        </w:rPr>
        <w:t>204.11%</w:t>
      </w:r>
      <w:r>
        <w:rPr/>
        <w:t>，主要系息税折旧摊销前利润下降所致。</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513" w:right="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26</w:t>
      </w:r>
      <w:r>
        <w:rPr/>
        <w:t>日，中诚信国际信用评级有限责任公司（原中诚信证券评估有限公司）发布《万达信息股份有限公司</w:t>
      </w:r>
    </w:p>
    <w:p>
      <w:pPr>
        <w:pStyle w:val="BodyText"/>
        <w:spacing w:line="319" w:lineRule="auto" w:before="63"/>
        <w:ind w:right="1130"/>
        <w:jc w:val="both"/>
      </w:pPr>
      <w:r>
        <w:rPr>
          <w:rFonts w:ascii="Times New Roman" w:hAnsi="Times New Roman" w:cs="Times New Roman" w:eastAsia="Times New Roman" w:hint="default"/>
        </w:rPr>
        <w:t>2018</w:t>
      </w:r>
      <w:r>
        <w:rPr/>
        <w:t>年度创业板公开发行可转换公司债券信用评级报告》，对公司及公司拟发行的</w:t>
      </w:r>
      <w:r>
        <w:rPr>
          <w:rFonts w:ascii="Times New Roman" w:hAnsi="Times New Roman" w:cs="Times New Roman" w:eastAsia="Times New Roman" w:hint="default"/>
        </w:rPr>
        <w:t>“</w:t>
      </w:r>
      <w:r>
        <w:rPr/>
        <w:t>万信转</w:t>
      </w:r>
      <w:r>
        <w:rPr>
          <w:rFonts w:ascii="Times New Roman" w:hAnsi="Times New Roman" w:cs="Times New Roman" w:eastAsia="Times New Roman" w:hint="default"/>
        </w:rPr>
        <w:t>2”</w:t>
      </w:r>
      <w:r>
        <w:rPr/>
        <w:t>的信用状况进行了综合分析，</w:t>
      </w:r>
      <w:r>
        <w:rPr>
          <w:spacing w:val="-65"/>
        </w:rPr>
        <w:t> </w:t>
      </w:r>
      <w:r>
        <w:rPr>
          <w:spacing w:val="-65"/>
        </w:rPr>
      </w:r>
      <w:r>
        <w:rPr>
          <w:spacing w:val="-3"/>
        </w:rPr>
        <w:t>公司主体信用等级为</w:t>
      </w:r>
      <w:r>
        <w:rPr>
          <w:rFonts w:ascii="Times New Roman" w:hAnsi="Times New Roman" w:cs="Times New Roman" w:eastAsia="Times New Roman" w:hint="default"/>
          <w:spacing w:val="-3"/>
        </w:rPr>
        <w:t>AA</w:t>
      </w:r>
      <w:r>
        <w:rPr>
          <w:spacing w:val="-3"/>
        </w:rPr>
        <w:t>，评级展望稳定；本次债券的信用等级为</w:t>
      </w:r>
      <w:r>
        <w:rPr>
          <w:rFonts w:ascii="Times New Roman" w:hAnsi="Times New Roman" w:cs="Times New Roman" w:eastAsia="Times New Roman" w:hint="default"/>
          <w:spacing w:val="-3"/>
        </w:rPr>
        <w:t>AA</w:t>
      </w:r>
      <w:r>
        <w:rPr>
          <w:spacing w:val="-3"/>
        </w:rPr>
        <w:t>。（公司于</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2</w:t>
      </w:r>
      <w:r>
        <w:rPr>
          <w:spacing w:val="-3"/>
        </w:rPr>
        <w:t>月</w:t>
      </w:r>
      <w:r>
        <w:rPr>
          <w:rFonts w:ascii="Times New Roman" w:hAnsi="Times New Roman" w:cs="Times New Roman" w:eastAsia="Times New Roman" w:hint="default"/>
          <w:spacing w:val="-3"/>
        </w:rPr>
        <w:t>28</w:t>
      </w:r>
      <w:r>
        <w:rPr>
          <w:spacing w:val="-3"/>
        </w:rPr>
        <w:t>日将该报告披露于指定媒体）。</w:t>
      </w:r>
      <w:r>
        <w:rPr>
          <w:spacing w:val="-73"/>
        </w:rPr>
        <w:t> </w:t>
      </w:r>
      <w:r>
        <w:rPr>
          <w:spacing w:val="-73"/>
        </w:rPr>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24</w:t>
      </w:r>
      <w:r>
        <w:rPr/>
        <w:t>日，中诚信国际信用评级有限责任公司（原中诚信证券评估有限公司）发布《万达信息股份有限公司</w:t>
      </w:r>
      <w:r>
        <w:rPr>
          <w:rFonts w:ascii="Times New Roman" w:hAnsi="Times New Roman" w:cs="Times New Roman" w:eastAsia="Times New Roman" w:hint="default"/>
        </w:rPr>
        <w:t>2018</w:t>
      </w:r>
      <w:r>
        <w:rPr/>
        <w:t>年度</w:t>
      </w:r>
    </w:p>
    <w:p>
      <w:pPr>
        <w:pStyle w:val="BodyText"/>
        <w:spacing w:line="300" w:lineRule="auto"/>
        <w:ind w:right="1131"/>
        <w:jc w:val="both"/>
      </w:pPr>
      <w:r>
        <w:rPr/>
        <w:t>创业板公开发行可转换公司债券跟踪评级报告</w:t>
      </w:r>
      <w:r>
        <w:rPr>
          <w:rFonts w:ascii="Times New Roman" w:hAnsi="Times New Roman" w:cs="Times New Roman" w:eastAsia="Times New Roman" w:hint="default"/>
        </w:rPr>
        <w:t>(2019)</w:t>
      </w:r>
      <w:r>
        <w:rPr/>
        <w:t>》，维持本次发债主体信用等级为</w:t>
      </w:r>
      <w:r>
        <w:rPr>
          <w:rFonts w:ascii="Times New Roman" w:hAnsi="Times New Roman" w:cs="Times New Roman" w:eastAsia="Times New Roman" w:hint="default"/>
        </w:rPr>
        <w:t>AA</w:t>
      </w:r>
      <w:r>
        <w:rPr/>
        <w:t>，评级展望稳定，维持本次债券</w:t>
      </w:r>
      <w:r>
        <w:rPr>
          <w:spacing w:val="-21"/>
        </w:rPr>
        <w:t> </w:t>
      </w:r>
      <w:r>
        <w:rPr>
          <w:spacing w:val="-21"/>
        </w:rPr>
      </w:r>
      <w:r>
        <w:rPr/>
        <w:t>信用等级为</w:t>
      </w:r>
      <w:r>
        <w:rPr>
          <w:rFonts w:ascii="Times New Roman" w:hAnsi="Times New Roman" w:cs="Times New Roman" w:eastAsia="Times New Roman" w:hint="default"/>
        </w:rPr>
        <w:t>AA</w:t>
      </w:r>
      <w:r>
        <w:rPr/>
        <w:t>。（公司于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24</w:t>
      </w:r>
      <w:r>
        <w:rPr/>
        <w:t>日将该报告披露于指定媒体）。</w:t>
      </w:r>
    </w:p>
    <w:p>
      <w:pPr>
        <w:pStyle w:val="BodyText"/>
        <w:spacing w:line="300" w:lineRule="auto" w:before="51"/>
        <w:ind w:right="1134" w:firstLine="360"/>
        <w:jc w:val="both"/>
      </w:pPr>
      <w:r>
        <w:rPr>
          <w:rFonts w:ascii="Times New Roman" w:hAnsi="Times New Roman" w:cs="Times New Roman" w:eastAsia="Times New Roman" w:hint="default"/>
        </w:rPr>
        <w:t>3</w:t>
      </w:r>
      <w:r>
        <w:rPr/>
        <w:t>、公司及控股子公司始终坚持合规运作、稳健经营，获得各商业银行较高信用评价和业务支持。截至报告期末，公司 </w:t>
      </w:r>
      <w:r>
        <w:rPr>
          <w:spacing w:val="-1"/>
        </w:rPr>
        <w:t>及控股子公司获得主要合作银行授予综合信用额度约</w:t>
      </w:r>
      <w:r>
        <w:rPr>
          <w:rFonts w:ascii="Times New Roman" w:hAnsi="Times New Roman" w:cs="Times New Roman" w:eastAsia="Times New Roman" w:hint="default"/>
          <w:spacing w:val="-1"/>
        </w:rPr>
        <w:t>74.5</w:t>
      </w:r>
      <w:r>
        <w:rPr>
          <w:spacing w:val="-1"/>
        </w:rPr>
        <w:t>亿元。公司及控股子公司严格按照规定使用授信额度，按时偿还到</w:t>
      </w:r>
      <w:r>
        <w:rPr>
          <w:spacing w:val="-75"/>
        </w:rPr>
        <w:t> </w:t>
      </w:r>
      <w:r>
        <w:rPr>
          <w:spacing w:val="-75"/>
        </w:rPr>
      </w:r>
      <w:r>
        <w:rPr/>
        <w:t>期债务，未发生违约情形。截至报告期末，万达信息未发生贷款展期、减免情形。</w:t>
      </w:r>
    </w:p>
    <w:p>
      <w:pPr>
        <w:spacing w:after="0" w:line="300"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1679" w:right="2602"/>
        <w:jc w:val="left"/>
        <w:rPr>
          <w:b w:val="0"/>
          <w:bCs w:val="0"/>
        </w:rPr>
      </w:pPr>
      <w:bookmarkStart w:name="第九节 董事、监事、高级管理人员和员工情况" w:id="129"/>
      <w:bookmarkEnd w:id="129"/>
      <w:r>
        <w:rPr>
          <w:b w:val="0"/>
          <w:bCs w:val="0"/>
        </w:rPr>
      </w:r>
      <w:bookmarkStart w:name="_bookmark8" w:id="130"/>
      <w:bookmarkEnd w:id="130"/>
      <w:r>
        <w:rPr>
          <w:b w:val="0"/>
          <w:bCs w:val="0"/>
        </w:rPr>
      </w:r>
      <w:r>
        <w:rPr/>
        <w:t>第九节</w:t>
      </w:r>
      <w:r>
        <w:rPr>
          <w:spacing w:val="-8"/>
        </w:rPr>
        <w:t> </w:t>
      </w:r>
      <w:r>
        <w:rPr/>
        <w:t>董事、监事、高级管理人员和员工情况</w:t>
      </w:r>
      <w:r>
        <w:rPr>
          <w:b w:val="0"/>
          <w:bCs w:val="0"/>
        </w:rPr>
      </w:r>
    </w:p>
    <w:p>
      <w:pPr>
        <w:spacing w:line="240" w:lineRule="auto" w:before="13"/>
        <w:rPr>
          <w:rFonts w:ascii="宋体" w:hAnsi="宋体" w:cs="宋体" w:eastAsia="宋体" w:hint="default"/>
          <w:b/>
          <w:bCs/>
          <w:sz w:val="38"/>
          <w:szCs w:val="38"/>
        </w:rPr>
      </w:pPr>
    </w:p>
    <w:p>
      <w:pPr>
        <w:pStyle w:val="Heading2"/>
        <w:spacing w:line="240" w:lineRule="auto"/>
        <w:ind w:right="2602"/>
        <w:jc w:val="left"/>
        <w:rPr>
          <w:b w:val="0"/>
          <w:bCs w:val="0"/>
        </w:rPr>
      </w:pPr>
      <w:bookmarkStart w:name="一、董事、监事和高级管理人员持股变动" w:id="131"/>
      <w:bookmarkEnd w:id="131"/>
      <w:r>
        <w:rPr>
          <w:b w:val="0"/>
          <w:bCs w:val="0"/>
        </w:rPr>
      </w:r>
      <w:r>
        <w:rPr/>
        <w:t>一、董事、监事和高级管理人员持股变动</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852"/>
        <w:gridCol w:w="1274"/>
        <w:gridCol w:w="425"/>
        <w:gridCol w:w="425"/>
        <w:gridCol w:w="427"/>
        <w:gridCol w:w="850"/>
        <w:gridCol w:w="850"/>
        <w:gridCol w:w="994"/>
        <w:gridCol w:w="850"/>
        <w:gridCol w:w="853"/>
        <w:gridCol w:w="708"/>
        <w:gridCol w:w="1066"/>
      </w:tblGrid>
      <w:tr>
        <w:trPr>
          <w:trHeight w:val="713"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8" w:right="24"/>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9" w:right="59"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0" w:right="5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 w:right="59"/>
              <w:jc w:val="left"/>
              <w:rPr>
                <w:rFonts w:ascii="宋体" w:hAnsi="宋体" w:cs="宋体" w:eastAsia="宋体" w:hint="default"/>
                <w:sz w:val="18"/>
                <w:szCs w:val="18"/>
              </w:rPr>
            </w:pPr>
            <w:r>
              <w:rPr>
                <w:rFonts w:ascii="宋体" w:hAnsi="宋体" w:cs="宋体" w:eastAsia="宋体" w:hint="default"/>
                <w:sz w:val="18"/>
                <w:szCs w:val="18"/>
              </w:rPr>
              <w:t>本期增持 股份数量</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0" w:right="62"/>
              <w:jc w:val="left"/>
              <w:rPr>
                <w:rFonts w:ascii="宋体" w:hAnsi="宋体" w:cs="宋体" w:eastAsia="宋体" w:hint="default"/>
                <w:sz w:val="18"/>
                <w:szCs w:val="18"/>
              </w:rPr>
            </w:pPr>
            <w:r>
              <w:rPr>
                <w:rFonts w:ascii="宋体" w:hAnsi="宋体" w:cs="宋体" w:eastAsia="宋体" w:hint="default"/>
                <w:sz w:val="18"/>
                <w:szCs w:val="18"/>
              </w:rPr>
              <w:t>本期减持 股份数量</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9" w:right="77"/>
              <w:jc w:val="left"/>
              <w:rPr>
                <w:rFonts w:ascii="宋体" w:hAnsi="宋体" w:cs="宋体" w:eastAsia="宋体" w:hint="default"/>
                <w:sz w:val="18"/>
                <w:szCs w:val="18"/>
              </w:rPr>
            </w:pPr>
            <w:r>
              <w:rPr>
                <w:rFonts w:ascii="宋体" w:hAnsi="宋体" w:cs="宋体" w:eastAsia="宋体" w:hint="default"/>
                <w:sz w:val="18"/>
                <w:szCs w:val="18"/>
              </w:rPr>
              <w:t>其他增 减变动</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76"/>
              <w:ind w:left="2" w:right="0"/>
              <w:jc w:val="center"/>
              <w:rPr>
                <w:rFonts w:ascii="宋体" w:hAnsi="宋体" w:cs="宋体" w:eastAsia="宋体" w:hint="default"/>
                <w:sz w:val="18"/>
                <w:szCs w:val="18"/>
              </w:rPr>
            </w:pPr>
            <w:r>
              <w:rPr>
                <w:rFonts w:ascii="宋体" w:hAnsi="宋体" w:cs="宋体" w:eastAsia="宋体" w:hint="default"/>
                <w:sz w:val="18"/>
                <w:szCs w:val="18"/>
              </w:rPr>
              <w:t>（股）</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胡宏伟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pacing w:val="-6"/>
                <w:sz w:val="18"/>
                <w:szCs w:val="18"/>
              </w:rPr>
              <w:t>副董事长、总裁</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钱维章</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54"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李光亚</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49"/>
              <w:ind w:left="23" w:right="338"/>
              <w:jc w:val="left"/>
              <w:rPr>
                <w:rFonts w:ascii="宋体" w:hAnsi="宋体" w:cs="宋体" w:eastAsia="宋体" w:hint="default"/>
                <w:sz w:val="18"/>
                <w:szCs w:val="18"/>
              </w:rPr>
            </w:pPr>
            <w:r>
              <w:rPr>
                <w:rFonts w:ascii="宋体" w:hAnsi="宋体" w:cs="宋体" w:eastAsia="宋体" w:hint="default"/>
                <w:sz w:val="18"/>
                <w:szCs w:val="18"/>
              </w:rPr>
              <w:t>董事、 高级副总裁</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1,375,800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1,375,800</w:t>
            </w:r>
          </w:p>
        </w:tc>
      </w:tr>
      <w:tr>
        <w:trPr>
          <w:trHeight w:val="754"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杨玲</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49"/>
              <w:ind w:left="23" w:right="338"/>
              <w:jc w:val="left"/>
              <w:rPr>
                <w:rFonts w:ascii="宋体" w:hAnsi="宋体" w:cs="宋体" w:eastAsia="宋体" w:hint="default"/>
                <w:sz w:val="18"/>
                <w:szCs w:val="18"/>
              </w:rPr>
            </w:pPr>
            <w:r>
              <w:rPr>
                <w:rFonts w:ascii="宋体" w:hAnsi="宋体" w:cs="宋体" w:eastAsia="宋体" w:hint="default"/>
                <w:sz w:val="18"/>
                <w:szCs w:val="18"/>
              </w:rPr>
              <w:t>董事、 高级副总裁</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266,241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266,241</w:t>
            </w:r>
          </w:p>
        </w:tc>
      </w:tr>
      <w:tr>
        <w:trPr>
          <w:trHeight w:val="1027"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姜锋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6"/>
                <w:sz w:val="18"/>
                <w:szCs w:val="18"/>
              </w:rPr>
              <w:t>董事、高级副总</w:t>
            </w:r>
            <w:r>
              <w:rPr>
                <w:rFonts w:ascii="宋体" w:hAnsi="宋体" w:cs="宋体" w:eastAsia="宋体" w:hint="default"/>
                <w:sz w:val="18"/>
                <w:szCs w:val="18"/>
              </w:rPr>
              <w:t> </w:t>
            </w:r>
            <w:r>
              <w:rPr>
                <w:rFonts w:ascii="宋体" w:hAnsi="宋体" w:cs="宋体" w:eastAsia="宋体" w:hint="default"/>
                <w:spacing w:val="-6"/>
                <w:sz w:val="18"/>
                <w:szCs w:val="18"/>
              </w:rPr>
              <w:t>裁、董事会秘书</w:t>
            </w:r>
          </w:p>
          <w:p>
            <w:pPr>
              <w:pStyle w:val="TableParagraph"/>
              <w:spacing w:line="240" w:lineRule="auto" w:before="19"/>
              <w:ind w:left="23" w:right="0"/>
              <w:jc w:val="left"/>
              <w:rPr>
                <w:rFonts w:ascii="宋体" w:hAnsi="宋体" w:cs="宋体" w:eastAsia="宋体" w:hint="default"/>
                <w:sz w:val="18"/>
                <w:szCs w:val="18"/>
              </w:rPr>
            </w:pPr>
            <w:r>
              <w:rPr>
                <w:rFonts w:ascii="宋体" w:hAnsi="宋体" w:cs="宋体" w:eastAsia="宋体" w:hint="default"/>
                <w:sz w:val="18"/>
                <w:szCs w:val="18"/>
              </w:rPr>
              <w:t>（代）</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赵怀亮</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麻志明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刘功润</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贺原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李成</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6"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孟莉莉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曹蓉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赵云柯</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朱泓旭</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99.503998pt;margin-top:730.415955pt;width:63.4pt;height:28pt;mso-position-horizontal-relative:page;mso-position-vertical-relative:page;z-index:-1333528" coordorigin="1990,14608" coordsize="1268,560">
            <v:group style="position:absolute;left:2002;top:14620;width:2;height:392" coordorigin="2002,14620" coordsize="2,392">
              <v:shape style="position:absolute;left:2002;top:14620;width:2;height:392" coordorigin="2002,14620" coordsize="0,392" path="m2002,14620l2002,15012e" filled="false" stroked="true" strokeweight="1.2pt" strokecolor="#ffffff">
                <v:path arrowok="t"/>
              </v:shape>
            </v:group>
            <v:group style="position:absolute;left:1990;top:15012;width:1268;height:156" coordorigin="1990,15012" coordsize="1268,156">
              <v:shape style="position:absolute;left:1990;top:15012;width:1268;height:156" coordorigin="1990,15012" coordsize="1268,156" path="m1990,15168l3257,15168,3257,15012,1990,15012,1990,15168xe" filled="true" fillcolor="#ffffff" stroked="false">
                <v:path arrowok="t"/>
                <v:fill type="solid"/>
              </v:shape>
            </v:group>
            <v:group style="position:absolute;left:2014;top:14620;width:1220;height:392" coordorigin="2014,14620" coordsize="1220,392">
              <v:shape style="position:absolute;left:2014;top:14620;width:1220;height:392" coordorigin="2014,14620" coordsize="1220,392" path="m2014,15012l3233,15012,3233,14620,2014,14620,2014,15012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852"/>
        <w:gridCol w:w="1274"/>
        <w:gridCol w:w="425"/>
        <w:gridCol w:w="425"/>
        <w:gridCol w:w="427"/>
        <w:gridCol w:w="850"/>
        <w:gridCol w:w="850"/>
        <w:gridCol w:w="994"/>
        <w:gridCol w:w="850"/>
        <w:gridCol w:w="853"/>
        <w:gridCol w:w="708"/>
        <w:gridCol w:w="1066"/>
      </w:tblGrid>
      <w:tr>
        <w:trPr>
          <w:trHeight w:val="713"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8" w:right="24"/>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39" w:right="59"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0" w:right="5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9" w:right="59"/>
              <w:jc w:val="left"/>
              <w:rPr>
                <w:rFonts w:ascii="宋体" w:hAnsi="宋体" w:cs="宋体" w:eastAsia="宋体" w:hint="default"/>
                <w:sz w:val="18"/>
                <w:szCs w:val="18"/>
              </w:rPr>
            </w:pPr>
            <w:r>
              <w:rPr>
                <w:rFonts w:ascii="宋体" w:hAnsi="宋体" w:cs="宋体" w:eastAsia="宋体" w:hint="default"/>
                <w:sz w:val="18"/>
                <w:szCs w:val="18"/>
              </w:rPr>
              <w:t>本期增持 股份数量</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0" w:right="62"/>
              <w:jc w:val="left"/>
              <w:rPr>
                <w:rFonts w:ascii="宋体" w:hAnsi="宋体" w:cs="宋体" w:eastAsia="宋体" w:hint="default"/>
                <w:sz w:val="18"/>
                <w:szCs w:val="18"/>
              </w:rPr>
            </w:pPr>
            <w:r>
              <w:rPr>
                <w:rFonts w:ascii="宋体" w:hAnsi="宋体" w:cs="宋体" w:eastAsia="宋体" w:hint="default"/>
                <w:sz w:val="18"/>
                <w:szCs w:val="18"/>
              </w:rPr>
              <w:t>本期减持 股份数量</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left"/>
              <w:rPr>
                <w:rFonts w:ascii="宋体" w:hAnsi="宋体" w:cs="宋体" w:eastAsia="宋体" w:hint="default"/>
                <w:sz w:val="18"/>
                <w:szCs w:val="18"/>
              </w:rPr>
            </w:pPr>
            <w:r>
              <w:rPr>
                <w:rFonts w:ascii="宋体" w:hAnsi="宋体" w:cs="宋体" w:eastAsia="宋体" w:hint="default"/>
                <w:sz w:val="18"/>
                <w:szCs w:val="18"/>
              </w:rPr>
              <w:t>其他增 减变动</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77"/>
              <w:ind w:left="2" w:right="0"/>
              <w:jc w:val="center"/>
              <w:rPr>
                <w:rFonts w:ascii="宋体" w:hAnsi="宋体" w:cs="宋体" w:eastAsia="宋体" w:hint="default"/>
                <w:sz w:val="18"/>
                <w:szCs w:val="18"/>
              </w:rPr>
            </w:pPr>
            <w:r>
              <w:rPr>
                <w:rFonts w:ascii="宋体" w:hAnsi="宋体" w:cs="宋体" w:eastAsia="宋体" w:hint="default"/>
                <w:sz w:val="18"/>
                <w:szCs w:val="18"/>
              </w:rPr>
              <w:t>（股）</w:t>
            </w:r>
          </w:p>
        </w:tc>
      </w:tr>
      <w:tr>
        <w:trPr>
          <w:trHeight w:val="756"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申龙</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1"/>
              <w:ind w:left="23" w:right="158"/>
              <w:jc w:val="left"/>
              <w:rPr>
                <w:rFonts w:ascii="宋体" w:hAnsi="宋体" w:cs="宋体" w:eastAsia="宋体" w:hint="default"/>
                <w:sz w:val="18"/>
                <w:szCs w:val="18"/>
              </w:rPr>
            </w:pPr>
            <w:r>
              <w:rPr>
                <w:rFonts w:ascii="宋体" w:hAnsi="宋体" w:cs="宋体" w:eastAsia="宋体" w:hint="default"/>
                <w:sz w:val="18"/>
                <w:szCs w:val="18"/>
              </w:rPr>
              <w:t>高级副总裁、 审计负责人</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54"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陈丽娜</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49"/>
              <w:ind w:left="23" w:right="158"/>
              <w:jc w:val="left"/>
              <w:rPr>
                <w:rFonts w:ascii="宋体" w:hAnsi="宋体" w:cs="宋体" w:eastAsia="宋体" w:hint="default"/>
                <w:sz w:val="18"/>
                <w:szCs w:val="18"/>
              </w:rPr>
            </w:pPr>
            <w:r>
              <w:rPr>
                <w:rFonts w:ascii="宋体" w:hAnsi="宋体" w:cs="宋体" w:eastAsia="宋体" w:hint="default"/>
                <w:sz w:val="18"/>
                <w:szCs w:val="18"/>
              </w:rPr>
              <w:t>高级副总裁、 财务总监</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刘长松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张丽艳</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2022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54"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张令庆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49"/>
              <w:ind w:left="23" w:right="158"/>
              <w:jc w:val="left"/>
              <w:rPr>
                <w:rFonts w:ascii="宋体" w:hAnsi="宋体" w:cs="宋体" w:eastAsia="宋体" w:hint="default"/>
                <w:sz w:val="18"/>
                <w:szCs w:val="18"/>
              </w:rPr>
            </w:pPr>
            <w:r>
              <w:rPr>
                <w:rFonts w:ascii="宋体" w:hAnsi="宋体" w:cs="宋体" w:eastAsia="宋体" w:hint="default"/>
                <w:sz w:val="18"/>
                <w:szCs w:val="18"/>
              </w:rPr>
              <w:t>高级副总裁、 董事会秘书</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64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391,200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391,200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查忠民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董事、总裁</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卞世军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08</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史一兵</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5,508,600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5,508,600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潘政</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张天仁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63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211,200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211,200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李柏龄</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65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朱洪超</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60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王建章</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73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钟璟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6"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耿平安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68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宗宇伟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56"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晏翥飞</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1"/>
              <w:ind w:left="23" w:right="158"/>
              <w:jc w:val="left"/>
              <w:rPr>
                <w:rFonts w:ascii="宋体" w:hAnsi="宋体" w:cs="宋体" w:eastAsia="宋体" w:hint="default"/>
                <w:sz w:val="18"/>
                <w:szCs w:val="18"/>
              </w:rPr>
            </w:pPr>
            <w:r>
              <w:rPr>
                <w:rFonts w:ascii="宋体" w:hAnsi="宋体" w:cs="宋体" w:eastAsia="宋体" w:hint="default"/>
                <w:sz w:val="18"/>
                <w:szCs w:val="18"/>
              </w:rPr>
              <w:t>高级副总裁、 董事会秘书</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left"/>
              <w:rPr>
                <w:rFonts w:ascii="Times New Roman" w:hAnsi="Times New Roman" w:cs="Times New Roman" w:eastAsia="Times New Roman" w:hint="default"/>
                <w:sz w:val="18"/>
                <w:szCs w:val="18"/>
              </w:rPr>
            </w:pPr>
            <w:r>
              <w:rPr>
                <w:rFonts w:ascii="Times New Roman"/>
                <w:sz w:val="18"/>
              </w:rPr>
              <w:t>LI</w:t>
            </w:r>
            <w:r>
              <w:rPr>
                <w:rFonts w:ascii="Times New Roman"/>
                <w:spacing w:val="-10"/>
                <w:sz w:val="18"/>
              </w:rPr>
              <w:t> </w:t>
            </w:r>
            <w:r>
              <w:rPr>
                <w:rFonts w:ascii="Times New Roman"/>
                <w:spacing w:val="-3"/>
                <w:sz w:val="18"/>
              </w:rPr>
              <w:t>YIFAN</w:t>
            </w:r>
          </w:p>
          <w:p>
            <w:pPr>
              <w:pStyle w:val="TableParagraph"/>
              <w:spacing w:line="240" w:lineRule="auto" w:before="60"/>
              <w:ind w:left="-3" w:right="0"/>
              <w:jc w:val="left"/>
              <w:rPr>
                <w:rFonts w:ascii="宋体" w:hAnsi="宋体" w:cs="宋体" w:eastAsia="宋体" w:hint="default"/>
                <w:sz w:val="18"/>
                <w:szCs w:val="18"/>
              </w:rPr>
            </w:pPr>
            <w:r>
              <w:rPr>
                <w:rFonts w:ascii="宋体" w:hAnsi="宋体" w:cs="宋体" w:eastAsia="宋体" w:hint="default"/>
                <w:sz w:val="18"/>
                <w:szCs w:val="18"/>
              </w:rPr>
              <w:t>（李轶梵</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195" w:lineRule="exact"/>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p>
            <w:pPr>
              <w:pStyle w:val="TableParagraph"/>
              <w:spacing w:line="195" w:lineRule="exact"/>
              <w:ind w:left="-135" w:right="0"/>
              <w:jc w:val="left"/>
              <w:rPr>
                <w:rFonts w:ascii="宋体" w:hAnsi="宋体" w:cs="宋体" w:eastAsia="宋体" w:hint="default"/>
                <w:sz w:val="18"/>
                <w:szCs w:val="18"/>
              </w:rPr>
            </w:pPr>
            <w:r>
              <w:rPr>
                <w:rFonts w:ascii="宋体" w:hAnsi="宋体" w:cs="宋体" w:eastAsia="宋体" w:hint="default"/>
                <w:sz w:val="18"/>
                <w:szCs w:val="18"/>
              </w:rPr>
              <w:t>）</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52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840"/>
        <w:gridCol w:w="1286"/>
        <w:gridCol w:w="414"/>
        <w:gridCol w:w="424"/>
        <w:gridCol w:w="427"/>
        <w:gridCol w:w="851"/>
        <w:gridCol w:w="850"/>
        <w:gridCol w:w="994"/>
        <w:gridCol w:w="850"/>
        <w:gridCol w:w="853"/>
        <w:gridCol w:w="708"/>
        <w:gridCol w:w="1054"/>
      </w:tblGrid>
      <w:tr>
        <w:trPr>
          <w:trHeight w:val="161" w:hRule="exact"/>
        </w:trPr>
        <w:tc>
          <w:tcPr>
            <w:tcW w:w="84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8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16" w:right="25"/>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424" w:type="dxa"/>
            <w:tcBorders>
              <w:top w:val="single" w:sz="4" w:space="0" w:color="000000"/>
              <w:left w:val="single" w:sz="4" w:space="0" w:color="000000"/>
              <w:bottom w:val="nil" w:sz="6" w:space="0" w:color="auto"/>
              <w:right w:val="single" w:sz="4" w:space="0" w:color="000000"/>
            </w:tcBorders>
            <w:shd w:val="clear" w:color="auto" w:fill="D2D2D2"/>
          </w:tcPr>
          <w:p>
            <w:pPr/>
          </w:p>
        </w:tc>
        <w:tc>
          <w:tcPr>
            <w:tcW w:w="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240" w:right="59"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238" w:right="5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7"/>
              <w:ind w:right="2"/>
              <w:jc w:val="center"/>
              <w:rPr>
                <w:rFonts w:ascii="宋体" w:hAnsi="宋体" w:cs="宋体" w:eastAsia="宋体" w:hint="default"/>
                <w:sz w:val="18"/>
                <w:szCs w:val="18"/>
              </w:rPr>
            </w:pPr>
            <w:r>
              <w:rPr>
                <w:rFonts w:ascii="宋体" w:hAnsi="宋体" w:cs="宋体" w:eastAsia="宋体" w:hint="default"/>
                <w:sz w:val="18"/>
                <w:szCs w:val="18"/>
              </w:rPr>
              <w:t>（股）</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58" w:right="59"/>
              <w:jc w:val="left"/>
              <w:rPr>
                <w:rFonts w:ascii="宋体" w:hAnsi="宋体" w:cs="宋体" w:eastAsia="宋体" w:hint="default"/>
                <w:sz w:val="18"/>
                <w:szCs w:val="18"/>
              </w:rPr>
            </w:pPr>
            <w:r>
              <w:rPr>
                <w:rFonts w:ascii="宋体" w:hAnsi="宋体" w:cs="宋体" w:eastAsia="宋体" w:hint="default"/>
                <w:sz w:val="18"/>
                <w:szCs w:val="18"/>
              </w:rPr>
              <w:t>本期增持 股份数量</w:t>
            </w:r>
          </w:p>
        </w:tc>
        <w:tc>
          <w:tcPr>
            <w:tcW w:w="85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58" w:right="62"/>
              <w:jc w:val="left"/>
              <w:rPr>
                <w:rFonts w:ascii="宋体" w:hAnsi="宋体" w:cs="宋体" w:eastAsia="宋体" w:hint="default"/>
                <w:sz w:val="18"/>
                <w:szCs w:val="18"/>
              </w:rPr>
            </w:pPr>
            <w:r>
              <w:rPr>
                <w:rFonts w:ascii="宋体" w:hAnsi="宋体" w:cs="宋体" w:eastAsia="宋体" w:hint="default"/>
                <w:sz w:val="18"/>
                <w:szCs w:val="18"/>
              </w:rPr>
              <w:t>本期减持 股份数量</w:t>
            </w: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78" w:right="78"/>
              <w:jc w:val="left"/>
              <w:rPr>
                <w:rFonts w:ascii="宋体" w:hAnsi="宋体" w:cs="宋体" w:eastAsia="宋体" w:hint="default"/>
                <w:sz w:val="18"/>
                <w:szCs w:val="18"/>
              </w:rPr>
            </w:pPr>
            <w:r>
              <w:rPr>
                <w:rFonts w:ascii="宋体" w:hAnsi="宋体" w:cs="宋体" w:eastAsia="宋体" w:hint="default"/>
                <w:sz w:val="18"/>
                <w:szCs w:val="18"/>
              </w:rPr>
              <w:t>其他增 减变动</w:t>
            </w:r>
          </w:p>
        </w:tc>
        <w:tc>
          <w:tcPr>
            <w:tcW w:w="105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77"/>
              <w:ind w:left="11" w:right="0"/>
              <w:jc w:val="center"/>
              <w:rPr>
                <w:rFonts w:ascii="宋体" w:hAnsi="宋体" w:cs="宋体" w:eastAsia="宋体" w:hint="default"/>
                <w:sz w:val="18"/>
                <w:szCs w:val="18"/>
              </w:rPr>
            </w:pPr>
            <w:r>
              <w:rPr>
                <w:rFonts w:ascii="宋体" w:hAnsi="宋体" w:cs="宋体" w:eastAsia="宋体" w:hint="default"/>
                <w:sz w:val="18"/>
                <w:szCs w:val="18"/>
              </w:rPr>
              <w:t>（股）</w:t>
            </w:r>
          </w:p>
        </w:tc>
      </w:tr>
      <w:tr>
        <w:trPr>
          <w:trHeight w:val="392" w:hRule="exact"/>
        </w:trPr>
        <w:tc>
          <w:tcPr>
            <w:tcW w:w="84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2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职务</w:t>
            </w:r>
          </w:p>
        </w:tc>
        <w:tc>
          <w:tcPr>
            <w:tcW w:w="414" w:type="dxa"/>
            <w:vMerge/>
            <w:tcBorders>
              <w:left w:val="single" w:sz="4" w:space="0" w:color="000000"/>
              <w:right w:val="single" w:sz="4" w:space="0" w:color="000000"/>
            </w:tcBorders>
            <w:shd w:val="clear" w:color="auto" w:fill="D2D2D2"/>
          </w:tcPr>
          <w:p>
            <w:pPr/>
          </w:p>
        </w:tc>
        <w:tc>
          <w:tcPr>
            <w:tcW w:w="4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851"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994"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853" w:type="dxa"/>
            <w:vMerge/>
            <w:tcBorders>
              <w:left w:val="single" w:sz="4" w:space="0" w:color="000000"/>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1054" w:type="dxa"/>
            <w:vMerge/>
            <w:tcBorders>
              <w:left w:val="single" w:sz="4" w:space="0" w:color="000000"/>
              <w:right w:val="single" w:sz="4" w:space="0" w:color="000000"/>
            </w:tcBorders>
            <w:shd w:val="clear" w:color="auto" w:fill="D2D2D2"/>
          </w:tcPr>
          <w:p>
            <w:pPr/>
          </w:p>
        </w:tc>
      </w:tr>
      <w:tr>
        <w:trPr>
          <w:trHeight w:val="162" w:hRule="exact"/>
        </w:trPr>
        <w:tc>
          <w:tcPr>
            <w:tcW w:w="84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6" w:type="dxa"/>
            <w:tcBorders>
              <w:top w:val="nil" w:sz="6" w:space="0" w:color="auto"/>
              <w:left w:val="single" w:sz="4" w:space="0" w:color="000000"/>
              <w:bottom w:val="single" w:sz="4" w:space="0" w:color="000000"/>
              <w:right w:val="single" w:sz="4" w:space="0" w:color="000000"/>
            </w:tcBorders>
            <w:shd w:val="clear" w:color="auto" w:fill="D2D2D2"/>
          </w:tcPr>
          <w:p>
            <w:pPr/>
          </w:p>
        </w:tc>
        <w:tc>
          <w:tcPr>
            <w:tcW w:w="414" w:type="dxa"/>
            <w:vMerge/>
            <w:tcBorders>
              <w:left w:val="single" w:sz="4" w:space="0" w:color="000000"/>
              <w:bottom w:val="single" w:sz="4" w:space="0" w:color="000000"/>
              <w:right w:val="single" w:sz="4" w:space="0" w:color="000000"/>
            </w:tcBorders>
            <w:shd w:val="clear" w:color="auto" w:fill="D2D2D2"/>
          </w:tcPr>
          <w:p>
            <w:pPr/>
          </w:p>
        </w:tc>
        <w:tc>
          <w:tcPr>
            <w:tcW w:w="424" w:type="dxa"/>
            <w:tcBorders>
              <w:top w:val="nil" w:sz="6" w:space="0" w:color="auto"/>
              <w:left w:val="single" w:sz="4" w:space="0" w:color="000000"/>
              <w:bottom w:val="single" w:sz="4" w:space="0" w:color="000000"/>
              <w:right w:val="single" w:sz="4" w:space="0" w:color="000000"/>
            </w:tcBorders>
            <w:shd w:val="clear" w:color="auto" w:fill="D2D2D2"/>
          </w:tcPr>
          <w:p>
            <w:pPr/>
          </w:p>
        </w:tc>
        <w:tc>
          <w:tcPr>
            <w:tcW w:w="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853" w:type="dxa"/>
            <w:vMerge/>
            <w:tcBorders>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105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7"/>
              <w:jc w:val="center"/>
              <w:rPr>
                <w:rFonts w:ascii="Times New Roman" w:hAnsi="Times New Roman" w:cs="Times New Roman" w:eastAsia="Times New Roman" w:hint="default"/>
                <w:sz w:val="18"/>
                <w:szCs w:val="18"/>
              </w:rPr>
            </w:pPr>
            <w:r>
              <w:rPr>
                <w:rFonts w:ascii="Times New Roman"/>
                <w:sz w:val="18"/>
              </w:rPr>
              <w:t>--</w:t>
            </w:r>
          </w:p>
        </w:tc>
        <w:tc>
          <w:tcPr>
            <w:tcW w:w="4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8"/>
              <w:jc w:val="center"/>
              <w:rPr>
                <w:rFonts w:ascii="Times New Roman" w:hAnsi="Times New Roman" w:cs="Times New Roman" w:eastAsia="Times New Roman" w:hint="default"/>
                <w:sz w:val="18"/>
                <w:szCs w:val="18"/>
              </w:rPr>
            </w:pPr>
            <w:r>
              <w:rPr>
                <w:rFonts w:ascii="Times New Roman"/>
                <w:sz w:val="18"/>
              </w:rPr>
              <w:t>--</w:t>
            </w:r>
          </w:p>
        </w:tc>
        <w:tc>
          <w:tcPr>
            <w:tcW w:w="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4" w:right="0"/>
              <w:jc w:val="center"/>
              <w:rPr>
                <w:rFonts w:ascii="Times New Roman" w:hAnsi="Times New Roman" w:cs="Times New Roman" w:eastAsia="Times New Roman" w:hint="default"/>
                <w:sz w:val="18"/>
                <w:szCs w:val="18"/>
              </w:rPr>
            </w:pPr>
            <w:r>
              <w:rPr>
                <w:rFonts w:ascii="Times New Roman"/>
                <w:sz w:val="18"/>
              </w:rPr>
              <w:t>--</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9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31" w:right="0"/>
              <w:jc w:val="left"/>
              <w:rPr>
                <w:rFonts w:ascii="Times New Roman" w:hAnsi="Times New Roman" w:cs="Times New Roman" w:eastAsia="Times New Roman" w:hint="default"/>
                <w:sz w:val="18"/>
                <w:szCs w:val="18"/>
              </w:rPr>
            </w:pPr>
            <w:r>
              <w:rPr>
                <w:rFonts w:ascii="Times New Roman"/>
                <w:sz w:val="18"/>
              </w:rPr>
              <w:t>7,753,041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13" w:right="0"/>
              <w:jc w:val="left"/>
              <w:rPr>
                <w:rFonts w:ascii="Times New Roman" w:hAnsi="Times New Roman" w:cs="Times New Roman" w:eastAsia="Times New Roman" w:hint="default"/>
                <w:sz w:val="18"/>
                <w:szCs w:val="18"/>
              </w:rPr>
            </w:pPr>
            <w:r>
              <w:rPr>
                <w:rFonts w:ascii="Times New Roman"/>
                <w:sz w:val="18"/>
              </w:rPr>
              <w:t>7,753,041</w:t>
            </w:r>
          </w:p>
        </w:tc>
      </w:tr>
    </w:tbl>
    <w:p>
      <w:pPr>
        <w:spacing w:line="240" w:lineRule="auto" w:before="6"/>
        <w:rPr>
          <w:rFonts w:ascii="Times New Roman" w:hAnsi="Times New Roman" w:cs="Times New Roman" w:eastAsia="Times New Roman" w:hint="default"/>
          <w:sz w:val="20"/>
          <w:szCs w:val="20"/>
        </w:rPr>
      </w:pPr>
    </w:p>
    <w:p>
      <w:pPr>
        <w:pStyle w:val="Heading2"/>
        <w:spacing w:line="240" w:lineRule="auto" w:before="26"/>
        <w:ind w:right="2602"/>
        <w:jc w:val="left"/>
        <w:rPr>
          <w:b w:val="0"/>
          <w:bCs w:val="0"/>
        </w:rPr>
      </w:pPr>
      <w:bookmarkStart w:name="二、公司董事、监事、高级管理人员变动情况" w:id="132"/>
      <w:bookmarkEnd w:id="132"/>
      <w:r>
        <w:rPr>
          <w:b w:val="0"/>
          <w:bCs w:val="0"/>
        </w:rPr>
      </w:r>
      <w:r>
        <w:rPr/>
        <w:t>二、公司董事、监事、高级管理人员变动情况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844"/>
        <w:gridCol w:w="2552"/>
        <w:gridCol w:w="1136"/>
        <w:gridCol w:w="2126"/>
        <w:gridCol w:w="1911"/>
      </w:tblGrid>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担任的职务</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2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张令庆</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高级副总裁、董事会秘书</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退休</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查忠民</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董事、总裁</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主动离职</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卞世军</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主动离职</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史一兵</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潘政</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张天仁</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李柏龄</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朱洪超</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王建章</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钟璟</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耿平安</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4"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宗宇伟</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提前换届</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晏翥飞</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高级副总裁、董事会秘书</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主动离职</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LI</w:t>
            </w:r>
            <w:r>
              <w:rPr>
                <w:rFonts w:ascii="Times New Roman" w:hAnsi="Times New Roman" w:cs="Times New Roman" w:eastAsia="Times New Roman" w:hint="default"/>
                <w:spacing w:val="-26"/>
                <w:sz w:val="18"/>
                <w:szCs w:val="18"/>
              </w:rPr>
              <w:t> </w:t>
            </w:r>
            <w:r>
              <w:rPr>
                <w:rFonts w:ascii="Times New Roman" w:hAnsi="Times New Roman" w:cs="Times New Roman" w:eastAsia="Times New Roman" w:hint="default"/>
                <w:sz w:val="18"/>
                <w:szCs w:val="18"/>
              </w:rPr>
              <w:t>YIFAN</w:t>
            </w:r>
            <w:r>
              <w:rPr>
                <w:rFonts w:ascii="宋体" w:hAnsi="宋体" w:cs="宋体" w:eastAsia="宋体" w:hint="default"/>
                <w:sz w:val="18"/>
                <w:szCs w:val="18"/>
              </w:rPr>
              <w:t>（李轶梵）</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主动离职</w:t>
            </w:r>
          </w:p>
        </w:tc>
      </w:tr>
    </w:tbl>
    <w:p>
      <w:pPr>
        <w:spacing w:line="240" w:lineRule="auto" w:before="1"/>
        <w:rPr>
          <w:rFonts w:ascii="宋体" w:hAnsi="宋体" w:cs="宋体" w:eastAsia="宋体" w:hint="default"/>
          <w:sz w:val="18"/>
          <w:szCs w:val="18"/>
        </w:rPr>
      </w:pPr>
    </w:p>
    <w:p>
      <w:pPr>
        <w:pStyle w:val="Heading2"/>
        <w:spacing w:line="240" w:lineRule="auto" w:before="26"/>
        <w:ind w:right="0"/>
        <w:jc w:val="both"/>
        <w:rPr>
          <w:b w:val="0"/>
          <w:bCs w:val="0"/>
        </w:rPr>
      </w:pPr>
      <w:bookmarkStart w:name="三、任职情况" w:id="133"/>
      <w:bookmarkEnd w:id="133"/>
      <w:r>
        <w:rPr>
          <w:b w:val="0"/>
          <w:bCs w:val="0"/>
        </w:rPr>
      </w:r>
      <w:r>
        <w:rPr/>
        <w:t>三、任职情况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公司现任董事、监事、高级管理人员专业背景、主要工作经历以及目前在公司的主要职责</w:t>
      </w:r>
    </w:p>
    <w:p>
      <w:pPr>
        <w:spacing w:line="240" w:lineRule="auto" w:before="11"/>
        <w:rPr>
          <w:rFonts w:ascii="宋体" w:hAnsi="宋体" w:cs="宋体" w:eastAsia="宋体" w:hint="default"/>
          <w:sz w:val="14"/>
          <w:szCs w:val="14"/>
        </w:rPr>
      </w:pPr>
    </w:p>
    <w:p>
      <w:pPr>
        <w:spacing w:line="360" w:lineRule="auto" w:before="0"/>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（一）董事会成员</w:t>
      </w:r>
      <w:r>
        <w:rPr>
          <w:rFonts w:ascii="宋体" w:hAnsi="宋体" w:cs="宋体" w:eastAsia="宋体" w:hint="default"/>
          <w:b/>
          <w:bCs/>
          <w:w w:val="99"/>
          <w:sz w:val="18"/>
          <w:szCs w:val="18"/>
        </w:rPr>
        <w:t> </w:t>
      </w:r>
      <w:r>
        <w:rPr>
          <w:rFonts w:ascii="宋体" w:hAnsi="宋体" w:cs="宋体" w:eastAsia="宋体" w:hint="default"/>
          <w:b/>
          <w:bCs/>
          <w:spacing w:val="-2"/>
          <w:sz w:val="18"/>
          <w:szCs w:val="18"/>
        </w:rPr>
        <w:t>匡涛（董事长）</w:t>
      </w:r>
      <w:r>
        <w:rPr>
          <w:rFonts w:ascii="宋体" w:hAnsi="宋体" w:cs="宋体" w:eastAsia="宋体" w:hint="default"/>
          <w:spacing w:val="-2"/>
          <w:sz w:val="18"/>
          <w:szCs w:val="18"/>
        </w:rPr>
        <w:t>，男，</w:t>
      </w:r>
      <w:r>
        <w:rPr>
          <w:rFonts w:ascii="Times New Roman" w:hAnsi="Times New Roman" w:cs="Times New Roman" w:eastAsia="Times New Roman" w:hint="default"/>
          <w:spacing w:val="-2"/>
          <w:sz w:val="18"/>
          <w:szCs w:val="18"/>
        </w:rPr>
        <w:t>1973</w:t>
      </w:r>
      <w:r>
        <w:rPr>
          <w:rFonts w:ascii="宋体" w:hAnsi="宋体" w:cs="宋体" w:eastAsia="宋体" w:hint="default"/>
          <w:spacing w:val="-2"/>
          <w:sz w:val="18"/>
          <w:szCs w:val="18"/>
        </w:rPr>
        <w:t>年生，中国国籍，于</w:t>
      </w:r>
      <w:r>
        <w:rPr>
          <w:rFonts w:ascii="Times New Roman" w:hAnsi="Times New Roman" w:cs="Times New Roman" w:eastAsia="Times New Roman" w:hint="default"/>
          <w:spacing w:val="-2"/>
          <w:sz w:val="18"/>
          <w:szCs w:val="18"/>
        </w:rPr>
        <w:t>1995</w:t>
      </w:r>
      <w:r>
        <w:rPr>
          <w:rFonts w:ascii="宋体" w:hAnsi="宋体" w:cs="宋体" w:eastAsia="宋体" w:hint="default"/>
          <w:spacing w:val="-2"/>
          <w:sz w:val="18"/>
          <w:szCs w:val="18"/>
        </w:rPr>
        <w:t>年毕业于哈尔滨工程大学获得学士学位，于</w:t>
      </w:r>
      <w:r>
        <w:rPr>
          <w:rFonts w:ascii="Times New Roman" w:hAnsi="Times New Roman" w:cs="Times New Roman" w:eastAsia="Times New Roman" w:hint="default"/>
          <w:spacing w:val="-2"/>
          <w:sz w:val="18"/>
          <w:szCs w:val="18"/>
        </w:rPr>
        <w:t>1998</w:t>
      </w:r>
      <w:r>
        <w:rPr>
          <w:rFonts w:ascii="宋体" w:hAnsi="宋体" w:cs="宋体" w:eastAsia="宋体" w:hint="default"/>
          <w:spacing w:val="-2"/>
          <w:sz w:val="18"/>
          <w:szCs w:val="18"/>
        </w:rPr>
        <w:t>年毕业于哈尔滨工</w:t>
      </w:r>
    </w:p>
    <w:p>
      <w:pPr>
        <w:pStyle w:val="BodyText"/>
        <w:spacing w:line="212" w:lineRule="exact"/>
        <w:ind w:right="0"/>
        <w:jc w:val="both"/>
      </w:pPr>
      <w:r>
        <w:rPr>
          <w:spacing w:val="-3"/>
        </w:rPr>
        <w:t>程大学获得硕士学位，于</w:t>
      </w:r>
      <w:r>
        <w:rPr>
          <w:rFonts w:ascii="Times New Roman" w:hAnsi="Times New Roman" w:cs="Times New Roman" w:eastAsia="Times New Roman" w:hint="default"/>
          <w:spacing w:val="-3"/>
        </w:rPr>
        <w:t>2005</w:t>
      </w:r>
      <w:r>
        <w:rPr>
          <w:spacing w:val="-3"/>
        </w:rPr>
        <w:t>年毕业于美国坦普尔大学获得工商管理硕士学位，中共党员。匡涛先生于</w:t>
      </w:r>
      <w:r>
        <w:rPr>
          <w:rFonts w:ascii="Times New Roman" w:hAnsi="Times New Roman" w:cs="Times New Roman" w:eastAsia="Times New Roman" w:hint="default"/>
          <w:spacing w:val="-3"/>
        </w:rPr>
        <w:t>1998</w:t>
      </w:r>
      <w:r>
        <w:rPr>
          <w:spacing w:val="-3"/>
        </w:rPr>
        <w:t>年</w:t>
      </w:r>
      <w:r>
        <w:rPr>
          <w:rFonts w:ascii="Times New Roman" w:hAnsi="Times New Roman" w:cs="Times New Roman" w:eastAsia="Times New Roman" w:hint="default"/>
          <w:spacing w:val="-3"/>
        </w:rPr>
        <w:t>8</w:t>
      </w:r>
      <w:r>
        <w:rPr>
          <w:spacing w:val="-3"/>
        </w:rPr>
        <w:t>月参加工作，</w:t>
      </w:r>
    </w:p>
    <w:p>
      <w:pPr>
        <w:pStyle w:val="BodyText"/>
        <w:spacing w:line="304" w:lineRule="auto" w:before="63"/>
        <w:ind w:right="1128"/>
        <w:jc w:val="both"/>
      </w:pPr>
      <w:r>
        <w:rPr/>
        <w:t>曾先后在中国计算机软件与技术服务总公司、二十一世纪不动产中国总部、美银美林集团、美国彭博集团工作。</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6</w:t>
      </w:r>
      <w:r>
        <w:rPr/>
        <w:t>月</w:t>
      </w:r>
      <w:r>
        <w:rPr>
          <w:spacing w:val="-84"/>
        </w:rPr>
        <w:t> </w:t>
      </w:r>
      <w:r>
        <w:rPr>
          <w:spacing w:val="-5"/>
        </w:rPr>
        <w:t>进入中国人寿保险股份有限公司，曾先后任投资管理部总经理助理、副总经理。</w:t>
      </w:r>
      <w:r>
        <w:rPr>
          <w:rFonts w:ascii="Times New Roman" w:hAnsi="Times New Roman" w:cs="Times New Roman" w:eastAsia="Times New Roman" w:hint="default"/>
          <w:spacing w:val="-5"/>
        </w:rPr>
        <w:t>2016</w:t>
      </w:r>
      <w:r>
        <w:rPr>
          <w:spacing w:val="-5"/>
        </w:rPr>
        <w:t>年</w:t>
      </w:r>
      <w:r>
        <w:rPr>
          <w:rFonts w:ascii="Times New Roman" w:hAnsi="Times New Roman" w:cs="Times New Roman" w:eastAsia="Times New Roman" w:hint="default"/>
          <w:spacing w:val="-5"/>
        </w:rPr>
        <w:t>1</w:t>
      </w:r>
      <w:r>
        <w:rPr>
          <w:spacing w:val="-5"/>
        </w:rPr>
        <w:t>月至</w:t>
      </w:r>
      <w:r>
        <w:rPr>
          <w:rFonts w:ascii="Times New Roman" w:hAnsi="Times New Roman" w:cs="Times New Roman" w:eastAsia="Times New Roman" w:hint="default"/>
          <w:spacing w:val="-5"/>
        </w:rPr>
        <w:t>2018</w:t>
      </w:r>
      <w:r>
        <w:rPr>
          <w:spacing w:val="-5"/>
        </w:rPr>
        <w:t>年</w:t>
      </w:r>
      <w:r>
        <w:rPr>
          <w:rFonts w:ascii="Times New Roman" w:hAnsi="Times New Roman" w:cs="Times New Roman" w:eastAsia="Times New Roman" w:hint="default"/>
          <w:spacing w:val="-5"/>
        </w:rPr>
        <w:t>7</w:t>
      </w:r>
      <w:r>
        <w:rPr>
          <w:spacing w:val="-5"/>
        </w:rPr>
        <w:t>月曾任中国人寿保险（集</w:t>
      </w:r>
      <w:r>
        <w:rPr>
          <w:spacing w:val="-54"/>
        </w:rPr>
        <w:t> </w:t>
      </w:r>
      <w:r>
        <w:rPr>
          <w:spacing w:val="-54"/>
        </w:rPr>
      </w:r>
      <w:r>
        <w:rPr/>
        <w:t>团）公司投资管理部副总经理，</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月起任中国人寿保险（集团）公司投资管理部总经理。匡涛先生亦兼任中国人寿保</w:t>
      </w:r>
      <w:r>
        <w:rPr>
          <w:spacing w:val="-85"/>
        </w:rPr>
        <w:t> </w:t>
      </w:r>
      <w:r>
        <w:rPr>
          <w:spacing w:val="-85"/>
        </w:rPr>
      </w:r>
      <w:r>
        <w:rPr>
          <w:spacing w:val="-2"/>
        </w:rPr>
        <w:t>险（海外）股份有限公司、国寿投资控股有限公司、上海陆家嘴金融贸易区联合发展有限公司、渤海产业投资基金管理有限</w:t>
      </w:r>
      <w:r>
        <w:rPr>
          <w:spacing w:val="-65"/>
        </w:rPr>
        <w:t> </w:t>
      </w:r>
      <w:r>
        <w:rPr>
          <w:spacing w:val="-65"/>
        </w:rPr>
      </w:r>
      <w:r>
        <w:rPr/>
        <w:t>公司及汇贤控股有限公司董事、中信证券股份有限公司非执行董事。现任本公司董事长。</w:t>
      </w:r>
    </w:p>
    <w:p>
      <w:pPr>
        <w:pStyle w:val="BodyText"/>
        <w:spacing w:line="300" w:lineRule="auto" w:before="68"/>
        <w:ind w:right="1129" w:firstLine="360"/>
        <w:jc w:val="both"/>
      </w:pPr>
      <w:r>
        <w:rPr>
          <w:rFonts w:ascii="宋体" w:hAnsi="宋体" w:cs="宋体" w:eastAsia="宋体" w:hint="default"/>
          <w:b/>
          <w:bCs/>
          <w:spacing w:val="-2"/>
        </w:rPr>
        <w:t>胡宏伟（副董事长），</w:t>
      </w:r>
      <w:r>
        <w:rPr>
          <w:spacing w:val="-2"/>
        </w:rPr>
        <w:t>男，</w:t>
      </w:r>
      <w:r>
        <w:rPr>
          <w:rFonts w:ascii="Times New Roman" w:hAnsi="Times New Roman" w:cs="Times New Roman" w:eastAsia="Times New Roman" w:hint="default"/>
          <w:spacing w:val="-2"/>
        </w:rPr>
        <w:t>1972</w:t>
      </w:r>
      <w:r>
        <w:rPr>
          <w:spacing w:val="-2"/>
        </w:rPr>
        <w:t>年生，中国国籍，于</w:t>
      </w:r>
      <w:r>
        <w:rPr>
          <w:rFonts w:ascii="Times New Roman" w:hAnsi="Times New Roman" w:cs="Times New Roman" w:eastAsia="Times New Roman" w:hint="default"/>
          <w:spacing w:val="-2"/>
        </w:rPr>
        <w:t>1993</w:t>
      </w:r>
      <w:r>
        <w:rPr>
          <w:spacing w:val="-2"/>
        </w:rPr>
        <w:t>年毕业于浙江农业大学畜牧专业获农学学士学位，中共党员。</w:t>
      </w:r>
      <w:r>
        <w:rPr/>
        <w:t> </w:t>
      </w:r>
      <w:r>
        <w:rPr>
          <w:spacing w:val="-2"/>
        </w:rPr>
        <w:t>胡宏伟先生于</w:t>
      </w:r>
      <w:r>
        <w:rPr>
          <w:rFonts w:ascii="Times New Roman" w:hAnsi="Times New Roman" w:cs="Times New Roman" w:eastAsia="Times New Roman" w:hint="default"/>
          <w:spacing w:val="-2"/>
        </w:rPr>
        <w:t>2002</w:t>
      </w:r>
      <w:r>
        <w:rPr>
          <w:spacing w:val="-2"/>
        </w:rPr>
        <w:t>年至</w:t>
      </w:r>
      <w:r>
        <w:rPr>
          <w:rFonts w:ascii="Times New Roman" w:hAnsi="Times New Roman" w:cs="Times New Roman" w:eastAsia="Times New Roman" w:hint="default"/>
          <w:spacing w:val="-2"/>
        </w:rPr>
        <w:t>2010</w:t>
      </w:r>
      <w:r>
        <w:rPr>
          <w:spacing w:val="-2"/>
        </w:rPr>
        <w:t>年期间，先后担任中国人寿保险股份有限公司金华市分公司总经理助理、副总经理，浙江省分公</w:t>
      </w:r>
      <w:r>
        <w:rPr>
          <w:spacing w:val="-62"/>
        </w:rPr>
        <w:t> </w:t>
      </w:r>
      <w:r>
        <w:rPr>
          <w:spacing w:val="-62"/>
        </w:rPr>
      </w:r>
      <w:r>
        <w:rPr>
          <w:spacing w:val="-2"/>
        </w:rPr>
        <w:t>司个险销售部总经理。</w:t>
      </w:r>
      <w:r>
        <w:rPr>
          <w:rFonts w:ascii="Times New Roman" w:hAnsi="Times New Roman" w:cs="Times New Roman" w:eastAsia="Times New Roman" w:hint="default"/>
          <w:spacing w:val="-2"/>
        </w:rPr>
        <w:t>2010</w:t>
      </w:r>
      <w:r>
        <w:rPr>
          <w:spacing w:val="-2"/>
        </w:rPr>
        <w:t>年至</w:t>
      </w:r>
      <w:r>
        <w:rPr>
          <w:rFonts w:ascii="Times New Roman" w:hAnsi="Times New Roman" w:cs="Times New Roman" w:eastAsia="Times New Roman" w:hint="default"/>
          <w:spacing w:val="-2"/>
        </w:rPr>
        <w:t>2017</w:t>
      </w:r>
      <w:r>
        <w:rPr>
          <w:spacing w:val="-2"/>
        </w:rPr>
        <w:t>年期间，先后担任中国人寿保险股份有限公司浙江省分公司营销总监、副总经理，宁波</w:t>
      </w:r>
      <w:r>
        <w:rPr>
          <w:spacing w:val="-57"/>
        </w:rPr>
        <w:t> </w:t>
      </w:r>
      <w:r>
        <w:rPr>
          <w:spacing w:val="-57"/>
        </w:rPr>
      </w:r>
      <w:r>
        <w:rPr>
          <w:spacing w:val="-5"/>
        </w:rPr>
        <w:t>市分公司主要负责人、总经理。自</w:t>
      </w:r>
      <w:r>
        <w:rPr>
          <w:rFonts w:ascii="Times New Roman" w:hAnsi="Times New Roman" w:cs="Times New Roman" w:eastAsia="Times New Roman" w:hint="default"/>
          <w:spacing w:val="-5"/>
        </w:rPr>
        <w:t>2017</w:t>
      </w:r>
      <w:r>
        <w:rPr>
          <w:spacing w:val="-5"/>
        </w:rPr>
        <w:t>年</w:t>
      </w:r>
      <w:r>
        <w:rPr>
          <w:rFonts w:ascii="Times New Roman" w:hAnsi="Times New Roman" w:cs="Times New Roman" w:eastAsia="Times New Roman" w:hint="default"/>
          <w:spacing w:val="-5"/>
        </w:rPr>
        <w:t>11</w:t>
      </w:r>
      <w:r>
        <w:rPr>
          <w:spacing w:val="-5"/>
        </w:rPr>
        <w:t>月起担任中国人寿保险股份有限公司上海市分公司总经理。现任本公司副董事长、</w:t>
      </w:r>
      <w:r>
        <w:rPr>
          <w:spacing w:val="-65"/>
        </w:rPr>
        <w:t> </w:t>
      </w:r>
      <w:r>
        <w:rPr>
          <w:spacing w:val="-65"/>
        </w:rPr>
      </w:r>
      <w:r>
        <w:rPr/>
        <w:t>总裁。</w:t>
      </w:r>
    </w:p>
    <w:p>
      <w:pPr>
        <w:spacing w:after="0" w:line="300" w:lineRule="auto"/>
        <w:jc w:val="both"/>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right="1130" w:firstLine="360"/>
        <w:jc w:val="both"/>
      </w:pPr>
      <w:r>
        <w:rPr>
          <w:rFonts w:ascii="宋体" w:hAnsi="宋体" w:cs="宋体" w:eastAsia="宋体" w:hint="default"/>
          <w:b/>
          <w:bCs/>
        </w:rPr>
        <w:t>钱维章（董事），</w:t>
      </w:r>
      <w:r>
        <w:rPr/>
        <w:t>男，</w:t>
      </w:r>
      <w:r>
        <w:rPr>
          <w:rFonts w:ascii="Times New Roman" w:hAnsi="Times New Roman" w:cs="Times New Roman" w:eastAsia="Times New Roman" w:hint="default"/>
        </w:rPr>
        <w:t>1966</w:t>
      </w:r>
      <w:r>
        <w:rPr/>
        <w:t>年生，中国国籍，于</w:t>
      </w:r>
      <w:r>
        <w:rPr>
          <w:rFonts w:ascii="Times New Roman" w:hAnsi="Times New Roman" w:cs="Times New Roman" w:eastAsia="Times New Roman" w:hint="default"/>
        </w:rPr>
        <w:t>1988</w:t>
      </w:r>
      <w:r>
        <w:rPr/>
        <w:t>年毕业于南京大学计算数学应用软件专业获理学学士学位，</w:t>
      </w:r>
      <w:r>
        <w:rPr>
          <w:rFonts w:ascii="Times New Roman" w:hAnsi="Times New Roman" w:cs="Times New Roman" w:eastAsia="Times New Roman" w:hint="default"/>
        </w:rPr>
        <w:t>2005 </w:t>
      </w:r>
      <w:r>
        <w:rPr>
          <w:spacing w:val="-2"/>
        </w:rPr>
        <w:t>年毕业于清华大学工商管理专业获工商管理硕士学位，中共党员。钱维章先生于</w:t>
      </w:r>
      <w:r>
        <w:rPr>
          <w:rFonts w:ascii="Times New Roman" w:hAnsi="Times New Roman" w:cs="Times New Roman" w:eastAsia="Times New Roman" w:hint="default"/>
          <w:spacing w:val="-2"/>
        </w:rPr>
        <w:t>2006</w:t>
      </w:r>
      <w:r>
        <w:rPr>
          <w:spacing w:val="-2"/>
        </w:rPr>
        <w:t>年至</w:t>
      </w:r>
      <w:r>
        <w:rPr>
          <w:rFonts w:ascii="Times New Roman" w:hAnsi="Times New Roman" w:cs="Times New Roman" w:eastAsia="Times New Roman" w:hint="default"/>
          <w:spacing w:val="-2"/>
        </w:rPr>
        <w:t>2014</w:t>
      </w:r>
      <w:r>
        <w:rPr>
          <w:spacing w:val="-2"/>
        </w:rPr>
        <w:t>年期间，先后担任中国人寿保</w:t>
      </w:r>
      <w:r>
        <w:rPr>
          <w:spacing w:val="-61"/>
        </w:rPr>
        <w:t> </w:t>
      </w:r>
      <w:r>
        <w:rPr>
          <w:spacing w:val="-61"/>
        </w:rPr>
      </w:r>
      <w:r>
        <w:rPr/>
        <w:t>险股份有限公司个险销售部总经理助理，研发中心总经理助理兼测试部总经理、副总经理。自</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9</w:t>
      </w:r>
      <w:r>
        <w:rPr/>
        <w:t>月起任中国人寿保险</w:t>
      </w:r>
      <w:r>
        <w:rPr>
          <w:spacing w:val="-83"/>
        </w:rPr>
        <w:t> </w:t>
      </w:r>
      <w:r>
        <w:rPr>
          <w:spacing w:val="-83"/>
        </w:rPr>
      </w:r>
      <w:r>
        <w:rPr/>
        <w:t>股份有限公司研发中心总经理。自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月起任中国人寿保险股份有限公司科技总监。现任本公司董事。</w:t>
      </w:r>
    </w:p>
    <w:p>
      <w:pPr>
        <w:pStyle w:val="BodyText"/>
        <w:spacing w:line="300" w:lineRule="auto" w:before="53"/>
        <w:ind w:right="1128" w:firstLine="360"/>
        <w:jc w:val="both"/>
      </w:pPr>
      <w:r>
        <w:rPr>
          <w:rFonts w:ascii="宋体" w:hAnsi="宋体" w:cs="宋体" w:eastAsia="宋体" w:hint="default"/>
          <w:b/>
          <w:bCs/>
          <w:spacing w:val="-2"/>
        </w:rPr>
        <w:t>李光亚（董事）</w:t>
      </w:r>
      <w:r>
        <w:rPr>
          <w:spacing w:val="-2"/>
        </w:rPr>
        <w:t>，男，</w:t>
      </w:r>
      <w:r>
        <w:rPr>
          <w:rFonts w:ascii="Times New Roman" w:hAnsi="Times New Roman" w:cs="Times New Roman" w:eastAsia="Times New Roman" w:hint="default"/>
          <w:spacing w:val="-2"/>
        </w:rPr>
        <w:t>1973</w:t>
      </w:r>
      <w:r>
        <w:rPr>
          <w:spacing w:val="-2"/>
        </w:rPr>
        <w:t>年生，中国国籍，博士学位，中共党员，教授级高级工程师。历任本公司副总工程师、研发</w:t>
      </w:r>
      <w:r>
        <w:rPr/>
        <w:t> </w:t>
      </w:r>
      <w:r>
        <w:rPr>
          <w:spacing w:val="-2"/>
        </w:rPr>
        <w:t>中心主任；公司董事、首席技术官、副总裁。曾先后于</w:t>
      </w:r>
      <w:r>
        <w:rPr>
          <w:rFonts w:ascii="Times New Roman" w:hAnsi="Times New Roman" w:cs="Times New Roman" w:eastAsia="Times New Roman" w:hint="default"/>
          <w:spacing w:val="-2"/>
        </w:rPr>
        <w:t>2002</w:t>
      </w:r>
      <w:r>
        <w:rPr>
          <w:spacing w:val="-2"/>
        </w:rPr>
        <w:t>年获首届“上海</w:t>
      </w:r>
      <w:r>
        <w:rPr>
          <w:rFonts w:ascii="Times New Roman" w:hAnsi="Times New Roman" w:cs="Times New Roman" w:eastAsia="Times New Roman" w:hint="default"/>
          <w:spacing w:val="-2"/>
        </w:rPr>
        <w:t>IT</w:t>
      </w:r>
      <w:r>
        <w:rPr>
          <w:spacing w:val="-2"/>
        </w:rPr>
        <w:t>青年十大新锐”、</w:t>
      </w:r>
      <w:r>
        <w:rPr>
          <w:rFonts w:ascii="Times New Roman" w:hAnsi="Times New Roman" w:cs="Times New Roman" w:eastAsia="Times New Roman" w:hint="default"/>
          <w:spacing w:val="-2"/>
        </w:rPr>
        <w:t>2005</w:t>
      </w:r>
      <w:r>
        <w:rPr>
          <w:spacing w:val="-2"/>
        </w:rPr>
        <w:t>年获首批“上海市科技</w:t>
      </w:r>
      <w:r>
        <w:rPr>
          <w:spacing w:val="-47"/>
        </w:rPr>
        <w:t> </w:t>
      </w:r>
      <w:r>
        <w:rPr>
          <w:spacing w:val="-47"/>
        </w:rPr>
      </w:r>
      <w:r>
        <w:rPr>
          <w:spacing w:val="-2"/>
        </w:rPr>
        <w:t>领军人才”、</w:t>
      </w:r>
      <w:r>
        <w:rPr>
          <w:rFonts w:ascii="Times New Roman" w:hAnsi="Times New Roman" w:cs="Times New Roman" w:eastAsia="Times New Roman" w:hint="default"/>
          <w:spacing w:val="-2"/>
        </w:rPr>
        <w:t>2006</w:t>
      </w:r>
      <w:r>
        <w:rPr>
          <w:spacing w:val="-2"/>
        </w:rPr>
        <w:t>年获得“中国信息产业科技创新先进工作者”、</w:t>
      </w:r>
      <w:r>
        <w:rPr>
          <w:rFonts w:ascii="Times New Roman" w:hAnsi="Times New Roman" w:cs="Times New Roman" w:eastAsia="Times New Roman" w:hint="default"/>
          <w:spacing w:val="-2"/>
        </w:rPr>
        <w:t>2006</w:t>
      </w:r>
      <w:r>
        <w:rPr>
          <w:spacing w:val="-2"/>
        </w:rPr>
        <w:t>年获得“第三届中国软件行业十大杰出青年”、</w:t>
      </w:r>
      <w:r>
        <w:rPr>
          <w:rFonts w:ascii="Times New Roman" w:hAnsi="Times New Roman" w:cs="Times New Roman" w:eastAsia="Times New Roman" w:hint="default"/>
          <w:spacing w:val="-2"/>
        </w:rPr>
        <w:t>2006</w:t>
      </w:r>
      <w:r>
        <w:rPr>
          <w:rFonts w:ascii="Times New Roman" w:hAnsi="Times New Roman" w:cs="Times New Roman" w:eastAsia="Times New Roman" w:hint="default"/>
          <w:spacing w:val="-14"/>
        </w:rPr>
        <w:t> </w:t>
      </w:r>
      <w:r>
        <w:rPr>
          <w:rFonts w:ascii="Times New Roman" w:hAnsi="Times New Roman" w:cs="Times New Roman" w:eastAsia="Times New Roman" w:hint="default"/>
          <w:spacing w:val="-14"/>
        </w:rPr>
      </w:r>
      <w:r>
        <w:rPr>
          <w:spacing w:val="-1"/>
        </w:rPr>
        <w:t>年获得“上海市优秀学科带头人计划（</w:t>
      </w:r>
      <w:r>
        <w:rPr>
          <w:rFonts w:ascii="Times New Roman" w:hAnsi="Times New Roman" w:cs="Times New Roman" w:eastAsia="Times New Roman" w:hint="default"/>
          <w:spacing w:val="-1"/>
        </w:rPr>
        <w:t>B</w:t>
      </w:r>
      <w:r>
        <w:rPr>
          <w:spacing w:val="-1"/>
        </w:rPr>
        <w:t>类）”、</w:t>
      </w:r>
      <w:r>
        <w:rPr>
          <w:rFonts w:ascii="Times New Roman" w:hAnsi="Times New Roman" w:cs="Times New Roman" w:eastAsia="Times New Roman" w:hint="default"/>
          <w:spacing w:val="-1"/>
        </w:rPr>
        <w:t>2008</w:t>
      </w:r>
      <w:r>
        <w:rPr>
          <w:spacing w:val="-1"/>
        </w:rPr>
        <w:t>年获得上海市五一劳动奖章、</w:t>
      </w:r>
      <w:r>
        <w:rPr>
          <w:rFonts w:ascii="Times New Roman" w:hAnsi="Times New Roman" w:cs="Times New Roman" w:eastAsia="Times New Roman" w:hint="default"/>
          <w:spacing w:val="-1"/>
        </w:rPr>
        <w:t>2009</w:t>
      </w:r>
      <w:r>
        <w:rPr>
          <w:spacing w:val="-1"/>
        </w:rPr>
        <w:t>年获得国务院政府特殊津贴、</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14"/>
        </w:rPr>
        <w:t> </w:t>
      </w:r>
      <w:r>
        <w:rPr>
          <w:rFonts w:ascii="Times New Roman" w:hAnsi="Times New Roman" w:cs="Times New Roman" w:eastAsia="Times New Roman" w:hint="default"/>
          <w:spacing w:val="-14"/>
        </w:rPr>
      </w:r>
      <w:r>
        <w:rPr>
          <w:spacing w:val="-4"/>
        </w:rPr>
        <w:t>年入选“新世纪百千万人才工程”国家级人选名单、</w:t>
      </w:r>
      <w:r>
        <w:rPr>
          <w:rFonts w:ascii="Times New Roman" w:hAnsi="Times New Roman" w:cs="Times New Roman" w:eastAsia="Times New Roman" w:hint="default"/>
          <w:spacing w:val="-4"/>
        </w:rPr>
        <w:t>2014</w:t>
      </w:r>
      <w:r>
        <w:rPr>
          <w:spacing w:val="-4"/>
        </w:rPr>
        <w:t>年获第七届“上海青年科技英才”。获得国家科技进步二等奖</w:t>
      </w:r>
      <w:r>
        <w:rPr>
          <w:rFonts w:ascii="Times New Roman" w:hAnsi="Times New Roman" w:cs="Times New Roman" w:eastAsia="Times New Roman" w:hint="default"/>
          <w:spacing w:val="-4"/>
        </w:rPr>
        <w:t>2</w:t>
      </w:r>
      <w:r>
        <w:rPr>
          <w:spacing w:val="-4"/>
        </w:rPr>
        <w:t>项。</w:t>
      </w:r>
      <w:r>
        <w:rPr>
          <w:spacing w:val="-38"/>
        </w:rPr>
        <w:t> </w:t>
      </w:r>
      <w:r>
        <w:rPr/>
        <w:t>现任本公司董事、高级副总裁。</w:t>
      </w:r>
    </w:p>
    <w:p>
      <w:pPr>
        <w:pStyle w:val="BodyText"/>
        <w:spacing w:line="300" w:lineRule="auto" w:before="70"/>
        <w:ind w:right="1131" w:firstLine="360"/>
        <w:jc w:val="both"/>
      </w:pPr>
      <w:r>
        <w:rPr>
          <w:rFonts w:ascii="宋体" w:hAnsi="宋体" w:cs="宋体" w:eastAsia="宋体" w:hint="default"/>
          <w:b/>
          <w:bCs/>
          <w:spacing w:val="-2"/>
        </w:rPr>
        <w:t>杨玲（董事）</w:t>
      </w:r>
      <w:r>
        <w:rPr>
          <w:spacing w:val="-2"/>
        </w:rPr>
        <w:t>，女，</w:t>
      </w:r>
      <w:r>
        <w:rPr>
          <w:rFonts w:ascii="Times New Roman" w:hAnsi="Times New Roman" w:cs="Times New Roman" w:eastAsia="Times New Roman" w:hint="default"/>
          <w:spacing w:val="-2"/>
        </w:rPr>
        <w:t>1972</w:t>
      </w:r>
      <w:r>
        <w:rPr>
          <w:spacing w:val="-2"/>
        </w:rPr>
        <w:t>年生，中国国籍，毕业于中国人民解放军信息工程大学，计算机硕士学位，中共党员，高级工</w:t>
      </w:r>
      <w:r>
        <w:rPr/>
        <w:t> 程师。曾先后荣获上海市三八红旗手、全国三八红旗手等称号。现任本公司党委副书记、董事、高级副总裁。</w:t>
      </w:r>
    </w:p>
    <w:p>
      <w:pPr>
        <w:pStyle w:val="BodyText"/>
        <w:spacing w:line="309" w:lineRule="auto" w:before="73"/>
        <w:ind w:right="1132" w:firstLine="360"/>
        <w:jc w:val="both"/>
      </w:pPr>
      <w:r>
        <w:rPr>
          <w:spacing w:val="-2"/>
        </w:rPr>
        <w:t>杨玲女士长期致力于电子政务领域的实践和研究，深入参与了上海市众多智慧政务重大工程项目建设以及政务领域相关</w:t>
      </w:r>
      <w:r>
        <w:rPr/>
        <w:t> 业务标准的制定，积极探索实践互联网</w:t>
      </w:r>
      <w:r>
        <w:rPr>
          <w:rFonts w:ascii="Times New Roman" w:hAnsi="Times New Roman" w:cs="Times New Roman" w:eastAsia="Times New Roman" w:hint="default"/>
        </w:rPr>
        <w:t>+</w:t>
      </w:r>
      <w:r>
        <w:rPr/>
        <w:t>政务服务发展新方向和新模式。作为主要成员先后两次获得上海市科学技术进步二 等奖。</w:t>
      </w:r>
    </w:p>
    <w:p>
      <w:pPr>
        <w:pStyle w:val="BodyText"/>
        <w:spacing w:line="312" w:lineRule="auto" w:before="65"/>
        <w:ind w:right="1129" w:firstLine="360"/>
        <w:jc w:val="both"/>
      </w:pPr>
      <w:r>
        <w:rPr>
          <w:rFonts w:ascii="宋体" w:hAnsi="宋体" w:cs="宋体" w:eastAsia="宋体" w:hint="default"/>
          <w:b/>
          <w:bCs/>
          <w:spacing w:val="-2"/>
        </w:rPr>
        <w:t>姜锋（董事）</w:t>
      </w:r>
      <w:r>
        <w:rPr>
          <w:spacing w:val="-2"/>
        </w:rPr>
        <w:t>，男，</w:t>
      </w:r>
      <w:r>
        <w:rPr>
          <w:rFonts w:ascii="Times New Roman" w:hAnsi="Times New Roman" w:cs="Times New Roman" w:eastAsia="Times New Roman" w:hint="default"/>
          <w:spacing w:val="-2"/>
        </w:rPr>
        <w:t>1972</w:t>
      </w:r>
      <w:r>
        <w:rPr>
          <w:spacing w:val="-2"/>
        </w:rPr>
        <w:t>年生，中国国籍，毕业于上海交通大学，电子与信息工程硕士学位，教授级高级工程师，享受</w:t>
      </w:r>
      <w:r>
        <w:rPr/>
        <w:t> </w:t>
      </w:r>
      <w:r>
        <w:rPr>
          <w:spacing w:val="-5"/>
        </w:rPr>
        <w:t>国务院政府特殊津贴专家，徐汇区政协常委，徐汇区政协教科卫体专委会副主任，九三学社上海市委科技专门委员会副主任，</w:t>
      </w:r>
      <w:r>
        <w:rPr>
          <w:spacing w:val="-75"/>
        </w:rPr>
        <w:t> </w:t>
      </w:r>
      <w:r>
        <w:rPr>
          <w:spacing w:val="-75"/>
        </w:rPr>
      </w:r>
      <w:r>
        <w:rPr>
          <w:spacing w:val="-2"/>
        </w:rPr>
        <w:t>九三学社科技系统委员会委员，综合支社副主委，徐汇区工商联（总商会）副会长，徐汇区知联会副会长，虹梅漕开发知联</w:t>
      </w:r>
      <w:r>
        <w:rPr>
          <w:spacing w:val="-68"/>
        </w:rPr>
        <w:t> </w:t>
      </w:r>
      <w:r>
        <w:rPr>
          <w:spacing w:val="-68"/>
        </w:rPr>
      </w:r>
      <w:r>
        <w:rPr/>
        <w:t>会会长。现任本公司董事、高级副总裁、代董事会秘书。</w:t>
      </w:r>
    </w:p>
    <w:p>
      <w:pPr>
        <w:pStyle w:val="BodyText"/>
        <w:spacing w:line="304" w:lineRule="auto" w:before="61"/>
        <w:ind w:right="1126" w:firstLine="360"/>
        <w:jc w:val="both"/>
      </w:pPr>
      <w:r>
        <w:rPr>
          <w:spacing w:val="-2"/>
        </w:rPr>
        <w:t>姜锋先生于</w:t>
      </w:r>
      <w:r>
        <w:rPr>
          <w:rFonts w:ascii="Times New Roman" w:hAnsi="Times New Roman" w:cs="Times New Roman" w:eastAsia="Times New Roman" w:hint="default"/>
          <w:spacing w:val="-2"/>
        </w:rPr>
        <w:t>2016</w:t>
      </w:r>
      <w:r>
        <w:rPr>
          <w:spacing w:val="-2"/>
        </w:rPr>
        <w:t>年获得国务院政府特殊津贴，</w:t>
      </w:r>
      <w:r>
        <w:rPr>
          <w:rFonts w:ascii="Times New Roman" w:hAnsi="Times New Roman" w:cs="Times New Roman" w:eastAsia="Times New Roman" w:hint="default"/>
          <w:spacing w:val="-2"/>
        </w:rPr>
        <w:t>2015</w:t>
      </w:r>
      <w:r>
        <w:rPr>
          <w:spacing w:val="-2"/>
        </w:rPr>
        <w:t>年当选上海市领军人才，</w:t>
      </w:r>
      <w:r>
        <w:rPr>
          <w:rFonts w:ascii="Times New Roman" w:hAnsi="Times New Roman" w:cs="Times New Roman" w:eastAsia="Times New Roman" w:hint="default"/>
          <w:spacing w:val="-2"/>
        </w:rPr>
        <w:t>2010</w:t>
      </w:r>
      <w:r>
        <w:rPr>
          <w:spacing w:val="-2"/>
        </w:rPr>
        <w:t>年获得上海市劳动模范称号，</w:t>
      </w:r>
      <w:r>
        <w:rPr>
          <w:rFonts w:ascii="Times New Roman" w:hAnsi="Times New Roman" w:cs="Times New Roman" w:eastAsia="Times New Roman" w:hint="default"/>
          <w:spacing w:val="-2"/>
        </w:rPr>
        <w:t>2010</w:t>
      </w:r>
      <w:r>
        <w:rPr>
          <w:spacing w:val="-2"/>
        </w:rPr>
        <w:t>年当</w:t>
      </w:r>
      <w:r>
        <w:rPr/>
        <w:t> </w:t>
      </w:r>
      <w:r>
        <w:rPr>
          <w:spacing w:val="-2"/>
        </w:rPr>
        <w:t>选上海市优秀学科带头人，</w:t>
      </w:r>
      <w:r>
        <w:rPr>
          <w:rFonts w:ascii="Times New Roman" w:hAnsi="Times New Roman" w:cs="Times New Roman" w:eastAsia="Times New Roman" w:hint="default"/>
          <w:spacing w:val="-2"/>
        </w:rPr>
        <w:t>2007</w:t>
      </w:r>
      <w:r>
        <w:rPr>
          <w:spacing w:val="-2"/>
        </w:rPr>
        <w:t>年被评为徐汇区科技领军人才。近年来，在国内外学术期刊及会议上发表或录用学术论文十</w:t>
      </w:r>
      <w:r>
        <w:rPr>
          <w:spacing w:val="-63"/>
        </w:rPr>
        <w:t> </w:t>
      </w:r>
      <w:r>
        <w:rPr>
          <w:spacing w:val="-63"/>
        </w:rPr>
      </w:r>
      <w:r>
        <w:rPr>
          <w:spacing w:val="-2"/>
        </w:rPr>
        <w:t>余篇，编著书籍</w:t>
      </w:r>
      <w:r>
        <w:rPr>
          <w:rFonts w:ascii="Times New Roman" w:hAnsi="Times New Roman" w:cs="Times New Roman" w:eastAsia="Times New Roman" w:hint="default"/>
          <w:spacing w:val="-2"/>
        </w:rPr>
        <w:t>1</w:t>
      </w:r>
      <w:r>
        <w:rPr>
          <w:spacing w:val="-2"/>
        </w:rPr>
        <w:t>部，拥有发明专利</w:t>
      </w:r>
      <w:r>
        <w:rPr>
          <w:rFonts w:ascii="Times New Roman" w:hAnsi="Times New Roman" w:cs="Times New Roman" w:eastAsia="Times New Roman" w:hint="default"/>
          <w:spacing w:val="-2"/>
        </w:rPr>
        <w:t>3</w:t>
      </w:r>
      <w:r>
        <w:rPr>
          <w:spacing w:val="-2"/>
        </w:rPr>
        <w:t>项。姜锋先后主持和承担了多个国家和省部级的重大科技攻关项目，主持包括国家重点</w:t>
      </w:r>
      <w:r>
        <w:rPr>
          <w:spacing w:val="-64"/>
        </w:rPr>
        <w:t> </w:t>
      </w:r>
      <w:r>
        <w:rPr>
          <w:spacing w:val="-64"/>
        </w:rPr>
      </w:r>
      <w:r>
        <w:rPr>
          <w:spacing w:val="-2"/>
        </w:rPr>
        <w:t>研发计划</w:t>
      </w:r>
      <w:r>
        <w:rPr>
          <w:rFonts w:ascii="宋体" w:hAnsi="宋体" w:cs="宋体" w:eastAsia="宋体" w:hint="default"/>
          <w:spacing w:val="-2"/>
        </w:rPr>
        <w:t>-</w:t>
      </w:r>
      <w:r>
        <w:rPr>
          <w:spacing w:val="-2"/>
        </w:rPr>
        <w:t>“特大城市服务集成与治理技术研究与应用示范”和国家科技支撑计划重点项目</w:t>
      </w:r>
      <w:r>
        <w:rPr>
          <w:rFonts w:ascii="宋体" w:hAnsi="宋体" w:cs="宋体" w:eastAsia="宋体" w:hint="default"/>
          <w:spacing w:val="-2"/>
        </w:rPr>
        <w:t>-</w:t>
      </w:r>
      <w:r>
        <w:rPr>
          <w:spacing w:val="-2"/>
        </w:rPr>
        <w:t>“劳动保障公共服务业务和信息</w:t>
      </w:r>
      <w:r>
        <w:rPr>
          <w:spacing w:val="-63"/>
        </w:rPr>
        <w:t> </w:t>
      </w:r>
      <w:r>
        <w:rPr/>
        <w:t>技术体系关键技术研究及重大应用</w:t>
      </w:r>
      <w:r>
        <w:rPr>
          <w:spacing w:val="6"/>
        </w:rPr>
        <w:t> </w:t>
      </w:r>
      <w:r>
        <w:rPr/>
        <w:t>”等项目的研究，并先后</w:t>
      </w:r>
      <w:r>
        <w:rPr>
          <w:rFonts w:ascii="Times New Roman" w:hAnsi="Times New Roman" w:cs="Times New Roman" w:eastAsia="Times New Roman" w:hint="default"/>
        </w:rPr>
        <w:t>2</w:t>
      </w:r>
      <w:r>
        <w:rPr/>
        <w:t>次获得上海市科学技术进步一等奖和</w:t>
      </w:r>
      <w:r>
        <w:rPr>
          <w:rFonts w:ascii="Times New Roman" w:hAnsi="Times New Roman" w:cs="Times New Roman" w:eastAsia="Times New Roman" w:hint="default"/>
        </w:rPr>
        <w:t>1</w:t>
      </w:r>
      <w:r>
        <w:rPr/>
        <w:t>次上海市科学技术进步 三等奖。</w:t>
      </w:r>
    </w:p>
    <w:p>
      <w:pPr>
        <w:pStyle w:val="BodyText"/>
        <w:spacing w:line="309" w:lineRule="auto" w:before="68"/>
        <w:ind w:right="1130" w:firstLine="360"/>
        <w:jc w:val="both"/>
      </w:pPr>
      <w:r>
        <w:rPr>
          <w:rFonts w:ascii="宋体" w:hAnsi="宋体" w:cs="宋体" w:eastAsia="宋体" w:hint="default"/>
          <w:b/>
          <w:bCs/>
          <w:spacing w:val="-2"/>
        </w:rPr>
        <w:t>赵怀亮（独立董事）</w:t>
      </w:r>
      <w:r>
        <w:rPr>
          <w:spacing w:val="-2"/>
        </w:rPr>
        <w:t>，男，</w:t>
      </w:r>
      <w:r>
        <w:rPr>
          <w:rFonts w:ascii="Times New Roman" w:hAnsi="Times New Roman" w:cs="Times New Roman" w:eastAsia="Times New Roman" w:hint="default"/>
          <w:spacing w:val="-2"/>
        </w:rPr>
        <w:t>1964</w:t>
      </w:r>
      <w:r>
        <w:rPr>
          <w:spacing w:val="-2"/>
        </w:rPr>
        <w:t>年生，中国国籍，本科毕业于中国人民大学，中国政法大学经济法学硕士。现为北京德</w:t>
      </w:r>
      <w:r>
        <w:rPr/>
        <w:t> </w:t>
      </w:r>
      <w:r>
        <w:rPr>
          <w:spacing w:val="-5"/>
        </w:rPr>
        <w:t>恒律师事务所合伙人律师，现任河南羚锐制药股份有限公司独立董事、顾地科技股份有限公司的独立董事、本公司独立董事，</w:t>
      </w:r>
      <w:r>
        <w:rPr>
          <w:spacing w:val="-76"/>
        </w:rPr>
        <w:t> </w:t>
      </w:r>
      <w:r>
        <w:rPr>
          <w:spacing w:val="-76"/>
        </w:rPr>
      </w:r>
      <w:r>
        <w:rPr/>
        <w:t>兼任华金证券股份有限公司、山西证券股份有限公司的内核委员。</w:t>
      </w:r>
    </w:p>
    <w:p>
      <w:pPr>
        <w:pStyle w:val="BodyText"/>
        <w:spacing w:line="309" w:lineRule="auto" w:before="65"/>
        <w:ind w:right="1034" w:firstLine="360"/>
        <w:jc w:val="left"/>
      </w:pPr>
      <w:r>
        <w:rPr>
          <w:rFonts w:ascii="宋体" w:hAnsi="宋体" w:cs="宋体" w:eastAsia="宋体" w:hint="default"/>
          <w:b/>
          <w:bCs/>
          <w:spacing w:val="-2"/>
        </w:rPr>
        <w:t>麻志明（独立董事）</w:t>
      </w:r>
      <w:r>
        <w:rPr>
          <w:spacing w:val="-2"/>
        </w:rPr>
        <w:t>，男，</w:t>
      </w:r>
      <w:r>
        <w:rPr>
          <w:rFonts w:ascii="Times New Roman" w:hAnsi="Times New Roman" w:cs="Times New Roman" w:eastAsia="Times New Roman" w:hint="default"/>
          <w:spacing w:val="-2"/>
        </w:rPr>
        <w:t>1982</w:t>
      </w:r>
      <w:r>
        <w:rPr>
          <w:spacing w:val="-2"/>
        </w:rPr>
        <w:t>年生，中国国籍，毕业于北京大学获国际经济与贸易学士及硕士学位、香港科技大学获</w:t>
      </w:r>
      <w:r>
        <w:rPr/>
        <w:t> 会计博士学位。曾获得北京大学树仁学院教师奖，光华管理学院优秀课程奖等。现任北京大学光华管理学院会计系副教授、</w:t>
      </w:r>
      <w:r>
        <w:rPr>
          <w:spacing w:val="-83"/>
        </w:rPr>
        <w:t> </w:t>
      </w:r>
      <w:r>
        <w:rPr>
          <w:spacing w:val="-83"/>
        </w:rPr>
      </w:r>
      <w:r>
        <w:rPr/>
        <w:t>罗克佳华科技集团股份有限公司独立董事、本公司独立董事。</w:t>
      </w:r>
    </w:p>
    <w:p>
      <w:pPr>
        <w:pStyle w:val="BodyText"/>
        <w:spacing w:line="307" w:lineRule="auto" w:before="62"/>
        <w:ind w:right="1034" w:firstLine="360"/>
        <w:jc w:val="left"/>
      </w:pPr>
      <w:r>
        <w:rPr>
          <w:rFonts w:ascii="宋体" w:hAnsi="宋体" w:cs="宋体" w:eastAsia="宋体" w:hint="default"/>
          <w:b/>
          <w:bCs/>
          <w:spacing w:val="-2"/>
        </w:rPr>
        <w:t>刘功润（独立董事）</w:t>
      </w:r>
      <w:r>
        <w:rPr>
          <w:spacing w:val="-2"/>
        </w:rPr>
        <w:t>，男，</w:t>
      </w:r>
      <w:r>
        <w:rPr>
          <w:rFonts w:ascii="Times New Roman" w:hAnsi="Times New Roman" w:cs="Times New Roman" w:eastAsia="Times New Roman" w:hint="default"/>
          <w:spacing w:val="-2"/>
        </w:rPr>
        <w:t>1980</w:t>
      </w:r>
      <w:r>
        <w:rPr>
          <w:spacing w:val="-2"/>
        </w:rPr>
        <w:t>年生，中国国籍，中欧陆家嘴国际金融研究院院长助理、研究员，上海市支付清协会副</w:t>
      </w:r>
      <w:r>
        <w:rPr/>
        <w:t> 秘书长，中欧</w:t>
      </w:r>
      <w:r>
        <w:rPr>
          <w:rFonts w:ascii="Times New Roman" w:hAnsi="Times New Roman" w:cs="Times New Roman" w:eastAsia="Times New Roman" w:hint="default"/>
        </w:rPr>
        <w:t>FMBA</w:t>
      </w:r>
      <w:r>
        <w:rPr/>
        <w:t>金融俱乐部主席，陆家嘴绿色金融发展中心学术委员会秘书长，上海市徐汇区政协委员，中国法学会审 </w:t>
      </w:r>
      <w:r>
        <w:rPr>
          <w:spacing w:val="-2"/>
        </w:rPr>
        <w:t>判理论研究会金融审判理论专委会委员，上海现代服务业联合会金融科技专委会专家，上海浦东国际金融学会金融专家咨询</w:t>
      </w:r>
      <w:r>
        <w:rPr>
          <w:spacing w:val="-64"/>
        </w:rPr>
        <w:t> </w:t>
      </w:r>
      <w:r>
        <w:rPr>
          <w:spacing w:val="-64"/>
        </w:rPr>
      </w:r>
      <w:r>
        <w:rPr>
          <w:spacing w:val="-2"/>
        </w:rPr>
        <w:t>委员会特聘专家，上海财经大学上海国际金融中心研究院客座研究员，上海金融发展研究中心客座研究员，上海市湖南商会</w:t>
      </w:r>
      <w:r>
        <w:rPr>
          <w:spacing w:val="-63"/>
        </w:rPr>
        <w:t> </w:t>
      </w:r>
      <w:r>
        <w:rPr>
          <w:spacing w:val="-63"/>
        </w:rPr>
      </w:r>
      <w:r>
        <w:rPr>
          <w:spacing w:val="-2"/>
        </w:rPr>
        <w:t>专家智库委员会理事，上海市作家协会会员。刘功润先生毕业于复旦大学获法学博士学位，并在复旦大学国际关系与公共事</w:t>
      </w:r>
      <w:r>
        <w:rPr>
          <w:spacing w:val="-63"/>
        </w:rPr>
        <w:t> </w:t>
      </w:r>
      <w:r>
        <w:rPr>
          <w:spacing w:val="-63"/>
        </w:rPr>
      </w:r>
      <w:r>
        <w:rPr/>
        <w:t>务学院完成博士后科研工作；同时拥有复旦大学法学硕士学位，并在中欧国际工商学院攻读</w:t>
      </w:r>
      <w:r>
        <w:rPr>
          <w:rFonts w:ascii="Times New Roman" w:hAnsi="Times New Roman" w:cs="Times New Roman" w:eastAsia="Times New Roman" w:hint="default"/>
        </w:rPr>
        <w:t>FMBA</w:t>
      </w:r>
      <w:r>
        <w:rPr/>
        <w:t>金融工商管理硕士学位。</w:t>
      </w:r>
      <w:r>
        <w:rPr>
          <w:spacing w:val="-57"/>
        </w:rPr>
        <w:t> </w:t>
      </w:r>
      <w:r>
        <w:rPr>
          <w:spacing w:val="-57"/>
        </w:rPr>
      </w:r>
      <w:r>
        <w:rPr>
          <w:spacing w:val="-2"/>
        </w:rPr>
        <w:t>刘功润先生</w:t>
      </w:r>
      <w:r>
        <w:rPr>
          <w:rFonts w:ascii="Times New Roman" w:hAnsi="Times New Roman" w:cs="Times New Roman" w:eastAsia="Times New Roman" w:hint="default"/>
          <w:spacing w:val="-2"/>
        </w:rPr>
        <w:t>2006</w:t>
      </w:r>
      <w:r>
        <w:rPr>
          <w:spacing w:val="-2"/>
        </w:rPr>
        <w:t>年</w:t>
      </w:r>
      <w:r>
        <w:rPr>
          <w:rFonts w:ascii="Times New Roman" w:hAnsi="Times New Roman" w:cs="Times New Roman" w:eastAsia="Times New Roman" w:hint="default"/>
          <w:spacing w:val="-2"/>
        </w:rPr>
        <w:t>7</w:t>
      </w:r>
      <w:r>
        <w:rPr>
          <w:spacing w:val="-2"/>
        </w:rPr>
        <w:t>月至</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4</w:t>
      </w:r>
      <w:r>
        <w:rPr>
          <w:spacing w:val="-2"/>
        </w:rPr>
        <w:t>月任解放日报报业集团记者、编辑；</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4</w:t>
      </w:r>
      <w:r>
        <w:rPr>
          <w:spacing w:val="-2"/>
        </w:rPr>
        <w:t>月至</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4</w:t>
      </w:r>
      <w:r>
        <w:rPr>
          <w:spacing w:val="-2"/>
        </w:rPr>
        <w:t>月任解放日报社《支部生活》主编</w:t>
      </w:r>
      <w:r>
        <w:rPr>
          <w:spacing w:val="-51"/>
        </w:rPr>
        <w:t> </w:t>
      </w:r>
      <w:r>
        <w:rPr>
          <w:spacing w:val="-51"/>
        </w:rPr>
      </w:r>
      <w:r>
        <w:rPr/>
        <w:t>助理；</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4</w:t>
      </w:r>
      <w:r>
        <w:rPr/>
        <w:t>月至</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4</w:t>
      </w:r>
      <w:r>
        <w:rPr/>
        <w:t>月任新华社上海分社智库中心副主任；</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4</w:t>
      </w:r>
      <w:r>
        <w:rPr/>
        <w:t>月至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月任中国金融信息中心总经理助理、 智库中心总监；</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月起任中欧陆家嘴国际金融研究院院长助理、研究员。现任中欧陆家嘴国际金融研究院院长助理、</w:t>
      </w:r>
      <w:r>
        <w:rPr>
          <w:spacing w:val="-85"/>
        </w:rPr>
        <w:t> </w:t>
      </w:r>
      <w:r>
        <w:rPr>
          <w:spacing w:val="-85"/>
        </w:rPr>
      </w:r>
      <w:r>
        <w:rPr/>
        <w:t>研究员，本公司独立董事。</w:t>
      </w:r>
    </w:p>
    <w:p>
      <w:pPr>
        <w:spacing w:line="360" w:lineRule="auto" w:before="146"/>
        <w:ind w:left="513" w:right="0" w:firstLine="0"/>
        <w:jc w:val="left"/>
        <w:rPr>
          <w:rFonts w:ascii="宋体" w:hAnsi="宋体" w:cs="宋体" w:eastAsia="宋体" w:hint="default"/>
          <w:sz w:val="18"/>
          <w:szCs w:val="18"/>
        </w:rPr>
      </w:pPr>
      <w:r>
        <w:rPr>
          <w:rFonts w:ascii="宋体" w:hAnsi="宋体" w:cs="宋体" w:eastAsia="宋体" w:hint="default"/>
          <w:b/>
          <w:bCs/>
          <w:sz w:val="18"/>
          <w:szCs w:val="18"/>
        </w:rPr>
        <w:t>（二）监事会成员</w:t>
      </w:r>
      <w:r>
        <w:rPr>
          <w:rFonts w:ascii="宋体" w:hAnsi="宋体" w:cs="宋体" w:eastAsia="宋体" w:hint="default"/>
          <w:b/>
          <w:bCs/>
          <w:w w:val="99"/>
          <w:sz w:val="18"/>
          <w:szCs w:val="18"/>
        </w:rPr>
        <w:t> </w:t>
      </w:r>
      <w:r>
        <w:rPr>
          <w:rFonts w:ascii="宋体" w:hAnsi="宋体" w:cs="宋体" w:eastAsia="宋体" w:hint="default"/>
          <w:b/>
          <w:bCs/>
          <w:spacing w:val="-2"/>
          <w:sz w:val="18"/>
          <w:szCs w:val="18"/>
        </w:rPr>
        <w:t>贺原（监事会主席），</w:t>
      </w:r>
      <w:r>
        <w:rPr>
          <w:rFonts w:ascii="宋体" w:hAnsi="宋体" w:cs="宋体" w:eastAsia="宋体" w:hint="default"/>
          <w:spacing w:val="-2"/>
          <w:sz w:val="18"/>
          <w:szCs w:val="18"/>
        </w:rPr>
        <w:t>女，</w:t>
      </w:r>
      <w:r>
        <w:rPr>
          <w:rFonts w:ascii="Times New Roman" w:hAnsi="Times New Roman" w:cs="Times New Roman" w:eastAsia="Times New Roman" w:hint="default"/>
          <w:spacing w:val="-2"/>
          <w:sz w:val="18"/>
          <w:szCs w:val="18"/>
        </w:rPr>
        <w:t>1965</w:t>
      </w:r>
      <w:r>
        <w:rPr>
          <w:rFonts w:ascii="宋体" w:hAnsi="宋体" w:cs="宋体" w:eastAsia="宋体" w:hint="default"/>
          <w:spacing w:val="-2"/>
          <w:sz w:val="18"/>
          <w:szCs w:val="18"/>
        </w:rPr>
        <w:t>年生，中国国籍，于</w:t>
      </w:r>
      <w:r>
        <w:rPr>
          <w:rFonts w:ascii="Times New Roman" w:hAnsi="Times New Roman" w:cs="Times New Roman" w:eastAsia="Times New Roman" w:hint="default"/>
          <w:spacing w:val="-2"/>
          <w:sz w:val="18"/>
          <w:szCs w:val="18"/>
        </w:rPr>
        <w:t>1987</w:t>
      </w:r>
      <w:r>
        <w:rPr>
          <w:rFonts w:ascii="宋体" w:hAnsi="宋体" w:cs="宋体" w:eastAsia="宋体" w:hint="default"/>
          <w:spacing w:val="-2"/>
          <w:sz w:val="18"/>
          <w:szCs w:val="18"/>
        </w:rPr>
        <w:t>年毕业于中南政法学院法律专业获法学学士学位，中共党员。</w:t>
      </w:r>
    </w:p>
    <w:p>
      <w:pPr>
        <w:spacing w:after="0" w:line="36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right="1130"/>
        <w:jc w:val="both"/>
      </w:pPr>
      <w:r>
        <w:rPr>
          <w:spacing w:val="-2"/>
        </w:rPr>
        <w:t>贺原女士于</w:t>
      </w:r>
      <w:r>
        <w:rPr>
          <w:rFonts w:ascii="Times New Roman" w:hAnsi="Times New Roman" w:cs="Times New Roman" w:eastAsia="Times New Roman" w:hint="default"/>
          <w:spacing w:val="-2"/>
        </w:rPr>
        <w:t>2004</w:t>
      </w:r>
      <w:r>
        <w:rPr>
          <w:spacing w:val="-2"/>
        </w:rPr>
        <w:t>年至</w:t>
      </w:r>
      <w:r>
        <w:rPr>
          <w:rFonts w:ascii="宋体" w:hAnsi="宋体" w:cs="宋体" w:eastAsia="宋体" w:hint="default"/>
          <w:spacing w:val="-2"/>
        </w:rPr>
        <w:t>2009</w:t>
      </w:r>
      <w:r>
        <w:rPr>
          <w:spacing w:val="-2"/>
        </w:rPr>
        <w:t>年期间，先后担任中国人寿保险股份有限公司信息技术部规划处高级经理、电子商务部销售拓展处</w:t>
      </w:r>
      <w:r>
        <w:rPr>
          <w:spacing w:val="-60"/>
        </w:rPr>
        <w:t> </w:t>
      </w:r>
      <w:r>
        <w:rPr>
          <w:spacing w:val="-60"/>
        </w:rPr>
      </w:r>
      <w:r>
        <w:rPr>
          <w:spacing w:val="-2"/>
        </w:rPr>
        <w:t>高级经理。</w:t>
      </w:r>
      <w:r>
        <w:rPr>
          <w:rFonts w:ascii="Times New Roman" w:hAnsi="Times New Roman" w:cs="Times New Roman" w:eastAsia="Times New Roman" w:hint="default"/>
          <w:spacing w:val="-2"/>
        </w:rPr>
        <w:t>2009</w:t>
      </w:r>
      <w:r>
        <w:rPr>
          <w:spacing w:val="-2"/>
        </w:rPr>
        <w:t>年至</w:t>
      </w:r>
      <w:r>
        <w:rPr>
          <w:rFonts w:ascii="Times New Roman" w:hAnsi="Times New Roman" w:cs="Times New Roman" w:eastAsia="Times New Roman" w:hint="default"/>
          <w:spacing w:val="-2"/>
        </w:rPr>
        <w:t>2019</w:t>
      </w:r>
      <w:r>
        <w:rPr>
          <w:spacing w:val="-2"/>
        </w:rPr>
        <w:t>年期间，先后担任中国人寿保险股份有限公司电子商务部总经理助理、副总经理，教育培训部副总</w:t>
      </w:r>
      <w:r>
        <w:rPr>
          <w:spacing w:val="-59"/>
        </w:rPr>
        <w:t> </w:t>
      </w:r>
      <w:r>
        <w:rPr>
          <w:spacing w:val="-59"/>
        </w:rPr>
      </w:r>
      <w:r>
        <w:rPr/>
        <w:t>经理。自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月起任中国人寿保险股份有限公司培训部资深专员。现任公司监事会主席。</w:t>
      </w:r>
    </w:p>
    <w:p>
      <w:pPr>
        <w:pStyle w:val="BodyText"/>
        <w:spacing w:line="309" w:lineRule="auto" w:before="53"/>
        <w:ind w:right="1029" w:firstLine="360"/>
        <w:jc w:val="left"/>
      </w:pPr>
      <w:r>
        <w:rPr>
          <w:rFonts w:ascii="宋体" w:hAnsi="宋体" w:cs="宋体" w:eastAsia="宋体" w:hint="default"/>
          <w:b/>
          <w:bCs/>
        </w:rPr>
        <w:t>李成（监事），</w:t>
      </w:r>
      <w:r>
        <w:rPr/>
        <w:t>男，</w:t>
      </w:r>
      <w:r>
        <w:rPr>
          <w:rFonts w:ascii="Times New Roman" w:hAnsi="Times New Roman" w:cs="Times New Roman" w:eastAsia="Times New Roman" w:hint="default"/>
        </w:rPr>
        <w:t>1979</w:t>
      </w:r>
      <w:r>
        <w:rPr/>
        <w:t>年生，中国国籍，博士学位，教授，哥伦比亚大学访问学者。历任厦门大学会计系助理教授、 副教授、</w:t>
      </w:r>
      <w:r>
        <w:rPr>
          <w:rFonts w:ascii="Times New Roman" w:hAnsi="Times New Roman" w:cs="Times New Roman" w:eastAsia="Times New Roman" w:hint="default"/>
        </w:rPr>
        <w:t>MPAcc</w:t>
      </w:r>
      <w:r>
        <w:rPr/>
        <w:t>中心副主任、会计系副主任。现任厦门大学会计系教授（厦门市财政局挂职锻炼）、厦门狄耐克智能科技</w:t>
      </w:r>
      <w:r>
        <w:rPr>
          <w:spacing w:val="-18"/>
        </w:rPr>
        <w:t> </w:t>
      </w:r>
      <w:r>
        <w:rPr>
          <w:spacing w:val="-18"/>
        </w:rPr>
      </w:r>
      <w:r>
        <w:rPr>
          <w:spacing w:val="-2"/>
        </w:rPr>
        <w:t>股份有限公司独立董事、欣贺股份有限公司独立董事、杭州铁集货运股份有限公司独立董事、本公司监事。全国会计领军人</w:t>
      </w:r>
      <w:r>
        <w:rPr>
          <w:spacing w:val="-64"/>
        </w:rPr>
        <w:t> </w:t>
      </w:r>
      <w:r>
        <w:rPr>
          <w:spacing w:val="-64"/>
        </w:rPr>
      </w:r>
      <w:r>
        <w:rPr>
          <w:spacing w:val="-2"/>
        </w:rPr>
        <w:t>才（学术五期后备）、中国国际税收研究会学术委员（现任）、中国会计学会会员、福建省高新技术企业评审专家。现任公</w:t>
      </w:r>
      <w:r>
        <w:rPr>
          <w:spacing w:val="-68"/>
        </w:rPr>
        <w:t> </w:t>
      </w:r>
      <w:r>
        <w:rPr>
          <w:spacing w:val="-68"/>
        </w:rPr>
      </w:r>
      <w:r>
        <w:rPr/>
        <w:t>司监事。</w:t>
      </w:r>
    </w:p>
    <w:p>
      <w:pPr>
        <w:pStyle w:val="BodyText"/>
        <w:spacing w:line="309" w:lineRule="auto" w:before="62"/>
        <w:ind w:right="1128" w:firstLine="360"/>
        <w:jc w:val="both"/>
      </w:pPr>
      <w:r>
        <w:rPr>
          <w:rFonts w:ascii="宋体" w:hAnsi="宋体" w:cs="宋体" w:eastAsia="宋体" w:hint="default"/>
          <w:b/>
          <w:bCs/>
          <w:spacing w:val="-2"/>
        </w:rPr>
        <w:t>孟莉莉（监事）</w:t>
      </w:r>
      <w:r>
        <w:rPr>
          <w:spacing w:val="-2"/>
        </w:rPr>
        <w:t>，女，</w:t>
      </w:r>
      <w:r>
        <w:rPr>
          <w:rFonts w:ascii="Times New Roman" w:hAnsi="Times New Roman" w:cs="Times New Roman" w:eastAsia="Times New Roman" w:hint="default"/>
          <w:spacing w:val="-2"/>
        </w:rPr>
        <w:t>1971</w:t>
      </w:r>
      <w:r>
        <w:rPr>
          <w:spacing w:val="-2"/>
        </w:rPr>
        <w:t>年生，中国国籍，毕业于对外经济贸易大学获法学学士学位。曾任北京市中银律师事务所高</w:t>
      </w:r>
      <w:r>
        <w:rPr/>
        <w:t> </w:t>
      </w:r>
      <w:r>
        <w:rPr>
          <w:spacing w:val="-2"/>
        </w:rPr>
        <w:t>级合伙人。现任北京金诚同达律师事务所高级合伙人，兼任中石油昆仑燃气有限公司外部评审专家、北京市律师协会并购重</w:t>
      </w:r>
      <w:r>
        <w:rPr>
          <w:spacing w:val="-61"/>
        </w:rPr>
        <w:t> </w:t>
      </w:r>
      <w:r>
        <w:rPr>
          <w:spacing w:val="-61"/>
        </w:rPr>
      </w:r>
      <w:r>
        <w:rPr/>
        <w:t>组专业委员会委员。现任公司监事。</w:t>
      </w:r>
    </w:p>
    <w:p>
      <w:pPr>
        <w:pStyle w:val="BodyText"/>
        <w:spacing w:line="300" w:lineRule="auto" w:before="65"/>
        <w:ind w:right="1128" w:firstLine="360"/>
        <w:jc w:val="both"/>
      </w:pPr>
      <w:r>
        <w:rPr>
          <w:rFonts w:ascii="宋体" w:hAnsi="宋体" w:cs="宋体" w:eastAsia="宋体" w:hint="default"/>
          <w:b/>
          <w:bCs/>
          <w:spacing w:val="-5"/>
        </w:rPr>
        <w:t>曹蓉（职工监事），</w:t>
      </w:r>
      <w:r>
        <w:rPr>
          <w:spacing w:val="-5"/>
        </w:rPr>
        <w:t>女，</w:t>
      </w:r>
      <w:r>
        <w:rPr>
          <w:rFonts w:ascii="Times New Roman" w:hAnsi="Times New Roman" w:cs="Times New Roman" w:eastAsia="Times New Roman" w:hint="default"/>
          <w:spacing w:val="-5"/>
        </w:rPr>
        <w:t>1981</w:t>
      </w:r>
      <w:r>
        <w:rPr>
          <w:spacing w:val="-5"/>
        </w:rPr>
        <w:t>年生，中国国籍，硕士学位，高级经济师，中共党员。现任本公司党委办公室主任、监事、</w:t>
      </w:r>
      <w:r>
        <w:rPr/>
        <w:t> 人力资源部副总经理。</w:t>
      </w:r>
    </w:p>
    <w:p>
      <w:pPr>
        <w:pStyle w:val="BodyText"/>
        <w:spacing w:line="240" w:lineRule="auto" w:before="72"/>
        <w:ind w:left="513" w:right="0"/>
        <w:jc w:val="left"/>
      </w:pPr>
      <w:r>
        <w:rPr>
          <w:rFonts w:ascii="宋体" w:hAnsi="宋体" w:cs="宋体" w:eastAsia="宋体" w:hint="default"/>
          <w:b/>
          <w:bCs/>
        </w:rPr>
        <w:t>赵云柯（职工监事），</w:t>
      </w:r>
      <w:r>
        <w:rPr/>
        <w:t>男，</w:t>
      </w:r>
      <w:r>
        <w:rPr>
          <w:rFonts w:ascii="Times New Roman" w:hAnsi="Times New Roman" w:cs="Times New Roman" w:eastAsia="Times New Roman" w:hint="default"/>
        </w:rPr>
        <w:t>1988</w:t>
      </w:r>
      <w:r>
        <w:rPr/>
        <w:t>年生，中国国籍，学士学位，中共党员。现任本公司监事、行政办公室主任。</w:t>
      </w:r>
    </w:p>
    <w:p>
      <w:pPr>
        <w:spacing w:line="240" w:lineRule="auto" w:before="10"/>
        <w:rPr>
          <w:rFonts w:ascii="宋体" w:hAnsi="宋体" w:cs="宋体" w:eastAsia="宋体" w:hint="default"/>
          <w:sz w:val="13"/>
          <w:szCs w:val="13"/>
        </w:rPr>
      </w:pPr>
    </w:p>
    <w:p>
      <w:pPr>
        <w:spacing w:line="360" w:lineRule="auto" w:before="0"/>
        <w:ind w:left="513" w:right="6422" w:firstLine="0"/>
        <w:jc w:val="left"/>
        <w:rPr>
          <w:rFonts w:ascii="宋体" w:hAnsi="宋体" w:cs="宋体" w:eastAsia="宋体" w:hint="default"/>
          <w:sz w:val="18"/>
          <w:szCs w:val="18"/>
        </w:rPr>
      </w:pPr>
      <w:r>
        <w:rPr>
          <w:rFonts w:ascii="宋体" w:hAnsi="宋体" w:cs="宋体" w:eastAsia="宋体" w:hint="default"/>
          <w:b/>
          <w:bCs/>
          <w:sz w:val="18"/>
          <w:szCs w:val="18"/>
        </w:rPr>
        <w:t>（三）公司高级管理人员</w:t>
      </w:r>
      <w:r>
        <w:rPr>
          <w:rFonts w:ascii="宋体" w:hAnsi="宋体" w:cs="宋体" w:eastAsia="宋体" w:hint="default"/>
          <w:b/>
          <w:bCs/>
          <w:w w:val="99"/>
          <w:sz w:val="18"/>
          <w:szCs w:val="18"/>
        </w:rPr>
        <w:t> </w:t>
      </w:r>
      <w:r>
        <w:rPr>
          <w:rFonts w:ascii="宋体" w:hAnsi="宋体" w:cs="宋体" w:eastAsia="宋体" w:hint="default"/>
          <w:b/>
          <w:bCs/>
          <w:sz w:val="18"/>
          <w:szCs w:val="18"/>
        </w:rPr>
        <w:t>胡宏伟（总裁），</w:t>
      </w:r>
      <w:r>
        <w:rPr>
          <w:rFonts w:ascii="宋体" w:hAnsi="宋体" w:cs="宋体" w:eastAsia="宋体" w:hint="default"/>
          <w:sz w:val="18"/>
          <w:szCs w:val="18"/>
        </w:rPr>
        <w:t>简历同上。 </w:t>
      </w:r>
      <w:r>
        <w:rPr>
          <w:rFonts w:ascii="宋体" w:hAnsi="宋体" w:cs="宋体" w:eastAsia="宋体" w:hint="default"/>
          <w:b/>
          <w:bCs/>
          <w:sz w:val="18"/>
          <w:szCs w:val="18"/>
        </w:rPr>
        <w:t>李光亚（高级副总裁）</w:t>
      </w:r>
      <w:r>
        <w:rPr>
          <w:rFonts w:ascii="宋体" w:hAnsi="宋体" w:cs="宋体" w:eastAsia="宋体" w:hint="default"/>
          <w:sz w:val="18"/>
          <w:szCs w:val="18"/>
        </w:rPr>
        <w:t>，简历同上。 </w:t>
      </w:r>
      <w:r>
        <w:rPr>
          <w:rFonts w:ascii="宋体" w:hAnsi="宋体" w:cs="宋体" w:eastAsia="宋体" w:hint="default"/>
          <w:b/>
          <w:bCs/>
          <w:sz w:val="18"/>
          <w:szCs w:val="18"/>
        </w:rPr>
        <w:t>杨玲（高级副总裁）</w:t>
      </w:r>
      <w:r>
        <w:rPr>
          <w:rFonts w:ascii="宋体" w:hAnsi="宋体" w:cs="宋体" w:eastAsia="宋体" w:hint="default"/>
          <w:sz w:val="18"/>
          <w:szCs w:val="18"/>
        </w:rPr>
        <w:t>，简历同上。 </w:t>
      </w:r>
      <w:r>
        <w:rPr>
          <w:rFonts w:ascii="宋体" w:hAnsi="宋体" w:cs="宋体" w:eastAsia="宋体" w:hint="default"/>
          <w:b/>
          <w:bCs/>
          <w:sz w:val="18"/>
          <w:szCs w:val="18"/>
        </w:rPr>
        <w:t>姜锋（高级副总裁、代董事会秘书）</w:t>
      </w:r>
      <w:r>
        <w:rPr>
          <w:rFonts w:ascii="宋体" w:hAnsi="宋体" w:cs="宋体" w:eastAsia="宋体" w:hint="default"/>
          <w:sz w:val="18"/>
          <w:szCs w:val="18"/>
        </w:rPr>
        <w:t>，简历同上。</w:t>
      </w:r>
    </w:p>
    <w:p>
      <w:pPr>
        <w:pStyle w:val="BodyText"/>
        <w:spacing w:line="300" w:lineRule="auto" w:before="27"/>
        <w:ind w:right="1128" w:firstLine="360"/>
        <w:jc w:val="both"/>
      </w:pPr>
      <w:r>
        <w:rPr>
          <w:rFonts w:ascii="宋体" w:hAnsi="宋体" w:cs="宋体" w:eastAsia="宋体" w:hint="default"/>
          <w:b/>
          <w:bCs/>
        </w:rPr>
        <w:t>朱泓旭（高级副总裁）</w:t>
      </w:r>
      <w:r>
        <w:rPr/>
        <w:t>，男，</w:t>
      </w:r>
      <w:r>
        <w:rPr>
          <w:rFonts w:ascii="宋体" w:hAnsi="宋体" w:cs="宋体" w:eastAsia="宋体" w:hint="default"/>
        </w:rPr>
        <w:t>1970</w:t>
      </w:r>
      <w:r>
        <w:rPr/>
        <w:t>年生，大学本科学历，中共党员。朱泓旭先生于</w:t>
      </w:r>
      <w:r>
        <w:rPr>
          <w:rFonts w:ascii="Times New Roman" w:hAnsi="Times New Roman" w:cs="Times New Roman" w:eastAsia="Times New Roman" w:hint="default"/>
        </w:rPr>
        <w:t>1994</w:t>
      </w:r>
      <w:r>
        <w:rPr/>
        <w:t>年</w:t>
      </w:r>
      <w:r>
        <w:rPr>
          <w:rFonts w:ascii="Times New Roman" w:hAnsi="Times New Roman" w:cs="Times New Roman" w:eastAsia="Times New Roman" w:hint="default"/>
        </w:rPr>
        <w:t>8</w:t>
      </w:r>
      <w:r>
        <w:rPr/>
        <w:t>月参加工作，</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2</w:t>
      </w:r>
      <w:r>
        <w:rPr/>
        <w:t>月加</w:t>
      </w:r>
      <w:r>
        <w:rPr>
          <w:spacing w:val="2"/>
        </w:rPr>
        <w:t> </w:t>
      </w:r>
      <w:r>
        <w:rPr/>
        <w:t>入中国人寿保险股份有限公司，</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月任办公室主任助理，</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10</w:t>
      </w:r>
      <w:r>
        <w:rPr/>
        <w:t>月任办公室副主任，</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11</w:t>
      </w:r>
      <w:r>
        <w:rPr/>
        <w:t>月任青岛市分公司党 委委员、副总经理，</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w:t>
      </w:r>
      <w:r>
        <w:rPr/>
        <w:t>月起任健康保险事业部副总经理。现任本公司高级副总裁。</w:t>
      </w:r>
    </w:p>
    <w:p>
      <w:pPr>
        <w:pStyle w:val="BodyText"/>
        <w:spacing w:line="300" w:lineRule="auto" w:before="54"/>
        <w:ind w:right="1129" w:firstLine="360"/>
        <w:jc w:val="both"/>
      </w:pPr>
      <w:r>
        <w:rPr>
          <w:rFonts w:ascii="宋体" w:hAnsi="宋体" w:cs="宋体" w:eastAsia="宋体" w:hint="default"/>
          <w:b/>
          <w:bCs/>
          <w:spacing w:val="-2"/>
        </w:rPr>
        <w:t>申龙（高级副总裁）</w:t>
      </w:r>
      <w:r>
        <w:rPr>
          <w:spacing w:val="-2"/>
        </w:rPr>
        <w:t>，男，</w:t>
      </w:r>
      <w:r>
        <w:rPr>
          <w:rFonts w:ascii="Times New Roman" w:hAnsi="Times New Roman" w:cs="Times New Roman" w:eastAsia="Times New Roman" w:hint="default"/>
          <w:spacing w:val="-2"/>
        </w:rPr>
        <w:t>1964</w:t>
      </w:r>
      <w:r>
        <w:rPr>
          <w:spacing w:val="-2"/>
        </w:rPr>
        <w:t>年生，大学本科学历，高级经济师。申龙先生于</w:t>
      </w:r>
      <w:r>
        <w:rPr>
          <w:rFonts w:ascii="Times New Roman" w:hAnsi="Times New Roman" w:cs="Times New Roman" w:eastAsia="Times New Roman" w:hint="default"/>
          <w:spacing w:val="-2"/>
        </w:rPr>
        <w:t>1982</w:t>
      </w:r>
      <w:r>
        <w:rPr>
          <w:spacing w:val="-2"/>
        </w:rPr>
        <w:t>年至</w:t>
      </w:r>
      <w:r>
        <w:rPr>
          <w:rFonts w:ascii="Times New Roman" w:hAnsi="Times New Roman" w:cs="Times New Roman" w:eastAsia="Times New Roman" w:hint="default"/>
          <w:spacing w:val="-2"/>
        </w:rPr>
        <w:t>1996</w:t>
      </w:r>
      <w:r>
        <w:rPr>
          <w:spacing w:val="-2"/>
        </w:rPr>
        <w:t>年期间，先后担任中国人</w:t>
      </w:r>
      <w:r>
        <w:rPr/>
        <w:t> </w:t>
      </w:r>
      <w:r>
        <w:rPr>
          <w:spacing w:val="-2"/>
        </w:rPr>
        <w:t>保浙江省分公司计划财务科会计、基建办出纳、稽核审计处审计员。</w:t>
      </w:r>
      <w:r>
        <w:rPr>
          <w:rFonts w:ascii="Times New Roman" w:hAnsi="Times New Roman" w:cs="Times New Roman" w:eastAsia="Times New Roman" w:hint="default"/>
          <w:spacing w:val="-2"/>
        </w:rPr>
        <w:t>1996</w:t>
      </w:r>
      <w:r>
        <w:rPr>
          <w:spacing w:val="-2"/>
        </w:rPr>
        <w:t>年至</w:t>
      </w:r>
      <w:r>
        <w:rPr>
          <w:rFonts w:ascii="Times New Roman" w:hAnsi="Times New Roman" w:cs="Times New Roman" w:eastAsia="Times New Roman" w:hint="default"/>
          <w:spacing w:val="-2"/>
        </w:rPr>
        <w:t>1999</w:t>
      </w:r>
      <w:r>
        <w:rPr>
          <w:spacing w:val="-2"/>
        </w:rPr>
        <w:t>年期间，先后担任中保人寿浙江省分公司</w:t>
      </w:r>
      <w:r>
        <w:rPr>
          <w:spacing w:val="-57"/>
        </w:rPr>
        <w:t> </w:t>
      </w:r>
      <w:r>
        <w:rPr>
          <w:spacing w:val="-57"/>
        </w:rPr>
      </w:r>
      <w:r>
        <w:rPr>
          <w:spacing w:val="-2"/>
        </w:rPr>
        <w:t>稽核审计处审计员、计财处副主任科员。</w:t>
      </w:r>
      <w:r>
        <w:rPr>
          <w:rFonts w:ascii="Times New Roman" w:hAnsi="Times New Roman" w:cs="Times New Roman" w:eastAsia="Times New Roman" w:hint="default"/>
          <w:spacing w:val="-2"/>
        </w:rPr>
        <w:t>1999</w:t>
      </w:r>
      <w:r>
        <w:rPr>
          <w:spacing w:val="-2"/>
        </w:rPr>
        <w:t>年至</w:t>
      </w:r>
      <w:r>
        <w:rPr>
          <w:rFonts w:ascii="Times New Roman" w:hAnsi="Times New Roman" w:cs="Times New Roman" w:eastAsia="Times New Roman" w:hint="default"/>
          <w:spacing w:val="-2"/>
        </w:rPr>
        <w:t>2002</w:t>
      </w:r>
      <w:r>
        <w:rPr>
          <w:spacing w:val="-2"/>
        </w:rPr>
        <w:t>年期间，先后担任中国人寿浙江省分公司稽核处副主任科员、主任科</w:t>
      </w:r>
      <w:r>
        <w:rPr>
          <w:spacing w:val="-59"/>
        </w:rPr>
        <w:t> </w:t>
      </w:r>
      <w:r>
        <w:rPr>
          <w:spacing w:val="-59"/>
        </w:rPr>
      </w:r>
      <w:r>
        <w:rPr>
          <w:spacing w:val="-2"/>
        </w:rPr>
        <w:t>员、稽核部经理助理。</w:t>
      </w:r>
      <w:r>
        <w:rPr>
          <w:rFonts w:ascii="Times New Roman" w:hAnsi="Times New Roman" w:cs="Times New Roman" w:eastAsia="Times New Roman" w:hint="default"/>
          <w:spacing w:val="-2"/>
        </w:rPr>
        <w:t>2002</w:t>
      </w:r>
      <w:r>
        <w:rPr>
          <w:spacing w:val="-2"/>
        </w:rPr>
        <w:t>年至</w:t>
      </w:r>
      <w:r>
        <w:rPr>
          <w:rFonts w:ascii="Times New Roman" w:hAnsi="Times New Roman" w:cs="Times New Roman" w:eastAsia="Times New Roman" w:hint="default"/>
          <w:spacing w:val="-2"/>
        </w:rPr>
        <w:t>2005</w:t>
      </w:r>
      <w:r>
        <w:rPr>
          <w:spacing w:val="-2"/>
        </w:rPr>
        <w:t>年，担任中国人寿温州分公司总经理助理。</w:t>
      </w:r>
      <w:r>
        <w:rPr>
          <w:rFonts w:ascii="Times New Roman" w:hAnsi="Times New Roman" w:cs="Times New Roman" w:eastAsia="Times New Roman" w:hint="default"/>
          <w:spacing w:val="-2"/>
        </w:rPr>
        <w:t>2005</w:t>
      </w:r>
      <w:r>
        <w:rPr>
          <w:spacing w:val="-2"/>
        </w:rPr>
        <w:t>年至</w:t>
      </w:r>
      <w:r>
        <w:rPr>
          <w:rFonts w:ascii="Times New Roman" w:hAnsi="Times New Roman" w:cs="Times New Roman" w:eastAsia="Times New Roman" w:hint="default"/>
          <w:spacing w:val="-2"/>
        </w:rPr>
        <w:t>2008</w:t>
      </w:r>
      <w:r>
        <w:rPr>
          <w:spacing w:val="-2"/>
        </w:rPr>
        <w:t>年，担任中国人寿浙江省分公</w:t>
      </w:r>
      <w:r>
        <w:rPr>
          <w:spacing w:val="-55"/>
        </w:rPr>
        <w:t> </w:t>
      </w:r>
      <w:r>
        <w:rPr>
          <w:spacing w:val="-55"/>
        </w:rPr>
      </w:r>
      <w:r>
        <w:rPr/>
        <w:t>司审计办公室主任。</w:t>
      </w:r>
      <w:r>
        <w:rPr>
          <w:rFonts w:ascii="Times New Roman" w:hAnsi="Times New Roman" w:cs="Times New Roman" w:eastAsia="Times New Roman" w:hint="default"/>
        </w:rPr>
        <w:t>2008</w:t>
      </w:r>
      <w:r>
        <w:rPr/>
        <w:t>年至</w:t>
      </w:r>
      <w:r>
        <w:rPr>
          <w:rFonts w:ascii="Times New Roman" w:hAnsi="Times New Roman" w:cs="Times New Roman" w:eastAsia="Times New Roman" w:hint="default"/>
        </w:rPr>
        <w:t>2013</w:t>
      </w:r>
      <w:r>
        <w:rPr/>
        <w:t>年，担任中国人寿保险股份有限公司上海区域审计中心经济责任审计处高级经理。</w:t>
      </w:r>
      <w:r>
        <w:rPr>
          <w:rFonts w:ascii="Times New Roman" w:hAnsi="Times New Roman" w:cs="Times New Roman" w:eastAsia="Times New Roman" w:hint="default"/>
        </w:rPr>
        <w:t>2013</w:t>
      </w:r>
      <w:r>
        <w:rPr>
          <w:rFonts w:ascii="Times New Roman" w:hAnsi="Times New Roman" w:cs="Times New Roman" w:eastAsia="Times New Roman" w:hint="default"/>
          <w:spacing w:val="40"/>
        </w:rPr>
        <w:t> </w:t>
      </w:r>
      <w:r>
        <w:rPr>
          <w:rFonts w:ascii="Times New Roman" w:hAnsi="Times New Roman" w:cs="Times New Roman" w:eastAsia="Times New Roman" w:hint="default"/>
          <w:spacing w:val="40"/>
        </w:rPr>
      </w:r>
      <w:r>
        <w:rPr>
          <w:spacing w:val="-2"/>
        </w:rPr>
        <w:t>年至</w:t>
      </w:r>
      <w:r>
        <w:rPr>
          <w:rFonts w:ascii="Times New Roman" w:hAnsi="Times New Roman" w:cs="Times New Roman" w:eastAsia="Times New Roman" w:hint="default"/>
          <w:spacing w:val="-2"/>
        </w:rPr>
        <w:t>2017</w:t>
      </w:r>
      <w:r>
        <w:rPr>
          <w:spacing w:val="-2"/>
        </w:rPr>
        <w:t>年，担任中国人寿上海区域审计中心审计一处高级经理。</w:t>
      </w:r>
      <w:r>
        <w:rPr>
          <w:rFonts w:ascii="Times New Roman" w:hAnsi="Times New Roman" w:cs="Times New Roman" w:eastAsia="Times New Roman" w:hint="default"/>
          <w:spacing w:val="-2"/>
        </w:rPr>
        <w:t>2017</w:t>
      </w:r>
      <w:r>
        <w:rPr>
          <w:spacing w:val="-2"/>
        </w:rPr>
        <w:t>年起担任中国人寿深圳区域审计中心党委委员、总经</w:t>
      </w:r>
      <w:r>
        <w:rPr>
          <w:spacing w:val="-58"/>
        </w:rPr>
        <w:t> </w:t>
      </w:r>
      <w:r>
        <w:rPr>
          <w:spacing w:val="-58"/>
        </w:rPr>
      </w:r>
      <w:r>
        <w:rPr/>
        <w:t>理助理。现任本公司高级副总裁、审计部负责人。</w:t>
      </w:r>
    </w:p>
    <w:p>
      <w:pPr>
        <w:pStyle w:val="BodyText"/>
        <w:spacing w:line="300" w:lineRule="auto" w:before="70"/>
        <w:ind w:right="1034" w:firstLine="360"/>
        <w:jc w:val="left"/>
      </w:pPr>
      <w:r>
        <w:rPr>
          <w:rFonts w:ascii="宋体" w:hAnsi="宋体" w:cs="宋体" w:eastAsia="宋体" w:hint="default"/>
          <w:b/>
          <w:bCs/>
        </w:rPr>
        <w:t>陈丽娜（高级副总裁、财务总监）</w:t>
      </w:r>
      <w:r>
        <w:rPr/>
        <w:t>，女，</w:t>
      </w:r>
      <w:r>
        <w:rPr>
          <w:rFonts w:ascii="Times New Roman" w:hAnsi="Times New Roman" w:cs="Times New Roman" w:eastAsia="Times New Roman" w:hint="default"/>
        </w:rPr>
        <w:t>1981</w:t>
      </w:r>
      <w:r>
        <w:rPr/>
        <w:t>年生，中国国籍，于</w:t>
      </w:r>
      <w:r>
        <w:rPr>
          <w:rFonts w:ascii="Times New Roman" w:hAnsi="Times New Roman" w:cs="Times New Roman" w:eastAsia="Times New Roman" w:hint="default"/>
        </w:rPr>
        <w:t>2003</w:t>
      </w:r>
      <w:r>
        <w:rPr/>
        <w:t>年毕业于西安财经学院获经济学学士学位，于 </w:t>
      </w:r>
      <w:r>
        <w:rPr>
          <w:rFonts w:ascii="Times New Roman" w:hAnsi="Times New Roman" w:cs="Times New Roman" w:eastAsia="Times New Roman" w:hint="default"/>
        </w:rPr>
        <w:t>2012</w:t>
      </w:r>
      <w:r>
        <w:rPr/>
        <w:t>年毕业于上海财经大学获</w:t>
      </w:r>
      <w:r>
        <w:rPr>
          <w:rFonts w:ascii="Times New Roman" w:hAnsi="Times New Roman" w:cs="Times New Roman" w:eastAsia="Times New Roman" w:hint="default"/>
        </w:rPr>
        <w:t>MBA</w:t>
      </w:r>
      <w:r>
        <w:rPr/>
        <w:t>学位，中共党员。陈丽娜女士于</w:t>
      </w:r>
      <w:r>
        <w:rPr>
          <w:rFonts w:ascii="Times New Roman" w:hAnsi="Times New Roman" w:cs="Times New Roman" w:eastAsia="Times New Roman" w:hint="default"/>
        </w:rPr>
        <w:t>2003</w:t>
      </w:r>
      <w:r>
        <w:rPr/>
        <w:t>年至</w:t>
      </w:r>
      <w:r>
        <w:rPr>
          <w:rFonts w:ascii="Times New Roman" w:hAnsi="Times New Roman" w:cs="Times New Roman" w:eastAsia="Times New Roman" w:hint="default"/>
        </w:rPr>
        <w:t>2004</w:t>
      </w:r>
      <w:r>
        <w:rPr/>
        <w:t>年，担任广发银行广州分行资金部统计资</w:t>
      </w:r>
      <w:r>
        <w:rPr>
          <w:spacing w:val="-50"/>
        </w:rPr>
        <w:t> </w:t>
      </w:r>
      <w:r>
        <w:rPr>
          <w:spacing w:val="-50"/>
        </w:rPr>
      </w:r>
      <w:r>
        <w:rPr/>
        <w:t>金岗。</w:t>
      </w:r>
      <w:r>
        <w:rPr>
          <w:rFonts w:ascii="Times New Roman" w:hAnsi="Times New Roman" w:cs="Times New Roman" w:eastAsia="Times New Roman" w:hint="default"/>
        </w:rPr>
        <w:t>2004</w:t>
      </w:r>
      <w:r>
        <w:rPr/>
        <w:t>年至</w:t>
      </w:r>
      <w:r>
        <w:rPr>
          <w:rFonts w:ascii="Times New Roman" w:hAnsi="Times New Roman" w:cs="Times New Roman" w:eastAsia="Times New Roman" w:hint="default"/>
        </w:rPr>
        <w:t>2013</w:t>
      </w:r>
      <w:r>
        <w:rPr/>
        <w:t>年期间，先后担任广发银行总行资金部统计分析岗、计划财务部计划与资产负债处计划及资产负债岗、</w:t>
      </w:r>
      <w:r>
        <w:rPr>
          <w:spacing w:val="-85"/>
        </w:rPr>
        <w:t> </w:t>
      </w:r>
      <w:r>
        <w:rPr>
          <w:spacing w:val="-85"/>
        </w:rPr>
      </w:r>
      <w:r>
        <w:rPr>
          <w:spacing w:val="-2"/>
        </w:rPr>
        <w:t>计划财务部预算管理处高级经理、计划财务部信息服务处主管。自</w:t>
      </w:r>
      <w:r>
        <w:rPr>
          <w:rFonts w:ascii="Times New Roman" w:hAnsi="Times New Roman" w:cs="Times New Roman" w:eastAsia="Times New Roman" w:hint="default"/>
          <w:spacing w:val="-2"/>
        </w:rPr>
        <w:t>2014</w:t>
      </w:r>
      <w:r>
        <w:rPr>
          <w:spacing w:val="-2"/>
        </w:rPr>
        <w:t>年起担任广发银行上海分行计划财务部总经理（其中</w:t>
      </w:r>
      <w:r>
        <w:rPr>
          <w:spacing w:val="-60"/>
        </w:rPr>
        <w:t> </w:t>
      </w:r>
      <w:r>
        <w:rPr>
          <w:spacing w:val="-60"/>
        </w:rPr>
      </w:r>
      <w:r>
        <w:rPr>
          <w:rFonts w:ascii="Times New Roman" w:hAnsi="Times New Roman" w:cs="Times New Roman" w:eastAsia="Times New Roman" w:hint="default"/>
        </w:rPr>
        <w:t>2014</w:t>
      </w:r>
      <w:r>
        <w:rPr/>
        <w:t>年至</w:t>
      </w:r>
      <w:r>
        <w:rPr>
          <w:rFonts w:ascii="Times New Roman" w:hAnsi="Times New Roman" w:cs="Times New Roman" w:eastAsia="Times New Roman" w:hint="default"/>
        </w:rPr>
        <w:t>2015</w:t>
      </w:r>
      <w:r>
        <w:rPr/>
        <w:t>年兼任广发银行上海分行静安支行行长）。</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月跨司挂职中国人寿保险股份有限公司上海分公司拟任总</w:t>
      </w:r>
      <w:r>
        <w:rPr>
          <w:spacing w:val="-87"/>
        </w:rPr>
        <w:t> </w:t>
      </w:r>
      <w:r>
        <w:rPr>
          <w:spacing w:val="-87"/>
        </w:rPr>
      </w:r>
      <w:r>
        <w:rPr/>
        <w:t>经理助理。</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10</w:t>
      </w:r>
      <w:r>
        <w:rPr/>
        <w:t>月加入公司，任公司财务总监。现任本公司高级副总裁兼财务总监。</w:t>
      </w:r>
    </w:p>
    <w:p>
      <w:pPr>
        <w:pStyle w:val="BodyText"/>
        <w:spacing w:line="300" w:lineRule="auto" w:before="53"/>
        <w:ind w:right="1130" w:firstLine="360"/>
        <w:jc w:val="both"/>
      </w:pPr>
      <w:r>
        <w:rPr>
          <w:rFonts w:ascii="宋体" w:hAnsi="宋体" w:cs="宋体" w:eastAsia="宋体" w:hint="default"/>
          <w:b/>
          <w:bCs/>
        </w:rPr>
        <w:t>刘长松（高级副总裁）</w:t>
      </w:r>
      <w:r>
        <w:rPr/>
        <w:t>，男，</w:t>
      </w:r>
      <w:r>
        <w:rPr>
          <w:rFonts w:ascii="Times New Roman" w:hAnsi="Times New Roman" w:cs="Times New Roman" w:eastAsia="Times New Roman" w:hint="default"/>
        </w:rPr>
        <w:t>1979</w:t>
      </w:r>
      <w:r>
        <w:rPr/>
        <w:t>年生，中国国籍，</w:t>
      </w:r>
      <w:r>
        <w:rPr>
          <w:rFonts w:ascii="Times New Roman" w:hAnsi="Times New Roman" w:cs="Times New Roman" w:eastAsia="Times New Roman" w:hint="default"/>
        </w:rPr>
        <w:t>2002</w:t>
      </w:r>
      <w:r>
        <w:rPr/>
        <w:t>年毕业于南京政治学院军事新闻系获文学学士学位，中共党 员。刘长松先生于</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7</w:t>
      </w:r>
      <w:r>
        <w:rPr/>
        <w:t>月至</w:t>
      </w:r>
      <w:r>
        <w:rPr>
          <w:rFonts w:ascii="宋体" w:hAnsi="宋体" w:cs="宋体" w:eastAsia="宋体" w:hint="default"/>
        </w:rPr>
        <w:t>2007</w:t>
      </w:r>
      <w:r>
        <w:rPr/>
        <w:t>年</w:t>
      </w:r>
      <w:r>
        <w:rPr>
          <w:rFonts w:ascii="宋体" w:hAnsi="宋体" w:cs="宋体" w:eastAsia="宋体" w:hint="default"/>
        </w:rPr>
        <w:t>11</w:t>
      </w:r>
      <w:r>
        <w:rPr/>
        <w:t>月期间，先后担任军事医学科学院野战输血研究所政治部见习、副连职干事、正连</w:t>
      </w:r>
      <w:r>
        <w:rPr>
          <w:spacing w:val="-86"/>
        </w:rPr>
        <w:t> </w:t>
      </w:r>
      <w:r>
        <w:rPr>
          <w:spacing w:val="-86"/>
        </w:rPr>
      </w:r>
      <w:r>
        <w:rPr>
          <w:spacing w:val="-5"/>
        </w:rPr>
        <w:t>职干事。</w:t>
      </w:r>
      <w:r>
        <w:rPr>
          <w:rFonts w:ascii="Times New Roman" w:hAnsi="Times New Roman" w:cs="Times New Roman" w:eastAsia="Times New Roman" w:hint="default"/>
          <w:spacing w:val="-5"/>
        </w:rPr>
        <w:t>2007</w:t>
      </w:r>
      <w:r>
        <w:rPr>
          <w:spacing w:val="-5"/>
        </w:rPr>
        <w:t>年</w:t>
      </w:r>
      <w:r>
        <w:rPr>
          <w:rFonts w:ascii="Times New Roman" w:hAnsi="Times New Roman" w:cs="Times New Roman" w:eastAsia="Times New Roman" w:hint="default"/>
          <w:spacing w:val="-5"/>
        </w:rPr>
        <w:t>11</w:t>
      </w:r>
      <w:r>
        <w:rPr>
          <w:spacing w:val="-5"/>
        </w:rPr>
        <w:t>月至</w:t>
      </w:r>
      <w:r>
        <w:rPr>
          <w:rFonts w:ascii="Times New Roman" w:hAnsi="Times New Roman" w:cs="Times New Roman" w:eastAsia="Times New Roman" w:hint="default"/>
          <w:spacing w:val="-5"/>
        </w:rPr>
        <w:t>2015</w:t>
      </w:r>
      <w:r>
        <w:rPr>
          <w:spacing w:val="-5"/>
        </w:rPr>
        <w:t>年</w:t>
      </w:r>
      <w:r>
        <w:rPr>
          <w:rFonts w:ascii="Times New Roman" w:hAnsi="Times New Roman" w:cs="Times New Roman" w:eastAsia="Times New Roman" w:hint="default"/>
          <w:spacing w:val="-5"/>
        </w:rPr>
        <w:t>9</w:t>
      </w:r>
      <w:r>
        <w:rPr>
          <w:spacing w:val="-5"/>
        </w:rPr>
        <w:t>月期间，先后在中组部机关事务管理局、全国组织干部学院、组织一局任职。</w:t>
      </w:r>
      <w:r>
        <w:rPr>
          <w:rFonts w:ascii="Times New Roman" w:hAnsi="Times New Roman" w:cs="Times New Roman" w:eastAsia="Times New Roman" w:hint="default"/>
          <w:spacing w:val="-5"/>
        </w:rPr>
        <w:t>2015</w:t>
      </w:r>
      <w:r>
        <w:rPr>
          <w:spacing w:val="-5"/>
        </w:rPr>
        <w:t>年</w:t>
      </w:r>
      <w:r>
        <w:rPr>
          <w:rFonts w:ascii="Times New Roman" w:hAnsi="Times New Roman" w:cs="Times New Roman" w:eastAsia="Times New Roman" w:hint="default"/>
          <w:spacing w:val="-5"/>
        </w:rPr>
        <w:t>9</w:t>
      </w:r>
      <w:r>
        <w:rPr>
          <w:spacing w:val="-5"/>
        </w:rPr>
        <w:t>月至</w:t>
      </w:r>
      <w:r>
        <w:rPr>
          <w:rFonts w:ascii="Times New Roman" w:hAnsi="Times New Roman" w:cs="Times New Roman" w:eastAsia="Times New Roman" w:hint="default"/>
          <w:spacing w:val="-5"/>
        </w:rPr>
        <w:t>2019</w:t>
      </w:r>
      <w:r>
        <w:rPr>
          <w:rFonts w:ascii="Times New Roman" w:hAnsi="Times New Roman" w:cs="Times New Roman" w:eastAsia="Times New Roman" w:hint="default"/>
          <w:spacing w:val="11"/>
        </w:rPr>
        <w:t> </w:t>
      </w:r>
      <w:r>
        <w:rPr>
          <w:rFonts w:ascii="Times New Roman" w:hAnsi="Times New Roman" w:cs="Times New Roman" w:eastAsia="Times New Roman" w:hint="default"/>
          <w:spacing w:val="11"/>
        </w:rPr>
      </w:r>
      <w:r>
        <w:rPr/>
        <w:t>年</w:t>
      </w:r>
      <w:r>
        <w:rPr>
          <w:rFonts w:ascii="Times New Roman" w:hAnsi="Times New Roman" w:cs="Times New Roman" w:eastAsia="Times New Roman" w:hint="default"/>
        </w:rPr>
        <w:t>8</w:t>
      </w:r>
      <w:r>
        <w:rPr/>
        <w:t>月期间，先后担任深圳市太平投资有限公司、太平投资控股有限公司下属股权投资部、医疗健康投资部、不动产投资部</w:t>
      </w:r>
      <w:r>
        <w:rPr>
          <w:spacing w:val="-84"/>
        </w:rPr>
        <w:t> </w:t>
      </w:r>
      <w:r>
        <w:rPr>
          <w:spacing w:val="-84"/>
        </w:rPr>
      </w:r>
      <w:r>
        <w:rPr>
          <w:spacing w:val="-2"/>
        </w:rPr>
        <w:t>副总经理、总经理（其中</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7</w:t>
      </w:r>
      <w:r>
        <w:rPr>
          <w:spacing w:val="-2"/>
        </w:rPr>
        <w:t>月至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8</w:t>
      </w:r>
      <w:r>
        <w:rPr>
          <w:spacing w:val="-2"/>
        </w:rPr>
        <w:t>月期间，同时兼任杭州太平实业发展有限公司总经理）。现任本公司高级副总</w:t>
      </w:r>
      <w:r>
        <w:rPr>
          <w:spacing w:val="-61"/>
        </w:rPr>
        <w:t> </w:t>
      </w:r>
      <w:r>
        <w:rPr>
          <w:spacing w:val="-61"/>
        </w:rPr>
      </w:r>
      <w:r>
        <w:rPr/>
        <w:t>裁。</w:t>
      </w:r>
    </w:p>
    <w:p>
      <w:pPr>
        <w:pStyle w:val="BodyText"/>
        <w:spacing w:line="240" w:lineRule="auto" w:before="72"/>
        <w:ind w:left="513" w:right="0"/>
        <w:jc w:val="left"/>
      </w:pPr>
      <w:r>
        <w:rPr>
          <w:rFonts w:ascii="宋体" w:hAnsi="宋体" w:cs="宋体" w:eastAsia="宋体" w:hint="default"/>
          <w:b/>
          <w:bCs/>
        </w:rPr>
        <w:t>张丽艳（高级副总裁）</w:t>
      </w:r>
      <w:r>
        <w:rPr/>
        <w:t>，女，</w:t>
      </w:r>
      <w:r>
        <w:rPr>
          <w:rFonts w:ascii="Times New Roman" w:hAnsi="Times New Roman" w:cs="Times New Roman" w:eastAsia="Times New Roman" w:hint="default"/>
        </w:rPr>
        <w:t>1974</w:t>
      </w:r>
      <w:r>
        <w:rPr/>
        <w:t>年生，中国国籍，</w:t>
      </w:r>
      <w:r>
        <w:rPr>
          <w:rFonts w:ascii="Times New Roman" w:hAnsi="Times New Roman" w:cs="Times New Roman" w:eastAsia="Times New Roman" w:hint="default"/>
        </w:rPr>
        <w:t>1997</w:t>
      </w:r>
      <w:r>
        <w:rPr/>
        <w:t>年毕业于内蒙古大学哲学系获哲学学士学位，</w:t>
      </w:r>
      <w:r>
        <w:rPr>
          <w:rFonts w:ascii="Times New Roman" w:hAnsi="Times New Roman" w:cs="Times New Roman" w:eastAsia="Times New Roman" w:hint="default"/>
        </w:rPr>
        <w:t>2000</w:t>
      </w:r>
      <w:r>
        <w:rPr/>
        <w:t>年毕业于</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right="1034"/>
        <w:jc w:val="left"/>
      </w:pPr>
      <w:r>
        <w:rPr>
          <w:spacing w:val="-2"/>
        </w:rPr>
        <w:t>上海师范大学法商学院获法学硕士学位，</w:t>
      </w:r>
      <w:r>
        <w:rPr>
          <w:rFonts w:ascii="Times New Roman" w:hAnsi="Times New Roman" w:cs="Times New Roman" w:eastAsia="Times New Roman" w:hint="default"/>
          <w:spacing w:val="-2"/>
        </w:rPr>
        <w:t>2003</w:t>
      </w:r>
      <w:r>
        <w:rPr>
          <w:spacing w:val="-2"/>
        </w:rPr>
        <w:t>年毕业于华东师范大学人文学院获史学博士学位，中共党员，拥有法律职业资</w:t>
      </w:r>
      <w:r>
        <w:rPr>
          <w:spacing w:val="-63"/>
        </w:rPr>
        <w:t> </w:t>
      </w:r>
      <w:r>
        <w:rPr>
          <w:spacing w:val="-63"/>
        </w:rPr>
      </w:r>
      <w:r>
        <w:rPr/>
        <w:t>格证书。张丽艳女士于</w:t>
      </w:r>
      <w:r>
        <w:rPr>
          <w:rFonts w:ascii="Times New Roman" w:hAnsi="Times New Roman" w:cs="Times New Roman" w:eastAsia="Times New Roman" w:hint="default"/>
        </w:rPr>
        <w:t>2003</w:t>
      </w:r>
      <w:r>
        <w:rPr/>
        <w:t>年</w:t>
      </w:r>
      <w:r>
        <w:rPr>
          <w:rFonts w:ascii="Times New Roman" w:hAnsi="Times New Roman" w:cs="Times New Roman" w:eastAsia="Times New Roman" w:hint="default"/>
        </w:rPr>
        <w:t>8</w:t>
      </w:r>
      <w:r>
        <w:rPr/>
        <w:t>月至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2</w:t>
      </w:r>
      <w:r>
        <w:rPr/>
        <w:t>月期间，先后担任上海市司法局办公室干部、办公室主任科员、办公室副主任、 </w:t>
      </w:r>
      <w:r>
        <w:rPr>
          <w:spacing w:val="-2"/>
        </w:rPr>
        <w:t>信访办副主任。</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2</w:t>
      </w:r>
      <w:r>
        <w:rPr>
          <w:spacing w:val="-2"/>
        </w:rPr>
        <w:t>月至</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3</w:t>
      </w:r>
      <w:r>
        <w:rPr>
          <w:spacing w:val="-2"/>
        </w:rPr>
        <w:t>月期间，先后担任中国人寿保险股份有限公司上海市分公司风险管理部副总经理、办公</w:t>
      </w:r>
      <w:r>
        <w:rPr>
          <w:spacing w:val="-60"/>
        </w:rPr>
        <w:t> </w:t>
      </w:r>
      <w:r>
        <w:rPr>
          <w:spacing w:val="-60"/>
        </w:rPr>
      </w:r>
      <w:r>
        <w:rPr/>
        <w:t>室副主任（负责人）、办公室副主任（主持工作）、办公室主任。现任本公司高级副总裁。</w:t>
      </w:r>
    </w:p>
    <w:p>
      <w:pPr>
        <w:spacing w:line="240" w:lineRule="auto" w:before="10"/>
        <w:rPr>
          <w:rFonts w:ascii="宋体" w:hAnsi="宋体" w:cs="宋体" w:eastAsia="宋体" w:hint="default"/>
          <w:sz w:val="20"/>
          <w:szCs w:val="20"/>
        </w:rPr>
      </w:pPr>
    </w:p>
    <w:p>
      <w:pPr>
        <w:pStyle w:val="BodyText"/>
        <w:spacing w:line="240" w:lineRule="auto"/>
        <w:ind w:right="2602"/>
        <w:jc w:val="left"/>
      </w:pPr>
      <w:r>
        <w:rPr/>
        <w:t>在股东单位任职情况</w:t>
      </w:r>
    </w:p>
    <w:p>
      <w:pPr>
        <w:pStyle w:val="BodyText"/>
        <w:spacing w:line="240" w:lineRule="auto" w:before="117"/>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00"/>
        <w:gridCol w:w="2629"/>
        <w:gridCol w:w="2410"/>
        <w:gridCol w:w="850"/>
        <w:gridCol w:w="893"/>
        <w:gridCol w:w="1589"/>
      </w:tblGrid>
      <w:tr>
        <w:trPr>
          <w:trHeight w:val="715"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2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70"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0" w:right="0"/>
              <w:jc w:val="left"/>
              <w:rPr>
                <w:rFonts w:ascii="宋体" w:hAnsi="宋体" w:cs="宋体" w:eastAsia="宋体" w:hint="default"/>
                <w:sz w:val="18"/>
                <w:szCs w:val="18"/>
              </w:rPr>
            </w:pPr>
            <w:r>
              <w:rPr>
                <w:rFonts w:ascii="宋体" w:hAnsi="宋体" w:cs="宋体" w:eastAsia="宋体" w:hint="default"/>
                <w:sz w:val="18"/>
                <w:szCs w:val="18"/>
              </w:rPr>
              <w:t>在股东单位担任的职务</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9" w:right="59"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61" w:right="80"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5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8" w:right="67" w:hanging="269"/>
              <w:jc w:val="left"/>
              <w:rPr>
                <w:rFonts w:ascii="宋体" w:hAnsi="宋体" w:cs="宋体" w:eastAsia="宋体" w:hint="default"/>
                <w:sz w:val="18"/>
                <w:szCs w:val="18"/>
              </w:rPr>
            </w:pPr>
            <w:r>
              <w:rPr>
                <w:rFonts w:ascii="宋体" w:hAnsi="宋体" w:cs="宋体" w:eastAsia="宋体" w:hint="default"/>
                <w:sz w:val="18"/>
                <w:szCs w:val="18"/>
              </w:rPr>
              <w:t>在股东单位是否领 取报酬津贴</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2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中国人寿保险（集团）公司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投资管理部总经理</w:t>
            </w:r>
          </w:p>
        </w:tc>
        <w:tc>
          <w:tcPr>
            <w:tcW w:w="850"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6"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钱维章</w:t>
            </w:r>
          </w:p>
        </w:tc>
        <w:tc>
          <w:tcPr>
            <w:tcW w:w="2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4"/>
              <w:jc w:val="left"/>
              <w:rPr>
                <w:rFonts w:ascii="宋体" w:hAnsi="宋体" w:cs="宋体" w:eastAsia="宋体" w:hint="default"/>
                <w:sz w:val="18"/>
                <w:szCs w:val="18"/>
              </w:rPr>
            </w:pPr>
            <w:r>
              <w:rPr>
                <w:rFonts w:ascii="宋体" w:hAnsi="宋体" w:cs="宋体" w:eastAsia="宋体" w:hint="default"/>
                <w:sz w:val="18"/>
                <w:szCs w:val="18"/>
              </w:rPr>
              <w:t>科技总监兼研发中心总经理、 党委书记</w:t>
            </w:r>
          </w:p>
        </w:tc>
        <w:tc>
          <w:tcPr>
            <w:tcW w:w="850"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贺原</w:t>
            </w:r>
          </w:p>
        </w:tc>
        <w:tc>
          <w:tcPr>
            <w:tcW w:w="2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培训部资深专员</w:t>
            </w:r>
          </w:p>
        </w:tc>
        <w:tc>
          <w:tcPr>
            <w:tcW w:w="850"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在股东单位任 职情况的说明</w:t>
            </w:r>
          </w:p>
        </w:tc>
        <w:tc>
          <w:tcPr>
            <w:tcW w:w="837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上述为本公司董事、监事、高级管理人员在股东单位的任职情况。</w:t>
            </w:r>
          </w:p>
        </w:tc>
      </w:tr>
    </w:tbl>
    <w:p>
      <w:pPr>
        <w:pStyle w:val="BodyText"/>
        <w:spacing w:line="240" w:lineRule="auto" w:before="49"/>
        <w:ind w:right="2602"/>
        <w:jc w:val="left"/>
      </w:pPr>
      <w:r>
        <w:rPr/>
        <w:t>在其他单位任职情况</w:t>
      </w:r>
    </w:p>
    <w:p>
      <w:pPr>
        <w:pStyle w:val="BodyText"/>
        <w:spacing w:line="240" w:lineRule="auto" w:before="115"/>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00"/>
        <w:gridCol w:w="3478"/>
        <w:gridCol w:w="1560"/>
        <w:gridCol w:w="850"/>
        <w:gridCol w:w="889"/>
        <w:gridCol w:w="1594"/>
      </w:tblGrid>
      <w:tr>
        <w:trPr>
          <w:trHeight w:val="713"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4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5" w:right="53" w:hanging="541"/>
              <w:jc w:val="left"/>
              <w:rPr>
                <w:rFonts w:ascii="宋体" w:hAnsi="宋体" w:cs="宋体" w:eastAsia="宋体" w:hint="default"/>
                <w:sz w:val="18"/>
                <w:szCs w:val="18"/>
              </w:rPr>
            </w:pPr>
            <w:r>
              <w:rPr>
                <w:rFonts w:ascii="宋体" w:hAnsi="宋体" w:cs="宋体" w:eastAsia="宋体" w:hint="default"/>
                <w:sz w:val="18"/>
                <w:szCs w:val="18"/>
              </w:rPr>
              <w:t>在其他单位担任的 职务</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9" w:right="59"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7"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43" w:right="71" w:hanging="272"/>
              <w:jc w:val="left"/>
              <w:rPr>
                <w:rFonts w:ascii="宋体" w:hAnsi="宋体" w:cs="宋体" w:eastAsia="宋体" w:hint="default"/>
                <w:sz w:val="18"/>
                <w:szCs w:val="18"/>
              </w:rPr>
            </w:pPr>
            <w:r>
              <w:rPr>
                <w:rFonts w:ascii="宋体" w:hAnsi="宋体" w:cs="宋体" w:eastAsia="宋体" w:hint="default"/>
                <w:sz w:val="18"/>
                <w:szCs w:val="18"/>
              </w:rPr>
              <w:t>在其他单位是否领 取报酬津贴</w:t>
            </w:r>
          </w:p>
        </w:tc>
      </w:tr>
      <w:tr>
        <w:trPr>
          <w:trHeight w:val="403"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中国人寿保险（海外）股份有限公司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国寿投资控股有限公司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上海陆家嘴金融贸易区联合发展有限公司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渤海产业投资基金管理有限公司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汇贤控股有限公司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中信证券股份有限公司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国寿（天津）养老养生投资有限公司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李光亚</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上海数据交易中心有限公司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赵怀亮</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河南羚锐制药股份有限公司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赵怀亮</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顾地科技股份有限公司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4"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赵怀亮</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山西证券股份有限公司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内核委员</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赵怀亮</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华金证券股份有限公司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内核委员</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麻志明</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罗克佳华科技集团股份有限公司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孟莉莉</w:t>
            </w:r>
          </w:p>
        </w:tc>
        <w:tc>
          <w:tcPr>
            <w:tcW w:w="3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北京金诚同达律师事务所</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高级合伙人</w:t>
            </w:r>
          </w:p>
        </w:tc>
        <w:tc>
          <w:tcPr>
            <w:tcW w:w="85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在其他单位任 职情况的说明</w:t>
            </w:r>
          </w:p>
        </w:tc>
        <w:tc>
          <w:tcPr>
            <w:tcW w:w="837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上述为本公司董事、监事、高级管理人员在公司及下属子公司以外其他企业的任职情况</w:t>
            </w:r>
          </w:p>
        </w:tc>
      </w:tr>
    </w:tbl>
    <w:p>
      <w:pPr>
        <w:pStyle w:val="BodyText"/>
        <w:spacing w:line="240" w:lineRule="auto" w:before="49"/>
        <w:ind w:right="2602"/>
        <w:jc w:val="left"/>
      </w:pPr>
      <w:r>
        <w:rPr/>
        <w:t>公司现任及报告期内离任董事、监事和高级管理人员近三年证券监管机构处罚的情况</w:t>
      </w:r>
    </w:p>
    <w:p>
      <w:pPr>
        <w:pStyle w:val="BodyText"/>
        <w:spacing w:line="240" w:lineRule="auto" w:before="11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四、董事、监事、高级管理人员报酬情况" w:id="134"/>
      <w:bookmarkEnd w:id="134"/>
      <w:r>
        <w:rPr>
          <w:b w:val="0"/>
          <w:bCs w:val="0"/>
        </w:rPr>
      </w:r>
      <w:r>
        <w:rPr/>
        <w:t>四、董事、监事、高级管理人员报酬情况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2602"/>
        <w:jc w:val="left"/>
      </w:pPr>
      <w:r>
        <w:rPr/>
        <w:t>董事、监事、高级管理人员报酬的决策程序、确定依据、实际支付情况</w:t>
      </w:r>
    </w:p>
    <w:p>
      <w:pPr>
        <w:spacing w:line="240" w:lineRule="auto" w:before="0"/>
        <w:rPr>
          <w:rFonts w:ascii="宋体" w:hAnsi="宋体" w:cs="宋体" w:eastAsia="宋体" w:hint="default"/>
          <w:sz w:val="15"/>
          <w:szCs w:val="15"/>
        </w:rPr>
      </w:pPr>
    </w:p>
    <w:p>
      <w:pPr>
        <w:pStyle w:val="BodyText"/>
        <w:spacing w:line="316" w:lineRule="auto"/>
        <w:ind w:right="1119" w:firstLine="360"/>
        <w:jc w:val="left"/>
      </w:pPr>
      <w:r>
        <w:rPr>
          <w:spacing w:val="-2"/>
        </w:rPr>
        <w:t>（一）董事、监事、高级管理人员报酬的决策程序：公司董事、监事津贴由股东大会决定；高级管理人员报酬方案由董</w:t>
      </w:r>
      <w:r>
        <w:rPr/>
        <w:t> 事会决定。</w:t>
      </w:r>
    </w:p>
    <w:p>
      <w:pPr>
        <w:pStyle w:val="BodyText"/>
        <w:spacing w:line="316" w:lineRule="auto" w:before="57"/>
        <w:ind w:right="1129" w:firstLine="360"/>
        <w:jc w:val="left"/>
      </w:pPr>
      <w:r>
        <w:rPr>
          <w:spacing w:val="-2"/>
        </w:rPr>
        <w:t>（二）董事、监事、高级管理人员报酬的确定依据：公司董事、监事津贴依据股东大会决议发放；高级管理人员的报酬</w:t>
      </w:r>
      <w:r>
        <w:rPr/>
        <w:t> </w:t>
      </w:r>
      <w:r>
        <w:rPr>
          <w:spacing w:val="-5"/>
        </w:rPr>
        <w:t>按照公司《章程》、《董事会薪酬与考核委员会实施细则》等规定，结合经营绩效、工作能力、岗位职责等考核确定并发放。</w:t>
      </w:r>
    </w:p>
    <w:p>
      <w:pPr>
        <w:pStyle w:val="BodyText"/>
        <w:spacing w:line="316" w:lineRule="auto" w:before="59"/>
        <w:ind w:right="1034" w:firstLine="360"/>
        <w:jc w:val="left"/>
      </w:pPr>
      <w:r>
        <w:rPr/>
        <w:t>（三）董事、监事、高级管理人员报酬的实际支付情况：工资、津贴每月发放；奖金根据年度业绩考核结果延后发放。 报告期内，公司已向董事、监事、高级管理人员全额支付薪酬。</w:t>
      </w:r>
    </w:p>
    <w:p>
      <w:pPr>
        <w:spacing w:line="240" w:lineRule="auto" w:before="5"/>
        <w:rPr>
          <w:rFonts w:ascii="宋体" w:hAnsi="宋体" w:cs="宋体" w:eastAsia="宋体" w:hint="default"/>
          <w:sz w:val="16"/>
          <w:szCs w:val="16"/>
        </w:rPr>
      </w:pPr>
    </w:p>
    <w:p>
      <w:pPr>
        <w:pStyle w:val="BodyText"/>
        <w:spacing w:line="240" w:lineRule="auto" w:before="44"/>
        <w:ind w:right="2602"/>
        <w:jc w:val="left"/>
      </w:pPr>
      <w:r>
        <w:rPr/>
        <w:t>公司报告期内董事、监事和高级管理人员报酬情况</w:t>
      </w:r>
    </w:p>
    <w:p>
      <w:pPr>
        <w:pStyle w:val="BodyText"/>
        <w:spacing w:line="240" w:lineRule="auto" w:before="117"/>
        <w:ind w:left="0" w:right="1131"/>
        <w:jc w:val="right"/>
      </w:pPr>
      <w:r>
        <w:rPr/>
        <w:t>单位：万元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02"/>
        <w:gridCol w:w="3262"/>
        <w:gridCol w:w="567"/>
        <w:gridCol w:w="566"/>
        <w:gridCol w:w="850"/>
        <w:gridCol w:w="1258"/>
        <w:gridCol w:w="1368"/>
      </w:tblGrid>
      <w:tr>
        <w:trPr>
          <w:trHeight w:val="715"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3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4" w:right="82"/>
              <w:jc w:val="left"/>
              <w:rPr>
                <w:rFonts w:ascii="宋体" w:hAnsi="宋体" w:cs="宋体" w:eastAsia="宋体" w:hint="default"/>
                <w:sz w:val="18"/>
                <w:szCs w:val="18"/>
              </w:rPr>
            </w:pPr>
            <w:r>
              <w:rPr>
                <w:rFonts w:ascii="宋体" w:hAnsi="宋体" w:cs="宋体" w:eastAsia="宋体" w:hint="default"/>
                <w:sz w:val="18"/>
                <w:szCs w:val="18"/>
              </w:rPr>
              <w:t>从公司获得的 税前报酬总额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7" w:right="48"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匡涛</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胡宏伟</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副董事长、总裁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5.37</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钱维章</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53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李光亚</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董事、高级副总裁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198.97</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杨玲</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董事、高级副总裁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188.93</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姜锋</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董事、高级副总裁、董事会秘书（代）</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209.65</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赵怀亮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55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麻志明</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37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刘功润</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39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贺原</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54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李成</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孟莉莉</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曹蓉</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2"/>
              <w:jc w:val="left"/>
              <w:rPr>
                <w:rFonts w:ascii="宋体" w:hAnsi="宋体" w:cs="宋体" w:eastAsia="宋体" w:hint="default"/>
                <w:sz w:val="18"/>
                <w:szCs w:val="18"/>
              </w:rPr>
            </w:pPr>
            <w:r>
              <w:rPr>
                <w:rFonts w:ascii="宋体" w:hAnsi="宋体" w:cs="宋体" w:eastAsia="宋体" w:hint="default"/>
                <w:spacing w:val="-3"/>
                <w:sz w:val="18"/>
                <w:szCs w:val="18"/>
              </w:rPr>
              <w:t>职工监事、党委办公室主任、人力资源部</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副总经理</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42.49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赵云柯</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职工监事、行政办公室主任</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31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40.48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朱泓旭</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申龙</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55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3.37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陈丽娜</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高级副总裁、财务总监</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38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5.74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刘长松</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张丽艳</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张令庆</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高级副总裁、董事会秘书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64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查忠民</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50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卞世军</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702"/>
        <w:gridCol w:w="3262"/>
        <w:gridCol w:w="567"/>
        <w:gridCol w:w="566"/>
        <w:gridCol w:w="850"/>
        <w:gridCol w:w="1258"/>
        <w:gridCol w:w="1368"/>
      </w:tblGrid>
      <w:tr>
        <w:trPr>
          <w:trHeight w:val="71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3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84" w:right="82"/>
              <w:jc w:val="left"/>
              <w:rPr>
                <w:rFonts w:ascii="宋体" w:hAnsi="宋体" w:cs="宋体" w:eastAsia="宋体" w:hint="default"/>
                <w:sz w:val="18"/>
                <w:szCs w:val="18"/>
              </w:rPr>
            </w:pPr>
            <w:r>
              <w:rPr>
                <w:rFonts w:ascii="宋体" w:hAnsi="宋体" w:cs="宋体" w:eastAsia="宋体" w:hint="default"/>
                <w:sz w:val="18"/>
                <w:szCs w:val="18"/>
              </w:rPr>
              <w:t>从公司获得的 税前报酬总额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7" w:right="48"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史一兵</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106.80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潘政</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59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张天仁</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63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185.17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李柏龄</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65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朱洪超</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60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7.13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王建章</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73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钟璟</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43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耿平安</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68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宗宇伟</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59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晏翥飞</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高级副总裁、董事会秘书</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33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LI</w:t>
            </w:r>
            <w:r>
              <w:rPr>
                <w:rFonts w:ascii="Times New Roman" w:hAnsi="Times New Roman" w:cs="Times New Roman" w:eastAsia="Times New Roman" w:hint="default"/>
                <w:spacing w:val="-26"/>
                <w:sz w:val="18"/>
                <w:szCs w:val="18"/>
              </w:rPr>
              <w:t> </w:t>
            </w:r>
            <w:r>
              <w:rPr>
                <w:rFonts w:ascii="Times New Roman" w:hAnsi="Times New Roman" w:cs="Times New Roman" w:eastAsia="Times New Roman" w:hint="default"/>
                <w:sz w:val="18"/>
                <w:szCs w:val="18"/>
              </w:rPr>
              <w:t>YIFAN</w:t>
            </w:r>
            <w:r>
              <w:rPr>
                <w:rFonts w:ascii="宋体" w:hAnsi="宋体" w:cs="宋体" w:eastAsia="宋体" w:hint="default"/>
                <w:sz w:val="18"/>
                <w:szCs w:val="18"/>
              </w:rPr>
              <w:t>（李轶梵）</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52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3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258"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5"/>
              <w:jc w:val="right"/>
              <w:rPr>
                <w:rFonts w:ascii="Times New Roman" w:hAnsi="Times New Roman" w:cs="Times New Roman" w:eastAsia="Times New Roman" w:hint="default"/>
                <w:sz w:val="18"/>
                <w:szCs w:val="18"/>
              </w:rPr>
            </w:pPr>
            <w:r>
              <w:rPr>
                <w:rFonts w:ascii="Times New Roman"/>
                <w:sz w:val="18"/>
              </w:rPr>
              <w:t>1,620.32</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619" w:right="0"/>
              <w:jc w:val="left"/>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2602"/>
        <w:jc w:val="left"/>
      </w:pPr>
      <w:r>
        <w:rPr/>
        <w:t>公司董事、高级管理人员报告期内被授予的股权激励情况</w:t>
      </w:r>
    </w:p>
    <w:p>
      <w:pPr>
        <w:pStyle w:val="BodyText"/>
        <w:spacing w:line="240" w:lineRule="auto" w:before="115"/>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2602"/>
        <w:jc w:val="left"/>
        <w:rPr>
          <w:b w:val="0"/>
          <w:bCs w:val="0"/>
        </w:rPr>
      </w:pPr>
      <w:bookmarkStart w:name="五、公司员工情况" w:id="135"/>
      <w:bookmarkEnd w:id="135"/>
      <w:r>
        <w:rPr>
          <w:b w:val="0"/>
          <w:bCs w:val="0"/>
        </w:rPr>
      </w:r>
      <w:r>
        <w:rPr/>
        <w:t>五、公司员工情况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员工数量、专业构成及教育程度" w:id="136"/>
      <w:bookmarkEnd w:id="136"/>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7"/>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767"/>
        <w:gridCol w:w="4792"/>
      </w:tblGrid>
      <w:tr>
        <w:trPr>
          <w:trHeight w:val="403"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4,332</w:t>
            </w:r>
          </w:p>
        </w:tc>
      </w:tr>
      <w:tr>
        <w:trPr>
          <w:trHeight w:val="401"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1,881</w:t>
            </w:r>
          </w:p>
        </w:tc>
      </w:tr>
      <w:tr>
        <w:trPr>
          <w:trHeight w:val="403"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6,213</w:t>
            </w:r>
          </w:p>
        </w:tc>
      </w:tr>
      <w:tr>
        <w:trPr>
          <w:trHeight w:val="401"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6,213</w:t>
            </w:r>
          </w:p>
        </w:tc>
      </w:tr>
      <w:tr>
        <w:trPr>
          <w:trHeight w:val="408"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w:t>
            </w:r>
          </w:p>
        </w:tc>
      </w:tr>
      <w:tr>
        <w:trPr>
          <w:trHeight w:val="391"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 w:right="12"/>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8"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2"/>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82"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1" w:hRule="exac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4,245</w:t>
            </w:r>
          </w:p>
        </w:tc>
      </w:tr>
      <w:tr>
        <w:trPr>
          <w:trHeight w:val="404" w:hRule="exac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服务人员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585</w:t>
            </w:r>
          </w:p>
        </w:tc>
      </w:tr>
      <w:tr>
        <w:trPr>
          <w:trHeight w:val="401" w:hRule="exac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技术实施人员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525</w:t>
            </w:r>
          </w:p>
        </w:tc>
      </w:tr>
      <w:tr>
        <w:trPr>
          <w:trHeight w:val="403" w:hRule="exac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管理及财务人员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266</w:t>
            </w:r>
          </w:p>
        </w:tc>
      </w:tr>
      <w:tr>
        <w:trPr>
          <w:trHeight w:val="401" w:hRule="exac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321</w:t>
            </w:r>
          </w:p>
        </w:tc>
      </w:tr>
      <w:tr>
        <w:trPr>
          <w:trHeight w:val="403" w:hRule="exac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271</w:t>
            </w:r>
          </w:p>
        </w:tc>
      </w:tr>
      <w:tr>
        <w:trPr>
          <w:trHeight w:val="406"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6,213</w:t>
            </w:r>
          </w:p>
        </w:tc>
      </w:tr>
      <w:tr>
        <w:trPr>
          <w:trHeight w:val="398"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 w:right="12"/>
              <w:jc w:val="center"/>
              <w:rPr>
                <w:rFonts w:ascii="宋体" w:hAnsi="宋体" w:cs="宋体" w:eastAsia="宋体" w:hint="default"/>
                <w:sz w:val="18"/>
                <w:szCs w:val="18"/>
              </w:rPr>
            </w:pPr>
            <w:r>
              <w:rPr>
                <w:rFonts w:ascii="宋体" w:hAnsi="宋体" w:cs="宋体" w:eastAsia="宋体" w:hint="default"/>
                <w:sz w:val="18"/>
                <w:szCs w:val="18"/>
              </w:rPr>
              <w:t>教育程度</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博士</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14</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硕士</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3,863</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本科以下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2,006</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6,213</w:t>
            </w:r>
          </w:p>
        </w:tc>
      </w:tr>
    </w:tbl>
    <w:p>
      <w:pPr>
        <w:spacing w:line="240" w:lineRule="auto" w:before="3"/>
        <w:rPr>
          <w:rFonts w:ascii="宋体" w:hAnsi="宋体" w:cs="宋体" w:eastAsia="宋体" w:hint="default"/>
          <w:b/>
          <w:bCs/>
          <w:sz w:val="19"/>
          <w:szCs w:val="19"/>
        </w:rPr>
      </w:pPr>
    </w:p>
    <w:p>
      <w:pPr>
        <w:pStyle w:val="Heading3"/>
        <w:spacing w:line="240" w:lineRule="auto" w:before="36"/>
        <w:ind w:right="2602"/>
        <w:jc w:val="left"/>
        <w:rPr>
          <w:b w:val="0"/>
          <w:bCs w:val="0"/>
        </w:rPr>
      </w:pPr>
      <w:bookmarkStart w:name="2、薪酬政策" w:id="137"/>
      <w:bookmarkEnd w:id="137"/>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4"/>
        <w:rPr>
          <w:rFonts w:ascii="宋体" w:hAnsi="宋体" w:cs="宋体" w:eastAsia="宋体" w:hint="default"/>
          <w:b/>
          <w:bCs/>
          <w:sz w:val="26"/>
          <w:szCs w:val="26"/>
        </w:rPr>
      </w:pPr>
    </w:p>
    <w:p>
      <w:pPr>
        <w:pStyle w:val="BodyText"/>
        <w:spacing w:line="319" w:lineRule="auto"/>
        <w:ind w:right="1034" w:firstLine="360"/>
        <w:jc w:val="left"/>
      </w:pPr>
      <w:r>
        <w:rPr>
          <w:spacing w:val="-2"/>
        </w:rPr>
        <w:t>公司薪酬政策以市场竞争性为导向，以效益为依托，以经济性、公平性、正向激励性为原则，基于责任与能力、关注结</w:t>
      </w:r>
      <w:r>
        <w:rPr/>
        <w:t> </w:t>
      </w:r>
      <w:r>
        <w:rPr>
          <w:spacing w:val="-2"/>
        </w:rPr>
        <w:t>果，鼓励员工主动迎接挑战、兑现承诺，促进公司与员工共同的发展与成长。公司薪酬由基本能力工资、职务工资、绩效奖</w:t>
      </w:r>
      <w:r>
        <w:rPr>
          <w:spacing w:val="-68"/>
        </w:rPr>
        <w:t> </w:t>
      </w:r>
      <w:r>
        <w:rPr>
          <w:spacing w:val="-68"/>
        </w:rPr>
      </w:r>
      <w:r>
        <w:rPr>
          <w:spacing w:val="-2"/>
        </w:rPr>
        <w:t>金构成。基本能力工资根据个人能力和从事工作的类别确定，与任职资格体系挂钩。职务工资根据个人承担的责任，按工作</w:t>
      </w:r>
      <w:r>
        <w:rPr>
          <w:spacing w:val="-64"/>
        </w:rPr>
        <w:t> </w:t>
      </w:r>
      <w:r>
        <w:rPr>
          <w:spacing w:val="-64"/>
        </w:rPr>
      </w:r>
      <w:r>
        <w:rPr/>
        <w:t>的内容、难易程度、责任轻重，压力大小等因素确定。绩效奖金与公司年度经营目标挂钩，有效结合员工利益与公司效益，</w:t>
      </w:r>
      <w:r>
        <w:rPr>
          <w:spacing w:val="-83"/>
        </w:rPr>
        <w:t> </w:t>
      </w:r>
      <w:r>
        <w:rPr>
          <w:spacing w:val="-83"/>
        </w:rPr>
      </w:r>
      <w:r>
        <w:rPr/>
        <w:t>激发员工的潜力和活力。为进一步吸引和保留核心骨干人才，建立员工激励体制，促进公司的长远发展。</w:t>
      </w:r>
    </w:p>
    <w:p>
      <w:pPr>
        <w:pStyle w:val="BodyText"/>
        <w:spacing w:line="430" w:lineRule="atLeast" w:before="74"/>
        <w:ind w:left="635" w:right="0" w:hanging="483"/>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 </w:t>
      </w:r>
      <w:r>
        <w:rPr>
          <w:spacing w:val="-5"/>
        </w:rPr>
        <w:t>报告期内职工薪酬总额（计入成本部分）的金额为</w:t>
      </w:r>
      <w:r>
        <w:rPr>
          <w:rFonts w:ascii="Times New Roman" w:hAnsi="Times New Roman" w:cs="Times New Roman" w:eastAsia="Times New Roman" w:hint="default"/>
          <w:spacing w:val="-5"/>
        </w:rPr>
        <w:t>628,192,453.69</w:t>
      </w:r>
      <w:r>
        <w:rPr>
          <w:spacing w:val="-5"/>
        </w:rPr>
        <w:t>元，占公司成本总额的比重为</w:t>
      </w:r>
      <w:r>
        <w:rPr>
          <w:rFonts w:ascii="Times New Roman" w:hAnsi="Times New Roman" w:cs="Times New Roman" w:eastAsia="Times New Roman" w:hint="default"/>
          <w:spacing w:val="-5"/>
        </w:rPr>
        <w:t>38.33%</w:t>
      </w:r>
      <w:r>
        <w:rPr>
          <w:spacing w:val="-5"/>
        </w:rPr>
        <w:t>。截至</w:t>
      </w:r>
      <w:r>
        <w:rPr>
          <w:rFonts w:ascii="Times New Roman" w:hAnsi="Times New Roman" w:cs="Times New Roman" w:eastAsia="Times New Roman" w:hint="default"/>
          <w:spacing w:val="-5"/>
        </w:rPr>
        <w:t>2019</w:t>
      </w:r>
      <w:r>
        <w:rPr>
          <w:spacing w:val="-5"/>
        </w:rPr>
        <w:t>年末，</w:t>
      </w:r>
    </w:p>
    <w:p>
      <w:pPr>
        <w:pStyle w:val="BodyText"/>
        <w:spacing w:line="240" w:lineRule="auto" w:before="63"/>
        <w:ind w:right="0"/>
        <w:jc w:val="left"/>
      </w:pPr>
      <w:r>
        <w:rPr/>
        <w:t>公司核心技术人员占员工总数的</w:t>
      </w:r>
      <w:r>
        <w:rPr>
          <w:rFonts w:ascii="Times New Roman" w:hAnsi="Times New Roman" w:cs="Times New Roman" w:eastAsia="Times New Roman" w:hint="default"/>
        </w:rPr>
        <w:t>26.65%</w:t>
      </w:r>
      <w:r>
        <w:rPr/>
        <w:t>，核心技术人员薪酬占薪酬总额的</w:t>
      </w:r>
      <w:r>
        <w:rPr>
          <w:rFonts w:ascii="Times New Roman" w:hAnsi="Times New Roman" w:cs="Times New Roman" w:eastAsia="Times New Roman" w:hint="default"/>
        </w:rPr>
        <w:t>52.91%</w:t>
      </w:r>
      <w:r>
        <w:rPr/>
        <w:t>，与上年同期相比无重大变动。</w:t>
      </w:r>
    </w:p>
    <w:p>
      <w:pPr>
        <w:spacing w:line="240" w:lineRule="auto" w:before="13"/>
        <w:rPr>
          <w:rFonts w:ascii="宋体" w:hAnsi="宋体" w:cs="宋体" w:eastAsia="宋体" w:hint="default"/>
          <w:sz w:val="25"/>
          <w:szCs w:val="25"/>
        </w:rPr>
      </w:pPr>
    </w:p>
    <w:p>
      <w:pPr>
        <w:pStyle w:val="Heading3"/>
        <w:spacing w:line="240" w:lineRule="auto"/>
        <w:ind w:right="2602"/>
        <w:jc w:val="left"/>
        <w:rPr>
          <w:b w:val="0"/>
          <w:bCs w:val="0"/>
        </w:rPr>
      </w:pPr>
      <w:bookmarkStart w:name="3、培训计划" w:id="138"/>
      <w:bookmarkEnd w:id="138"/>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0" w:firstLine="360"/>
        <w:jc w:val="left"/>
      </w:pPr>
      <w:r>
        <w:rPr>
          <w:rFonts w:ascii="Times New Roman" w:hAnsi="Times New Roman" w:cs="Times New Roman" w:eastAsia="Times New Roman" w:hint="default"/>
          <w:spacing w:val="-2"/>
        </w:rPr>
        <w:t>2019</w:t>
      </w:r>
      <w:r>
        <w:rPr>
          <w:spacing w:val="-2"/>
        </w:rPr>
        <w:t>年，培训工作紧密围绕公司人才战略开展，根据培训需求调查结果，制定年度培训计划并认真落实，培训工作取得</w:t>
      </w:r>
      <w:r>
        <w:rPr/>
        <w:t> 新的进展。在形式上主要分为：内训地面课、内训线上课和外训课程。</w:t>
      </w:r>
    </w:p>
    <w:p>
      <w:pPr>
        <w:pStyle w:val="BodyText"/>
        <w:spacing w:line="309" w:lineRule="auto" w:before="72"/>
        <w:ind w:right="1131" w:firstLine="360"/>
        <w:jc w:val="both"/>
      </w:pPr>
      <w:r>
        <w:rPr>
          <w:spacing w:val="-1"/>
        </w:rPr>
        <w:t>内训地面课：全年开展技术通道、项目通道、行业通道等培训</w:t>
      </w:r>
      <w:r>
        <w:rPr>
          <w:rFonts w:ascii="Times New Roman" w:hAnsi="Times New Roman" w:cs="Times New Roman" w:eastAsia="Times New Roman" w:hint="default"/>
          <w:spacing w:val="-1"/>
        </w:rPr>
        <w:t>110</w:t>
      </w:r>
      <w:r>
        <w:rPr>
          <w:spacing w:val="-1"/>
        </w:rPr>
        <w:t>场，共计</w:t>
      </w:r>
      <w:r>
        <w:rPr>
          <w:rFonts w:ascii="Times New Roman" w:hAnsi="Times New Roman" w:cs="Times New Roman" w:eastAsia="Times New Roman" w:hint="default"/>
          <w:spacing w:val="-1"/>
        </w:rPr>
        <w:t>233.5</w:t>
      </w:r>
      <w:r>
        <w:rPr>
          <w:spacing w:val="-1"/>
        </w:rPr>
        <w:t>课时，实际参加培训</w:t>
      </w:r>
      <w:r>
        <w:rPr>
          <w:rFonts w:ascii="Times New Roman" w:hAnsi="Times New Roman" w:cs="Times New Roman" w:eastAsia="Times New Roman" w:hint="default"/>
          <w:spacing w:val="-1"/>
        </w:rPr>
        <w:t>2564</w:t>
      </w:r>
      <w:r>
        <w:rPr>
          <w:spacing w:val="-1"/>
        </w:rPr>
        <w:t>人次。培训因</w:t>
      </w:r>
      <w:r>
        <w:rPr/>
        <w:t> </w:t>
      </w:r>
      <w:r>
        <w:rPr>
          <w:spacing w:val="-2"/>
        </w:rPr>
        <w:t>需制宜，内容多样，在保留历年优秀课程的同时，新增加了许多员工感兴趣或前沿技术类课程，并积极开设销售培训、新晋</w:t>
      </w:r>
      <w:r>
        <w:rPr>
          <w:spacing w:val="-67"/>
        </w:rPr>
        <w:t> </w:t>
      </w:r>
      <w:r>
        <w:rPr>
          <w:spacing w:val="-67"/>
        </w:rPr>
      </w:r>
      <w:r>
        <w:rPr/>
        <w:t>中层培训、新员工入职培训等课程，进一步增强公司各类人才的业务知识和岗位技能储备。</w:t>
      </w:r>
    </w:p>
    <w:p>
      <w:pPr>
        <w:pStyle w:val="BodyText"/>
        <w:spacing w:line="300" w:lineRule="auto" w:before="65"/>
        <w:ind w:right="1034" w:firstLine="360"/>
        <w:jc w:val="left"/>
      </w:pPr>
      <w:r>
        <w:rPr/>
        <w:t>内训线上课：</w:t>
      </w:r>
      <w:r>
        <w:rPr>
          <w:rFonts w:ascii="Times New Roman" w:hAnsi="Times New Roman" w:cs="Times New Roman" w:eastAsia="Times New Roman" w:hint="default"/>
        </w:rPr>
        <w:t>2019</w:t>
      </w:r>
      <w:r>
        <w:rPr/>
        <w:t>年，对线上课程进行持续优化，实现多系统间的对接，更有效管理和追踪不同类型员工的培训情况。 </w:t>
      </w:r>
      <w:r>
        <w:rPr>
          <w:rFonts w:ascii="Times New Roman" w:hAnsi="Times New Roman" w:cs="Times New Roman" w:eastAsia="Times New Roman" w:hint="default"/>
        </w:rPr>
        <w:t>2019</w:t>
      </w:r>
      <w:r>
        <w:rPr/>
        <w:t>年，内训线上课程时长</w:t>
      </w:r>
      <w:r>
        <w:rPr>
          <w:rFonts w:ascii="Times New Roman" w:hAnsi="Times New Roman" w:cs="Times New Roman" w:eastAsia="Times New Roman" w:hint="default"/>
        </w:rPr>
        <w:t>9217.57</w:t>
      </w:r>
      <w:r>
        <w:rPr/>
        <w:t>小时，培训</w:t>
      </w:r>
      <w:r>
        <w:rPr>
          <w:rFonts w:ascii="Times New Roman" w:hAnsi="Times New Roman" w:cs="Times New Roman" w:eastAsia="Times New Roman" w:hint="default"/>
        </w:rPr>
        <w:t>5341</w:t>
      </w:r>
      <w:r>
        <w:rPr/>
        <w:t>人。其中，项目经理必修课程在往年基础上进行优化，由季度开展更新</w:t>
      </w:r>
      <w:r>
        <w:rPr>
          <w:spacing w:val="-47"/>
        </w:rPr>
        <w:t> </w:t>
      </w:r>
      <w:r>
        <w:rPr>
          <w:spacing w:val="-47"/>
        </w:rPr>
      </w:r>
      <w:r>
        <w:rPr/>
        <w:t>为实时开展。同时，细分新进员工入职培训，针对销售人员和非销售人员设置不同的课程，分别进行培训管理。</w:t>
      </w:r>
    </w:p>
    <w:p>
      <w:pPr>
        <w:pStyle w:val="BodyText"/>
        <w:spacing w:line="316" w:lineRule="auto" w:before="70"/>
        <w:ind w:right="1131" w:firstLine="360"/>
        <w:jc w:val="both"/>
      </w:pPr>
      <w:r>
        <w:rPr>
          <w:spacing w:val="-2"/>
        </w:rPr>
        <w:t>外训课程：根据业务单元的不同需求，邀请外部优秀师资对内部员工开展关于管理、销售、沟通技巧、商务礼仪、案例</w:t>
      </w:r>
      <w:r>
        <w:rPr/>
        <w:t> </w:t>
      </w:r>
      <w:r>
        <w:rPr>
          <w:spacing w:val="-2"/>
        </w:rPr>
        <w:t>萃取等方面的培训。此外，还围绕提升沟通效率、强化复盘思维、加强亲子互动等主题，开展了多样化团队建设活动，包括</w:t>
      </w:r>
      <w:r>
        <w:rPr>
          <w:spacing w:val="-66"/>
        </w:rPr>
        <w:t> </w:t>
      </w:r>
      <w:r>
        <w:rPr>
          <w:spacing w:val="-66"/>
        </w:rPr>
      </w:r>
      <w:r>
        <w:rPr>
          <w:spacing w:val="-2"/>
        </w:rPr>
        <w:t>拆书帮、亲子育儿工作坊、丙烯画体验、手机摄影、皮具制作、六一漂流瓶等，这些培训项目，不仅丰富了员工的文化生活</w:t>
      </w:r>
      <w:r>
        <w:rPr>
          <w:spacing w:val="-73"/>
        </w:rPr>
        <w:t> </w:t>
      </w:r>
      <w:r>
        <w:rPr>
          <w:spacing w:val="-73"/>
        </w:rPr>
      </w:r>
      <w:r>
        <w:rPr/>
        <w:t>和家庭生活，也对提高团队凝聚力起到了一定作用。</w:t>
      </w:r>
    </w:p>
    <w:p>
      <w:pPr>
        <w:spacing w:line="240" w:lineRule="auto" w:before="11"/>
        <w:rPr>
          <w:rFonts w:ascii="宋体" w:hAnsi="宋体" w:cs="宋体" w:eastAsia="宋体" w:hint="default"/>
          <w:sz w:val="22"/>
          <w:szCs w:val="22"/>
        </w:rPr>
      </w:pPr>
    </w:p>
    <w:p>
      <w:pPr>
        <w:pStyle w:val="Heading3"/>
        <w:spacing w:line="240" w:lineRule="auto"/>
        <w:ind w:right="2602"/>
        <w:jc w:val="left"/>
        <w:rPr>
          <w:b w:val="0"/>
          <w:bCs w:val="0"/>
        </w:rPr>
      </w:pPr>
      <w:bookmarkStart w:name="4、劳务外包情况" w:id="139"/>
      <w:bookmarkEnd w:id="139"/>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劳务外包的工时总数（小时）</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228,104</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劳务外包支付的报酬总额（元）</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15,431,920.00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976"/>
        <w:jc w:val="center"/>
        <w:rPr>
          <w:b w:val="0"/>
          <w:bCs w:val="0"/>
        </w:rPr>
      </w:pPr>
      <w:bookmarkStart w:name="第十节 公司治理" w:id="140"/>
      <w:bookmarkEnd w:id="140"/>
      <w:r>
        <w:rPr>
          <w:b w:val="0"/>
          <w:bCs w:val="0"/>
        </w:rPr>
      </w:r>
      <w:bookmarkStart w:name="_bookmark9" w:id="141"/>
      <w:bookmarkEnd w:id="141"/>
      <w:r>
        <w:rPr>
          <w:b w:val="0"/>
          <w:bCs w:val="0"/>
        </w:rPr>
      </w:r>
      <w:r>
        <w:rPr/>
        <w:t>第十节</w:t>
      </w:r>
      <w:r>
        <w:rPr>
          <w:spacing w:val="-2"/>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2602"/>
        <w:jc w:val="left"/>
        <w:rPr>
          <w:b w:val="0"/>
          <w:bCs w:val="0"/>
        </w:rPr>
      </w:pPr>
      <w:bookmarkStart w:name="一、公司治理的基本状况" w:id="142"/>
      <w:bookmarkEnd w:id="142"/>
      <w:r>
        <w:rPr>
          <w:b w:val="0"/>
          <w:bCs w:val="0"/>
        </w:rPr>
      </w:r>
      <w:r>
        <w:rPr/>
        <w:t>一、公司治理的基本状况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513" w:right="0"/>
        <w:jc w:val="left"/>
      </w:pPr>
      <w:r>
        <w:rPr>
          <w:spacing w:val="-6"/>
        </w:rPr>
        <w:t>报告期内，公司严格按照《公司法》、《证券法》、《上市公司治理准则》、《深圳证券交易所创业板股票上市规则》、</w:t>
      </w:r>
    </w:p>
    <w:p>
      <w:pPr>
        <w:pStyle w:val="BodyText"/>
        <w:spacing w:line="316" w:lineRule="auto" w:before="76"/>
        <w:ind w:right="1034"/>
        <w:jc w:val="left"/>
      </w:pPr>
      <w:r>
        <w:rPr/>
        <w:t>《深圳证券交易所创业板上市公司规范运作指引》和其他的有关法律法规、规范性文件的要求，不断地完善公司治理结构，</w:t>
      </w:r>
      <w:r>
        <w:rPr>
          <w:spacing w:val="-86"/>
        </w:rPr>
        <w:t> </w:t>
      </w:r>
      <w:r>
        <w:rPr>
          <w:spacing w:val="-86"/>
        </w:rPr>
      </w:r>
      <w:r>
        <w:rPr>
          <w:spacing w:val="-2"/>
        </w:rPr>
        <w:t>建立健全公司内部控制制度，以进一步提高公司治理水平。截至报告期末，公司治理的实际情况符合中国证监会、深圳证券</w:t>
      </w:r>
      <w:r>
        <w:rPr>
          <w:spacing w:val="-65"/>
        </w:rPr>
        <w:t> </w:t>
      </w:r>
      <w:r>
        <w:rPr>
          <w:spacing w:val="-65"/>
        </w:rPr>
      </w:r>
      <w:r>
        <w:rPr/>
        <w:t>交易所等发布的法律法规和规范性文件的要求。</w:t>
      </w:r>
    </w:p>
    <w:p>
      <w:pPr>
        <w:pStyle w:val="BodyText"/>
        <w:spacing w:line="357" w:lineRule="auto" w:before="59"/>
        <w:ind w:left="513" w:right="0"/>
        <w:jc w:val="left"/>
      </w:pPr>
      <w:r>
        <w:rPr/>
        <w:t>（一）关于股东与股东大会 </w:t>
      </w:r>
      <w:r>
        <w:rPr>
          <w:spacing w:val="-2"/>
        </w:rPr>
        <w:t>公司严格按照《上市公司股东大会规则》、《公司章程》、《股东大会议事规则》的相关规定和要求，规范地召集、召</w:t>
      </w:r>
    </w:p>
    <w:p>
      <w:pPr>
        <w:pStyle w:val="BodyText"/>
        <w:spacing w:line="316" w:lineRule="auto"/>
        <w:ind w:right="1119"/>
        <w:jc w:val="left"/>
      </w:pPr>
      <w:r>
        <w:rPr>
          <w:spacing w:val="-2"/>
        </w:rPr>
        <w:t>开股东大会，确保全体股东特别是中小股东享有平等地位，充分行使自己的权利。相关事项的决策程序规范，决策科学，效</w:t>
      </w:r>
      <w:r>
        <w:rPr>
          <w:spacing w:val="-67"/>
        </w:rPr>
        <w:t> </w:t>
      </w:r>
      <w:r>
        <w:rPr>
          <w:spacing w:val="-67"/>
        </w:rPr>
      </w:r>
      <w:r>
        <w:rPr/>
        <w:t>果良好。</w:t>
      </w:r>
    </w:p>
    <w:p>
      <w:pPr>
        <w:pStyle w:val="BodyText"/>
        <w:spacing w:line="360" w:lineRule="auto" w:before="59"/>
        <w:ind w:left="513" w:right="1123"/>
        <w:jc w:val="left"/>
      </w:pPr>
      <w:r>
        <w:rPr/>
        <w:t>（二）关于公司与控股股东、实际控制人 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7</w:t>
      </w:r>
      <w:r>
        <w:rPr/>
        <w:t>日，公司股东中国人寿及其一致行动人中国人寿保险（集团）公司、中国人寿资产管理有限公司合计</w:t>
      </w:r>
    </w:p>
    <w:p>
      <w:pPr>
        <w:pStyle w:val="BodyText"/>
        <w:spacing w:line="212" w:lineRule="exact"/>
        <w:ind w:right="0"/>
        <w:jc w:val="left"/>
      </w:pPr>
      <w:r>
        <w:rPr/>
        <w:t>持有公司股份</w:t>
      </w:r>
      <w:r>
        <w:rPr>
          <w:rFonts w:ascii="Times New Roman" w:hAnsi="Times New Roman" w:cs="Times New Roman" w:eastAsia="Times New Roman" w:hint="default"/>
        </w:rPr>
        <w:t>206,323,682</w:t>
      </w:r>
      <w:r>
        <w:rPr/>
        <w:t>股，已超过公司原第一大股东万豪投资及其实际控制人史一兵合计持有的股份</w:t>
      </w:r>
      <w:r>
        <w:rPr>
          <w:rFonts w:ascii="Times New Roman" w:hAnsi="Times New Roman" w:cs="Times New Roman" w:eastAsia="Times New Roman" w:hint="default"/>
        </w:rPr>
        <w:t>206,097,400</w:t>
      </w:r>
      <w:r>
        <w:rPr/>
        <w:t>股，成为</w:t>
      </w:r>
    </w:p>
    <w:p>
      <w:pPr>
        <w:pStyle w:val="BodyText"/>
        <w:spacing w:line="316" w:lineRule="auto" w:before="63"/>
        <w:ind w:right="1129"/>
        <w:jc w:val="left"/>
      </w:pPr>
      <w:r>
        <w:rPr>
          <w:spacing w:val="-5"/>
        </w:rPr>
        <w:t>公司第一大股东，公司变更为无控股股东、无实际控制人。公司拥有独立完整的业务和自主经营能力，在业务、人员、资产、</w:t>
      </w:r>
      <w:r>
        <w:rPr>
          <w:spacing w:val="-82"/>
        </w:rPr>
        <w:t> </w:t>
      </w:r>
      <w:r>
        <w:rPr>
          <w:spacing w:val="-82"/>
        </w:rPr>
      </w:r>
      <w:r>
        <w:rPr/>
        <w:t>机构、财务上独立于控股股东，公司董事会、监事会和内部机构独立运作。</w:t>
      </w:r>
    </w:p>
    <w:p>
      <w:pPr>
        <w:pStyle w:val="BodyText"/>
        <w:spacing w:line="360" w:lineRule="auto" w:before="57"/>
        <w:ind w:left="513" w:right="1033"/>
        <w:jc w:val="left"/>
      </w:pPr>
      <w:r>
        <w:rPr/>
        <w:t>（三）关于董事和董事会 公司已制订《董事会议事规则》、《独立董事议事规则》、《董事会秘书工作规则》等制度，并不断加以完善和规范，</w:t>
      </w:r>
    </w:p>
    <w:p>
      <w:pPr>
        <w:pStyle w:val="BodyText"/>
        <w:spacing w:line="236" w:lineRule="exact"/>
        <w:ind w:right="0"/>
        <w:jc w:val="left"/>
      </w:pPr>
      <w:r>
        <w:rPr/>
        <w:t>确保董事会规范、高效运作和审慎、科学决策。公司董事会由</w:t>
      </w:r>
      <w:r>
        <w:rPr>
          <w:rFonts w:ascii="Times New Roman" w:hAnsi="Times New Roman" w:cs="Times New Roman" w:eastAsia="Times New Roman" w:hint="default"/>
        </w:rPr>
        <w:t>9</w:t>
      </w:r>
      <w:r>
        <w:rPr/>
        <w:t>名成员组成，其中独立董事</w:t>
      </w:r>
      <w:r>
        <w:rPr>
          <w:rFonts w:ascii="Times New Roman" w:hAnsi="Times New Roman" w:cs="Times New Roman" w:eastAsia="Times New Roman" w:hint="default"/>
        </w:rPr>
        <w:t>3</w:t>
      </w:r>
      <w:r>
        <w:rPr/>
        <w:t>名，人员符合有关法律、法规、</w:t>
      </w:r>
    </w:p>
    <w:p>
      <w:pPr>
        <w:pStyle w:val="BodyText"/>
        <w:spacing w:line="309" w:lineRule="auto" w:before="63"/>
        <w:ind w:right="1129"/>
        <w:jc w:val="both"/>
      </w:pPr>
      <w:r>
        <w:rPr>
          <w:spacing w:val="-2"/>
        </w:rPr>
        <w:t>章程等的要求，具有履行职务所必需的知识、技能和素质。董事会会议严格按照董事会议事规则召开，报告期内共召开董事</w:t>
      </w:r>
      <w:r>
        <w:rPr>
          <w:spacing w:val="-62"/>
        </w:rPr>
        <w:t> </w:t>
      </w:r>
      <w:r>
        <w:rPr>
          <w:spacing w:val="-62"/>
        </w:rPr>
      </w:r>
      <w:r>
        <w:rPr>
          <w:spacing w:val="-2"/>
        </w:rPr>
        <w:t>会会议</w:t>
      </w:r>
      <w:r>
        <w:rPr>
          <w:rFonts w:ascii="Times New Roman" w:hAnsi="Times New Roman" w:cs="Times New Roman" w:eastAsia="Times New Roman" w:hint="default"/>
          <w:spacing w:val="-2"/>
        </w:rPr>
        <w:t>17</w:t>
      </w:r>
      <w:r>
        <w:rPr>
          <w:spacing w:val="-2"/>
        </w:rPr>
        <w:t>次。公司按照《深圳证券交易所创业板上市公司规范运作指引》的要求，下设审计委员会、薪酬与考核委员会、提</w:t>
      </w:r>
      <w:r>
        <w:rPr>
          <w:spacing w:val="-66"/>
        </w:rPr>
        <w:t> </w:t>
      </w:r>
      <w:r>
        <w:rPr>
          <w:spacing w:val="-66"/>
        </w:rPr>
      </w:r>
      <w:r>
        <w:rPr/>
        <w:t>名委员会和战略委员会四个专门委员会。</w:t>
      </w:r>
    </w:p>
    <w:p>
      <w:pPr>
        <w:pStyle w:val="BodyText"/>
        <w:spacing w:line="357" w:lineRule="auto" w:before="65"/>
        <w:ind w:left="513" w:right="0"/>
        <w:jc w:val="left"/>
      </w:pPr>
      <w:r>
        <w:rPr/>
        <w:t>（四）关于监事和监事会 </w:t>
      </w:r>
      <w:r>
        <w:rPr>
          <w:spacing w:val="-2"/>
        </w:rPr>
        <w:t>公司已制订《监事会议事规则》等制度确保监事会向全体股东负责，对公司内部控制以及公司董事、总裁及其他高级管</w:t>
      </w:r>
    </w:p>
    <w:p>
      <w:pPr>
        <w:pStyle w:val="BodyText"/>
        <w:spacing w:line="224" w:lineRule="exact"/>
        <w:ind w:right="0"/>
        <w:jc w:val="left"/>
      </w:pPr>
      <w:r>
        <w:rPr/>
        <w:t>理人员履行职责的合法合规性进行有效监督，维护公司及股东的合法权益。公司也采取了有效措施保障监事的知情权，能够</w:t>
      </w:r>
    </w:p>
    <w:p>
      <w:pPr>
        <w:pStyle w:val="BodyText"/>
        <w:spacing w:line="300" w:lineRule="auto" w:before="76"/>
        <w:ind w:right="1124"/>
        <w:jc w:val="left"/>
      </w:pPr>
      <w:r>
        <w:rPr/>
        <w:t>独立有效地行使对董事、总裁及其他高级管理人员的监督职责。报告期内，公司共召开监事会会议</w:t>
      </w:r>
      <w:r>
        <w:rPr>
          <w:rFonts w:ascii="Times New Roman" w:hAnsi="Times New Roman" w:cs="Times New Roman" w:eastAsia="Times New Roman" w:hint="default"/>
        </w:rPr>
        <w:t>8</w:t>
      </w:r>
      <w:r>
        <w:rPr/>
        <w:t>次，公司监事列席了报</w:t>
      </w:r>
      <w:r>
        <w:rPr>
          <w:spacing w:val="-87"/>
        </w:rPr>
        <w:t> </w:t>
      </w:r>
      <w:r>
        <w:rPr/>
        <w:t>告期内的所有股东大会。</w:t>
      </w:r>
    </w:p>
    <w:p>
      <w:pPr>
        <w:pStyle w:val="BodyText"/>
        <w:spacing w:line="360" w:lineRule="auto" w:before="72"/>
        <w:ind w:left="513" w:right="1033"/>
        <w:jc w:val="left"/>
      </w:pPr>
      <w:r>
        <w:rPr/>
        <w:t>（五）关于绩效评价与激励约束机制 公司已逐步建立并完善公正、透明的高级管理人员的绩效考核标准和激励约束机制。高级管理人员的聘任公开、透明，</w:t>
      </w:r>
    </w:p>
    <w:p>
      <w:pPr>
        <w:pStyle w:val="BodyText"/>
        <w:spacing w:line="222" w:lineRule="exact"/>
        <w:ind w:right="2602"/>
        <w:jc w:val="left"/>
      </w:pPr>
      <w:r>
        <w:rPr/>
        <w:t>符合法律、法规的规定。</w:t>
      </w:r>
    </w:p>
    <w:p>
      <w:pPr>
        <w:pStyle w:val="BodyText"/>
        <w:spacing w:line="360" w:lineRule="auto" w:before="115"/>
        <w:ind w:left="513" w:right="0"/>
        <w:jc w:val="left"/>
      </w:pPr>
      <w:r>
        <w:rPr/>
        <w:t>（六）关于经理层 </w:t>
      </w:r>
      <w:r>
        <w:rPr>
          <w:spacing w:val="-2"/>
        </w:rPr>
        <w:t>公司已建立《经理工作细则》等制度，公司管理层能勤勉尽责，切实贯彻、执行董事会的决议。公司总裁及其他高级管</w:t>
      </w:r>
    </w:p>
    <w:p>
      <w:pPr>
        <w:pStyle w:val="BodyText"/>
        <w:spacing w:line="222" w:lineRule="exact"/>
        <w:ind w:right="2602"/>
        <w:jc w:val="left"/>
      </w:pPr>
      <w:r>
        <w:rPr/>
        <w:t>理人员职责清晰，能够严格按照公司各项管理制度履行职责。</w:t>
      </w:r>
    </w:p>
    <w:p>
      <w:pPr>
        <w:pStyle w:val="BodyText"/>
        <w:spacing w:line="357" w:lineRule="auto" w:before="117"/>
        <w:ind w:left="513" w:right="1118"/>
        <w:jc w:val="left"/>
      </w:pPr>
      <w:r>
        <w:rPr/>
        <w:t>（七）关于信息披露与透明度 </w:t>
      </w:r>
      <w:r>
        <w:rPr>
          <w:spacing w:val="-5"/>
        </w:rPr>
        <w:t>公司严格按照有关法律法规以及《信息披露管理制度》、《投资者关系管理制度》等的要求，真实、准确、及时、公平、</w:t>
      </w:r>
    </w:p>
    <w:p>
      <w:pPr>
        <w:pStyle w:val="BodyText"/>
        <w:spacing w:line="224" w:lineRule="exact"/>
        <w:ind w:right="0"/>
        <w:jc w:val="left"/>
      </w:pPr>
      <w:r>
        <w:rPr/>
        <w:t>完整地披露有关信息；并指定公司董事会秘书负责信息披露工作，协调公司与投资者的关系，接待投资者来访，回答投资者</w:t>
      </w:r>
    </w:p>
    <w:p>
      <w:pPr>
        <w:pStyle w:val="BodyText"/>
        <w:spacing w:line="300" w:lineRule="auto" w:before="76"/>
        <w:ind w:right="1189"/>
        <w:jc w:val="left"/>
      </w:pPr>
      <w:r>
        <w:rPr/>
        <w:t>咨询，向投资者提供公司已披露的资料；并指定巨潮资讯网（</w:t>
      </w:r>
      <w:hyperlink r:id="rId11">
        <w:r>
          <w:rPr>
            <w:rFonts w:ascii="Times New Roman" w:hAnsi="Times New Roman" w:cs="Times New Roman" w:eastAsia="Times New Roman" w:hint="default"/>
          </w:rPr>
          <w:t>www.cninfo.com.cn</w:t>
        </w:r>
      </w:hyperlink>
      <w:r>
        <w:rPr/>
        <w:t>）为公司信息披露的指定网站，确保公司 所有股东能够有平等的机会获得信息。</w:t>
      </w:r>
    </w:p>
    <w:p>
      <w:pPr>
        <w:pStyle w:val="BodyText"/>
        <w:spacing w:line="240" w:lineRule="auto" w:before="72"/>
        <w:ind w:left="513" w:right="2602"/>
        <w:jc w:val="left"/>
      </w:pPr>
      <w:r>
        <w:rPr/>
        <w:t>（八）关于相关利益者</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19" w:lineRule="auto" w:before="44"/>
        <w:ind w:right="0" w:firstLine="360"/>
        <w:jc w:val="left"/>
      </w:pPr>
      <w:r>
        <w:rPr>
          <w:spacing w:val="-2"/>
        </w:rPr>
        <w:t>公司充分尊重和维护相关利益者的合法权益，积极与相关利益者合作，加强与各方的沟通和交流，实现股东、员工、社</w:t>
      </w:r>
      <w:r>
        <w:rPr/>
        <w:t> 会等各方利益的协调平衡和共赢，共同推动公司持续、健康发展。</w:t>
      </w:r>
    </w:p>
    <w:p>
      <w:pPr>
        <w:spacing w:line="240" w:lineRule="auto" w:before="8"/>
        <w:rPr>
          <w:rFonts w:ascii="宋体" w:hAnsi="宋体" w:cs="宋体" w:eastAsia="宋体" w:hint="default"/>
          <w:sz w:val="19"/>
          <w:szCs w:val="19"/>
        </w:rPr>
      </w:pPr>
    </w:p>
    <w:p>
      <w:pPr>
        <w:pStyle w:val="BodyText"/>
        <w:spacing w:line="240" w:lineRule="auto"/>
        <w:ind w:right="2602"/>
        <w:jc w:val="left"/>
      </w:pPr>
      <w:r>
        <w:rPr/>
        <w:t>公司治理的实际状况与中国证监会发布的有关上市公司治理的规范性文件是否存在重大差异</w:t>
      </w:r>
    </w:p>
    <w:p>
      <w:pPr>
        <w:pStyle w:val="BodyText"/>
        <w:spacing w:line="338" w:lineRule="auto" w:before="117"/>
        <w:ind w:right="355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公司治理的实际状况与中国证监会发布的有关上市公司治理的规范性文件不存在重大差异。</w:t>
      </w:r>
    </w:p>
    <w:p>
      <w:pPr>
        <w:spacing w:line="240" w:lineRule="auto" w:before="8"/>
        <w:rPr>
          <w:rFonts w:ascii="宋体" w:hAnsi="宋体" w:cs="宋体" w:eastAsia="宋体" w:hint="default"/>
          <w:sz w:val="19"/>
          <w:szCs w:val="19"/>
        </w:rPr>
      </w:pPr>
    </w:p>
    <w:p>
      <w:pPr>
        <w:pStyle w:val="Heading2"/>
        <w:spacing w:line="240" w:lineRule="auto"/>
        <w:ind w:right="0"/>
        <w:jc w:val="left"/>
        <w:rPr>
          <w:b w:val="0"/>
          <w:bCs w:val="0"/>
        </w:rPr>
      </w:pPr>
      <w:bookmarkStart w:name="二、公司相对于控股股东在业务、人员、资产、机构、财务等方面的独立情况" w:id="143"/>
      <w:bookmarkEnd w:id="143"/>
      <w:r>
        <w:rPr>
          <w:b w:val="0"/>
          <w:bCs w:val="0"/>
        </w:rPr>
      </w:r>
      <w:r>
        <w:rPr/>
        <w:t>二、公司相对于控股股东在业务、人员、资产、机构、财务等方面的独立情况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513" w:right="2602"/>
        <w:jc w:val="left"/>
      </w:pPr>
      <w:r>
        <w:rPr/>
        <w:t>公司在业务、人员、资产、机构、财务等方面完全独立于控股股东，具体情况如下：</w:t>
      </w:r>
    </w:p>
    <w:p>
      <w:pPr>
        <w:pStyle w:val="BodyText"/>
        <w:spacing w:line="240" w:lineRule="auto" w:before="117"/>
        <w:ind w:left="513" w:right="0"/>
        <w:jc w:val="left"/>
      </w:pPr>
      <w:r>
        <w:rPr>
          <w:rFonts w:ascii="Times New Roman" w:hAnsi="Times New Roman" w:cs="Times New Roman" w:eastAsia="Times New Roman" w:hint="default"/>
        </w:rPr>
        <w:t>1</w:t>
      </w:r>
      <w:r>
        <w:rPr/>
        <w:t>、业务方面：公司与控股股东不存在同业竞争情况，具有完整的业务体系，不需要依赖于控股股东；</w:t>
      </w:r>
    </w:p>
    <w:p>
      <w:pPr>
        <w:pStyle w:val="BodyText"/>
        <w:spacing w:line="300" w:lineRule="auto" w:before="101"/>
        <w:ind w:right="1124" w:firstLine="360"/>
        <w:jc w:val="left"/>
      </w:pPr>
      <w:r>
        <w:rPr>
          <w:rFonts w:ascii="Times New Roman" w:hAnsi="Times New Roman" w:cs="Times New Roman" w:eastAsia="Times New Roman" w:hint="default"/>
        </w:rPr>
        <w:t>2</w:t>
      </w:r>
      <w:r>
        <w:rPr/>
        <w:t>、人员方面：公司总裁、副总裁、财务负责人、董事会秘书等高级管理人员均在本公司领取薪酬，未在控股股东控制 的企业担任除董事、监事外的任何职务和领取薪酬。</w:t>
      </w:r>
    </w:p>
    <w:p>
      <w:pPr>
        <w:pStyle w:val="BodyText"/>
        <w:spacing w:line="240" w:lineRule="auto" w:before="72"/>
        <w:ind w:left="513" w:right="0"/>
        <w:jc w:val="left"/>
      </w:pPr>
      <w:r>
        <w:rPr>
          <w:rFonts w:ascii="Times New Roman" w:hAnsi="Times New Roman" w:cs="Times New Roman" w:eastAsia="Times New Roman" w:hint="default"/>
        </w:rPr>
        <w:t>3</w:t>
      </w:r>
      <w:r>
        <w:rPr/>
        <w:t>、资产方面：公司拥有独立的生产经营场所及经营所需的设备、技术、专利、商标，不存在产权界定不清晰的情况。</w:t>
      </w:r>
    </w:p>
    <w:p>
      <w:pPr>
        <w:pStyle w:val="BodyText"/>
        <w:spacing w:line="240" w:lineRule="auto" w:before="103"/>
        <w:ind w:left="513" w:right="2602"/>
        <w:jc w:val="left"/>
      </w:pPr>
      <w:r>
        <w:rPr>
          <w:rFonts w:ascii="Times New Roman" w:hAnsi="Times New Roman" w:cs="Times New Roman" w:eastAsia="Times New Roman" w:hint="default"/>
        </w:rPr>
        <w:t>4</w:t>
      </w:r>
      <w:r>
        <w:rPr/>
        <w:t>、机构方面：公司建立了适应自身发展需要的组织机构并明确了各机构的职能，可独立运作。</w:t>
      </w:r>
    </w:p>
    <w:p>
      <w:pPr>
        <w:pStyle w:val="BodyText"/>
        <w:spacing w:line="309" w:lineRule="auto" w:before="101"/>
        <w:ind w:right="1130" w:firstLine="360"/>
        <w:jc w:val="both"/>
      </w:pPr>
      <w:r>
        <w:rPr>
          <w:rFonts w:ascii="Times New Roman" w:hAnsi="Times New Roman" w:cs="Times New Roman" w:eastAsia="Times New Roman" w:hint="default"/>
        </w:rPr>
        <w:t>5</w:t>
      </w:r>
      <w:r>
        <w:rPr/>
        <w:t>、财务方面：公司设有独立的财务部门及审计部门，配备了专门的财务人员及审计人员，建立了会计核算制度、财务 </w:t>
      </w:r>
      <w:r>
        <w:rPr>
          <w:spacing w:val="-2"/>
        </w:rPr>
        <w:t>管理制度即内部审计制度。公司开立独立银行账户，不存在与控股股东共用账户的情况。公司依法独立纳税进行纳税申报及</w:t>
      </w:r>
      <w:r>
        <w:rPr>
          <w:spacing w:val="-63"/>
        </w:rPr>
        <w:t> </w:t>
      </w:r>
      <w:r>
        <w:rPr>
          <w:spacing w:val="-63"/>
        </w:rPr>
      </w:r>
      <w:r>
        <w:rPr/>
        <w:t>履行纳税义务。</w:t>
      </w:r>
    </w:p>
    <w:p>
      <w:pPr>
        <w:spacing w:line="240" w:lineRule="auto" w:before="3"/>
        <w:rPr>
          <w:rFonts w:ascii="宋体" w:hAnsi="宋体" w:cs="宋体" w:eastAsia="宋体" w:hint="default"/>
          <w:sz w:val="21"/>
          <w:szCs w:val="21"/>
        </w:rPr>
      </w:pPr>
    </w:p>
    <w:p>
      <w:pPr>
        <w:pStyle w:val="Heading2"/>
        <w:spacing w:line="240" w:lineRule="auto"/>
        <w:ind w:right="2602"/>
        <w:jc w:val="left"/>
        <w:rPr>
          <w:b w:val="0"/>
          <w:bCs w:val="0"/>
        </w:rPr>
      </w:pPr>
      <w:bookmarkStart w:name="三、同业竞争情况" w:id="144"/>
      <w:bookmarkEnd w:id="144"/>
      <w:r>
        <w:rPr>
          <w:b w:val="0"/>
          <w:bCs w:val="0"/>
        </w:rPr>
      </w:r>
      <w:r>
        <w:rPr/>
        <w:t>三、同业竞争情况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
        <w:rPr>
          <w:rFonts w:ascii="宋体" w:hAnsi="宋体" w:cs="宋体" w:eastAsia="宋体" w:hint="default"/>
          <w:sz w:val="24"/>
          <w:szCs w:val="24"/>
        </w:rPr>
      </w:pPr>
    </w:p>
    <w:p>
      <w:pPr>
        <w:pStyle w:val="Heading2"/>
        <w:spacing w:line="240" w:lineRule="auto"/>
        <w:ind w:right="2602"/>
        <w:jc w:val="left"/>
        <w:rPr>
          <w:b w:val="0"/>
          <w:bCs w:val="0"/>
        </w:rPr>
      </w:pPr>
      <w:bookmarkStart w:name="四、报告期内召开的年度股东大会和临时股东大会的有关情况" w:id="145"/>
      <w:bookmarkEnd w:id="145"/>
      <w:r>
        <w:rPr>
          <w:b w:val="0"/>
          <w:bCs w:val="0"/>
        </w:rPr>
      </w:r>
      <w:r>
        <w:rPr/>
        <w:t>四、报告期内召开的年度股东大会和临时股东大会的有关情况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本报告期股东大会情况" w:id="146"/>
      <w:bookmarkEnd w:id="146"/>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85"/>
        <w:gridCol w:w="1419"/>
        <w:gridCol w:w="1380"/>
        <w:gridCol w:w="1596"/>
        <w:gridCol w:w="1594"/>
        <w:gridCol w:w="1594"/>
      </w:tblGrid>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9"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1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投资者参与比例</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年第一次股东大会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25.18%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年第二次股东大会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25.02%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年第三次股东大会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27.31%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25.04%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年第四次股东大会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25.07%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年第五次股东大会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6.79%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年第六次股东大会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51.22%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年第七次股东大会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39.60%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年第八次股东大会</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19.14%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4"/>
              <w:jc w:val="center"/>
              <w:rPr>
                <w:rFonts w:ascii="Times New Roman" w:hAnsi="Times New Roman" w:cs="Times New Roman" w:eastAsia="Times New Roman" w:hint="default"/>
                <w:sz w:val="18"/>
                <w:szCs w:val="18"/>
              </w:rPr>
            </w:pPr>
            <w:hyperlink r:id="rId11">
              <w:r>
                <w:rPr>
                  <w:rFonts w:ascii="Times New Roman"/>
                  <w:sz w:val="18"/>
                </w:rPr>
                <w:t>www.cninfo.com.cn</w:t>
              </w:r>
            </w:hyperlink>
          </w:p>
        </w:tc>
      </w:tr>
    </w:tbl>
    <w:p>
      <w:pPr>
        <w:spacing w:line="240" w:lineRule="auto" w:before="3"/>
        <w:rPr>
          <w:rFonts w:ascii="宋体" w:hAnsi="宋体" w:cs="宋体" w:eastAsia="宋体" w:hint="default"/>
          <w:b/>
          <w:bCs/>
          <w:sz w:val="19"/>
          <w:szCs w:val="19"/>
        </w:rPr>
      </w:pPr>
    </w:p>
    <w:p>
      <w:pPr>
        <w:pStyle w:val="Heading3"/>
        <w:spacing w:line="240" w:lineRule="auto" w:before="36"/>
        <w:ind w:right="2602"/>
        <w:jc w:val="left"/>
        <w:rPr>
          <w:b w:val="0"/>
          <w:bCs w:val="0"/>
        </w:rPr>
      </w:pPr>
      <w:bookmarkStart w:name="2、表决权恢复的优先股股东请求召开临时股东大会" w:id="147"/>
      <w:bookmarkEnd w:id="147"/>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五、报告期内独立董事履行职责的情况" w:id="148"/>
      <w:bookmarkEnd w:id="148"/>
      <w:r>
        <w:rPr>
          <w:b w:val="0"/>
          <w:bCs w:val="0"/>
        </w:rPr>
      </w:r>
      <w:r>
        <w:rPr/>
        <w:t>五、报告期内独立董事履行职责的情况</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独立董事出席董事会及股东大会的情况" w:id="149"/>
      <w:bookmarkEnd w:id="149"/>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844"/>
        <w:gridCol w:w="1133"/>
        <w:gridCol w:w="1277"/>
        <w:gridCol w:w="1136"/>
        <w:gridCol w:w="991"/>
        <w:gridCol w:w="852"/>
        <w:gridCol w:w="1177"/>
        <w:gridCol w:w="1164"/>
      </w:tblGrid>
      <w:tr>
        <w:trPr>
          <w:trHeight w:val="403" w:hRule="exact"/>
        </w:trPr>
        <w:tc>
          <w:tcPr>
            <w:tcW w:w="957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5"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377"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2" w:right="110"/>
              <w:jc w:val="center"/>
              <w:rPr>
                <w:rFonts w:ascii="宋体" w:hAnsi="宋体" w:cs="宋体" w:eastAsia="宋体" w:hint="default"/>
                <w:sz w:val="18"/>
                <w:szCs w:val="18"/>
              </w:rPr>
            </w:pPr>
            <w:r>
              <w:rPr>
                <w:rFonts w:ascii="宋体" w:hAnsi="宋体" w:cs="宋体" w:eastAsia="宋体" w:hint="default"/>
                <w:sz w:val="18"/>
                <w:szCs w:val="18"/>
              </w:rPr>
              <w:t>本报告期应 参加董事会 次数</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364" w:right="89" w:hanging="269"/>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2" w:right="111"/>
              <w:jc w:val="center"/>
              <w:rPr>
                <w:rFonts w:ascii="宋体" w:hAnsi="宋体" w:cs="宋体" w:eastAsia="宋体" w:hint="default"/>
                <w:sz w:val="18"/>
                <w:szCs w:val="18"/>
              </w:rPr>
            </w:pPr>
            <w:r>
              <w:rPr>
                <w:rFonts w:ascii="宋体" w:hAnsi="宋体" w:cs="宋体" w:eastAsia="宋体" w:hint="default"/>
                <w:sz w:val="18"/>
                <w:szCs w:val="18"/>
              </w:rPr>
              <w:t>以通讯方式 参加董事会 次数</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132" w:right="38" w:hanging="92"/>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151" w:right="60" w:hanging="92"/>
              <w:jc w:val="left"/>
              <w:rPr>
                <w:rFonts w:ascii="宋体" w:hAnsi="宋体" w:cs="宋体" w:eastAsia="宋体" w:hint="default"/>
                <w:sz w:val="18"/>
                <w:szCs w:val="18"/>
              </w:rPr>
            </w:pPr>
            <w:r>
              <w:rPr>
                <w:rFonts w:ascii="宋体" w:hAnsi="宋体" w:cs="宋体" w:eastAsia="宋体" w:hint="default"/>
                <w:sz w:val="18"/>
                <w:szCs w:val="18"/>
              </w:rPr>
              <w:t>缺席董事 会次数</w:t>
            </w:r>
          </w:p>
        </w:tc>
        <w:tc>
          <w:tcPr>
            <w:tcW w:w="1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 w:right="41"/>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396"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李伯龄</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王建章</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朱洪超</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赵怀亮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LI</w:t>
            </w:r>
            <w:r>
              <w:rPr>
                <w:rFonts w:ascii="Times New Roman" w:hAnsi="Times New Roman" w:cs="Times New Roman" w:eastAsia="Times New Roman" w:hint="default"/>
                <w:spacing w:val="-26"/>
                <w:sz w:val="18"/>
                <w:szCs w:val="18"/>
              </w:rPr>
              <w:t> </w:t>
            </w:r>
            <w:r>
              <w:rPr>
                <w:rFonts w:ascii="Times New Roman" w:hAnsi="Times New Roman" w:cs="Times New Roman" w:eastAsia="Times New Roman" w:hint="default"/>
                <w:sz w:val="18"/>
                <w:szCs w:val="18"/>
              </w:rPr>
              <w:t>YIFAN</w:t>
            </w:r>
            <w:r>
              <w:rPr>
                <w:rFonts w:ascii="宋体" w:hAnsi="宋体" w:cs="宋体" w:eastAsia="宋体" w:hint="default"/>
                <w:sz w:val="18"/>
                <w:szCs w:val="18"/>
              </w:rPr>
              <w:t>（李轶梵）</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麻志明</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360" w:lineRule="auto" w:before="49"/>
        <w:ind w:right="8054"/>
        <w:jc w:val="left"/>
      </w:pPr>
      <w:r>
        <w:rPr/>
        <w:t>连续两次未亲自出席董事会的说明 不适用</w:t>
      </w:r>
    </w:p>
    <w:p>
      <w:pPr>
        <w:spacing w:line="240" w:lineRule="auto" w:before="2"/>
        <w:rPr>
          <w:rFonts w:ascii="宋体" w:hAnsi="宋体" w:cs="宋体" w:eastAsia="宋体" w:hint="default"/>
          <w:sz w:val="20"/>
          <w:szCs w:val="20"/>
        </w:rPr>
      </w:pPr>
    </w:p>
    <w:p>
      <w:pPr>
        <w:pStyle w:val="Heading3"/>
        <w:spacing w:line="240" w:lineRule="auto"/>
        <w:ind w:right="0"/>
        <w:jc w:val="both"/>
        <w:rPr>
          <w:b w:val="0"/>
          <w:bCs w:val="0"/>
        </w:rPr>
      </w:pPr>
      <w:bookmarkStart w:name="2、独立董事对公司有关事项提出异议的情况" w:id="150"/>
      <w:bookmarkEnd w:id="150"/>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t>独立董事对公司有关事项是否提出异议</w:t>
      </w:r>
    </w:p>
    <w:p>
      <w:pPr>
        <w:pStyle w:val="BodyText"/>
        <w:spacing w:line="338" w:lineRule="auto" w:before="117"/>
        <w:ind w:right="697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报告期内独立董事对公司有关事项未提出异议。</w:t>
      </w:r>
    </w:p>
    <w:p>
      <w:pPr>
        <w:spacing w:line="240" w:lineRule="auto" w:before="7"/>
        <w:rPr>
          <w:rFonts w:ascii="宋体" w:hAnsi="宋体" w:cs="宋体" w:eastAsia="宋体" w:hint="default"/>
          <w:sz w:val="21"/>
          <w:szCs w:val="21"/>
        </w:rPr>
      </w:pPr>
    </w:p>
    <w:p>
      <w:pPr>
        <w:pStyle w:val="Heading3"/>
        <w:spacing w:line="240" w:lineRule="auto"/>
        <w:ind w:right="0"/>
        <w:jc w:val="both"/>
        <w:rPr>
          <w:b w:val="0"/>
          <w:bCs w:val="0"/>
        </w:rPr>
      </w:pPr>
      <w:bookmarkStart w:name="3、独立董事履行职责的其他说明" w:id="151"/>
      <w:bookmarkEnd w:id="151"/>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t>独立董事对公司有关建议是否被采纳</w:t>
      </w:r>
    </w:p>
    <w:p>
      <w:pPr>
        <w:pStyle w:val="BodyText"/>
        <w:spacing w:line="338" w:lineRule="auto" w:before="117"/>
        <w:ind w:right="679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独立董事对公司有关建议被采纳或未被采纳的说明</w:t>
      </w:r>
    </w:p>
    <w:p>
      <w:pPr>
        <w:pStyle w:val="BodyText"/>
        <w:spacing w:line="316" w:lineRule="auto" w:before="125"/>
        <w:ind w:right="1131" w:firstLine="360"/>
        <w:jc w:val="both"/>
      </w:pPr>
      <w:r>
        <w:rPr>
          <w:spacing w:val="-6"/>
        </w:rPr>
        <w:t>公司独立董事勤勉尽责，严格按照中国证监会的相关规定及《公司章程》、《董事会议事规则》和《独立董事工作制度》</w:t>
      </w:r>
      <w:r>
        <w:rPr/>
        <w:t> </w:t>
      </w:r>
      <w:r>
        <w:rPr>
          <w:spacing w:val="-2"/>
        </w:rPr>
        <w:t>开展工作，关注公司运作，独立履行职责，对公司内部控制建设、管理体系建设和重大决策等方面提出了很多宝贵的专业性</w:t>
      </w:r>
      <w:r>
        <w:rPr>
          <w:spacing w:val="-64"/>
        </w:rPr>
        <w:t> </w:t>
      </w:r>
      <w:r>
        <w:rPr>
          <w:spacing w:val="-64"/>
        </w:rPr>
      </w:r>
      <w:r>
        <w:rPr>
          <w:spacing w:val="-2"/>
        </w:rPr>
        <w:t>建议，对公司财务及生产经营活动进行了有效监督，提高了公司决策的科学性，为完善公司监督机制，维护公司和全体股东</w:t>
      </w:r>
      <w:r>
        <w:rPr>
          <w:spacing w:val="-65"/>
        </w:rPr>
        <w:t> </w:t>
      </w:r>
      <w:r>
        <w:rPr>
          <w:spacing w:val="-65"/>
        </w:rPr>
      </w:r>
      <w:r>
        <w:rPr/>
        <w:t>的合法权益发挥了应有的作用。</w:t>
      </w:r>
    </w:p>
    <w:p>
      <w:pPr>
        <w:spacing w:line="240" w:lineRule="auto" w:before="12"/>
        <w:rPr>
          <w:rFonts w:ascii="宋体" w:hAnsi="宋体" w:cs="宋体" w:eastAsia="宋体" w:hint="default"/>
          <w:sz w:val="20"/>
          <w:szCs w:val="20"/>
        </w:rPr>
      </w:pPr>
    </w:p>
    <w:p>
      <w:pPr>
        <w:pStyle w:val="Heading2"/>
        <w:spacing w:line="240" w:lineRule="auto"/>
        <w:ind w:right="0"/>
        <w:jc w:val="both"/>
        <w:rPr>
          <w:b w:val="0"/>
          <w:bCs w:val="0"/>
        </w:rPr>
      </w:pPr>
      <w:bookmarkStart w:name="六、董事会下设专门委员会在报告期内履行职责情况" w:id="152"/>
      <w:bookmarkEnd w:id="152"/>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left="513" w:right="0"/>
        <w:jc w:val="left"/>
      </w:pPr>
      <w:r>
        <w:rPr>
          <w:rFonts w:ascii="Times New Roman" w:hAnsi="Times New Roman" w:cs="Times New Roman" w:eastAsia="Times New Roman" w:hint="default"/>
        </w:rPr>
        <w:t>1</w:t>
      </w:r>
      <w:r>
        <w:rPr/>
        <w:t>、审计委员会的履职情况 </w:t>
      </w:r>
      <w:r>
        <w:rPr>
          <w:spacing w:val="-2"/>
        </w:rPr>
        <w:t>报告期内，根据《董事会审计委员会工作细则》，审计委员会充分发挥了审核与监督作用，主要负责公司财务监督和核</w:t>
      </w:r>
    </w:p>
    <w:p>
      <w:pPr>
        <w:pStyle w:val="BodyText"/>
        <w:spacing w:line="309" w:lineRule="auto" w:before="1"/>
        <w:ind w:right="1132"/>
        <w:jc w:val="both"/>
      </w:pPr>
      <w:r>
        <w:rPr>
          <w:spacing w:val="-2"/>
        </w:rPr>
        <w:t>查工作及外部审计机构的沟通、协调工作。审计委员会对公司内部控制情况进行了核查，认为公司已经建立的内控制度体系</w:t>
      </w:r>
      <w:r>
        <w:rPr>
          <w:spacing w:val="-66"/>
        </w:rPr>
        <w:t> </w:t>
      </w:r>
      <w:r>
        <w:rPr>
          <w:spacing w:val="-66"/>
        </w:rPr>
      </w:r>
      <w:r>
        <w:rPr/>
        <w:t>符合相关法规的规定，并能有效控制相关风险。</w:t>
      </w:r>
      <w:r>
        <w:rPr>
          <w:rFonts w:ascii="Times New Roman" w:hAnsi="Times New Roman" w:cs="Times New Roman" w:eastAsia="Times New Roman" w:hint="default"/>
        </w:rPr>
        <w:t>2019</w:t>
      </w:r>
      <w:r>
        <w:rPr/>
        <w:t>年，审计委员会共召开了</w:t>
      </w:r>
      <w:r>
        <w:rPr>
          <w:rFonts w:ascii="Times New Roman" w:hAnsi="Times New Roman" w:cs="Times New Roman" w:eastAsia="Times New Roman" w:hint="default"/>
        </w:rPr>
        <w:t>2</w:t>
      </w:r>
      <w:r>
        <w:rPr/>
        <w:t>次会议，重点对公司定期财务报告、募集资</w:t>
      </w:r>
      <w:r>
        <w:rPr>
          <w:spacing w:val="-84"/>
        </w:rPr>
        <w:t> </w:t>
      </w:r>
      <w:r>
        <w:rPr>
          <w:spacing w:val="-84"/>
        </w:rPr>
      </w:r>
      <w:r>
        <w:rPr/>
        <w:t>金使用情况、内部控制制度对等事项进行审议。</w:t>
      </w:r>
    </w:p>
    <w:p>
      <w:pPr>
        <w:pStyle w:val="BodyText"/>
        <w:spacing w:line="240" w:lineRule="auto" w:before="142"/>
        <w:ind w:left="513" w:right="2602"/>
        <w:jc w:val="left"/>
      </w:pPr>
      <w:r>
        <w:rPr>
          <w:rFonts w:ascii="Times New Roman" w:hAnsi="Times New Roman" w:cs="Times New Roman" w:eastAsia="Times New Roman" w:hint="default"/>
        </w:rPr>
        <w:t>2</w:t>
      </w:r>
      <w:r>
        <w:rPr/>
        <w:t>、提名委员会的履职情况</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9" w:lineRule="auto" w:before="44"/>
        <w:ind w:right="1034" w:firstLine="360"/>
        <w:jc w:val="left"/>
      </w:pPr>
      <w:r>
        <w:rPr/>
        <w:t>报告期内，根据《董事会提名委员会工作细则》，提名委员会对优化董事会组成，完善公司治理结构发挥了积极作用。 </w:t>
      </w:r>
      <w:r>
        <w:rPr>
          <w:spacing w:val="-2"/>
        </w:rPr>
        <w:t>对公司董事（包括独立董事）、经理及其他高级管理人员的人选的选择向董事会提出意见和建议。</w:t>
      </w:r>
      <w:r>
        <w:rPr>
          <w:rFonts w:ascii="Times New Roman" w:hAnsi="Times New Roman" w:cs="Times New Roman" w:eastAsia="Times New Roman" w:hint="default"/>
          <w:spacing w:val="-2"/>
        </w:rPr>
        <w:t>2019</w:t>
      </w:r>
      <w:r>
        <w:rPr>
          <w:spacing w:val="-2"/>
        </w:rPr>
        <w:t>年度，提名委员会召</w:t>
      </w:r>
      <w:r>
        <w:rPr>
          <w:spacing w:val="-63"/>
        </w:rPr>
        <w:t> </w:t>
      </w:r>
      <w:r>
        <w:rPr>
          <w:spacing w:val="-63"/>
        </w:rPr>
      </w:r>
      <w:r>
        <w:rPr/>
        <w:t>开了</w:t>
      </w:r>
      <w:r>
        <w:rPr>
          <w:rFonts w:ascii="Times New Roman" w:hAnsi="Times New Roman" w:cs="Times New Roman" w:eastAsia="Times New Roman" w:hint="default"/>
        </w:rPr>
        <w:t>3</w:t>
      </w:r>
      <w:r>
        <w:rPr/>
        <w:t>次会议，对提名董事、高级管理人员相关事项进行了审议。</w:t>
      </w:r>
    </w:p>
    <w:p>
      <w:pPr>
        <w:pStyle w:val="BodyText"/>
        <w:spacing w:line="340" w:lineRule="auto" w:before="125"/>
        <w:ind w:left="513" w:right="0"/>
        <w:jc w:val="left"/>
      </w:pPr>
      <w:r>
        <w:rPr>
          <w:rFonts w:ascii="Times New Roman" w:hAnsi="Times New Roman" w:cs="Times New Roman" w:eastAsia="Times New Roman" w:hint="default"/>
        </w:rPr>
        <w:t>3</w:t>
      </w:r>
      <w:r>
        <w:rPr/>
        <w:t>、薪酬与考核委员会的履职情况 </w:t>
      </w:r>
      <w:r>
        <w:rPr>
          <w:spacing w:val="-2"/>
        </w:rPr>
        <w:t>报告期内，公司董事会薪酬与考核委员会依照相关法规及《公司章程》、《董事会薪酬与考核委员会工作细则》的规定</w:t>
      </w:r>
    </w:p>
    <w:p>
      <w:pPr>
        <w:pStyle w:val="BodyText"/>
        <w:spacing w:line="309" w:lineRule="auto" w:before="1"/>
        <w:ind w:right="1131"/>
        <w:jc w:val="both"/>
      </w:pPr>
      <w:r>
        <w:rPr/>
        <w:t>审查了公司董事及高级管理人员的履行职责情况等相关职责。</w:t>
      </w:r>
      <w:r>
        <w:rPr>
          <w:rFonts w:ascii="Times New Roman" w:hAnsi="Times New Roman" w:cs="Times New Roman" w:eastAsia="Times New Roman" w:hint="default"/>
        </w:rPr>
        <w:t>2019</w:t>
      </w:r>
      <w:r>
        <w:rPr/>
        <w:t>年度，薪酬与考核委员会召开了</w:t>
      </w:r>
      <w:r>
        <w:rPr>
          <w:rFonts w:ascii="Times New Roman" w:hAnsi="Times New Roman" w:cs="Times New Roman" w:eastAsia="Times New Roman" w:hint="default"/>
        </w:rPr>
        <w:t>1</w:t>
      </w:r>
      <w:r>
        <w:rPr/>
        <w:t>次会议，对公司</w:t>
      </w:r>
      <w:r>
        <w:rPr>
          <w:rFonts w:ascii="Times New Roman" w:hAnsi="Times New Roman" w:cs="Times New Roman" w:eastAsia="Times New Roman" w:hint="default"/>
        </w:rPr>
        <w:t>2018</w:t>
      </w:r>
      <w:r>
        <w:rPr/>
        <w:t>年</w:t>
      </w:r>
      <w:r>
        <w:rPr>
          <w:spacing w:val="-85"/>
        </w:rPr>
        <w:t> </w:t>
      </w:r>
      <w:r>
        <w:rPr>
          <w:spacing w:val="-2"/>
        </w:rPr>
        <w:t>度股票期权激励计划预留授予激励对象主体资格进行审议，委员会核查了公司高级管理人员的薪酬，认为其薪酬情况符合公</w:t>
      </w:r>
      <w:r>
        <w:rPr>
          <w:spacing w:val="-64"/>
        </w:rPr>
        <w:t> </w:t>
      </w:r>
      <w:r>
        <w:rPr>
          <w:spacing w:val="-64"/>
        </w:rPr>
      </w:r>
      <w:r>
        <w:rPr/>
        <w:t>司董事会和股东大会确定的相关报酬依据及公司的劳动人事管理制度。</w:t>
      </w:r>
    </w:p>
    <w:p>
      <w:pPr>
        <w:spacing w:line="240" w:lineRule="auto" w:before="1"/>
        <w:rPr>
          <w:rFonts w:ascii="宋体" w:hAnsi="宋体" w:cs="宋体" w:eastAsia="宋体" w:hint="default"/>
          <w:sz w:val="21"/>
          <w:szCs w:val="21"/>
        </w:rPr>
      </w:pPr>
    </w:p>
    <w:p>
      <w:pPr>
        <w:pStyle w:val="Heading2"/>
        <w:spacing w:line="240" w:lineRule="auto"/>
        <w:ind w:right="0"/>
        <w:jc w:val="both"/>
        <w:rPr>
          <w:b w:val="0"/>
          <w:bCs w:val="0"/>
        </w:rPr>
      </w:pPr>
      <w:bookmarkStart w:name="七、监事会工作情况" w:id="153"/>
      <w:bookmarkEnd w:id="153"/>
      <w:r>
        <w:rPr>
          <w:b w:val="0"/>
          <w:bCs w:val="0"/>
        </w:rPr>
      </w:r>
      <w:r>
        <w:rPr/>
        <w:t>七、监事会工作情况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监事会在报告期内的监督活动中发现公司是否存在风险</w:t>
      </w:r>
    </w:p>
    <w:p>
      <w:pPr>
        <w:pStyle w:val="BodyText"/>
        <w:spacing w:line="340" w:lineRule="auto" w:before="118"/>
        <w:ind w:right="73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公司监事会对报告期内的监督事项无异议。</w:t>
      </w:r>
    </w:p>
    <w:p>
      <w:pPr>
        <w:spacing w:line="240" w:lineRule="auto" w:before="4"/>
        <w:rPr>
          <w:rFonts w:ascii="宋体" w:hAnsi="宋体" w:cs="宋体" w:eastAsia="宋体" w:hint="default"/>
          <w:sz w:val="19"/>
          <w:szCs w:val="19"/>
        </w:rPr>
      </w:pPr>
    </w:p>
    <w:p>
      <w:pPr>
        <w:pStyle w:val="Heading2"/>
        <w:spacing w:line="240" w:lineRule="auto"/>
        <w:ind w:right="0"/>
        <w:jc w:val="both"/>
        <w:rPr>
          <w:b w:val="0"/>
          <w:bCs w:val="0"/>
        </w:rPr>
      </w:pPr>
      <w:bookmarkStart w:name="八、高级管理人员的考评及激励情况" w:id="154"/>
      <w:bookmarkEnd w:id="154"/>
      <w:r>
        <w:rPr>
          <w:b w:val="0"/>
          <w:bCs w:val="0"/>
        </w:rPr>
      </w:r>
      <w:r>
        <w:rPr/>
        <w:t>八、高级管理人员的考评及激励情况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1" w:firstLine="360"/>
        <w:jc w:val="both"/>
      </w:pPr>
      <w:r>
        <w:rPr>
          <w:spacing w:val="-2"/>
        </w:rPr>
        <w:t>高级管理人员的报酬数额和奖励方式由董事会薪酬与考核委员会根据岗位绩效评价结果及薪酬分配政策提出，并制定考</w:t>
      </w:r>
      <w:r>
        <w:rPr/>
        <w:t> </w:t>
      </w:r>
      <w:r>
        <w:rPr>
          <w:spacing w:val="-2"/>
        </w:rPr>
        <w:t>核方案报公司董事会，由董事会审议通过。报告期内，公司不断完善高级管理人员的考评机制。公司高级管理人员的报酬按</w:t>
      </w:r>
      <w:r>
        <w:rPr>
          <w:spacing w:val="-64"/>
        </w:rPr>
        <w:t> </w:t>
      </w:r>
      <w:r>
        <w:rPr>
          <w:spacing w:val="-64"/>
        </w:rPr>
      </w:r>
      <w:r>
        <w:rPr/>
        <w:t>照公司《章程》、《董事会薪酬与考核委员会实施细则》等规定，结合经营绩效、工作能力、岗位职责考核确定并发放。</w:t>
      </w:r>
    </w:p>
    <w:p>
      <w:pPr>
        <w:spacing w:line="240" w:lineRule="auto" w:before="11"/>
        <w:rPr>
          <w:rFonts w:ascii="宋体" w:hAnsi="宋体" w:cs="宋体" w:eastAsia="宋体" w:hint="default"/>
          <w:sz w:val="20"/>
          <w:szCs w:val="20"/>
        </w:rPr>
      </w:pPr>
    </w:p>
    <w:p>
      <w:pPr>
        <w:pStyle w:val="Heading2"/>
        <w:spacing w:line="240" w:lineRule="auto"/>
        <w:ind w:right="0"/>
        <w:jc w:val="both"/>
        <w:rPr>
          <w:b w:val="0"/>
          <w:bCs w:val="0"/>
        </w:rPr>
      </w:pPr>
      <w:bookmarkStart w:name="九、内部控制评价报告" w:id="155"/>
      <w:bookmarkEnd w:id="155"/>
      <w:r>
        <w:rPr>
          <w:b w:val="0"/>
          <w:bCs w:val="0"/>
        </w:rPr>
      </w:r>
      <w:r>
        <w:rPr/>
        <w:t>九、内部控制评价报告</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0"/>
        <w:jc w:val="both"/>
        <w:rPr>
          <w:b w:val="0"/>
          <w:bCs w:val="0"/>
        </w:rPr>
      </w:pPr>
      <w:bookmarkStart w:name="1、报告期内发现的内部控制重大缺陷的具体情况" w:id="156"/>
      <w:bookmarkEnd w:id="156"/>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9571"/>
      </w:tblGrid>
      <w:tr>
        <w:trPr>
          <w:trHeight w:val="401" w:hRule="exact"/>
        </w:trPr>
        <w:tc>
          <w:tcPr>
            <w:tcW w:w="9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9" w:right="0"/>
              <w:jc w:val="left"/>
              <w:rPr>
                <w:rFonts w:ascii="宋体" w:hAnsi="宋体" w:cs="宋体" w:eastAsia="宋体" w:hint="default"/>
                <w:sz w:val="18"/>
                <w:szCs w:val="18"/>
              </w:rPr>
            </w:pPr>
            <w:r>
              <w:rPr>
                <w:rFonts w:ascii="宋体" w:hAnsi="宋体" w:cs="宋体" w:eastAsia="宋体" w:hint="default"/>
                <w:sz w:val="18"/>
                <w:szCs w:val="18"/>
              </w:rPr>
              <w:t>报告期内发现的内部控制重大缺陷的具体情况</w:t>
            </w:r>
          </w:p>
        </w:tc>
      </w:tr>
      <w:tr>
        <w:trPr>
          <w:trHeight w:val="5139" w:hRule="exact"/>
        </w:trPr>
        <w:tc>
          <w:tcPr>
            <w:tcW w:w="9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84" w:right="0"/>
              <w:jc w:val="left"/>
              <w:rPr>
                <w:rFonts w:ascii="宋体" w:hAnsi="宋体" w:cs="宋体" w:eastAsia="宋体" w:hint="default"/>
                <w:sz w:val="18"/>
                <w:szCs w:val="18"/>
              </w:rPr>
            </w:pPr>
            <w:r>
              <w:rPr>
                <w:rFonts w:ascii="宋体" w:hAnsi="宋体" w:cs="宋体" w:eastAsia="宋体" w:hint="default"/>
                <w:sz w:val="18"/>
                <w:szCs w:val="18"/>
              </w:rPr>
              <w:t>一、报告期内发现的内部控制重大缺陷</w:t>
            </w:r>
          </w:p>
          <w:p>
            <w:pPr>
              <w:pStyle w:val="TableParagraph"/>
              <w:spacing w:line="240" w:lineRule="auto" w:before="117"/>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、未及时披露原控股股东非经营性资金占用情况</w:t>
            </w:r>
          </w:p>
          <w:p>
            <w:pPr>
              <w:pStyle w:val="TableParagraph"/>
              <w:spacing w:line="240" w:lineRule="auto" w:before="103"/>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月，公司原控股股东存在非经营性资金占用情况，公司未及时履行信息披露义务。</w:t>
            </w:r>
          </w:p>
          <w:p>
            <w:pPr>
              <w:pStyle w:val="TableParagraph"/>
              <w:spacing w:line="300" w:lineRule="auto" w:before="101"/>
              <w:ind w:left="24" w:right="87" w:firstLine="36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pacing w:val="-1"/>
                <w:sz w:val="18"/>
                <w:szCs w:val="18"/>
              </w:rPr>
              <w:t>23</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日发布了《关于公司自查控股股东非经营性资金占用情况的提示性公告》，对万豪投资非经营</w:t>
            </w:r>
            <w:r>
              <w:rPr>
                <w:rFonts w:ascii="宋体" w:hAnsi="宋体" w:cs="宋体" w:eastAsia="宋体" w:hint="default"/>
                <w:sz w:val="18"/>
                <w:szCs w:val="18"/>
              </w:rPr>
              <w:t> 性资金占用事项予以了披露。</w:t>
            </w:r>
          </w:p>
          <w:p>
            <w:pPr>
              <w:pStyle w:val="TableParagraph"/>
              <w:spacing w:line="240" w:lineRule="auto" w:before="72"/>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、未真实、准确披露</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年第一季度财务报告</w:t>
            </w:r>
          </w:p>
          <w:p>
            <w:pPr>
              <w:pStyle w:val="TableParagraph"/>
              <w:spacing w:line="240" w:lineRule="auto" w:before="104"/>
              <w:ind w:left="384" w:right="0"/>
              <w:jc w:val="left"/>
              <w:rPr>
                <w:rFonts w:ascii="宋体" w:hAnsi="宋体" w:cs="宋体" w:eastAsia="宋体" w:hint="default"/>
                <w:sz w:val="18"/>
                <w:szCs w:val="18"/>
              </w:rPr>
            </w:pPr>
            <w:r>
              <w:rPr>
                <w:rFonts w:ascii="宋体" w:hAnsi="宋体" w:cs="宋体" w:eastAsia="宋体" w:hint="default"/>
                <w:sz w:val="18"/>
                <w:szCs w:val="18"/>
              </w:rPr>
              <w:t>公司未在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年第一季度财务报告中反映万豪投资非经营性资金占用事项，合并资产负债表其他应收款和短期借款</w:t>
            </w:r>
          </w:p>
          <w:p>
            <w:pPr>
              <w:pStyle w:val="TableParagraph"/>
              <w:spacing w:line="240" w:lineRule="auto" w:before="63"/>
              <w:ind w:left="24" w:right="-3"/>
              <w:jc w:val="left"/>
              <w:rPr>
                <w:rFonts w:ascii="宋体" w:hAnsi="宋体" w:cs="宋体" w:eastAsia="宋体" w:hint="default"/>
                <w:sz w:val="18"/>
                <w:szCs w:val="18"/>
              </w:rPr>
            </w:pPr>
            <w:r>
              <w:rPr>
                <w:rFonts w:ascii="宋体" w:hAnsi="宋体" w:cs="宋体" w:eastAsia="宋体" w:hint="default"/>
                <w:sz w:val="18"/>
                <w:szCs w:val="18"/>
              </w:rPr>
              <w:t>同时少计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亿元；母公司资产负债表货币资金少计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亿元，其他应收款少计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亿元，短期借款少计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合并现金流量表支付其他与经营活动有关的现金少计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亿元，偿还债务支付的现金多计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亿元；母公司现金流量</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表支付其他与经营活动有关的现金少计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4.105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亿元，偿还债务支付的现金多计</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5.805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亿元，期末现金及现金等价物余额少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亿元，不符合《企业会计准则</w:t>
            </w:r>
            <w:r>
              <w:rPr>
                <w:rFonts w:ascii="Times New Roman" w:hAnsi="Times New Roman" w:cs="Times New Roman" w:eastAsia="Times New Roman" w:hint="default"/>
                <w:sz w:val="18"/>
                <w:szCs w:val="18"/>
              </w:rPr>
              <w:t>——</w:t>
            </w:r>
            <w:r>
              <w:rPr>
                <w:rFonts w:ascii="宋体" w:hAnsi="宋体" w:cs="宋体" w:eastAsia="宋体" w:hint="default"/>
                <w:sz w:val="18"/>
                <w:szCs w:val="18"/>
              </w:rPr>
              <w:t>基本准则》第十二条的规定。</w:t>
            </w:r>
          </w:p>
          <w:p>
            <w:pPr>
              <w:pStyle w:val="TableParagraph"/>
              <w:spacing w:line="240" w:lineRule="auto" w:before="101"/>
              <w:ind w:left="384" w:right="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日发</w:t>
            </w:r>
            <w:r>
              <w:rPr>
                <w:rFonts w:ascii="宋体" w:hAnsi="宋体" w:cs="宋体" w:eastAsia="宋体" w:hint="default"/>
                <w:spacing w:val="-3"/>
                <w:sz w:val="18"/>
                <w:szCs w:val="18"/>
              </w:rPr>
              <w:t>布</w:t>
            </w:r>
            <w:r>
              <w:rPr>
                <w:rFonts w:ascii="宋体" w:hAnsi="宋体" w:cs="宋体" w:eastAsia="宋体" w:hint="default"/>
                <w:sz w:val="18"/>
                <w:szCs w:val="18"/>
              </w:rPr>
              <w:t>了《关于前期会计差错更正的公告</w:t>
            </w:r>
            <w:r>
              <w:rPr>
                <w:rFonts w:ascii="宋体" w:hAnsi="宋体" w:cs="宋体" w:eastAsia="宋体" w:hint="default"/>
                <w:spacing w:val="-92"/>
                <w:sz w:val="18"/>
                <w:szCs w:val="18"/>
              </w:rPr>
              <w:t>》</w:t>
            </w:r>
            <w:r>
              <w:rPr>
                <w:rFonts w:ascii="宋体" w:hAnsi="宋体" w:cs="宋体" w:eastAsia="宋体" w:hint="default"/>
                <w:sz w:val="18"/>
                <w:szCs w:val="18"/>
              </w:rPr>
              <w:t>，对上述事项予以了更</w:t>
            </w:r>
            <w:r>
              <w:rPr>
                <w:rFonts w:ascii="宋体" w:hAnsi="宋体" w:cs="宋体" w:eastAsia="宋体" w:hint="default"/>
                <w:spacing w:val="2"/>
                <w:sz w:val="18"/>
                <w:szCs w:val="18"/>
              </w:rPr>
              <w:t>正</w:t>
            </w:r>
            <w:r>
              <w:rPr>
                <w:rFonts w:ascii="宋体" w:hAnsi="宋体" w:cs="宋体" w:eastAsia="宋体" w:hint="default"/>
                <w:sz w:val="18"/>
                <w:szCs w:val="18"/>
              </w:rPr>
              <w:t>。</w:t>
            </w:r>
          </w:p>
          <w:p>
            <w:pPr>
              <w:pStyle w:val="TableParagraph"/>
              <w:spacing w:line="240" w:lineRule="auto" w:before="2"/>
              <w:ind w:right="0"/>
              <w:jc w:val="left"/>
              <w:rPr>
                <w:rFonts w:ascii="宋体" w:hAnsi="宋体" w:cs="宋体" w:eastAsia="宋体" w:hint="default"/>
                <w:sz w:val="23"/>
                <w:szCs w:val="23"/>
              </w:rPr>
            </w:pPr>
          </w:p>
          <w:p>
            <w:pPr>
              <w:pStyle w:val="TableParagraph"/>
              <w:spacing w:line="360" w:lineRule="auto"/>
              <w:ind w:left="384" w:right="23"/>
              <w:jc w:val="left"/>
              <w:rPr>
                <w:rFonts w:ascii="宋体" w:hAnsi="宋体" w:cs="宋体" w:eastAsia="宋体" w:hint="default"/>
                <w:sz w:val="18"/>
                <w:szCs w:val="18"/>
              </w:rPr>
            </w:pPr>
            <w:r>
              <w:rPr>
                <w:rFonts w:ascii="宋体" w:hAnsi="宋体" w:cs="宋体" w:eastAsia="宋体" w:hint="default"/>
                <w:sz w:val="18"/>
                <w:szCs w:val="18"/>
              </w:rPr>
              <w:t>二、公司为解决非经营性资金占用问题所采取的措施 </w:t>
            </w:r>
            <w:r>
              <w:rPr>
                <w:rFonts w:ascii="宋体" w:hAnsi="宋体" w:cs="宋体" w:eastAsia="宋体" w:hint="default"/>
                <w:spacing w:val="-1"/>
                <w:sz w:val="18"/>
                <w:szCs w:val="18"/>
              </w:rPr>
              <w:t>自发现原控股股东万豪投资非经营性资金占用问题以来，公司董事会、监事会及管理层高度重视，并积极与万豪投资</w:t>
            </w:r>
          </w:p>
        </w:tc>
      </w:tr>
    </w:tbl>
    <w:p>
      <w:pPr>
        <w:spacing w:after="0" w:line="36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2"/>
        <w:rPr>
          <w:rFonts w:ascii="宋体" w:hAnsi="宋体" w:cs="宋体" w:eastAsia="宋体" w:hint="default"/>
          <w:sz w:val="28"/>
          <w:szCs w:val="28"/>
        </w:rPr>
      </w:pPr>
    </w:p>
    <w:p>
      <w:pPr>
        <w:spacing w:line="5429" w:lineRule="exact"/>
        <w:ind w:left="148" w:right="0" w:firstLine="0"/>
        <w:rPr>
          <w:rFonts w:ascii="宋体" w:hAnsi="宋体" w:cs="宋体" w:eastAsia="宋体" w:hint="default"/>
          <w:sz w:val="20"/>
          <w:szCs w:val="20"/>
        </w:rPr>
      </w:pPr>
      <w:r>
        <w:rPr>
          <w:rFonts w:ascii="宋体" w:hAnsi="宋体" w:cs="宋体" w:eastAsia="宋体" w:hint="default"/>
          <w:position w:val="-108"/>
          <w:sz w:val="20"/>
          <w:szCs w:val="20"/>
        </w:rPr>
        <w:pict>
          <v:group style="width:481.9pt;height:271.5pt;mso-position-horizontal-relative:char;mso-position-vertical-relative:line" coordorigin="0,0" coordsize="9638,5430">
            <v:group style="position:absolute;left:10;top:10;width:9562;height:2" coordorigin="10,10" coordsize="9562,2">
              <v:shape style="position:absolute;left:10;top:10;width:9562;height:2" coordorigin="10,10" coordsize="9562,0" path="m10,10l9571,10e" filled="false" stroked="true" strokeweight=".48pt" strokecolor="#000000">
                <v:path arrowok="t"/>
              </v:shape>
            </v:group>
            <v:group style="position:absolute;left:5;top:5;width:2;height:5421" coordorigin="5,5" coordsize="2,5421">
              <v:shape style="position:absolute;left:5;top:5;width:2;height:5421" coordorigin="5,5" coordsize="0,5421" path="m5,5l5,5425e" filled="false" stroked="true" strokeweight=".48pt" strokecolor="#000000">
                <v:path arrowok="t"/>
              </v:shape>
            </v:group>
            <v:group style="position:absolute;left:10;top:5420;width:9562;height:2" coordorigin="10,5420" coordsize="9562,2">
              <v:shape style="position:absolute;left:10;top:5420;width:9562;height:2" coordorigin="10,5420" coordsize="9562,0" path="m10,5420l9571,5420e" filled="false" stroked="true" strokeweight=".47998pt" strokecolor="#000000">
                <v:path arrowok="t"/>
              </v:shape>
            </v:group>
            <v:group style="position:absolute;left:9576;top:5;width:2;height:5421" coordorigin="9576,5" coordsize="2,5421">
              <v:shape style="position:absolute;left:9576;top:5;width:2;height:5421" coordorigin="9576,5" coordsize="0,5421" path="m9576,5l9576,5425e" filled="false" stroked="true" strokeweight=".47998pt" strokecolor="#000000">
                <v:path arrowok="t"/>
              </v:shape>
              <v:shape style="position:absolute;left:0;top:0;width:9638;height:5430" type="#_x0000_t202" filled="false" stroked="false">
                <v:textbox inset="0,0,0,0">
                  <w:txbxContent>
                    <w:p>
                      <w:pPr>
                        <w:spacing w:before="22"/>
                        <w:ind w:left="33" w:right="0" w:firstLine="0"/>
                        <w:jc w:val="left"/>
                        <w:rPr>
                          <w:rFonts w:ascii="宋体" w:hAnsi="宋体" w:cs="宋体" w:eastAsia="宋体" w:hint="default"/>
                          <w:sz w:val="18"/>
                          <w:szCs w:val="18"/>
                        </w:rPr>
                      </w:pPr>
                      <w:r>
                        <w:rPr>
                          <w:rFonts w:ascii="宋体" w:hAnsi="宋体" w:cs="宋体" w:eastAsia="宋体" w:hint="default"/>
                          <w:sz w:val="18"/>
                          <w:szCs w:val="18"/>
                        </w:rPr>
                        <w:t>沟通，督促万豪投资尽快解决非经营性资金占用问题。</w:t>
                      </w:r>
                    </w:p>
                    <w:p>
                      <w:pPr>
                        <w:spacing w:line="309" w:lineRule="auto" w:before="117"/>
                        <w:ind w:left="33" w:right="9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、公司时任董事、监事、高级管理人员在获悉原控股股东存在资金占用事项的第一时间，向原实际控制人递送书面 </w:t>
                      </w:r>
                      <w:r>
                        <w:rPr>
                          <w:rFonts w:ascii="宋体" w:hAnsi="宋体" w:cs="宋体" w:eastAsia="宋体" w:hint="default"/>
                          <w:spacing w:val="-1"/>
                          <w:sz w:val="18"/>
                          <w:szCs w:val="18"/>
                        </w:rPr>
                        <w:t>函件，要求原控股股东及原实际控制人书面报告资金占用的具体情况及资金去向，同时要求原控股股东及原实际控制人承</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诺尽快全额归还占用资金。</w:t>
                      </w:r>
                    </w:p>
                    <w:p>
                      <w:pPr>
                        <w:spacing w:line="309" w:lineRule="auto" w:before="62"/>
                        <w:ind w:left="33" w:right="0" w:firstLine="36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、公司要求万豪投资就限期解决违规占用资金问题制定还款计划并出具书面承诺。万豪投资承诺，将通过资产处置、</w:t>
                      </w:r>
                      <w:r>
                        <w:rPr>
                          <w:rFonts w:ascii="宋体" w:hAnsi="宋体" w:cs="宋体" w:eastAsia="宋体" w:hint="default"/>
                          <w:sz w:val="18"/>
                          <w:szCs w:val="18"/>
                        </w:rPr>
                        <w:t> 引入战略合作方等方式积极筹措资金用于返还占用资金，也将尽最大努力敦促其合作方尽快返还占用资金，具体的返还计 划为：</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日前返还占用资金不低于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亿元，</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日前返还占用资金不低于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亿元，</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p>
                    <w:p>
                      <w:pPr>
                        <w:spacing w:before="5"/>
                        <w:ind w:left="33"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日前将占用资金全部返还。</w:t>
                      </w:r>
                    </w:p>
                    <w:p>
                      <w:pPr>
                        <w:spacing w:line="300" w:lineRule="auto" w:before="103"/>
                        <w:ind w:left="33" w:right="8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、公司分别于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日及</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日要求万豪投资就上海证监局、深圳证券交易所相关问询函件涉及的问题 提供书面说明及证明材料。</w:t>
                      </w:r>
                    </w:p>
                    <w:p>
                      <w:pPr>
                        <w:spacing w:before="72"/>
                        <w:ind w:left="394" w:right="0" w:firstLine="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、公司分别于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日要求万豪投资就欠款归还的进展情况及已采取的相关措施出具告知函。</w:t>
                      </w:r>
                    </w:p>
                    <w:p>
                      <w:pPr>
                        <w:spacing w:line="240" w:lineRule="auto" w:before="0"/>
                        <w:rPr>
                          <w:rFonts w:ascii="宋体" w:hAnsi="宋体" w:cs="宋体" w:eastAsia="宋体" w:hint="default"/>
                          <w:sz w:val="23"/>
                          <w:szCs w:val="23"/>
                        </w:rPr>
                      </w:pPr>
                    </w:p>
                    <w:p>
                      <w:pPr>
                        <w:spacing w:before="0"/>
                        <w:ind w:left="394" w:right="0" w:firstLine="0"/>
                        <w:jc w:val="left"/>
                        <w:rPr>
                          <w:rFonts w:ascii="宋体" w:hAnsi="宋体" w:cs="宋体" w:eastAsia="宋体" w:hint="default"/>
                          <w:sz w:val="18"/>
                          <w:szCs w:val="18"/>
                        </w:rPr>
                      </w:pPr>
                      <w:r>
                        <w:rPr>
                          <w:rFonts w:ascii="宋体" w:hAnsi="宋体" w:cs="宋体" w:eastAsia="宋体" w:hint="default"/>
                          <w:sz w:val="18"/>
                          <w:szCs w:val="18"/>
                        </w:rPr>
                        <w:t>三、非经营性占用资金的归还情况</w:t>
                      </w:r>
                    </w:p>
                    <w:p>
                      <w:pPr>
                        <w:spacing w:before="117"/>
                        <w:ind w:left="39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原控股股东于</w:t>
                      </w:r>
                      <w:r>
                        <w:rPr>
                          <w:rFonts w:ascii="宋体" w:hAnsi="宋体" w:cs="宋体" w:eastAsia="宋体" w:hint="default"/>
                          <w:spacing w:val="-55"/>
                          <w:sz w:val="18"/>
                          <w:szCs w:val="18"/>
                        </w:rPr>
                        <w:t> </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r>
                        <w:rPr>
                          <w:rFonts w:ascii="宋体" w:hAnsi="宋体" w:cs="宋体" w:eastAsia="宋体" w:hint="default"/>
                          <w:spacing w:val="-92"/>
                          <w:sz w:val="18"/>
                          <w:szCs w:val="18"/>
                        </w:rPr>
                        <w:t>、</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日分别归还占款</w:t>
                      </w:r>
                      <w:r>
                        <w:rPr>
                          <w:rFonts w:ascii="宋体" w:hAnsi="宋体" w:cs="宋体" w:eastAsia="宋体" w:hint="default"/>
                          <w:spacing w:val="-54"/>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w:t>
                      </w:r>
                      <w:r>
                        <w:rPr>
                          <w:rFonts w:ascii="宋体" w:hAnsi="宋体" w:cs="宋体" w:eastAsia="宋体" w:hint="default"/>
                          <w:spacing w:val="-92"/>
                          <w:sz w:val="18"/>
                          <w:szCs w:val="18"/>
                        </w:rPr>
                        <w:t>、</w:t>
                      </w:r>
                      <w:r>
                        <w:rPr>
                          <w:rFonts w:ascii="Times New Roman" w:hAnsi="Times New Roman" w:cs="Times New Roman" w:eastAsia="Times New Roman" w:hint="default"/>
                          <w:spacing w:val="1"/>
                          <w:sz w:val="18"/>
                          <w:szCs w:val="18"/>
                        </w:rPr>
                        <w:t>30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w:t>
                      </w:r>
                      <w:r>
                        <w:rPr>
                          <w:rFonts w:ascii="宋体" w:hAnsi="宋体" w:cs="宋体" w:eastAsia="宋体" w:hint="default"/>
                          <w:spacing w:val="-92"/>
                          <w:sz w:val="18"/>
                          <w:szCs w:val="18"/>
                        </w:rPr>
                        <w:t>，</w:t>
                      </w:r>
                      <w:r>
                        <w:rPr>
                          <w:rFonts w:ascii="宋体" w:hAnsi="宋体" w:cs="宋体" w:eastAsia="宋体" w:hint="default"/>
                          <w:sz w:val="18"/>
                          <w:szCs w:val="18"/>
                        </w:rPr>
                        <w:t>合计归还非经营性占用资金</w:t>
                      </w:r>
                      <w:r>
                        <w:rPr>
                          <w:rFonts w:ascii="宋体" w:hAnsi="宋体" w:cs="宋体" w:eastAsia="宋体" w:hint="default"/>
                          <w:spacing w:val="-54"/>
                          <w:sz w:val="18"/>
                          <w:szCs w:val="18"/>
                        </w:rPr>
                        <w:t> </w:t>
                      </w:r>
                      <w:r>
                        <w:rPr>
                          <w:rFonts w:ascii="Times New Roman" w:hAnsi="Times New Roman" w:cs="Times New Roman" w:eastAsia="Times New Roman" w:hint="default"/>
                          <w:spacing w:val="1"/>
                          <w:sz w:val="18"/>
                          <w:szCs w:val="18"/>
                        </w:rPr>
                        <w:t>58</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0</w:t>
                      </w:r>
                    </w:p>
                    <w:p>
                      <w:pPr>
                        <w:spacing w:line="340" w:lineRule="auto" w:before="63"/>
                        <w:ind w:left="394" w:right="911" w:hanging="361"/>
                        <w:jc w:val="left"/>
                        <w:rPr>
                          <w:rFonts w:ascii="宋体" w:hAnsi="宋体" w:cs="宋体" w:eastAsia="宋体" w:hint="default"/>
                          <w:sz w:val="18"/>
                          <w:szCs w:val="18"/>
                        </w:rPr>
                      </w:pPr>
                      <w:r>
                        <w:rPr>
                          <w:rFonts w:ascii="宋体" w:hAnsi="宋体" w:cs="宋体" w:eastAsia="宋体" w:hint="default"/>
                          <w:sz w:val="18"/>
                          <w:szCs w:val="18"/>
                        </w:rPr>
                        <w:t>万元。截至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日，原控股股东非经营性占用资金已全部归还完毕，非经营性占用资金余额为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w:t>
                      </w:r>
                      <w:r>
                        <w:rPr>
                          <w:rFonts w:ascii="宋体" w:hAnsi="宋体" w:cs="宋体" w:eastAsia="宋体" w:hint="default"/>
                          <w:sz w:val="18"/>
                          <w:szCs w:val="18"/>
                        </w:rPr>
                        <w:t>。 综上，经公司积极督促，原控股股东已于还款承诺最后期限届满前将占用资金全额归还。</w:t>
                      </w:r>
                    </w:p>
                  </w:txbxContent>
                </v:textbox>
                <w10:wrap type="none"/>
              </v:shape>
            </v:group>
          </v:group>
        </w:pict>
      </w:r>
      <w:r>
        <w:rPr>
          <w:rFonts w:ascii="宋体" w:hAnsi="宋体" w:cs="宋体" w:eastAsia="宋体" w:hint="default"/>
          <w:position w:val="-108"/>
          <w:sz w:val="20"/>
          <w:szCs w:val="20"/>
        </w:rPr>
      </w:r>
    </w:p>
    <w:p>
      <w:pPr>
        <w:spacing w:line="240" w:lineRule="auto" w:before="12"/>
        <w:rPr>
          <w:rFonts w:ascii="宋体" w:hAnsi="宋体" w:cs="宋体" w:eastAsia="宋体" w:hint="default"/>
          <w:sz w:val="18"/>
          <w:szCs w:val="18"/>
        </w:rPr>
      </w:pPr>
    </w:p>
    <w:p>
      <w:pPr>
        <w:pStyle w:val="Heading3"/>
        <w:spacing w:line="240" w:lineRule="auto" w:before="36"/>
        <w:ind w:right="2602"/>
        <w:jc w:val="left"/>
        <w:rPr>
          <w:b w:val="0"/>
          <w:bCs w:val="0"/>
        </w:rPr>
      </w:pPr>
      <w:bookmarkStart w:name="2、内控自我评价报告" w:id="157"/>
      <w:bookmarkEnd w:id="157"/>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2552"/>
        <w:gridCol w:w="3405"/>
        <w:gridCol w:w="3617"/>
      </w:tblGrid>
      <w:tr>
        <w:trPr>
          <w:trHeight w:val="402" w:hRule="exact"/>
        </w:trPr>
        <w:tc>
          <w:tcPr>
            <w:tcW w:w="595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361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104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r>
      <w:tr>
        <w:trPr>
          <w:trHeight w:val="402" w:hRule="exact"/>
        </w:trPr>
        <w:tc>
          <w:tcPr>
            <w:tcW w:w="595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361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0"/>
              <w:ind w:left="435"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w:t>
            </w:r>
          </w:p>
        </w:tc>
      </w:tr>
      <w:tr>
        <w:trPr>
          <w:trHeight w:val="402" w:hRule="exact"/>
        </w:trPr>
        <w:tc>
          <w:tcPr>
            <w:tcW w:w="595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纳入评价范围单位资产总额占公司合并财务报表资产总额的比例</w:t>
            </w:r>
          </w:p>
        </w:tc>
        <w:tc>
          <w:tcPr>
            <w:tcW w:w="361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43" w:hRule="exact"/>
        </w:trPr>
        <w:tc>
          <w:tcPr>
            <w:tcW w:w="595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纳入评价范围单位营业收入占公司合并财务报表营业收入的比例</w:t>
            </w:r>
          </w:p>
        </w:tc>
        <w:tc>
          <w:tcPr>
            <w:tcW w:w="3617" w:type="dxa"/>
            <w:tcBorders>
              <w:top w:val="single" w:sz="4" w:space="0" w:color="000000"/>
              <w:left w:val="single" w:sz="12" w:space="0" w:color="D2D2D2"/>
              <w:bottom w:val="single" w:sz="36" w:space="0" w:color="D2D2D2"/>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524" w:hRule="exact"/>
        </w:trPr>
        <w:tc>
          <w:tcPr>
            <w:tcW w:w="957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521" w:hRule="exact"/>
        </w:trPr>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left="2"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6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2114" w:hRule="exact"/>
        </w:trPr>
        <w:tc>
          <w:tcPr>
            <w:tcW w:w="2552" w:type="dxa"/>
            <w:tcBorders>
              <w:top w:val="single" w:sz="4" w:space="0" w:color="000000"/>
              <w:left w:val="single" w:sz="4" w:space="0" w:color="000000"/>
              <w:bottom w:val="nil" w:sz="6" w:space="0" w:color="auto"/>
              <w:right w:val="single" w:sz="4" w:space="0" w:color="000000"/>
            </w:tcBorders>
            <w:shd w:val="clear" w:color="auto" w:fill="D2D2D2"/>
          </w:tcPr>
          <w:p>
            <w:pPr/>
          </w:p>
        </w:tc>
        <w:tc>
          <w:tcPr>
            <w:tcW w:w="3405" w:type="dxa"/>
            <w:vMerge w:val="restart"/>
            <w:tcBorders>
              <w:top w:val="single" w:sz="36" w:space="0" w:color="D2D2D2"/>
              <w:left w:val="single" w:sz="10" w:space="0" w:color="D2D2D2"/>
              <w:right w:val="single" w:sz="13" w:space="0" w:color="FFFFFF"/>
            </w:tcBorders>
          </w:tcPr>
          <w:p>
            <w:pPr>
              <w:pStyle w:val="TableParagraph"/>
              <w:spacing w:line="316" w:lineRule="auto" w:before="51"/>
              <w:ind w:left="16" w:right="9"/>
              <w:jc w:val="left"/>
              <w:rPr>
                <w:rFonts w:ascii="宋体" w:hAnsi="宋体" w:cs="宋体" w:eastAsia="宋体" w:hint="default"/>
                <w:sz w:val="18"/>
                <w:szCs w:val="18"/>
              </w:rPr>
            </w:pPr>
            <w:r>
              <w:rPr>
                <w:rFonts w:ascii="宋体" w:hAnsi="宋体" w:cs="宋体" w:eastAsia="宋体" w:hint="default"/>
                <w:sz w:val="18"/>
                <w:szCs w:val="18"/>
              </w:rPr>
              <w:t>重大缺陷，是指一个或多个控制缺陷的组 </w:t>
            </w:r>
            <w:r>
              <w:rPr>
                <w:rFonts w:ascii="宋体" w:hAnsi="宋体" w:cs="宋体" w:eastAsia="宋体" w:hint="default"/>
                <w:spacing w:val="-4"/>
                <w:sz w:val="18"/>
                <w:szCs w:val="18"/>
              </w:rPr>
              <w:t>合，可能导致企业严重偏离控制目标。具体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到财务报告内部控制上，就是内部控制中存</w:t>
            </w:r>
            <w:r>
              <w:rPr>
                <w:rFonts w:ascii="宋体" w:hAnsi="宋体" w:cs="宋体" w:eastAsia="宋体" w:hint="default"/>
                <w:sz w:val="18"/>
                <w:szCs w:val="18"/>
              </w:rPr>
              <w:t> </w:t>
            </w:r>
            <w:r>
              <w:rPr>
                <w:rFonts w:ascii="宋体" w:hAnsi="宋体" w:cs="宋体" w:eastAsia="宋体" w:hint="default"/>
                <w:spacing w:val="-4"/>
                <w:sz w:val="18"/>
                <w:szCs w:val="18"/>
              </w:rPr>
              <w:t>在的、可能导致不能及时防止或发现并纠正</w:t>
            </w:r>
            <w:r>
              <w:rPr>
                <w:rFonts w:ascii="宋体" w:hAnsi="宋体" w:cs="宋体" w:eastAsia="宋体" w:hint="default"/>
                <w:sz w:val="18"/>
                <w:szCs w:val="18"/>
              </w:rPr>
              <w:t> 财务报表重大错报的一个或多个控制缺陷 的组合。</w:t>
            </w:r>
          </w:p>
          <w:p>
            <w:pPr>
              <w:pStyle w:val="TableParagraph"/>
              <w:spacing w:line="316" w:lineRule="auto" w:before="60"/>
              <w:ind w:left="16" w:right="-61"/>
              <w:jc w:val="left"/>
              <w:rPr>
                <w:rFonts w:ascii="宋体" w:hAnsi="宋体" w:cs="宋体" w:eastAsia="宋体" w:hint="default"/>
                <w:sz w:val="18"/>
                <w:szCs w:val="18"/>
              </w:rPr>
            </w:pPr>
            <w:r>
              <w:rPr>
                <w:rFonts w:ascii="宋体" w:hAnsi="宋体" w:cs="宋体" w:eastAsia="宋体" w:hint="default"/>
                <w:sz w:val="18"/>
                <w:szCs w:val="18"/>
              </w:rPr>
              <w:t>重要缺陷，是指一个或多个控制缺陷的组 合，其严重程度和经济后果低于重大缺陷， </w:t>
            </w:r>
            <w:r>
              <w:rPr>
                <w:rFonts w:ascii="宋体" w:hAnsi="宋体" w:cs="宋体" w:eastAsia="宋体" w:hint="default"/>
                <w:spacing w:val="-4"/>
                <w:sz w:val="18"/>
                <w:szCs w:val="18"/>
              </w:rPr>
              <w:t>但仍有可能导致企业偏离控制目标。具体就</w:t>
            </w:r>
            <w:r>
              <w:rPr>
                <w:rFonts w:ascii="宋体" w:hAnsi="宋体" w:cs="宋体" w:eastAsia="宋体" w:hint="default"/>
                <w:sz w:val="18"/>
                <w:szCs w:val="18"/>
              </w:rPr>
              <w:t> </w:t>
            </w:r>
            <w:r>
              <w:rPr>
                <w:rFonts w:ascii="宋体" w:hAnsi="宋体" w:cs="宋体" w:eastAsia="宋体" w:hint="default"/>
                <w:spacing w:val="-4"/>
                <w:sz w:val="18"/>
                <w:szCs w:val="18"/>
              </w:rPr>
              <w:t>是内部控制中存在的、其严重程度不如重大</w:t>
            </w:r>
            <w:r>
              <w:rPr>
                <w:rFonts w:ascii="宋体" w:hAnsi="宋体" w:cs="宋体" w:eastAsia="宋体" w:hint="default"/>
                <w:sz w:val="18"/>
                <w:szCs w:val="18"/>
              </w:rPr>
              <w:t> </w:t>
            </w:r>
            <w:r>
              <w:rPr>
                <w:rFonts w:ascii="宋体" w:hAnsi="宋体" w:cs="宋体" w:eastAsia="宋体" w:hint="default"/>
                <w:spacing w:val="-4"/>
                <w:sz w:val="18"/>
                <w:szCs w:val="18"/>
              </w:rPr>
              <w:t>缺陷、但足以引起企业财务报告监督人员关</w:t>
            </w:r>
            <w:r>
              <w:rPr>
                <w:rFonts w:ascii="宋体" w:hAnsi="宋体" w:cs="宋体" w:eastAsia="宋体" w:hint="default"/>
                <w:sz w:val="18"/>
                <w:szCs w:val="18"/>
              </w:rPr>
              <w:t> 注的一个或多个控制缺陷的组合。</w:t>
            </w:r>
          </w:p>
          <w:p>
            <w:pPr>
              <w:pStyle w:val="TableParagraph"/>
              <w:spacing w:line="316" w:lineRule="auto" w:before="59"/>
              <w:ind w:left="16" w:right="11"/>
              <w:jc w:val="left"/>
              <w:rPr>
                <w:rFonts w:ascii="宋体" w:hAnsi="宋体" w:cs="宋体" w:eastAsia="宋体" w:hint="default"/>
                <w:sz w:val="18"/>
                <w:szCs w:val="18"/>
              </w:rPr>
            </w:pPr>
            <w:r>
              <w:rPr>
                <w:rFonts w:ascii="宋体" w:hAnsi="宋体" w:cs="宋体" w:eastAsia="宋体" w:hint="default"/>
                <w:spacing w:val="-4"/>
                <w:sz w:val="18"/>
                <w:szCs w:val="18"/>
              </w:rPr>
              <w:t>一般缺陷，是指除重大缺陷、重要缺陷之外</w:t>
            </w:r>
            <w:r>
              <w:rPr>
                <w:rFonts w:ascii="宋体" w:hAnsi="宋体" w:cs="宋体" w:eastAsia="宋体" w:hint="default"/>
                <w:sz w:val="18"/>
                <w:szCs w:val="18"/>
              </w:rPr>
              <w:t> 的其他缺陷。</w:t>
            </w:r>
          </w:p>
        </w:tc>
        <w:tc>
          <w:tcPr>
            <w:tcW w:w="3617" w:type="dxa"/>
            <w:vMerge w:val="restart"/>
            <w:tcBorders>
              <w:top w:val="single" w:sz="36" w:space="0" w:color="D2D2D2"/>
              <w:left w:val="single" w:sz="13" w:space="0" w:color="FFFFFF"/>
              <w:right w:val="single" w:sz="4" w:space="0" w:color="000000"/>
            </w:tcBorders>
          </w:tcPr>
          <w:p>
            <w:pPr>
              <w:pStyle w:val="TableParagraph"/>
              <w:spacing w:line="316" w:lineRule="auto" w:before="51"/>
              <w:ind w:left="11" w:right="-17"/>
              <w:jc w:val="left"/>
              <w:rPr>
                <w:rFonts w:ascii="宋体" w:hAnsi="宋体" w:cs="宋体" w:eastAsia="宋体" w:hint="default"/>
                <w:sz w:val="18"/>
                <w:szCs w:val="18"/>
              </w:rPr>
            </w:pPr>
            <w:r>
              <w:rPr>
                <w:rFonts w:ascii="宋体" w:hAnsi="宋体" w:cs="宋体" w:eastAsia="宋体" w:hint="default"/>
                <w:sz w:val="18"/>
                <w:szCs w:val="18"/>
              </w:rPr>
              <w:t>重大缺陷，是指一个或多个控制缺陷的组合， 可能导致企业严重偏离控制目标。具体到非财 务报告内部控制上，就是内部控制中存在的、 可能导致不能及时防止或发现并纠正企业财 务报表以外的经营管理控制目标实现的一个 或多个控制缺陷的组合。</w:t>
            </w:r>
          </w:p>
          <w:p>
            <w:pPr>
              <w:pStyle w:val="TableParagraph"/>
              <w:spacing w:line="316" w:lineRule="auto" w:before="60"/>
              <w:ind w:left="11" w:right="-17"/>
              <w:jc w:val="both"/>
              <w:rPr>
                <w:rFonts w:ascii="宋体" w:hAnsi="宋体" w:cs="宋体" w:eastAsia="宋体" w:hint="default"/>
                <w:sz w:val="18"/>
                <w:szCs w:val="18"/>
              </w:rPr>
            </w:pPr>
            <w:r>
              <w:rPr>
                <w:rFonts w:ascii="宋体" w:hAnsi="宋体" w:cs="宋体" w:eastAsia="宋体" w:hint="default"/>
                <w:sz w:val="18"/>
                <w:szCs w:val="18"/>
              </w:rPr>
              <w:t>重要缺陷，是指一个或多个控制缺陷的组合， 其严重程度和经济后果低于重大缺陷，但仍有 可能导致企业偏离控制目标。具体就是内部控 制中存在的、其严重程度不如重大缺陷、但足 以引起企业管理人员、监督人员关注的一个或 多个控制缺陷的组合。</w:t>
            </w:r>
          </w:p>
          <w:p>
            <w:pPr>
              <w:pStyle w:val="TableParagraph"/>
              <w:spacing w:line="316" w:lineRule="auto" w:before="59"/>
              <w:ind w:left="11" w:right="20"/>
              <w:jc w:val="left"/>
              <w:rPr>
                <w:rFonts w:ascii="宋体" w:hAnsi="宋体" w:cs="宋体" w:eastAsia="宋体" w:hint="default"/>
                <w:sz w:val="18"/>
                <w:szCs w:val="18"/>
              </w:rPr>
            </w:pPr>
            <w:r>
              <w:rPr>
                <w:rFonts w:ascii="宋体" w:hAnsi="宋体" w:cs="宋体" w:eastAsia="宋体" w:hint="default"/>
                <w:spacing w:val="-2"/>
                <w:sz w:val="18"/>
                <w:szCs w:val="18"/>
              </w:rPr>
              <w:t>一般缺陷，是指除重大缺陷、重要缺陷之外的</w:t>
            </w:r>
            <w:r>
              <w:rPr>
                <w:rFonts w:ascii="宋体" w:hAnsi="宋体" w:cs="宋体" w:eastAsia="宋体" w:hint="default"/>
                <w:sz w:val="18"/>
                <w:szCs w:val="18"/>
              </w:rPr>
              <w:t> 其他缺陷。</w:t>
            </w:r>
          </w:p>
        </w:tc>
      </w:tr>
      <w:tr>
        <w:trPr>
          <w:trHeight w:val="394" w:hRule="exact"/>
        </w:trPr>
        <w:tc>
          <w:tcPr>
            <w:tcW w:w="25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405" w:type="dxa"/>
            <w:vMerge/>
            <w:tcBorders>
              <w:left w:val="single" w:sz="10" w:space="0" w:color="D2D2D2"/>
              <w:right w:val="single" w:sz="13" w:space="0" w:color="FFFFFF"/>
            </w:tcBorders>
          </w:tcPr>
          <w:p>
            <w:pPr/>
          </w:p>
        </w:tc>
        <w:tc>
          <w:tcPr>
            <w:tcW w:w="3617" w:type="dxa"/>
            <w:vMerge/>
            <w:tcBorders>
              <w:left w:val="single" w:sz="13" w:space="0" w:color="FFFFFF"/>
              <w:right w:val="single" w:sz="4" w:space="0" w:color="000000"/>
            </w:tcBorders>
          </w:tcPr>
          <w:p>
            <w:pPr/>
          </w:p>
        </w:tc>
      </w:tr>
      <w:tr>
        <w:trPr>
          <w:trHeight w:val="2071" w:hRule="exact"/>
        </w:trPr>
        <w:tc>
          <w:tcPr>
            <w:tcW w:w="2552" w:type="dxa"/>
            <w:tcBorders>
              <w:top w:val="nil" w:sz="6" w:space="0" w:color="auto"/>
              <w:left w:val="single" w:sz="4" w:space="0" w:color="000000"/>
              <w:bottom w:val="single" w:sz="4" w:space="0" w:color="000000"/>
              <w:right w:val="single" w:sz="4" w:space="0" w:color="000000"/>
            </w:tcBorders>
            <w:shd w:val="clear" w:color="auto" w:fill="D2D2D2"/>
          </w:tcPr>
          <w:p>
            <w:pPr/>
          </w:p>
        </w:tc>
        <w:tc>
          <w:tcPr>
            <w:tcW w:w="3405" w:type="dxa"/>
            <w:vMerge/>
            <w:tcBorders>
              <w:left w:val="single" w:sz="10" w:space="0" w:color="D2D2D2"/>
              <w:bottom w:val="single" w:sz="4" w:space="0" w:color="000000"/>
              <w:right w:val="single" w:sz="13" w:space="0" w:color="FFFFFF"/>
            </w:tcBorders>
          </w:tcPr>
          <w:p>
            <w:pPr/>
          </w:p>
        </w:tc>
        <w:tc>
          <w:tcPr>
            <w:tcW w:w="3617" w:type="dxa"/>
            <w:vMerge/>
            <w:tcBorders>
              <w:left w:val="single" w:sz="13" w:space="0" w:color="FFFFFF"/>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4"/>
          <w:szCs w:val="24"/>
        </w:rPr>
      </w:pPr>
    </w:p>
    <w:p>
      <w:pPr>
        <w:pStyle w:val="BodyText"/>
        <w:spacing w:line="240" w:lineRule="auto" w:before="44"/>
        <w:ind w:left="0" w:right="1133"/>
        <w:jc w:val="right"/>
      </w:pPr>
      <w:r>
        <w:rPr/>
        <w:pict>
          <v:shape style="position:absolute;margin-left:56.459999pt;margin-top:-63.148285pt;width:479.45pt;height:292.650pt;mso-position-horizontal-relative:page;mso-position-vertical-relative:paragraph;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50"/>
                    <w:gridCol w:w="994"/>
                    <w:gridCol w:w="2410"/>
                    <w:gridCol w:w="1032"/>
                    <w:gridCol w:w="2588"/>
                  </w:tblGrid>
                  <w:tr>
                    <w:trPr>
                      <w:trHeight w:val="1510" w:hRule="exact"/>
                    </w:trPr>
                    <w:tc>
                      <w:tcPr>
                        <w:tcW w:w="25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316" w:lineRule="auto"/>
                          <w:ind w:left="24" w:right="22"/>
                          <w:jc w:val="both"/>
                          <w:rPr>
                            <w:rFonts w:ascii="宋体" w:hAnsi="宋体" w:cs="宋体" w:eastAsia="宋体" w:hint="default"/>
                            <w:sz w:val="18"/>
                            <w:szCs w:val="18"/>
                          </w:rPr>
                        </w:pPr>
                        <w:r>
                          <w:rPr>
                            <w:rFonts w:ascii="宋体" w:hAnsi="宋体" w:cs="宋体" w:eastAsia="宋体" w:hint="default"/>
                            <w:spacing w:val="-4"/>
                            <w:sz w:val="18"/>
                            <w:szCs w:val="18"/>
                          </w:rPr>
                          <w:t>本年，按照孰低原则，公司以营业收入总额</w:t>
                        </w:r>
                        <w:r>
                          <w:rPr>
                            <w:rFonts w:ascii="宋体" w:hAnsi="宋体" w:cs="宋体" w:eastAsia="宋体" w:hint="default"/>
                            <w:sz w:val="18"/>
                            <w:szCs w:val="18"/>
                          </w:rPr>
                          <w:t> </w:t>
                        </w:r>
                        <w:r>
                          <w:rPr>
                            <w:rFonts w:ascii="宋体" w:hAnsi="宋体" w:cs="宋体" w:eastAsia="宋体" w:hint="default"/>
                            <w:spacing w:val="-4"/>
                            <w:sz w:val="18"/>
                            <w:szCs w:val="18"/>
                          </w:rPr>
                          <w:t>为基数进行定量判断，具体缺陷等级划分如</w:t>
                        </w:r>
                        <w:r>
                          <w:rPr>
                            <w:rFonts w:ascii="宋体" w:hAnsi="宋体" w:cs="宋体" w:eastAsia="宋体" w:hint="default"/>
                            <w:sz w:val="18"/>
                            <w:szCs w:val="18"/>
                          </w:rPr>
                          <w:t> 下：</w:t>
                        </w:r>
                      </w:p>
                    </w:tc>
                    <w:tc>
                      <w:tcPr>
                        <w:tcW w:w="3620" w:type="dxa"/>
                        <w:gridSpan w:val="2"/>
                        <w:vMerge w:val="restart"/>
                        <w:tcBorders>
                          <w:top w:val="single" w:sz="4" w:space="0" w:color="000000"/>
                          <w:left w:val="single" w:sz="4" w:space="0" w:color="000000"/>
                          <w:right w:val="single" w:sz="4" w:space="0" w:color="000000"/>
                        </w:tcBorders>
                      </w:tcPr>
                      <w:p>
                        <w:pPr>
                          <w:pStyle w:val="TableParagraph"/>
                          <w:spacing w:line="312" w:lineRule="auto" w:before="49"/>
                          <w:ind w:left="24" w:right="22"/>
                          <w:jc w:val="left"/>
                          <w:rPr>
                            <w:rFonts w:ascii="宋体" w:hAnsi="宋体" w:cs="宋体" w:eastAsia="宋体" w:hint="default"/>
                            <w:sz w:val="18"/>
                            <w:szCs w:val="18"/>
                          </w:rPr>
                        </w:pPr>
                        <w:r>
                          <w:rPr>
                            <w:rFonts w:ascii="宋体" w:hAnsi="宋体" w:cs="宋体" w:eastAsia="宋体" w:hint="default"/>
                            <w:spacing w:val="-2"/>
                            <w:sz w:val="18"/>
                            <w:szCs w:val="18"/>
                          </w:rPr>
                          <w:t>考虑补偿性控制措施和实际偏差率后，在参照</w:t>
                        </w:r>
                        <w:r>
                          <w:rPr>
                            <w:rFonts w:ascii="宋体" w:hAnsi="宋体" w:cs="宋体" w:eastAsia="宋体" w:hint="default"/>
                            <w:sz w:val="18"/>
                            <w:szCs w:val="18"/>
                          </w:rPr>
                          <w:t> </w:t>
                        </w:r>
                        <w:r>
                          <w:rPr>
                            <w:rFonts w:ascii="宋体" w:hAnsi="宋体" w:cs="宋体" w:eastAsia="宋体" w:hint="default"/>
                            <w:spacing w:val="-2"/>
                            <w:sz w:val="18"/>
                            <w:szCs w:val="18"/>
                          </w:rPr>
                          <w:t>财务报告内部控制缺陷认定的基础上，以涉及</w:t>
                        </w:r>
                        <w:r>
                          <w:rPr>
                            <w:rFonts w:ascii="宋体" w:hAnsi="宋体" w:cs="宋体" w:eastAsia="宋体" w:hint="default"/>
                            <w:sz w:val="18"/>
                            <w:szCs w:val="18"/>
                          </w:rPr>
                          <w:t> </w:t>
                        </w:r>
                        <w:r>
                          <w:rPr>
                            <w:rFonts w:ascii="宋体" w:hAnsi="宋体" w:cs="宋体" w:eastAsia="宋体" w:hint="default"/>
                            <w:spacing w:val="-2"/>
                            <w:sz w:val="18"/>
                            <w:szCs w:val="18"/>
                          </w:rPr>
                          <w:t>金额大小为标准，造成直接财产损失占公司营</w:t>
                        </w:r>
                        <w:r>
                          <w:rPr>
                            <w:rFonts w:ascii="宋体" w:hAnsi="宋体" w:cs="宋体" w:eastAsia="宋体" w:hint="default"/>
                            <w:sz w:val="18"/>
                            <w:szCs w:val="18"/>
                          </w:rPr>
                          <w:t> 业收入总额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的为重大缺陷，造成直接财产 损失占公司营业收入总额</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的为重要缺陷 其他为一般缺陷。具体金额如下：</w:t>
                        </w:r>
                      </w:p>
                    </w:tc>
                  </w:tr>
                  <w:tr>
                    <w:trPr>
                      <w:trHeight w:val="451" w:hRule="exact"/>
                    </w:trPr>
                    <w:tc>
                      <w:tcPr>
                        <w:tcW w:w="2550" w:type="dxa"/>
                        <w:vMerge/>
                        <w:tcBorders>
                          <w:left w:val="single" w:sz="4" w:space="0" w:color="000000"/>
                          <w:right w:val="single" w:sz="4" w:space="0" w:color="000000"/>
                        </w:tcBorders>
                        <w:shd w:val="clear" w:color="auto" w:fill="D2D2D2"/>
                      </w:tcPr>
                      <w:p>
                        <w:pPr/>
                      </w:p>
                    </w:tc>
                    <w:tc>
                      <w:tcPr>
                        <w:tcW w:w="994" w:type="dxa"/>
                        <w:vMerge w:val="restart"/>
                        <w:tcBorders>
                          <w:top w:val="single" w:sz="4" w:space="0" w:color="000000"/>
                          <w:left w:val="single" w:sz="4" w:space="0" w:color="000000"/>
                          <w:right w:val="single" w:sz="4" w:space="0" w:color="000000"/>
                        </w:tcBorders>
                      </w:tcPr>
                      <w:p>
                        <w:pPr>
                          <w:pStyle w:val="TableParagraph"/>
                          <w:spacing w:line="360" w:lineRule="auto" w:before="8"/>
                          <w:ind w:left="312" w:right="131" w:hanging="180"/>
                          <w:jc w:val="left"/>
                          <w:rPr>
                            <w:rFonts w:ascii="宋体" w:hAnsi="宋体" w:cs="宋体" w:eastAsia="宋体" w:hint="default"/>
                            <w:sz w:val="18"/>
                            <w:szCs w:val="18"/>
                          </w:rPr>
                        </w:pPr>
                        <w:r>
                          <w:rPr>
                            <w:rFonts w:ascii="宋体" w:hAnsi="宋体" w:cs="宋体" w:eastAsia="宋体" w:hint="default"/>
                            <w:sz w:val="18"/>
                            <w:szCs w:val="18"/>
                          </w:rPr>
                          <w:t>内控缺陷 等级</w:t>
                        </w:r>
                      </w:p>
                    </w:tc>
                    <w:tc>
                      <w:tcPr>
                        <w:tcW w:w="241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3620" w:type="dxa"/>
                        <w:gridSpan w:val="2"/>
                        <w:vMerge/>
                        <w:tcBorders>
                          <w:left w:val="single" w:sz="4" w:space="0" w:color="000000"/>
                          <w:bottom w:val="single" w:sz="4" w:space="0" w:color="000000"/>
                          <w:right w:val="single" w:sz="4" w:space="0" w:color="000000"/>
                        </w:tcBorders>
                      </w:tcPr>
                      <w:p>
                        <w:pPr/>
                      </w:p>
                    </w:tc>
                  </w:tr>
                  <w:tr>
                    <w:trPr>
                      <w:trHeight w:val="262" w:hRule="exact"/>
                    </w:trPr>
                    <w:tc>
                      <w:tcPr>
                        <w:tcW w:w="2550" w:type="dxa"/>
                        <w:vMerge/>
                        <w:tcBorders>
                          <w:left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tcPr>
                      <w:p>
                        <w:pPr/>
                      </w:p>
                    </w:tc>
                    <w:tc>
                      <w:tcPr>
                        <w:tcW w:w="2410" w:type="dxa"/>
                        <w:vMerge/>
                        <w:tcBorders>
                          <w:left w:val="single" w:sz="4" w:space="0" w:color="000000"/>
                          <w:bottom w:val="single" w:sz="4" w:space="0" w:color="000000"/>
                          <w:right w:val="single" w:sz="4" w:space="0" w:color="000000"/>
                        </w:tcBorders>
                      </w:tcPr>
                      <w:p>
                        <w:pPr/>
                      </w:p>
                    </w:tc>
                    <w:tc>
                      <w:tcPr>
                        <w:tcW w:w="1032" w:type="dxa"/>
                        <w:vMerge w:val="restart"/>
                        <w:tcBorders>
                          <w:top w:val="single" w:sz="4" w:space="0" w:color="000000"/>
                          <w:left w:val="single" w:sz="4" w:space="0" w:color="000000"/>
                          <w:right w:val="single" w:sz="4" w:space="0" w:color="000000"/>
                        </w:tcBorders>
                      </w:tcPr>
                      <w:p>
                        <w:pPr>
                          <w:pStyle w:val="TableParagraph"/>
                          <w:spacing w:line="357" w:lineRule="auto" w:before="51"/>
                          <w:ind w:left="345" w:right="134" w:hanging="180"/>
                          <w:jc w:val="left"/>
                          <w:rPr>
                            <w:rFonts w:ascii="宋体" w:hAnsi="宋体" w:cs="宋体" w:eastAsia="宋体" w:hint="default"/>
                            <w:sz w:val="18"/>
                            <w:szCs w:val="18"/>
                          </w:rPr>
                        </w:pPr>
                        <w:r>
                          <w:rPr>
                            <w:rFonts w:ascii="宋体" w:hAnsi="宋体" w:cs="宋体" w:eastAsia="宋体" w:hint="default"/>
                            <w:sz w:val="18"/>
                            <w:szCs w:val="18"/>
                          </w:rPr>
                          <w:t>内控缺陷 等级</w:t>
                        </w:r>
                      </w:p>
                    </w:tc>
                    <w:tc>
                      <w:tcPr>
                        <w:tcW w:w="2588" w:type="dxa"/>
                        <w:vMerge w:val="restart"/>
                        <w:tcBorders>
                          <w:top w:val="single" w:sz="4" w:space="0" w:color="000000"/>
                          <w:left w:val="single" w:sz="4" w:space="0" w:color="000000"/>
                          <w:right w:val="single" w:sz="4" w:space="0" w:color="000000"/>
                        </w:tcBorders>
                      </w:tcPr>
                      <w:p>
                        <w:pPr>
                          <w:pStyle w:val="TableParagraph"/>
                          <w:spacing w:line="316" w:lineRule="auto" w:before="70"/>
                          <w:ind w:left="734" w:right="134" w:hanging="632"/>
                          <w:jc w:val="left"/>
                          <w:rPr>
                            <w:rFonts w:ascii="宋体" w:hAnsi="宋体" w:cs="宋体" w:eastAsia="宋体" w:hint="default"/>
                            <w:sz w:val="18"/>
                            <w:szCs w:val="18"/>
                          </w:rPr>
                        </w:pPr>
                        <w:r>
                          <w:rPr>
                            <w:rFonts w:ascii="宋体" w:hAnsi="宋体" w:cs="宋体" w:eastAsia="宋体" w:hint="default"/>
                            <w:sz w:val="18"/>
                            <w:szCs w:val="18"/>
                          </w:rPr>
                          <w:t>潜在风险事件可能造成的直接 财产损失金额</w:t>
                        </w:r>
                      </w:p>
                    </w:tc>
                  </w:tr>
                  <w:tr>
                    <w:trPr>
                      <w:trHeight w:val="403" w:hRule="exact"/>
                    </w:trPr>
                    <w:tc>
                      <w:tcPr>
                        <w:tcW w:w="2550" w:type="dxa"/>
                        <w:vMerge/>
                        <w:tcBorders>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hAnsi="宋体" w:cs="宋体" w:eastAsia="宋体" w:hint="default"/>
                            <w:sz w:val="18"/>
                            <w:szCs w:val="18"/>
                          </w:rPr>
                          <w:t>一般缺陷</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潜在错报</w:t>
                        </w:r>
                        <w:r>
                          <w:rPr>
                            <w:rFonts w:ascii="Times New Roman" w:hAnsi="Times New Roman" w:cs="Times New Roman" w:eastAsia="Times New Roman" w:hint="default"/>
                            <w:sz w:val="18"/>
                            <w:szCs w:val="18"/>
                          </w:rPr>
                          <w:t>&lt;1000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万元人民币</w:t>
                        </w:r>
                      </w:p>
                    </w:tc>
                    <w:tc>
                      <w:tcPr>
                        <w:tcW w:w="1032" w:type="dxa"/>
                        <w:vMerge/>
                        <w:tcBorders>
                          <w:left w:val="single" w:sz="4" w:space="0" w:color="000000"/>
                          <w:right w:val="single" w:sz="4" w:space="0" w:color="000000"/>
                        </w:tcBorders>
                      </w:tcPr>
                      <w:p>
                        <w:pPr/>
                      </w:p>
                    </w:tc>
                    <w:tc>
                      <w:tcPr>
                        <w:tcW w:w="2588" w:type="dxa"/>
                        <w:vMerge/>
                        <w:tcBorders>
                          <w:left w:val="single" w:sz="4" w:space="0" w:color="000000"/>
                          <w:right w:val="single" w:sz="4" w:space="0" w:color="000000"/>
                        </w:tcBorders>
                      </w:tcPr>
                      <w:p>
                        <w:pPr/>
                      </w:p>
                    </w:tc>
                  </w:tr>
                  <w:tr>
                    <w:trPr>
                      <w:trHeight w:val="91" w:hRule="exact"/>
                    </w:trPr>
                    <w:tc>
                      <w:tcPr>
                        <w:tcW w:w="2550" w:type="dxa"/>
                        <w:vMerge/>
                        <w:tcBorders>
                          <w:left w:val="single" w:sz="4" w:space="0" w:color="000000"/>
                          <w:right w:val="single" w:sz="4" w:space="0" w:color="000000"/>
                        </w:tcBorders>
                        <w:shd w:val="clear" w:color="auto" w:fill="D2D2D2"/>
                      </w:tcPr>
                      <w:p>
                        <w:pP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重要缺陷</w:t>
                        </w:r>
                      </w:p>
                    </w:tc>
                    <w:tc>
                      <w:tcPr>
                        <w:tcW w:w="2410" w:type="dxa"/>
                        <w:vMerge w:val="restart"/>
                        <w:tcBorders>
                          <w:top w:val="single" w:sz="4" w:space="0" w:color="000000"/>
                          <w:left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万元人民币≤潜在错报</w:t>
                        </w:r>
                      </w:p>
                      <w:p>
                        <w:pPr>
                          <w:pStyle w:val="TableParagraph"/>
                          <w:spacing w:line="240" w:lineRule="auto" w:before="6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&lt;2000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万元人民币</w:t>
                        </w:r>
                      </w:p>
                    </w:tc>
                    <w:tc>
                      <w:tcPr>
                        <w:tcW w:w="1032" w:type="dxa"/>
                        <w:vMerge/>
                        <w:tcBorders>
                          <w:left w:val="single" w:sz="4" w:space="0" w:color="000000"/>
                          <w:bottom w:val="single" w:sz="4" w:space="0" w:color="000000"/>
                          <w:right w:val="single" w:sz="4" w:space="0" w:color="000000"/>
                        </w:tcBorders>
                      </w:tcPr>
                      <w:p>
                        <w:pPr/>
                      </w:p>
                    </w:tc>
                    <w:tc>
                      <w:tcPr>
                        <w:tcW w:w="2588" w:type="dxa"/>
                        <w:vMerge/>
                        <w:tcBorders>
                          <w:left w:val="single" w:sz="4" w:space="0" w:color="000000"/>
                          <w:bottom w:val="single" w:sz="4" w:space="0" w:color="000000"/>
                          <w:right w:val="single" w:sz="4" w:space="0" w:color="000000"/>
                        </w:tcBorders>
                      </w:tcPr>
                      <w:p>
                        <w:pPr/>
                      </w:p>
                    </w:tc>
                  </w:tr>
                  <w:tr>
                    <w:trPr>
                      <w:trHeight w:val="401" w:hRule="exact"/>
                    </w:trPr>
                    <w:tc>
                      <w:tcPr>
                        <w:tcW w:w="2550" w:type="dxa"/>
                        <w:vMerge/>
                        <w:tcBorders>
                          <w:left w:val="single" w:sz="4" w:space="0" w:color="000000"/>
                          <w:right w:val="single" w:sz="4" w:space="0" w:color="000000"/>
                        </w:tcBorders>
                        <w:shd w:val="clear" w:color="auto" w:fill="D2D2D2"/>
                      </w:tcPr>
                      <w:p>
                        <w:pPr/>
                      </w:p>
                    </w:tc>
                    <w:tc>
                      <w:tcPr>
                        <w:tcW w:w="994" w:type="dxa"/>
                        <w:vMerge/>
                        <w:tcBorders>
                          <w:left w:val="single" w:sz="4" w:space="0" w:color="000000"/>
                          <w:right w:val="single" w:sz="4" w:space="0" w:color="000000"/>
                        </w:tcBorders>
                      </w:tcPr>
                      <w:p>
                        <w:pPr/>
                      </w:p>
                    </w:tc>
                    <w:tc>
                      <w:tcPr>
                        <w:tcW w:w="2410" w:type="dxa"/>
                        <w:vMerge/>
                        <w:tcBorders>
                          <w:left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 w:right="0"/>
                          <w:jc w:val="center"/>
                          <w:rPr>
                            <w:rFonts w:ascii="宋体" w:hAnsi="宋体" w:cs="宋体" w:eastAsia="宋体" w:hint="default"/>
                            <w:sz w:val="18"/>
                            <w:szCs w:val="18"/>
                          </w:rPr>
                        </w:pPr>
                        <w:r>
                          <w:rPr>
                            <w:rFonts w:ascii="宋体" w:hAnsi="宋体" w:cs="宋体" w:eastAsia="宋体" w:hint="default"/>
                            <w:sz w:val="18"/>
                            <w:szCs w:val="18"/>
                          </w:rPr>
                          <w:t>一般缺陷</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潜在错报</w:t>
                        </w:r>
                        <w:r>
                          <w:rPr>
                            <w:rFonts w:ascii="Times New Roman" w:hAnsi="Times New Roman" w:cs="Times New Roman" w:eastAsia="Times New Roman" w:hint="default"/>
                            <w:sz w:val="18"/>
                            <w:szCs w:val="18"/>
                          </w:rPr>
                          <w:t>&lt;1000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万元人民币</w:t>
                        </w:r>
                      </w:p>
                    </w:tc>
                  </w:tr>
                  <w:tr>
                    <w:trPr>
                      <w:trHeight w:val="221" w:hRule="exact"/>
                    </w:trPr>
                    <w:tc>
                      <w:tcPr>
                        <w:tcW w:w="2550" w:type="dxa"/>
                        <w:vMerge/>
                        <w:tcBorders>
                          <w:left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tcPr>
                      <w:p>
                        <w:pPr/>
                      </w:p>
                    </w:tc>
                    <w:tc>
                      <w:tcPr>
                        <w:tcW w:w="2410" w:type="dxa"/>
                        <w:vMerge/>
                        <w:tcBorders>
                          <w:left w:val="single" w:sz="4" w:space="0" w:color="000000"/>
                          <w:bottom w:val="single" w:sz="4" w:space="0" w:color="000000"/>
                          <w:right w:val="single" w:sz="4" w:space="0" w:color="000000"/>
                        </w:tcBorders>
                      </w:tcPr>
                      <w:p>
                        <w:pPr/>
                      </w:p>
                    </w:tc>
                    <w:tc>
                      <w:tcPr>
                        <w:tcW w:w="1032"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重要缺陷</w:t>
                        </w:r>
                      </w:p>
                    </w:tc>
                    <w:tc>
                      <w:tcPr>
                        <w:tcW w:w="2588" w:type="dxa"/>
                        <w:vMerge w:val="restart"/>
                        <w:tcBorders>
                          <w:top w:val="single" w:sz="4" w:space="0" w:color="000000"/>
                          <w:left w:val="single" w:sz="4" w:space="0" w:color="000000"/>
                          <w:right w:val="single" w:sz="4" w:space="0" w:color="000000"/>
                        </w:tcBorders>
                      </w:tcPr>
                      <w:p>
                        <w:pPr>
                          <w:pStyle w:val="TableParagraph"/>
                          <w:spacing w:line="240" w:lineRule="auto" w:before="49"/>
                          <w:ind w:right="27"/>
                          <w:jc w:val="center"/>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万元人民币≤潜在错报</w:t>
                        </w:r>
                      </w:p>
                      <w:p>
                        <w:pPr>
                          <w:pStyle w:val="TableParagraph"/>
                          <w:spacing w:line="240" w:lineRule="auto" w:before="63"/>
                          <w:ind w:right="24"/>
                          <w:jc w:val="center"/>
                          <w:rPr>
                            <w:rFonts w:ascii="宋体" w:hAnsi="宋体" w:cs="宋体" w:eastAsia="宋体" w:hint="default"/>
                            <w:sz w:val="18"/>
                            <w:szCs w:val="18"/>
                          </w:rPr>
                        </w:pPr>
                        <w:r>
                          <w:rPr>
                            <w:rFonts w:ascii="Times New Roman" w:hAnsi="Times New Roman" w:cs="Times New Roman" w:eastAsia="Times New Roman" w:hint="default"/>
                            <w:sz w:val="18"/>
                            <w:szCs w:val="18"/>
                          </w:rPr>
                          <w:t>&lt;2000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万元人民币</w:t>
                        </w:r>
                      </w:p>
                    </w:tc>
                  </w:tr>
                  <w:tr>
                    <w:trPr>
                      <w:trHeight w:val="403" w:hRule="exact"/>
                    </w:trPr>
                    <w:tc>
                      <w:tcPr>
                        <w:tcW w:w="2550" w:type="dxa"/>
                        <w:vMerge/>
                        <w:tcBorders>
                          <w:left w:val="single" w:sz="4" w:space="0" w:color="000000"/>
                          <w:right w:val="single" w:sz="4" w:space="0" w:color="000000"/>
                        </w:tcBorders>
                        <w:shd w:val="clear" w:color="auto" w:fill="D2D2D2"/>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1"/>
                          <w:jc w:val="right"/>
                          <w:rPr>
                            <w:rFonts w:ascii="宋体" w:hAnsi="宋体" w:cs="宋体" w:eastAsia="宋体" w:hint="default"/>
                            <w:sz w:val="18"/>
                            <w:szCs w:val="18"/>
                          </w:rPr>
                        </w:pPr>
                        <w:r>
                          <w:rPr>
                            <w:rFonts w:ascii="宋体" w:hAnsi="宋体" w:cs="宋体" w:eastAsia="宋体" w:hint="default"/>
                            <w:sz w:val="18"/>
                            <w:szCs w:val="18"/>
                          </w:rPr>
                          <w:t>重大缺陷</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万元人民币≤潜在错报</w:t>
                        </w:r>
                      </w:p>
                    </w:tc>
                    <w:tc>
                      <w:tcPr>
                        <w:tcW w:w="1032" w:type="dxa"/>
                        <w:vMerge/>
                        <w:tcBorders>
                          <w:left w:val="single" w:sz="4" w:space="0" w:color="000000"/>
                          <w:right w:val="single" w:sz="4" w:space="0" w:color="000000"/>
                        </w:tcBorders>
                      </w:tcPr>
                      <w:p>
                        <w:pPr/>
                      </w:p>
                    </w:tc>
                    <w:tc>
                      <w:tcPr>
                        <w:tcW w:w="2588" w:type="dxa"/>
                        <w:vMerge/>
                        <w:tcBorders>
                          <w:left w:val="single" w:sz="4" w:space="0" w:color="000000"/>
                          <w:right w:val="single" w:sz="4" w:space="0" w:color="000000"/>
                        </w:tcBorders>
                      </w:tcPr>
                      <w:p>
                        <w:pPr/>
                      </w:p>
                    </w:tc>
                  </w:tr>
                  <w:tr>
                    <w:trPr>
                      <w:trHeight w:val="91" w:hRule="exact"/>
                    </w:trPr>
                    <w:tc>
                      <w:tcPr>
                        <w:tcW w:w="2550" w:type="dxa"/>
                        <w:vMerge/>
                        <w:tcBorders>
                          <w:left w:val="single" w:sz="4" w:space="0" w:color="000000"/>
                          <w:right w:val="single" w:sz="4" w:space="0" w:color="000000"/>
                        </w:tcBorders>
                        <w:shd w:val="clear" w:color="auto" w:fill="D2D2D2"/>
                      </w:tcPr>
                      <w:p>
                        <w:pPr/>
                      </w:p>
                    </w:tc>
                    <w:tc>
                      <w:tcPr>
                        <w:tcW w:w="3404" w:type="dxa"/>
                        <w:gridSpan w:val="2"/>
                        <w:vMerge w:val="restart"/>
                        <w:tcBorders>
                          <w:top w:val="single" w:sz="4" w:space="0" w:color="000000"/>
                          <w:left w:val="single" w:sz="4" w:space="0" w:color="000000"/>
                          <w:right w:val="single" w:sz="4" w:space="0" w:color="000000"/>
                        </w:tcBorders>
                      </w:tcPr>
                      <w:p>
                        <w:pPr/>
                      </w:p>
                    </w:tc>
                    <w:tc>
                      <w:tcPr>
                        <w:tcW w:w="1032" w:type="dxa"/>
                        <w:vMerge/>
                        <w:tcBorders>
                          <w:left w:val="single" w:sz="4" w:space="0" w:color="000000"/>
                          <w:bottom w:val="single" w:sz="4" w:space="0" w:color="000000"/>
                          <w:right w:val="single" w:sz="4" w:space="0" w:color="000000"/>
                        </w:tcBorders>
                      </w:tcPr>
                      <w:p>
                        <w:pPr/>
                      </w:p>
                    </w:tc>
                    <w:tc>
                      <w:tcPr>
                        <w:tcW w:w="2588" w:type="dxa"/>
                        <w:vMerge/>
                        <w:tcBorders>
                          <w:left w:val="single" w:sz="4" w:space="0" w:color="000000"/>
                          <w:bottom w:val="single" w:sz="4" w:space="0" w:color="000000"/>
                          <w:right w:val="single" w:sz="4" w:space="0" w:color="000000"/>
                        </w:tcBorders>
                      </w:tcPr>
                      <w:p>
                        <w:pPr/>
                      </w:p>
                    </w:tc>
                  </w:tr>
                  <w:tr>
                    <w:trPr>
                      <w:trHeight w:val="401" w:hRule="exact"/>
                    </w:trPr>
                    <w:tc>
                      <w:tcPr>
                        <w:tcW w:w="2550" w:type="dxa"/>
                        <w:vMerge/>
                        <w:tcBorders>
                          <w:left w:val="single" w:sz="4" w:space="0" w:color="000000"/>
                          <w:bottom w:val="single" w:sz="4" w:space="0" w:color="000000"/>
                          <w:right w:val="single" w:sz="4" w:space="0" w:color="000000"/>
                        </w:tcBorders>
                        <w:shd w:val="clear" w:color="auto" w:fill="D2D2D2"/>
                      </w:tcPr>
                      <w:p>
                        <w:pPr/>
                      </w:p>
                    </w:tc>
                    <w:tc>
                      <w:tcPr>
                        <w:tcW w:w="3404" w:type="dxa"/>
                        <w:gridSpan w:val="2"/>
                        <w:vMerge/>
                        <w:tcBorders>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 w:right="0"/>
                          <w:jc w:val="center"/>
                          <w:rPr>
                            <w:rFonts w:ascii="宋体" w:hAnsi="宋体" w:cs="宋体" w:eastAsia="宋体" w:hint="default"/>
                            <w:sz w:val="18"/>
                            <w:szCs w:val="18"/>
                          </w:rPr>
                        </w:pPr>
                        <w:r>
                          <w:rPr>
                            <w:rFonts w:ascii="宋体" w:hAnsi="宋体" w:cs="宋体" w:eastAsia="宋体" w:hint="default"/>
                            <w:sz w:val="18"/>
                            <w:szCs w:val="18"/>
                          </w:rPr>
                          <w:t>重大缺陷</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万元人民币≤潜在错报</w:t>
                        </w:r>
                      </w:p>
                    </w:tc>
                  </w:tr>
                  <w:tr>
                    <w:trPr>
                      <w:trHeight w:val="403" w:hRule="exact"/>
                    </w:trPr>
                    <w:tc>
                      <w:tcPr>
                        <w:tcW w:w="2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7024"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2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3"/>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7024"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2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7024"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2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3"/>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7024"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p>
      <w:pPr>
        <w:pStyle w:val="Heading2"/>
        <w:spacing w:line="240" w:lineRule="auto" w:before="26"/>
        <w:ind w:right="2602"/>
        <w:jc w:val="left"/>
        <w:rPr>
          <w:b w:val="0"/>
          <w:bCs w:val="0"/>
        </w:rPr>
      </w:pPr>
      <w:bookmarkStart w:name="十、内部控制审计报告或鉴证报告" w:id="158"/>
      <w:bookmarkEnd w:id="158"/>
      <w:r>
        <w:rPr>
          <w:b w:val="0"/>
          <w:bCs w:val="0"/>
        </w:rPr>
      </w:r>
      <w:r>
        <w:rPr/>
        <w:t>十、内部控制审计报告或鉴证报告</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2602"/>
        <w:jc w:val="left"/>
      </w:pPr>
      <w:r>
        <w:rPr/>
        <w:t>不适用</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964" w:right="2602"/>
        <w:jc w:val="left"/>
        <w:rPr>
          <w:b w:val="0"/>
          <w:bCs w:val="0"/>
        </w:rPr>
      </w:pPr>
      <w:bookmarkStart w:name="第十一节 公司债券相关情况" w:id="159"/>
      <w:bookmarkEnd w:id="159"/>
      <w:r>
        <w:rPr>
          <w:b w:val="0"/>
          <w:bCs w:val="0"/>
        </w:rPr>
      </w:r>
      <w:bookmarkStart w:name="_bookmark10" w:id="160"/>
      <w:bookmarkEnd w:id="160"/>
      <w:r>
        <w:rPr>
          <w:b w:val="0"/>
          <w:bCs w:val="0"/>
        </w:rPr>
      </w:r>
      <w:r>
        <w:rPr/>
        <w:t>第十一节</w:t>
      </w:r>
      <w:r>
        <w:rPr>
          <w:spacing w:val="-6"/>
        </w:rPr>
        <w:t> </w:t>
      </w:r>
      <w:r>
        <w:rPr/>
        <w:t>公司债券相关情况</w:t>
      </w:r>
      <w:r>
        <w:rPr>
          <w:b w:val="0"/>
          <w:bCs w:val="0"/>
        </w:rPr>
      </w:r>
    </w:p>
    <w:p>
      <w:pPr>
        <w:spacing w:line="240" w:lineRule="auto" w:before="9"/>
        <w:rPr>
          <w:rFonts w:ascii="宋体" w:hAnsi="宋体" w:cs="宋体" w:eastAsia="宋体" w:hint="default"/>
          <w:b/>
          <w:bCs/>
          <w:sz w:val="42"/>
          <w:szCs w:val="42"/>
        </w:rPr>
      </w:pPr>
    </w:p>
    <w:p>
      <w:pPr>
        <w:pStyle w:val="BodyText"/>
        <w:spacing w:line="357" w:lineRule="auto"/>
        <w:ind w:right="2114"/>
        <w:jc w:val="left"/>
      </w:pPr>
      <w:r>
        <w:rPr/>
        <w:t>公司是否存在公开发行并在证券交易所上市，且在年度报告批准报出日未到期或到期未能全额兑付的公司债券 否</w:t>
      </w:r>
    </w:p>
    <w:p>
      <w:pPr>
        <w:spacing w:after="0" w:line="357"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607" w:right="2602"/>
        <w:jc w:val="left"/>
        <w:rPr>
          <w:b w:val="0"/>
          <w:bCs w:val="0"/>
        </w:rPr>
      </w:pPr>
      <w:bookmarkStart w:name="第十二节 财务报告" w:id="161"/>
      <w:bookmarkEnd w:id="161"/>
      <w:r>
        <w:rPr>
          <w:b w:val="0"/>
          <w:bCs w:val="0"/>
        </w:rPr>
      </w:r>
      <w:bookmarkStart w:name="_bookmark11" w:id="162"/>
      <w:bookmarkEnd w:id="162"/>
      <w:r>
        <w:rPr>
          <w:b w:val="0"/>
          <w:bCs w:val="0"/>
        </w:rPr>
      </w:r>
      <w:r>
        <w:rPr/>
        <w:t>第十二节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2602"/>
        <w:jc w:val="left"/>
        <w:rPr>
          <w:b w:val="0"/>
          <w:bCs w:val="0"/>
        </w:rPr>
      </w:pPr>
      <w:bookmarkStart w:name="一、审计报告" w:id="163"/>
      <w:bookmarkEnd w:id="163"/>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[2020]</w:t>
            </w:r>
            <w:r>
              <w:rPr>
                <w:rFonts w:ascii="宋体" w:hAnsi="宋体" w:cs="宋体" w:eastAsia="宋体" w:hint="default"/>
                <w:sz w:val="18"/>
                <w:szCs w:val="18"/>
              </w:rPr>
              <w:t>第</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ZA11678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黄晔、赵敏</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2"/>
          <w:szCs w:val="12"/>
        </w:rPr>
      </w:pPr>
    </w:p>
    <w:p>
      <w:pPr>
        <w:pStyle w:val="Heading5"/>
        <w:spacing w:line="316" w:lineRule="auto"/>
        <w:ind w:left="152" w:right="-19"/>
        <w:jc w:val="left"/>
        <w:rPr>
          <w:b w:val="0"/>
          <w:bCs w:val="0"/>
        </w:rPr>
      </w:pPr>
      <w:r>
        <w:rPr/>
        <w:t>万达信息股份有限公司全体股东：</w:t>
      </w:r>
      <w:r>
        <w:rPr>
          <w:w w:val="99"/>
        </w:rPr>
        <w:t> </w:t>
      </w:r>
      <w:r>
        <w:rPr>
          <w:rFonts w:ascii="宋体" w:hAnsi="宋体" w:cs="宋体" w:eastAsia="宋体" w:hint="default"/>
        </w:rPr>
        <w:t>1</w:t>
      </w:r>
      <w:r>
        <w:rPr/>
        <w:t>、审计意见</w:t>
      </w:r>
      <w:r>
        <w:rPr>
          <w:b w:val="0"/>
          <w:bCs w:val="0"/>
        </w:rPr>
      </w:r>
    </w:p>
    <w:p>
      <w:pPr>
        <w:pStyle w:val="BodyText"/>
        <w:spacing w:line="240" w:lineRule="auto" w:before="49"/>
        <w:ind w:right="0"/>
        <w:jc w:val="left"/>
      </w:pPr>
      <w:r>
        <w:rPr/>
        <w:br w:type="column"/>
      </w:r>
      <w:r>
        <w:rPr/>
        <w:t>审计报告正文</w:t>
      </w:r>
    </w:p>
    <w:p>
      <w:pPr>
        <w:spacing w:after="0" w:line="240" w:lineRule="auto"/>
        <w:jc w:val="left"/>
        <w:sectPr>
          <w:type w:val="continuous"/>
          <w:pgSz w:w="11910" w:h="16840"/>
          <w:pgMar w:top="1060" w:bottom="1160" w:left="980" w:right="0"/>
          <w:cols w:num="2" w:equalWidth="0">
            <w:col w:w="2864" w:space="1416"/>
            <w:col w:w="6650"/>
          </w:cols>
        </w:sectPr>
      </w:pPr>
    </w:p>
    <w:p>
      <w:pPr>
        <w:pStyle w:val="BodyText"/>
        <w:spacing w:line="240" w:lineRule="auto" w:before="19"/>
        <w:ind w:left="513" w:right="0"/>
        <w:jc w:val="left"/>
      </w:pPr>
      <w:r>
        <w:rPr/>
        <w:t>我们审计了万达信息股份有限公司（以下简称万达信息）财务报表，包括</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日的合并及母公司资产负债表，</w:t>
      </w:r>
    </w:p>
    <w:p>
      <w:pPr>
        <w:pStyle w:val="BodyText"/>
        <w:spacing w:line="300" w:lineRule="auto" w:before="63"/>
        <w:ind w:left="513" w:right="0" w:hanging="361"/>
        <w:jc w:val="left"/>
      </w:pPr>
      <w:r>
        <w:rPr>
          <w:rFonts w:ascii="Times New Roman" w:hAnsi="Times New Roman" w:cs="Times New Roman" w:eastAsia="Times New Roman" w:hint="default"/>
        </w:rPr>
        <w:t>2019</w:t>
      </w:r>
      <w:r>
        <w:rPr/>
        <w:t>年度的合并及母公司利润表、合并及母公司现金流量表、合并及母公司所有者权益变动表以及相关财务报表附注。 </w:t>
      </w:r>
      <w:r>
        <w:rPr>
          <w:spacing w:val="-2"/>
        </w:rPr>
        <w:t>我们认为，后附的财务报表在所有重大方面按照企业会计准则的规定编制，公允反映了万达信息</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w:t>
      </w:r>
    </w:p>
    <w:p>
      <w:pPr>
        <w:spacing w:line="300" w:lineRule="auto" w:before="13"/>
        <w:ind w:left="152" w:right="5174" w:firstLine="0"/>
        <w:jc w:val="left"/>
        <w:rPr>
          <w:rFonts w:ascii="宋体" w:hAnsi="宋体" w:cs="宋体" w:eastAsia="宋体" w:hint="default"/>
          <w:sz w:val="18"/>
          <w:szCs w:val="18"/>
        </w:rPr>
      </w:pPr>
      <w:r>
        <w:rPr>
          <w:rFonts w:ascii="宋体" w:hAnsi="宋体" w:cs="宋体" w:eastAsia="宋体" w:hint="default"/>
          <w:sz w:val="18"/>
          <w:szCs w:val="18"/>
        </w:rPr>
        <w:t>及母公司财务状况以及</w:t>
      </w:r>
      <w:r>
        <w:rPr>
          <w:rFonts w:ascii="Times New Roman" w:hAnsi="Times New Roman" w:cs="Times New Roman" w:eastAsia="Times New Roman" w:hint="default"/>
          <w:sz w:val="18"/>
          <w:szCs w:val="18"/>
        </w:rPr>
        <w:t>2019</w:t>
      </w:r>
      <w:r>
        <w:rPr>
          <w:rFonts w:ascii="宋体" w:hAnsi="宋体" w:cs="宋体" w:eastAsia="宋体" w:hint="default"/>
          <w:sz w:val="18"/>
          <w:szCs w:val="18"/>
        </w:rPr>
        <w:t>年度的合并及母公司经营成果和现金流量。 </w:t>
      </w:r>
      <w:r>
        <w:rPr>
          <w:rFonts w:ascii="宋体" w:hAnsi="宋体" w:cs="宋体" w:eastAsia="宋体" w:hint="default"/>
          <w:b/>
          <w:bCs/>
          <w:sz w:val="18"/>
          <w:szCs w:val="18"/>
        </w:rPr>
        <w:t>2</w:t>
      </w:r>
      <w:r>
        <w:rPr>
          <w:rFonts w:ascii="宋体" w:hAnsi="宋体" w:cs="宋体" w:eastAsia="宋体" w:hint="default"/>
          <w:b/>
          <w:bCs/>
          <w:sz w:val="18"/>
          <w:szCs w:val="18"/>
        </w:rPr>
        <w:t>、形成审计意见的基础</w:t>
      </w:r>
      <w:r>
        <w:rPr>
          <w:rFonts w:ascii="宋体" w:hAnsi="宋体" w:cs="宋体" w:eastAsia="宋体" w:hint="default"/>
          <w:sz w:val="18"/>
          <w:szCs w:val="18"/>
        </w:rPr>
      </w:r>
    </w:p>
    <w:p>
      <w:pPr>
        <w:pStyle w:val="BodyText"/>
        <w:spacing w:line="316" w:lineRule="auto" w:before="31"/>
        <w:ind w:right="1128" w:firstLine="360"/>
        <w:jc w:val="both"/>
      </w:pPr>
      <w:r>
        <w:rPr>
          <w:spacing w:val="-2"/>
        </w:rPr>
        <w:t>我们按照中国注册会计师审计准则的规定执行了审计工作。审计报告的“注册会计师对财务报表审计的责任”部分进一</w:t>
      </w:r>
      <w:r>
        <w:rPr/>
        <w:t> </w:t>
      </w:r>
      <w:r>
        <w:rPr>
          <w:spacing w:val="-2"/>
        </w:rPr>
        <w:t>步阐述了我们在这些准则下的责任。按照中国注册会计师职业道德守则，我们独立于万达信息，并履行了职业道德方面的其</w:t>
      </w:r>
      <w:r>
        <w:rPr>
          <w:spacing w:val="-63"/>
        </w:rPr>
        <w:t> </w:t>
      </w:r>
      <w:r>
        <w:rPr>
          <w:spacing w:val="-63"/>
        </w:rPr>
      </w:r>
      <w:r>
        <w:rPr/>
        <w:t>他责任。我们相信，我们获取的审计证据是充分、适当的，为发表审计意见提供了基础。</w:t>
      </w:r>
    </w:p>
    <w:p>
      <w:pPr>
        <w:pStyle w:val="BodyText"/>
        <w:spacing w:line="316" w:lineRule="auto" w:before="19"/>
        <w:ind w:left="513" w:right="1119" w:hanging="361"/>
        <w:jc w:val="left"/>
      </w:pPr>
      <w:r>
        <w:rPr>
          <w:rFonts w:ascii="宋体" w:hAnsi="宋体" w:cs="宋体" w:eastAsia="宋体" w:hint="default"/>
          <w:b/>
          <w:bCs/>
        </w:rPr>
        <w:t>3</w:t>
      </w:r>
      <w:r>
        <w:rPr>
          <w:rFonts w:ascii="宋体" w:hAnsi="宋体" w:cs="宋体" w:eastAsia="宋体" w:hint="default"/>
          <w:b/>
          <w:bCs/>
        </w:rPr>
        <w:t>、关键审计事项</w:t>
      </w:r>
      <w:r>
        <w:rPr>
          <w:rFonts w:ascii="宋体" w:hAnsi="宋体" w:cs="宋体" w:eastAsia="宋体" w:hint="default"/>
          <w:b/>
          <w:bCs/>
          <w:w w:val="99"/>
        </w:rPr>
        <w:t> </w:t>
      </w:r>
      <w:r>
        <w:rPr>
          <w:spacing w:val="-2"/>
        </w:rPr>
        <w:t>关键审计事项是我们根据职业判断，认为对本期财务报表审计最为重要的事项。这些事项的应对以对财务报表整体进行</w:t>
      </w:r>
    </w:p>
    <w:p>
      <w:pPr>
        <w:pStyle w:val="BodyText"/>
        <w:spacing w:line="240" w:lineRule="auto" w:before="19"/>
        <w:ind w:right="0"/>
        <w:jc w:val="left"/>
      </w:pPr>
      <w:r>
        <w:rPr/>
        <w:t>审计并形成审计意见为背景</w:t>
      </w:r>
      <w:r>
        <w:rPr>
          <w:spacing w:val="-87"/>
        </w:rPr>
        <w:t>，</w:t>
      </w:r>
      <w:r>
        <w:rPr/>
        <w:t>我们不对这些事项单独发表意见</w:t>
      </w:r>
      <w:r>
        <w:rPr>
          <w:spacing w:val="-87"/>
        </w:rPr>
        <w:t>。</w:t>
      </w:r>
      <w:r>
        <w:rPr/>
        <w:t>我们确定下列事项是需要在审计报告中沟通的关键审计事项。</w:t>
      </w:r>
    </w:p>
    <w:p>
      <w:pPr>
        <w:spacing w:line="240" w:lineRule="auto" w:before="3"/>
        <w:rPr>
          <w:rFonts w:ascii="宋体" w:hAnsi="宋体" w:cs="宋体" w:eastAsia="宋体" w:hint="default"/>
          <w:sz w:val="5"/>
          <w:szCs w:val="5"/>
        </w:rPr>
      </w:pPr>
    </w:p>
    <w:tbl>
      <w:tblPr>
        <w:tblW w:w="0" w:type="auto"/>
        <w:jc w:val="left"/>
        <w:tblInd w:w="136" w:type="dxa"/>
        <w:tblLayout w:type="fixed"/>
        <w:tblCellMar>
          <w:top w:w="0" w:type="dxa"/>
          <w:left w:w="0" w:type="dxa"/>
          <w:bottom w:w="0" w:type="dxa"/>
          <w:right w:w="0" w:type="dxa"/>
        </w:tblCellMar>
        <w:tblLook w:val="01E0"/>
      </w:tblPr>
      <w:tblGrid>
        <w:gridCol w:w="4748"/>
        <w:gridCol w:w="4911"/>
      </w:tblGrid>
      <w:tr>
        <w:trPr>
          <w:trHeight w:val="348" w:hRule="exact"/>
        </w:trPr>
        <w:tc>
          <w:tcPr>
            <w:tcW w:w="47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sz w:val="18"/>
                <w:szCs w:val="18"/>
              </w:rPr>
              <w:t>关键审计事项</w:t>
            </w:r>
            <w:r>
              <w:rPr>
                <w:rFonts w:ascii="宋体" w:hAnsi="宋体" w:cs="宋体" w:eastAsia="宋体" w:hint="default"/>
                <w:sz w:val="18"/>
                <w:szCs w:val="18"/>
              </w:rPr>
            </w:r>
          </w:p>
        </w:tc>
        <w:tc>
          <w:tcPr>
            <w:tcW w:w="4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274" w:right="0"/>
              <w:jc w:val="left"/>
              <w:rPr>
                <w:rFonts w:ascii="宋体" w:hAnsi="宋体" w:cs="宋体" w:eastAsia="宋体" w:hint="default"/>
                <w:sz w:val="18"/>
                <w:szCs w:val="18"/>
              </w:rPr>
            </w:pPr>
            <w:r>
              <w:rPr>
                <w:rFonts w:ascii="宋体" w:hAnsi="宋体" w:cs="宋体" w:eastAsia="宋体" w:hint="default"/>
                <w:b/>
                <w:bCs/>
                <w:sz w:val="18"/>
                <w:szCs w:val="18"/>
              </w:rPr>
              <w:t>该事项在审计中是如何应对的</w:t>
            </w:r>
            <w:r>
              <w:rPr>
                <w:rFonts w:ascii="宋体" w:hAnsi="宋体" w:cs="宋体" w:eastAsia="宋体" w:hint="default"/>
                <w:sz w:val="18"/>
                <w:szCs w:val="18"/>
              </w:rPr>
            </w:r>
          </w:p>
        </w:tc>
      </w:tr>
      <w:tr>
        <w:trPr>
          <w:trHeight w:val="346" w:hRule="exact"/>
        </w:trPr>
        <w:tc>
          <w:tcPr>
            <w:tcW w:w="96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b/>
                <w:bCs/>
                <w:sz w:val="18"/>
                <w:szCs w:val="18"/>
              </w:rPr>
              <w:t>（一）存货跌价准备</w:t>
            </w:r>
            <w:r>
              <w:rPr>
                <w:rFonts w:ascii="宋体" w:hAnsi="宋体" w:cs="宋体" w:eastAsia="宋体" w:hint="default"/>
                <w:sz w:val="18"/>
                <w:szCs w:val="18"/>
              </w:rPr>
            </w:r>
          </w:p>
        </w:tc>
      </w:tr>
      <w:tr>
        <w:trPr>
          <w:trHeight w:val="3157" w:hRule="exact"/>
        </w:trPr>
        <w:tc>
          <w:tcPr>
            <w:tcW w:w="4748"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20"/>
              <w:ind w:left="2" w:right="-20"/>
              <w:jc w:val="left"/>
              <w:rPr>
                <w:rFonts w:ascii="宋体" w:hAnsi="宋体" w:cs="宋体" w:eastAsia="宋体" w:hint="default"/>
                <w:sz w:val="18"/>
                <w:szCs w:val="18"/>
              </w:rPr>
            </w:pPr>
            <w:r>
              <w:rPr>
                <w:rFonts w:ascii="宋体" w:hAnsi="宋体" w:cs="宋体" w:eastAsia="宋体" w:hint="default"/>
                <w:spacing w:val="-3"/>
                <w:sz w:val="18"/>
                <w:szCs w:val="18"/>
              </w:rPr>
              <w:t>参见财务报表附注五</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（存货）所列示，截至</w:t>
            </w:r>
            <w:r>
              <w:rPr>
                <w:rFonts w:ascii="Times New Roman" w:hAnsi="Times New Roman" w:cs="Times New Roman" w:eastAsia="Times New Roman" w:hint="default"/>
                <w:spacing w:val="-3"/>
                <w:sz w:val="18"/>
                <w:szCs w:val="18"/>
              </w:rPr>
              <w:t>2019</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12</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31</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日，公司合并报表中存货账面余额</w:t>
            </w:r>
            <w:r>
              <w:rPr>
                <w:rFonts w:ascii="Times New Roman" w:hAnsi="Times New Roman" w:cs="Times New Roman" w:eastAsia="Times New Roman" w:hint="default"/>
                <w:sz w:val="18"/>
                <w:szCs w:val="18"/>
              </w:rPr>
              <w:t>1,319,331,041.57</w:t>
            </w:r>
            <w:r>
              <w:rPr>
                <w:rFonts w:ascii="宋体" w:hAnsi="宋体" w:cs="宋体" w:eastAsia="宋体" w:hint="default"/>
                <w:sz w:val="18"/>
                <w:szCs w:val="18"/>
              </w:rPr>
              <w:t>元，存货 跌价准备余额</w:t>
            </w:r>
            <w:r>
              <w:rPr>
                <w:rFonts w:ascii="Times New Roman" w:hAnsi="Times New Roman" w:cs="Times New Roman" w:eastAsia="Times New Roman" w:hint="default"/>
                <w:sz w:val="18"/>
                <w:szCs w:val="18"/>
              </w:rPr>
              <w:t>783,998,722.17</w:t>
            </w:r>
            <w:r>
              <w:rPr>
                <w:rFonts w:ascii="宋体" w:hAnsi="宋体" w:cs="宋体" w:eastAsia="宋体" w:hint="default"/>
                <w:sz w:val="18"/>
                <w:szCs w:val="18"/>
              </w:rPr>
              <w:t>元。如财务报表附注</w:t>
            </w:r>
            <w:r>
              <w:rPr>
                <w:rFonts w:ascii="宋体" w:hAnsi="宋体" w:cs="宋体" w:eastAsia="宋体" w:hint="default"/>
                <w:spacing w:val="-29"/>
                <w:sz w:val="18"/>
                <w:szCs w:val="18"/>
              </w:rPr>
              <w:t> </w:t>
            </w:r>
            <w:r>
              <w:rPr>
                <w:rFonts w:ascii="宋体" w:hAnsi="宋体" w:cs="宋体" w:eastAsia="宋体" w:hint="default"/>
                <w:sz w:val="18"/>
                <w:szCs w:val="18"/>
              </w:rPr>
              <w:t>三</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十一</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不同类别存货可变现净值的确定依据所示，公司按照成本与 可变现净值孰低计量存货。在计算存货可变现净值时，贵公 司管理层需要做出重大判断和估计，特别对于未来的售价、 </w:t>
            </w:r>
            <w:r>
              <w:rPr>
                <w:rFonts w:ascii="宋体" w:hAnsi="宋体" w:cs="宋体" w:eastAsia="宋体" w:hint="default"/>
                <w:spacing w:val="-5"/>
                <w:sz w:val="18"/>
                <w:szCs w:val="18"/>
              </w:rPr>
              <w:t>完工时估计将要发生的成本等，由于存货跌价准备金额较大，</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对财务报表影响重大，为此，我们确定存货跌价准备作为关</w:t>
            </w:r>
            <w:r>
              <w:rPr>
                <w:rFonts w:ascii="宋体" w:hAnsi="宋体" w:cs="宋体" w:eastAsia="宋体" w:hint="default"/>
                <w:sz w:val="18"/>
                <w:szCs w:val="18"/>
              </w:rPr>
              <w:t> 键审计事项。</w:t>
            </w:r>
          </w:p>
        </w:tc>
        <w:tc>
          <w:tcPr>
            <w:tcW w:w="4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我们执行的主要审计程序如下：</w:t>
            </w:r>
          </w:p>
          <w:p>
            <w:pPr>
              <w:pStyle w:val="TableParagraph"/>
              <w:spacing w:line="309"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了解管理层计提存货跌价准备的流程并评价和测试了与计</w:t>
            </w:r>
            <w:r>
              <w:rPr>
                <w:rFonts w:ascii="宋体" w:hAnsi="宋体" w:cs="宋体" w:eastAsia="宋体" w:hint="default"/>
                <w:w w:val="99"/>
                <w:sz w:val="18"/>
                <w:szCs w:val="18"/>
              </w:rPr>
              <w:t> </w:t>
            </w:r>
            <w:r>
              <w:rPr>
                <w:rFonts w:ascii="宋体" w:hAnsi="宋体" w:cs="宋体" w:eastAsia="宋体" w:hint="default"/>
                <w:sz w:val="18"/>
                <w:szCs w:val="18"/>
              </w:rPr>
              <w:t>提存货跌价准备相关的内部控制；</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复核及评价管理层计提存货跌价准备方法的合理性及一贯</w:t>
            </w:r>
            <w:r>
              <w:rPr>
                <w:rFonts w:ascii="宋体" w:hAnsi="宋体" w:cs="宋体" w:eastAsia="宋体" w:hint="default"/>
                <w:w w:val="99"/>
                <w:sz w:val="18"/>
                <w:szCs w:val="18"/>
              </w:rPr>
              <w:t> </w:t>
            </w:r>
            <w:r>
              <w:rPr>
                <w:rFonts w:ascii="宋体" w:hAnsi="宋体" w:cs="宋体" w:eastAsia="宋体" w:hint="default"/>
                <w:sz w:val="18"/>
                <w:szCs w:val="18"/>
              </w:rPr>
              <w:t>性；</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取得在建项目合同清单，采用抽样方法，检查合同总额、结</w:t>
            </w:r>
            <w:r>
              <w:rPr>
                <w:rFonts w:ascii="宋体" w:hAnsi="宋体" w:cs="宋体" w:eastAsia="宋体" w:hint="default"/>
                <w:w w:val="99"/>
                <w:sz w:val="18"/>
                <w:szCs w:val="18"/>
              </w:rPr>
              <w:t> </w:t>
            </w:r>
            <w:r>
              <w:rPr>
                <w:rFonts w:ascii="宋体" w:hAnsi="宋体" w:cs="宋体" w:eastAsia="宋体" w:hint="default"/>
                <w:sz w:val="18"/>
                <w:szCs w:val="18"/>
              </w:rPr>
              <w:t>算收款等具体合同执行情况，检查合同预计总成本和已结转成</w:t>
            </w:r>
            <w:r>
              <w:rPr>
                <w:rFonts w:ascii="宋体" w:hAnsi="宋体" w:cs="宋体" w:eastAsia="宋体" w:hint="default"/>
                <w:w w:val="99"/>
                <w:sz w:val="18"/>
                <w:szCs w:val="18"/>
              </w:rPr>
              <w:t> </w:t>
            </w:r>
            <w:r>
              <w:rPr>
                <w:rFonts w:ascii="宋体" w:hAnsi="宋体" w:cs="宋体" w:eastAsia="宋体" w:hint="default"/>
                <w:sz w:val="18"/>
                <w:szCs w:val="18"/>
              </w:rPr>
              <w:t>本，比较剩余收入和剩余预计成本，分析合同预期损失是否计</w:t>
            </w:r>
            <w:r>
              <w:rPr>
                <w:rFonts w:ascii="宋体" w:hAnsi="宋体" w:cs="宋体" w:eastAsia="宋体" w:hint="default"/>
                <w:w w:val="99"/>
                <w:sz w:val="18"/>
                <w:szCs w:val="18"/>
              </w:rPr>
              <w:t> </w:t>
            </w:r>
            <w:r>
              <w:rPr>
                <w:rFonts w:ascii="宋体" w:hAnsi="宋体" w:cs="宋体" w:eastAsia="宋体" w:hint="default"/>
                <w:sz w:val="18"/>
                <w:szCs w:val="18"/>
              </w:rPr>
              <w:t>算准确；</w:t>
            </w:r>
          </w:p>
          <w:p>
            <w:pPr>
              <w:pStyle w:val="TableParagraph"/>
              <w:spacing w:line="240" w:lineRule="auto" w:before="24"/>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复核了存货跌价准备在财务报表的披露是否充分。</w:t>
            </w:r>
          </w:p>
        </w:tc>
      </w:tr>
      <w:tr>
        <w:trPr>
          <w:trHeight w:val="346" w:hRule="exact"/>
        </w:trPr>
        <w:tc>
          <w:tcPr>
            <w:tcW w:w="96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b/>
                <w:bCs/>
                <w:sz w:val="18"/>
                <w:szCs w:val="18"/>
              </w:rPr>
              <w:t>（二）商誉减值</w:t>
            </w:r>
            <w:r>
              <w:rPr>
                <w:rFonts w:ascii="宋体" w:hAnsi="宋体" w:cs="宋体" w:eastAsia="宋体" w:hint="default"/>
                <w:sz w:val="18"/>
                <w:szCs w:val="18"/>
              </w:rPr>
            </w:r>
          </w:p>
        </w:tc>
      </w:tr>
      <w:tr>
        <w:trPr>
          <w:trHeight w:val="1284" w:hRule="exact"/>
        </w:trPr>
        <w:tc>
          <w:tcPr>
            <w:tcW w:w="4748"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2" w:right="0"/>
              <w:jc w:val="both"/>
              <w:rPr>
                <w:rFonts w:ascii="宋体" w:hAnsi="宋体" w:cs="宋体" w:eastAsia="宋体" w:hint="default"/>
                <w:sz w:val="18"/>
                <w:szCs w:val="18"/>
              </w:rPr>
            </w:pPr>
            <w:r>
              <w:rPr>
                <w:rFonts w:ascii="宋体" w:hAnsi="宋体" w:cs="宋体" w:eastAsia="宋体" w:hint="default"/>
                <w:sz w:val="18"/>
                <w:szCs w:val="18"/>
              </w:rPr>
              <w:t>参见财务报表附注五（十九）（商誉）所列示，截至</w:t>
            </w:r>
            <w:r>
              <w:rPr>
                <w:rFonts w:ascii="Times New Roman" w:hAnsi="Times New Roman" w:cs="Times New Roman" w:eastAsia="Times New Roman" w:hint="default"/>
                <w:sz w:val="18"/>
                <w:szCs w:val="18"/>
              </w:rPr>
              <w:t>2019</w:t>
            </w:r>
            <w:r>
              <w:rPr>
                <w:rFonts w:ascii="宋体" w:hAnsi="宋体" w:cs="宋体" w:eastAsia="宋体" w:hint="default"/>
                <w:sz w:val="18"/>
                <w:szCs w:val="18"/>
              </w:rPr>
              <w:t>年 </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日，公司合并报表中商誉账面原值为</w:t>
            </w:r>
            <w:r>
              <w:rPr>
                <w:rFonts w:ascii="Times New Roman" w:hAnsi="Times New Roman" w:cs="Times New Roman" w:eastAsia="Times New Roman" w:hint="default"/>
                <w:sz w:val="18"/>
                <w:szCs w:val="18"/>
              </w:rPr>
              <w:t>1,038,804,874.48 </w:t>
            </w:r>
            <w:r>
              <w:rPr>
                <w:rFonts w:ascii="宋体" w:hAnsi="宋体" w:cs="宋体" w:eastAsia="宋体" w:hint="default"/>
                <w:sz w:val="18"/>
                <w:szCs w:val="18"/>
              </w:rPr>
              <w:t>元，相应的减值准备为</w:t>
            </w:r>
            <w:r>
              <w:rPr>
                <w:rFonts w:ascii="Times New Roman" w:hAnsi="Times New Roman" w:cs="Times New Roman" w:eastAsia="Times New Roman" w:hint="default"/>
                <w:sz w:val="18"/>
                <w:szCs w:val="18"/>
              </w:rPr>
              <w:t>116,525,964.49</w:t>
            </w:r>
            <w:r>
              <w:rPr>
                <w:rFonts w:ascii="宋体" w:hAnsi="宋体" w:cs="宋体" w:eastAsia="宋体" w:hint="default"/>
                <w:sz w:val="18"/>
                <w:szCs w:val="18"/>
              </w:rPr>
              <w:t>元。管理层在每年年度 终了对商誉进行减值测试，并依据减值测试的结果调整商誉</w:t>
            </w:r>
          </w:p>
        </w:tc>
        <w:tc>
          <w:tcPr>
            <w:tcW w:w="4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我们执行的主要审计程序如下：</w:t>
            </w:r>
          </w:p>
          <w:p>
            <w:pPr>
              <w:pStyle w:val="TableParagraph"/>
              <w:spacing w:line="309" w:lineRule="auto" w:before="76"/>
              <w:ind w:left="4" w:right="3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了解管理层计提商誉减值的流程并评估及测试与商誉减值</w:t>
            </w:r>
            <w:r>
              <w:rPr>
                <w:rFonts w:ascii="宋体" w:hAnsi="宋体" w:cs="宋体" w:eastAsia="宋体" w:hint="default"/>
                <w:w w:val="99"/>
                <w:sz w:val="18"/>
                <w:szCs w:val="18"/>
              </w:rPr>
              <w:t> </w:t>
            </w:r>
            <w:r>
              <w:rPr>
                <w:rFonts w:ascii="宋体" w:hAnsi="宋体" w:cs="宋体" w:eastAsia="宋体" w:hint="default"/>
                <w:sz w:val="18"/>
                <w:szCs w:val="18"/>
              </w:rPr>
              <w:t>测试相关的内部控制的设计及执行的有效性，包括外部评估专</w:t>
            </w:r>
            <w:r>
              <w:rPr>
                <w:rFonts w:ascii="宋体" w:hAnsi="宋体" w:cs="宋体" w:eastAsia="宋体" w:hint="default"/>
                <w:w w:val="99"/>
                <w:sz w:val="18"/>
                <w:szCs w:val="18"/>
              </w:rPr>
              <w:t> </w:t>
            </w:r>
            <w:r>
              <w:rPr>
                <w:rFonts w:ascii="宋体" w:hAnsi="宋体" w:cs="宋体" w:eastAsia="宋体" w:hint="default"/>
                <w:sz w:val="18"/>
                <w:szCs w:val="18"/>
              </w:rPr>
              <w:t>家的委聘、减值测试的复核及审批等内部控制；</w:t>
            </w:r>
          </w:p>
        </w:tc>
      </w:tr>
    </w:tbl>
    <w:p>
      <w:pPr>
        <w:spacing w:after="0" w:line="309"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36" w:type="dxa"/>
        <w:tblLayout w:type="fixed"/>
        <w:tblCellMar>
          <w:top w:w="0" w:type="dxa"/>
          <w:left w:w="0" w:type="dxa"/>
          <w:bottom w:w="0" w:type="dxa"/>
          <w:right w:w="0" w:type="dxa"/>
        </w:tblCellMar>
        <w:tblLook w:val="01E0"/>
      </w:tblPr>
      <w:tblGrid>
        <w:gridCol w:w="4748"/>
        <w:gridCol w:w="4911"/>
      </w:tblGrid>
      <w:tr>
        <w:trPr>
          <w:trHeight w:val="1596" w:hRule="exact"/>
        </w:trPr>
        <w:tc>
          <w:tcPr>
            <w:tcW w:w="4748"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17"/>
              <w:ind w:left="2" w:right="50"/>
              <w:jc w:val="both"/>
              <w:rPr>
                <w:rFonts w:ascii="宋体" w:hAnsi="宋体" w:cs="宋体" w:eastAsia="宋体" w:hint="default"/>
                <w:sz w:val="18"/>
                <w:szCs w:val="18"/>
              </w:rPr>
            </w:pPr>
            <w:r>
              <w:rPr>
                <w:rFonts w:ascii="宋体" w:hAnsi="宋体" w:cs="宋体" w:eastAsia="宋体" w:hint="default"/>
                <w:sz w:val="18"/>
                <w:szCs w:val="18"/>
              </w:rPr>
              <w:t>的账面价值。因管理层商誉减值测试的评估过程复杂，需要 高度的判断，减值评估涉及确定折现率等评估参数及对未来 若干年的经营和财务情况的假设，包括未来若干年的销售增 长率和毛利率等，且商誉账面价值较大，对财务报表影响重 大，我们将商誉减值列为关键审计事项。</w:t>
            </w:r>
          </w:p>
        </w:tc>
        <w:tc>
          <w:tcPr>
            <w:tcW w:w="4911"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17"/>
              <w:ind w:left="4" w:right="3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分析管理层对商誉所属资产组的认定和进行商誉减值测试</w:t>
            </w:r>
            <w:r>
              <w:rPr>
                <w:rFonts w:ascii="宋体" w:hAnsi="宋体" w:cs="宋体" w:eastAsia="宋体" w:hint="default"/>
                <w:w w:val="99"/>
                <w:sz w:val="18"/>
                <w:szCs w:val="18"/>
              </w:rPr>
              <w:t> </w:t>
            </w:r>
            <w:r>
              <w:rPr>
                <w:rFonts w:ascii="宋体" w:hAnsi="宋体" w:cs="宋体" w:eastAsia="宋体" w:hint="default"/>
                <w:sz w:val="18"/>
                <w:szCs w:val="18"/>
              </w:rPr>
              <w:t>时采用的关键假设和方法，检查相关的假设和方法的合理性；</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复核管理层编制的商誉所属资产组可收回金额的计算表；</w:t>
            </w:r>
          </w:p>
          <w:p>
            <w:pPr>
              <w:pStyle w:val="TableParagraph"/>
              <w:spacing w:line="300" w:lineRule="auto" w:before="5"/>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2"/>
                <w:sz w:val="18"/>
                <w:szCs w:val="18"/>
              </w:rPr>
              <w:t> </w:t>
            </w:r>
            <w:r>
              <w:rPr>
                <w:rFonts w:ascii="宋体" w:hAnsi="宋体" w:cs="宋体" w:eastAsia="宋体" w:hint="default"/>
                <w:spacing w:val="-3"/>
                <w:sz w:val="18"/>
                <w:szCs w:val="18"/>
              </w:rPr>
              <w:t>比较商誉所属资产组的账面价值与其可收回金额的差异，确</w:t>
            </w:r>
            <w:r>
              <w:rPr>
                <w:rFonts w:ascii="宋体" w:hAnsi="宋体" w:cs="宋体" w:eastAsia="宋体" w:hint="default"/>
                <w:w w:val="99"/>
                <w:sz w:val="18"/>
                <w:szCs w:val="18"/>
              </w:rPr>
              <w:t> </w:t>
            </w:r>
            <w:r>
              <w:rPr>
                <w:rFonts w:ascii="宋体" w:hAnsi="宋体" w:cs="宋体" w:eastAsia="宋体" w:hint="default"/>
                <w:sz w:val="18"/>
                <w:szCs w:val="18"/>
              </w:rPr>
              <w:t>认是否存在商誉减值情况。</w:t>
            </w:r>
          </w:p>
        </w:tc>
      </w:tr>
    </w:tbl>
    <w:p>
      <w:pPr>
        <w:pStyle w:val="Heading5"/>
        <w:spacing w:line="240" w:lineRule="auto" w:before="8"/>
        <w:ind w:left="152" w:right="2602"/>
        <w:jc w:val="left"/>
        <w:rPr>
          <w:b w:val="0"/>
          <w:bCs w:val="0"/>
        </w:rPr>
      </w:pPr>
      <w:r>
        <w:rPr>
          <w:rFonts w:ascii="宋体" w:hAnsi="宋体" w:cs="宋体" w:eastAsia="宋体" w:hint="default"/>
        </w:rPr>
        <w:t>4</w:t>
      </w:r>
      <w:r>
        <w:rPr/>
        <w:t>、其他信息</w:t>
      </w:r>
      <w:r>
        <w:rPr>
          <w:b w:val="0"/>
          <w:bCs w:val="0"/>
        </w:rPr>
      </w:r>
    </w:p>
    <w:p>
      <w:pPr>
        <w:pStyle w:val="BodyText"/>
        <w:spacing w:line="316" w:lineRule="auto" w:before="76"/>
        <w:ind w:right="1131" w:firstLine="360"/>
        <w:jc w:val="both"/>
      </w:pPr>
      <w:r>
        <w:rPr>
          <w:spacing w:val="-2"/>
        </w:rPr>
        <w:t>万达信息管理层（以下简称管理层）对其他信息负责。其他信息包括万达信息</w:t>
      </w:r>
      <w:r>
        <w:rPr>
          <w:rFonts w:ascii="宋体" w:hAnsi="宋体" w:cs="宋体" w:eastAsia="宋体" w:hint="default"/>
          <w:spacing w:val="-2"/>
        </w:rPr>
        <w:t>2019</w:t>
      </w:r>
      <w:r>
        <w:rPr>
          <w:spacing w:val="-2"/>
        </w:rPr>
        <w:t>年年度报告中涵盖的信息，但不包括</w:t>
      </w:r>
      <w:r>
        <w:rPr/>
        <w:t> 财务报表和我们的审计报告。</w:t>
      </w:r>
    </w:p>
    <w:p>
      <w:pPr>
        <w:pStyle w:val="BodyText"/>
        <w:spacing w:line="316" w:lineRule="auto" w:before="19"/>
        <w:ind w:left="513" w:right="0"/>
        <w:jc w:val="left"/>
      </w:pPr>
      <w:r>
        <w:rPr/>
        <w:t>我们对财务报表发表的审计意见不涵盖其他信息，我们也不对其他信息发表任何形式的鉴证结论。 </w:t>
      </w:r>
      <w:r>
        <w:rPr>
          <w:spacing w:val="-2"/>
        </w:rPr>
        <w:t>结合我们对财务报表的审计，我们的责任是阅读其他信息，在此过程中，考虑其他信息是否与财务报表或我们在审计过</w:t>
      </w:r>
    </w:p>
    <w:p>
      <w:pPr>
        <w:pStyle w:val="BodyText"/>
        <w:spacing w:line="316" w:lineRule="auto" w:before="19"/>
        <w:ind w:left="513" w:right="0" w:hanging="361"/>
        <w:jc w:val="left"/>
      </w:pPr>
      <w:r>
        <w:rPr/>
        <w:t>程中了解到的情况存在重大不一致或者似乎存在重大错报。 </w:t>
      </w:r>
      <w:r>
        <w:rPr>
          <w:spacing w:val="-2"/>
        </w:rPr>
        <w:t>基于我们已执行的工作，如果我们确定其他信息存在重大错报，我们应当报告该事实。在这方面，我们无任何事项需要</w:t>
      </w:r>
    </w:p>
    <w:p>
      <w:pPr>
        <w:pStyle w:val="Heading5"/>
        <w:spacing w:line="316" w:lineRule="auto" w:before="19"/>
        <w:ind w:left="152" w:right="7772"/>
        <w:jc w:val="left"/>
        <w:rPr>
          <w:b w:val="0"/>
          <w:bCs w:val="0"/>
        </w:rPr>
      </w:pPr>
      <w:r>
        <w:rPr>
          <w:rFonts w:ascii="宋体" w:hAnsi="宋体" w:cs="宋体" w:eastAsia="宋体" w:hint="default"/>
          <w:b w:val="0"/>
          <w:bCs w:val="0"/>
        </w:rPr>
        <w:t>报告。 </w:t>
      </w:r>
      <w:r>
        <w:rPr>
          <w:rFonts w:ascii="宋体" w:hAnsi="宋体" w:cs="宋体" w:eastAsia="宋体" w:hint="default"/>
        </w:rPr>
        <w:t>5</w:t>
      </w:r>
      <w:r>
        <w:rPr/>
        <w:t>、管理层和治理层对财务报表的责任</w:t>
      </w:r>
      <w:r>
        <w:rPr>
          <w:b w:val="0"/>
          <w:bCs w:val="0"/>
        </w:rPr>
      </w:r>
    </w:p>
    <w:p>
      <w:pPr>
        <w:pStyle w:val="BodyText"/>
        <w:spacing w:line="316" w:lineRule="auto" w:before="19"/>
        <w:ind w:right="1133" w:firstLine="360"/>
        <w:jc w:val="both"/>
      </w:pPr>
      <w:r>
        <w:rPr>
          <w:spacing w:val="-2"/>
        </w:rPr>
        <w:t>管理层负责按照企业会计准则的规定编制财务报表，使其实现公允反映，并设计、执行和维护必要的内部控制，以使财</w:t>
      </w:r>
      <w:r>
        <w:rPr/>
        <w:t> 务报表不存在由于舞弊或错误导致的重大错报。</w:t>
      </w:r>
    </w:p>
    <w:p>
      <w:pPr>
        <w:pStyle w:val="BodyText"/>
        <w:spacing w:line="316" w:lineRule="auto" w:before="19"/>
        <w:ind w:right="1134" w:firstLine="360"/>
        <w:jc w:val="both"/>
      </w:pPr>
      <w:r>
        <w:rPr>
          <w:spacing w:val="-2"/>
        </w:rPr>
        <w:t>在编制财务报表时，管理层负责评估万达信息的持续经营能力，披露与持续经营相关的事项（如适用），并运用持续经</w:t>
      </w:r>
      <w:r>
        <w:rPr/>
        <w:t> 营假设，除非计划进行清算、终止运营或别无其他现实的选择。</w:t>
      </w:r>
    </w:p>
    <w:p>
      <w:pPr>
        <w:spacing w:line="316" w:lineRule="auto" w:before="19"/>
        <w:ind w:left="152" w:right="6974" w:firstLine="360"/>
        <w:jc w:val="left"/>
        <w:rPr>
          <w:rFonts w:ascii="宋体" w:hAnsi="宋体" w:cs="宋体" w:eastAsia="宋体" w:hint="default"/>
          <w:sz w:val="18"/>
          <w:szCs w:val="18"/>
        </w:rPr>
      </w:pPr>
      <w:r>
        <w:rPr>
          <w:rFonts w:ascii="宋体" w:hAnsi="宋体" w:cs="宋体" w:eastAsia="宋体" w:hint="default"/>
          <w:sz w:val="18"/>
          <w:szCs w:val="18"/>
        </w:rPr>
        <w:t>治理层负责监督万达信息的财务报告过程。 </w:t>
      </w:r>
      <w:r>
        <w:rPr>
          <w:rFonts w:ascii="宋体" w:hAnsi="宋体" w:cs="宋体" w:eastAsia="宋体" w:hint="default"/>
          <w:b/>
          <w:bCs/>
          <w:sz w:val="18"/>
          <w:szCs w:val="18"/>
        </w:rPr>
        <w:t>6</w:t>
      </w:r>
      <w:r>
        <w:rPr>
          <w:rFonts w:ascii="宋体" w:hAnsi="宋体" w:cs="宋体" w:eastAsia="宋体" w:hint="default"/>
          <w:b/>
          <w:bCs/>
          <w:sz w:val="18"/>
          <w:szCs w:val="18"/>
        </w:rPr>
        <w:t>、注册会计师对财务报表审计的责任</w:t>
      </w:r>
      <w:r>
        <w:rPr>
          <w:rFonts w:ascii="宋体" w:hAnsi="宋体" w:cs="宋体" w:eastAsia="宋体" w:hint="default"/>
          <w:sz w:val="18"/>
          <w:szCs w:val="18"/>
        </w:rPr>
      </w:r>
    </w:p>
    <w:p>
      <w:pPr>
        <w:pStyle w:val="BodyText"/>
        <w:spacing w:line="316" w:lineRule="auto" w:before="19"/>
        <w:ind w:right="1130" w:firstLine="360"/>
        <w:jc w:val="both"/>
      </w:pPr>
      <w:r>
        <w:rPr>
          <w:spacing w:val="-2"/>
        </w:rPr>
        <w:t>我们的目标是对财务报表整体是否不存在由于舞弊或错误导致的重大错报获取合理保证，并出具包含审计意见的审计报</w:t>
      </w:r>
      <w:r>
        <w:rPr/>
        <w:t> </w:t>
      </w:r>
      <w:r>
        <w:rPr>
          <w:spacing w:val="-2"/>
        </w:rPr>
        <w:t>告。合理保证是高水平的保证，但并不能保证按照审计准则执行的审计在某一重大错报存在时总能发现。错报可能由于舞弊</w:t>
      </w:r>
      <w:r>
        <w:rPr>
          <w:spacing w:val="-63"/>
        </w:rPr>
        <w:t> </w:t>
      </w:r>
      <w:r>
        <w:rPr>
          <w:spacing w:val="-63"/>
        </w:rPr>
      </w:r>
      <w:r>
        <w:rPr>
          <w:spacing w:val="-2"/>
        </w:rPr>
        <w:t>或错误导致，如果合理预期错报单独或汇总起来可能影响财务报表使用者依据财务报表作出的经济决策，则通常认为错报是</w:t>
      </w:r>
      <w:r>
        <w:rPr>
          <w:spacing w:val="-64"/>
        </w:rPr>
        <w:t> </w:t>
      </w:r>
      <w:r>
        <w:rPr>
          <w:spacing w:val="-64"/>
        </w:rPr>
      </w:r>
      <w:r>
        <w:rPr/>
        <w:t>重大的。</w:t>
      </w:r>
    </w:p>
    <w:p>
      <w:pPr>
        <w:pStyle w:val="BodyText"/>
        <w:spacing w:line="240" w:lineRule="auto" w:before="19"/>
        <w:ind w:left="513" w:right="0"/>
        <w:jc w:val="left"/>
      </w:pPr>
      <w:r>
        <w:rPr/>
        <w:t>在按照审计准则执行审计工作的过程中，我们运用职业判断，并保持职业怀疑。同时，我们也执行以下工作：</w:t>
      </w:r>
    </w:p>
    <w:p>
      <w:pPr>
        <w:pStyle w:val="BodyText"/>
        <w:spacing w:line="316" w:lineRule="auto" w:before="76"/>
        <w:ind w:right="1034" w:firstLine="360"/>
        <w:jc w:val="left"/>
      </w:pPr>
      <w:r>
        <w:rPr/>
        <w:t>（</w:t>
      </w:r>
      <w:r>
        <w:rPr>
          <w:rFonts w:ascii="宋体" w:hAnsi="宋体" w:cs="宋体" w:eastAsia="宋体" w:hint="default"/>
        </w:rPr>
        <w:t>1</w:t>
      </w:r>
      <w:r>
        <w:rPr/>
        <w:t>）识别和评估由于舞弊或错误导致的财务报表重大错报风险，设计和实施审计程序以应对这些风险，并获取充分、 适当的审计证据，作为发表审计意见的基础。由于舞弊可能涉及串通、伪造、故意遗漏、虚假陈述或凌驾于内部控制之上，</w:t>
      </w:r>
      <w:r>
        <w:rPr>
          <w:spacing w:val="-83"/>
        </w:rPr>
        <w:t> </w:t>
      </w:r>
      <w:r>
        <w:rPr>
          <w:spacing w:val="-83"/>
        </w:rPr>
      </w:r>
      <w:r>
        <w:rPr/>
        <w:t>未能发现由于舞弊导致的重大错报的风险高于未能发现由于错误导致的重大错报的风险。</w:t>
      </w:r>
    </w:p>
    <w:p>
      <w:pPr>
        <w:pStyle w:val="BodyText"/>
        <w:spacing w:line="240" w:lineRule="auto" w:before="19"/>
        <w:ind w:left="513" w:right="0"/>
        <w:jc w:val="left"/>
      </w:pPr>
      <w:r>
        <w:rPr/>
        <w:t>（</w:t>
      </w:r>
      <w:r>
        <w:rPr>
          <w:rFonts w:ascii="宋体" w:hAnsi="宋体" w:cs="宋体" w:eastAsia="宋体" w:hint="default"/>
        </w:rPr>
        <w:t>2</w:t>
      </w:r>
      <w:r>
        <w:rPr/>
        <w:t>）了解与审计相关的内部控制，以设计恰当的审计程序，但目的并非对内部控制的有效性发表意见。</w:t>
      </w:r>
    </w:p>
    <w:p>
      <w:pPr>
        <w:pStyle w:val="BodyText"/>
        <w:spacing w:line="240" w:lineRule="auto" w:before="76"/>
        <w:ind w:left="513" w:right="2602"/>
        <w:jc w:val="left"/>
      </w:pPr>
      <w:r>
        <w:rPr/>
        <w:t>（</w:t>
      </w:r>
      <w:r>
        <w:rPr>
          <w:rFonts w:ascii="宋体" w:hAnsi="宋体" w:cs="宋体" w:eastAsia="宋体" w:hint="default"/>
        </w:rPr>
        <w:t>3</w:t>
      </w:r>
      <w:r>
        <w:rPr/>
        <w:t>）评价管理层选用会计政策的恰当性和作出会计估计及相关披露的合理性。</w:t>
      </w:r>
    </w:p>
    <w:p>
      <w:pPr>
        <w:pStyle w:val="BodyText"/>
        <w:spacing w:line="316" w:lineRule="auto" w:before="76"/>
        <w:ind w:right="1133" w:firstLine="360"/>
        <w:jc w:val="both"/>
      </w:pPr>
      <w:r>
        <w:rPr/>
        <w:t>（</w:t>
      </w:r>
      <w:r>
        <w:rPr>
          <w:rFonts w:ascii="宋体" w:hAnsi="宋体" w:cs="宋体" w:eastAsia="宋体" w:hint="default"/>
        </w:rPr>
        <w:t>4</w:t>
      </w:r>
      <w:r>
        <w:rPr/>
        <w:t>）对管理层使用持续经营假设的恰当性得出结论。同时，根据获取的审计证据，就可能导致对万达信息持续经营能 </w:t>
      </w:r>
      <w:r>
        <w:rPr>
          <w:spacing w:val="-2"/>
        </w:rPr>
        <w:t>力产生重大疑虑的事项或情况是否存在重大不确定性得出结论。如果我们得出结论认为存在重大不确定性，审计准则要求我</w:t>
      </w:r>
      <w:r>
        <w:rPr>
          <w:spacing w:val="-64"/>
        </w:rPr>
        <w:t> </w:t>
      </w:r>
      <w:r>
        <w:rPr>
          <w:spacing w:val="-64"/>
        </w:rPr>
      </w:r>
      <w:r>
        <w:rPr>
          <w:spacing w:val="-2"/>
        </w:rPr>
        <w:t>们在审计报告中提请报表使用者注意财务报表中的相关披露；如果披露不充分，我们应当发表非无保留意见。我们的结论基</w:t>
      </w:r>
      <w:r>
        <w:rPr>
          <w:spacing w:val="-66"/>
        </w:rPr>
        <w:t> </w:t>
      </w:r>
      <w:r>
        <w:rPr>
          <w:spacing w:val="-66"/>
        </w:rPr>
      </w:r>
      <w:r>
        <w:rPr/>
        <w:t>于截至审计报告日可获得的信息。然而，未来的事项或情况可能导致万达信息不能持续经营。</w:t>
      </w:r>
    </w:p>
    <w:p>
      <w:pPr>
        <w:pStyle w:val="BodyText"/>
        <w:spacing w:line="240" w:lineRule="auto" w:before="19"/>
        <w:ind w:left="513" w:right="2602"/>
        <w:jc w:val="left"/>
      </w:pPr>
      <w:r>
        <w:rPr/>
        <w:t>（</w:t>
      </w:r>
      <w:r>
        <w:rPr>
          <w:rFonts w:ascii="宋体" w:hAnsi="宋体" w:cs="宋体" w:eastAsia="宋体" w:hint="default"/>
        </w:rPr>
        <w:t>5</w:t>
      </w:r>
      <w:r>
        <w:rPr/>
        <w:t>）评价财务报表的总体列报、结构和内容，并评价财务报表是否公允反映相关交易和事项。</w:t>
      </w:r>
    </w:p>
    <w:p>
      <w:pPr>
        <w:pStyle w:val="BodyText"/>
        <w:spacing w:line="316" w:lineRule="auto" w:before="77"/>
        <w:ind w:right="1133" w:firstLine="360"/>
        <w:jc w:val="both"/>
      </w:pPr>
      <w:r>
        <w:rPr/>
        <w:t>（</w:t>
      </w:r>
      <w:r>
        <w:rPr>
          <w:rFonts w:ascii="宋体" w:hAnsi="宋体" w:cs="宋体" w:eastAsia="宋体" w:hint="default"/>
        </w:rPr>
        <w:t>6</w:t>
      </w:r>
      <w:r>
        <w:rPr/>
        <w:t>）就万达信息中实体或业务活动的财务信息获取充分、适当的审计证据，以对财务报表发表审计意见。我们负责指 导、监督和执行集团审计，并对审计意见承担全部责任。</w:t>
      </w:r>
    </w:p>
    <w:p>
      <w:pPr>
        <w:pStyle w:val="BodyText"/>
        <w:spacing w:line="316" w:lineRule="auto" w:before="19"/>
        <w:ind w:right="1132" w:firstLine="360"/>
        <w:jc w:val="both"/>
      </w:pPr>
      <w:r>
        <w:rPr>
          <w:spacing w:val="-2"/>
        </w:rPr>
        <w:t>我们与治理层就计划的审计范围、时间安排和重大审计发现等事项进行沟通，包括沟通我们在审计中识别出的值得关注</w:t>
      </w:r>
      <w:r>
        <w:rPr/>
        <w:t> 的内部控制缺陷。</w:t>
      </w:r>
    </w:p>
    <w:p>
      <w:pPr>
        <w:pStyle w:val="BodyText"/>
        <w:spacing w:line="316" w:lineRule="auto" w:before="19"/>
        <w:ind w:right="1132" w:firstLine="360"/>
        <w:jc w:val="both"/>
      </w:pPr>
      <w:r>
        <w:rPr>
          <w:spacing w:val="-2"/>
        </w:rPr>
        <w:t>我们还就已遵守与独立性相关的职业道德要求向治理层提供声明，并与治理层沟通可能被合理认为影响我们独立性的所</w:t>
      </w:r>
      <w:r>
        <w:rPr/>
        <w:t> 有关系和其他事项，以及相关的防范措施（如适用）。</w:t>
      </w:r>
    </w:p>
    <w:p>
      <w:pPr>
        <w:pStyle w:val="BodyText"/>
        <w:spacing w:line="316" w:lineRule="auto" w:before="19"/>
        <w:ind w:right="1130" w:firstLine="360"/>
        <w:jc w:val="both"/>
      </w:pPr>
      <w:r>
        <w:rPr>
          <w:spacing w:val="-2"/>
        </w:rPr>
        <w:t>从与治理层沟通过的事项中，我们确定哪些事项对本期财务报表审计最为重要，因而构成关键审计事项。我们在审计报</w:t>
      </w:r>
      <w:r>
        <w:rPr/>
        <w:t> </w:t>
      </w:r>
      <w:r>
        <w:rPr>
          <w:spacing w:val="-2"/>
        </w:rPr>
        <w:t>告中描述这些事项，除非法律法规禁止公开披露这些事项，或在极少数情形下，如果合理预期在审计报告中沟通某事项造成</w:t>
      </w:r>
      <w:r>
        <w:rPr>
          <w:spacing w:val="-63"/>
        </w:rPr>
        <w:t> </w:t>
      </w:r>
      <w:r>
        <w:rPr>
          <w:spacing w:val="-63"/>
        </w:rPr>
      </w:r>
      <w:r>
        <w:rPr/>
        <w:t>的负面后果超过在公众利益方面产生的益处，我们确定不应在审计报告中沟通该事项。</w:t>
      </w:r>
    </w:p>
    <w:p>
      <w:pPr>
        <w:spacing w:after="0" w:line="316" w:lineRule="auto"/>
        <w:jc w:val="both"/>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二、财务报表" w:id="164"/>
      <w:bookmarkEnd w:id="164"/>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2602"/>
        <w:jc w:val="left"/>
      </w:pPr>
      <w:r>
        <w:rPr/>
        <w:t>财务附注中报表的单位为：人民币元</w:t>
      </w:r>
    </w:p>
    <w:p>
      <w:pPr>
        <w:spacing w:line="240" w:lineRule="auto" w:before="0"/>
        <w:rPr>
          <w:rFonts w:ascii="宋体" w:hAnsi="宋体" w:cs="宋体" w:eastAsia="宋体" w:hint="default"/>
          <w:sz w:val="18"/>
          <w:szCs w:val="18"/>
        </w:rPr>
      </w:pPr>
    </w:p>
    <w:p>
      <w:pPr>
        <w:pStyle w:val="Heading3"/>
        <w:spacing w:line="240" w:lineRule="auto" w:before="118"/>
        <w:ind w:right="2602"/>
        <w:jc w:val="left"/>
        <w:rPr>
          <w:b w:val="0"/>
          <w:bCs w:val="0"/>
        </w:rPr>
      </w:pPr>
      <w:bookmarkStart w:name="1、合并资产负债表" w:id="165"/>
      <w:bookmarkEnd w:id="165"/>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t>编制单位：万达信息股份有限公司</w:t>
      </w:r>
    </w:p>
    <w:p>
      <w:pPr>
        <w:pStyle w:val="BodyText"/>
        <w:spacing w:line="240" w:lineRule="auto" w:before="117"/>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373"/>
        <w:gridCol w:w="2562"/>
        <w:gridCol w:w="2624"/>
      </w:tblGrid>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1,622,017,385.50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1,044,892,808.43</w:t>
            </w: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9,501,891.35</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10,319,624.19</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1,324,288,242.08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1,530,034,738.02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12,606,534.25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12,619,547.15</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151,785,890.06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169,255,836.49</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535,332,319.40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1,142,657,237.61</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214,085,331.43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187,319,160.72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63,952,947.64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50,809,496.80</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3,933,570,541.71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4,147,908,449.41</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373"/>
        <w:gridCol w:w="2562"/>
        <w:gridCol w:w="2624"/>
      </w:tblGrid>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299,558,717.02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703,871,699.05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821,747,390.34</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98,681,088.82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91,180,730.41</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357,615,751.00</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22,017,793.90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23,084,923.66</w:t>
            </w: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432,175,794.96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379,524,704.21</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7,871,649.97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41,238,721.58</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834,896,180.90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740,370,833.29</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241,369,931.38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259,794,336.21</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922,278,909.99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982,765,464.16</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35,017,737.19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8,360,735.96</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24,657,000.00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24,657,000.00</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3,680,453,537.16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3,672,283,556.84</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7,614,024,078.87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7,820,192,006.25</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2,933,324,859.53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2,635,084,838.20</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508,444,426.79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383,024,655.62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9,433,520.31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10,308,570.19</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31"/>
          <w:pgSz w:w="11910" w:h="16840"/>
          <w:pgMar w:footer="980" w:header="745"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369"/>
        <w:gridCol w:w="2566"/>
        <w:gridCol w:w="2624"/>
      </w:tblGrid>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95"/>
              <w:jc w:val="right"/>
              <w:rPr>
                <w:rFonts w:ascii="宋体" w:hAnsi="宋体" w:cs="宋体" w:eastAsia="宋体" w:hint="default"/>
                <w:sz w:val="18"/>
                <w:szCs w:val="18"/>
              </w:rPr>
            </w:pPr>
            <w:r>
              <w:rPr>
                <w:rFonts w:ascii="宋体" w:hAnsi="宋体" w:cs="宋体" w:eastAsia="宋体" w:hint="default"/>
                <w:sz w:val="18"/>
                <w:szCs w:val="18"/>
              </w:rPr>
              <w:t>项目</w:t>
            </w:r>
          </w:p>
        </w:tc>
        <w:tc>
          <w:tcPr>
            <w:tcW w:w="2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4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1,540,686.25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1,637,128.03</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74,228,731.57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123,978,336.94</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67,813,106.92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59,902,271.61</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2,351,825.34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8,873,837.75</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5,014,720.00</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04"/>
              <w:jc w:val="righ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115,638,001.43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172,394,525.99</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25,324,393.99</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3,735,747,726.79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3,386,330,326.58</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5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237,528,849.19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622,350,634.32</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540,865,131.01</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76,776,512.37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23,342,763.42</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8,708,555.10</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102,292,251.54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133,276,632.40</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966,171,299.21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778,970,030.14</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4,701,919,026.00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4,165,300,356.72</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5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1,139,854,021.00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1,099,449,688.00</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125,258,203.62</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32"/>
          <w:pgSz w:w="11910" w:h="16840"/>
          <w:pgMar w:footer="980" w:header="745" w:top="1060" w:bottom="1160" w:left="980" w:right="0"/>
          <w:pgNumType w:start="101"/>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373"/>
        <w:gridCol w:w="2562"/>
        <w:gridCol w:w="2624"/>
      </w:tblGrid>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1,602,098,496.45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1,098,069,412.27</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29,984,265.25</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1,720,599.38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979,663.68</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150,153,223.42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145,834,602.82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-97,486,373.67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1,288,393,574.83</w:t>
            </w: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2,891,613,904.95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3,632,726,941.60</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20,491,147.92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22,164,707.93</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2,912,105,052.87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3,654,891,649.53</w:t>
            </w: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7,614,024,078.87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7,820,192,006.25</w:t>
            </w:r>
          </w:p>
        </w:tc>
      </w:tr>
    </w:tbl>
    <w:p>
      <w:pPr>
        <w:spacing w:line="240" w:lineRule="auto" w:before="11"/>
        <w:rPr>
          <w:rFonts w:ascii="Times New Roman" w:hAnsi="Times New Roman" w:cs="Times New Roman" w:eastAsia="Times New Roman" w:hint="default"/>
          <w:sz w:val="22"/>
          <w:szCs w:val="22"/>
        </w:rPr>
      </w:pPr>
    </w:p>
    <w:p>
      <w:pPr>
        <w:pStyle w:val="BodyText"/>
        <w:tabs>
          <w:tab w:pos="3425" w:val="left" w:leader="none"/>
          <w:tab w:pos="7568" w:val="left" w:leader="none"/>
        </w:tabs>
        <w:spacing w:line="240" w:lineRule="auto" w:before="44"/>
        <w:ind w:left="0" w:right="1223"/>
        <w:jc w:val="right"/>
      </w:pPr>
      <w:r>
        <w:rPr/>
        <w:t>法定代表人：胡宏伟</w:t>
        <w:tab/>
      </w:r>
      <w:r>
        <w:rPr>
          <w:spacing w:val="-1"/>
        </w:rPr>
        <w:t>主管会计工作负责人：陈丽娜</w:t>
        <w:tab/>
      </w:r>
      <w:r>
        <w:rPr/>
        <w:t>会计机构负责人：郭伟民</w:t>
      </w:r>
    </w:p>
    <w:p>
      <w:pPr>
        <w:spacing w:line="240" w:lineRule="auto" w:before="0"/>
        <w:rPr>
          <w:rFonts w:ascii="宋体" w:hAnsi="宋体" w:cs="宋体" w:eastAsia="宋体" w:hint="default"/>
          <w:sz w:val="18"/>
          <w:szCs w:val="18"/>
        </w:rPr>
      </w:pPr>
    </w:p>
    <w:p>
      <w:pPr>
        <w:pStyle w:val="Heading3"/>
        <w:spacing w:line="240" w:lineRule="auto" w:before="118"/>
        <w:ind w:right="2602"/>
        <w:jc w:val="left"/>
        <w:rPr>
          <w:b w:val="0"/>
          <w:bCs w:val="0"/>
        </w:rPr>
      </w:pPr>
      <w:bookmarkStart w:name="2、母公司资产负债表" w:id="166"/>
      <w:bookmarkEnd w:id="166"/>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373"/>
        <w:gridCol w:w="2562"/>
        <w:gridCol w:w="2624"/>
      </w:tblGrid>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833,726,886.68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558,421,739.12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1,213,935,752.83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1,225,312,519.11</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6,446,141.65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3,655,089.52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705,114,965.41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616,147,057.16</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93,000,000.00</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485,153,149.30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1,099,434,078.59</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9,011,480.63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9,127,491.98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373"/>
        <w:gridCol w:w="2562"/>
        <w:gridCol w:w="2624"/>
      </w:tblGrid>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16,115,045.79</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3,269,503,422.29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3,512,097,975.48</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299,558,717.02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17,153,362.90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22,916,135.33</w:t>
            </w: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1,871,108,697.01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1,848,548,338.60</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357,615,751.00</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17,637,757.58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18,446,605.10</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360,355,761.92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321,821,538.59</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34,651,570.96</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766,959,875.12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656,642,865.26</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231,509,257.09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257,718,675.88</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31,485,083.78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6,632,488.11</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24,657,000.00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24,657,000.00</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3,678,482,546.40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3,491,593,934.85</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6,947,985,968.69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7,003,691,910.33</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2,829,748,469.03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2,458,384,838.20</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562"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378,901,862.37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161,259,154.94</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9,132,220.31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9,202,934.69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369"/>
        <w:gridCol w:w="2566"/>
        <w:gridCol w:w="2624"/>
      </w:tblGrid>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95"/>
              <w:jc w:val="right"/>
              <w:rPr>
                <w:rFonts w:ascii="宋体" w:hAnsi="宋体" w:cs="宋体" w:eastAsia="宋体" w:hint="default"/>
                <w:sz w:val="18"/>
                <w:szCs w:val="18"/>
              </w:rPr>
            </w:pPr>
            <w:r>
              <w:rPr>
                <w:rFonts w:ascii="宋体" w:hAnsi="宋体" w:cs="宋体" w:eastAsia="宋体" w:hint="default"/>
                <w:sz w:val="18"/>
                <w:szCs w:val="18"/>
              </w:rPr>
              <w:t>项目</w:t>
            </w:r>
          </w:p>
        </w:tc>
        <w:tc>
          <w:tcPr>
            <w:tcW w:w="2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4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57,718,427.27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90,680,827.64</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37,047,123.27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234,319,455.14</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04"/>
              <w:jc w:val="righ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58,758,256.16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119,950,032.56</w:t>
            </w:r>
          </w:p>
        </w:tc>
      </w:tr>
      <w:tr>
        <w:trPr>
          <w:trHeight w:val="403"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3,371,306,358.41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3,073,797,243.17</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5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153,521,242.74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482,109,515.74</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540,865,131.01</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66,803,908.56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23,342,763.42</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8,708,555.10</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4,934,064.22</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774,832,901.63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505,452,279.16</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4,146,139,260.04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3,579,249,522.33</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5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1,139,854,021.00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1,099,449,688.00</w:t>
            </w:r>
          </w:p>
        </w:tc>
      </w:tr>
      <w:tr>
        <w:trPr>
          <w:trHeight w:val="403"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125,258,203.62</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1,732,410,248.45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1,228,381,164.27</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29,984,265.25</w:t>
            </w:r>
          </w:p>
        </w:tc>
        <w:tc>
          <w:tcPr>
            <w:tcW w:w="2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5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2,363,526.48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2,363,526.48</w:t>
            </w:r>
          </w:p>
        </w:tc>
      </w:tr>
      <w:tr>
        <w:trPr>
          <w:trHeight w:val="402" w:hRule="exact"/>
        </w:trPr>
        <w:tc>
          <w:tcPr>
            <w:tcW w:w="4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566" w:type="dxa"/>
            <w:tcBorders>
              <w:top w:val="single" w:sz="4" w:space="0" w:color="000000"/>
              <w:left w:val="single" w:sz="10"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373"/>
        <w:gridCol w:w="2562"/>
        <w:gridCol w:w="2624"/>
      </w:tblGrid>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150,153,223.42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145,834,602.82</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-318,208,249.07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948,413,406.43</w:t>
            </w: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2,801,846,708.65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3,424,442,388.00</w:t>
            </w:r>
          </w:p>
        </w:tc>
      </w:tr>
      <w:tr>
        <w:trPr>
          <w:trHeight w:val="40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6,947,985,968.69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7,003,691,910.33</w:t>
            </w:r>
          </w:p>
        </w:tc>
      </w:tr>
    </w:tbl>
    <w:p>
      <w:pPr>
        <w:spacing w:line="240" w:lineRule="auto" w:before="11"/>
        <w:rPr>
          <w:rFonts w:ascii="Times New Roman" w:hAnsi="Times New Roman" w:cs="Times New Roman" w:eastAsia="Times New Roman" w:hint="default"/>
          <w:sz w:val="22"/>
          <w:szCs w:val="22"/>
        </w:rPr>
      </w:pPr>
    </w:p>
    <w:p>
      <w:pPr>
        <w:pStyle w:val="BodyText"/>
        <w:tabs>
          <w:tab w:pos="3425" w:val="left" w:leader="none"/>
          <w:tab w:pos="7568" w:val="left" w:leader="none"/>
        </w:tabs>
        <w:spacing w:line="240" w:lineRule="auto" w:before="44"/>
        <w:ind w:left="0" w:right="1223"/>
        <w:jc w:val="right"/>
      </w:pPr>
      <w:r>
        <w:rPr/>
        <w:t>法定代表人：胡宏伟</w:t>
        <w:tab/>
      </w:r>
      <w:r>
        <w:rPr>
          <w:spacing w:val="-1"/>
        </w:rPr>
        <w:t>主管会计工作负责人：陈丽娜</w:t>
        <w:tab/>
      </w:r>
      <w:r>
        <w:rPr/>
        <w:t>会计机构负责人：郭伟民</w:t>
      </w:r>
    </w:p>
    <w:p>
      <w:pPr>
        <w:spacing w:line="240" w:lineRule="auto" w:before="0"/>
        <w:rPr>
          <w:rFonts w:ascii="宋体" w:hAnsi="宋体" w:cs="宋体" w:eastAsia="宋体" w:hint="default"/>
          <w:sz w:val="18"/>
          <w:szCs w:val="18"/>
        </w:rPr>
      </w:pPr>
    </w:p>
    <w:p>
      <w:pPr>
        <w:pStyle w:val="Heading3"/>
        <w:spacing w:line="240" w:lineRule="auto" w:before="118"/>
        <w:ind w:right="2602"/>
        <w:jc w:val="left"/>
        <w:rPr>
          <w:b w:val="0"/>
          <w:bCs w:val="0"/>
        </w:rPr>
      </w:pPr>
      <w:bookmarkStart w:name="3、合并利润表" w:id="167"/>
      <w:bookmarkEnd w:id="167"/>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940"/>
        <w:gridCol w:w="2280"/>
        <w:gridCol w:w="2336"/>
      </w:tblGrid>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2,124,500,987.29</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2,204,681,762.59</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2,124,500,987.29</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2,204,681,762.59</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2,678,708,691.74</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1,961,687,559.83</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1,638,791,899.94</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1,223,695,192.99</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提取保险责任合同准备金净额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9,610,537.94</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12,560,858.20</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139,834,642.83</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103,737,812.12</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343,062,783.01</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228,114,076.36</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367,272,485.77</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238,308,167.47</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180,136,342.25</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155,271,452.69</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199,056,365.51</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184,953,689.85</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3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24,617,208.30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34,075,531.20</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34,306,133.72</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26,965,045.24</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10,256,549.31</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55,321,388.93</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-152,389.86</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-2,920,676.82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935"/>
        <w:gridCol w:w="2285"/>
        <w:gridCol w:w="2336"/>
      </w:tblGrid>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以摊余成本计量的金融资产终止确认收益</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净敞口套期收益（损失以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7,694,115.94</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167,949.81</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-59,901,746.23</w:t>
            </w: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-844,485,276.34</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-75,842,932.12</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-50,621.97</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106,970.55</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-1,406,388,550.02</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249,712,625.17</w:t>
            </w:r>
          </w:p>
        </w:tc>
      </w:tr>
      <w:tr>
        <w:trPr>
          <w:trHeight w:val="403"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16,770,629.63</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8,682,280.65</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1,017,471.19</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1,824,629.90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-1,390,635,391.58</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256,570,275.92</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11,763,545.50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31,325,625.44</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-1,402,398,937.08</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225,244,650.48</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宋体" w:hAnsi="宋体" w:cs="宋体" w:eastAsia="宋体" w:hint="default"/>
                <w:sz w:val="18"/>
                <w:szCs w:val="18"/>
              </w:rPr>
              <w:t>（一）按经营持续性分类</w:t>
            </w:r>
          </w:p>
        </w:tc>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-1,402,398,937.08</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225,244,650.48</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宋体" w:hAnsi="宋体" w:cs="宋体" w:eastAsia="宋体" w:hint="default"/>
                <w:sz w:val="18"/>
                <w:szCs w:val="18"/>
              </w:rPr>
              <w:t>（二）按所有权归属分类</w:t>
            </w:r>
          </w:p>
        </w:tc>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归属于母公司所有者的净利润</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-1,397,325,377.07</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231,999,258.41</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-5,073,560.01</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-6,754,607.93</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740,935.70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69,121.40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归属母公司所有者的其他综合收益的税后净额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740,935.70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69,121.40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其他权益工具投资公允价值变动</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企业自身信用风险公允价值变动</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740,935.70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69,121.40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其他债权投资公允价值变动</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可供出售金融资产公允价值变动损益</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金融资产重分类计入其他综合收益的金额</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持有至到期投资重分类为可供出售金融资产损益</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940"/>
        <w:gridCol w:w="2280"/>
        <w:gridCol w:w="2336"/>
      </w:tblGrid>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其他债权投资信用减值准备</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740,935.70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69,121.40</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归属于少数股东的其他综合收益的税后净额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-1,401,658,001.38</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225,313,771.88</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-1,396,584,441.37</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232,068,379.81</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-5,073,560.01</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-6,754,607.93</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-1.2736</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0.2189</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-1.2736</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0.2146</w:t>
            </w:r>
          </w:p>
        </w:tc>
      </w:tr>
    </w:tbl>
    <w:p>
      <w:pPr>
        <w:spacing w:line="240" w:lineRule="auto" w:before="11"/>
        <w:rPr>
          <w:rFonts w:ascii="Times New Roman" w:hAnsi="Times New Roman" w:cs="Times New Roman" w:eastAsia="Times New Roman" w:hint="default"/>
          <w:sz w:val="22"/>
          <w:szCs w:val="22"/>
        </w:rPr>
      </w:pPr>
    </w:p>
    <w:p>
      <w:pPr>
        <w:pStyle w:val="BodyText"/>
        <w:tabs>
          <w:tab w:pos="3425" w:val="left" w:leader="none"/>
          <w:tab w:pos="7568" w:val="left" w:leader="none"/>
        </w:tabs>
        <w:spacing w:line="240" w:lineRule="auto" w:before="44"/>
        <w:ind w:left="0" w:right="1223"/>
        <w:jc w:val="right"/>
      </w:pPr>
      <w:r>
        <w:rPr/>
        <w:t>法定代表人：胡宏伟</w:t>
        <w:tab/>
      </w:r>
      <w:r>
        <w:rPr>
          <w:spacing w:val="-1"/>
        </w:rPr>
        <w:t>主管会计工作负责人：陈丽娜</w:t>
        <w:tab/>
      </w:r>
      <w:r>
        <w:rPr/>
        <w:t>会计机构负责人：郭伟民</w:t>
      </w:r>
    </w:p>
    <w:p>
      <w:pPr>
        <w:spacing w:line="240" w:lineRule="auto" w:before="0"/>
        <w:rPr>
          <w:rFonts w:ascii="宋体" w:hAnsi="宋体" w:cs="宋体" w:eastAsia="宋体" w:hint="default"/>
          <w:sz w:val="18"/>
          <w:szCs w:val="18"/>
        </w:rPr>
      </w:pPr>
    </w:p>
    <w:p>
      <w:pPr>
        <w:pStyle w:val="Heading3"/>
        <w:spacing w:line="240" w:lineRule="auto" w:before="120"/>
        <w:ind w:right="2602"/>
        <w:jc w:val="left"/>
        <w:rPr>
          <w:b w:val="0"/>
          <w:bCs w:val="0"/>
        </w:rPr>
      </w:pPr>
      <w:bookmarkStart w:name="4、母公司利润表" w:id="168"/>
      <w:bookmarkEnd w:id="168"/>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940"/>
        <w:gridCol w:w="2280"/>
        <w:gridCol w:w="2338"/>
      </w:tblGrid>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1,915,937,711.80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1,900,706,016.65</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1,702,435,969.92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1,226,240,627.97</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6,180,271.03</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8,104,722.83</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104,546,022.23</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63,790,275.70</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223,844,857.90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93,143,241.54</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287,848,240.04</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169,043,563.28</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181,332,784.89</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153,695,810.15</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182,175,366.32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162,863,091.21</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5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3,715,270.15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10,141,987.12</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20,294,099.30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16,611,322.24</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102,906,108.41</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65,620,799.25</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956"/>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-152,389.86</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-2,920,676.82</w:t>
            </w:r>
          </w:p>
        </w:tc>
      </w:tr>
      <w:tr>
        <w:trPr>
          <w:trHeight w:val="714"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6" w:firstLine="1080"/>
              <w:jc w:val="left"/>
              <w:rPr>
                <w:rFonts w:ascii="宋体" w:hAnsi="宋体" w:cs="宋体" w:eastAsia="宋体" w:hint="default"/>
                <w:sz w:val="18"/>
                <w:szCs w:val="18"/>
              </w:rPr>
            </w:pPr>
            <w:r>
              <w:rPr>
                <w:rFonts w:ascii="宋体" w:hAnsi="宋体" w:cs="宋体" w:eastAsia="宋体" w:hint="default"/>
                <w:sz w:val="18"/>
                <w:szCs w:val="18"/>
              </w:rPr>
              <w:t>以摊余成本计量的金融资产终止确认收益（损失 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净敞口套期收益（损失以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77"/>
              <w:jc w:val="right"/>
              <w:rPr>
                <w:rFonts w:ascii="宋体" w:hAnsi="宋体" w:cs="宋体" w:eastAsia="宋体" w:hint="default"/>
                <w:sz w:val="18"/>
                <w:szCs w:val="18"/>
              </w:rPr>
            </w:pPr>
            <w:r>
              <w:rPr>
                <w:rFonts w:ascii="宋体" w:hAnsi="宋体" w:cs="宋体" w:eastAsia="宋体" w:hint="default"/>
                <w:spacing w:val="-1"/>
                <w:sz w:val="18"/>
                <w:szCs w:val="18"/>
              </w:rPr>
              <w:t>公允价值变动收益（损失以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7,249,732.81</w:t>
            </w: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-28,318,960.67</w:t>
            </w:r>
          </w:p>
        </w:tc>
        <w:tc>
          <w:tcPr>
            <w:tcW w:w="233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4940"/>
        <w:gridCol w:w="2280"/>
        <w:gridCol w:w="2338"/>
      </w:tblGrid>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-795,265,755.09</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-32,481,693.91</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13,059.54</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73,753.51</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-1,283,372,149.91</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236,511,956.27</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4,260,000.00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1,332,959.50</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966,494.67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959,026.57</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-1,280,078,644.58</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236,885,889.20</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-2,011,560.51</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10,080,915.84</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-1,278,067,084.07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226,804,973.36</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-1,278,067,084.07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226,804,973.36</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其他权益工具投资公允价值变动</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企业自身信用风险公允价值变动</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其他债权投资公允价值变动</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可供出售金融资产公允价值变动损益</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金融资产重分类计入其他综合收益的金额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持有至到期投资重分类为可供出售金融资产损益</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其他债权投资信用减值准备</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-1,278,067,084.07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226,804,973.36</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0"/>
          <w:szCs w:val="20"/>
        </w:rPr>
      </w:pPr>
    </w:p>
    <w:p>
      <w:pPr>
        <w:pStyle w:val="BodyText"/>
        <w:tabs>
          <w:tab w:pos="3578" w:val="left" w:leader="none"/>
          <w:tab w:pos="7721" w:val="left" w:leader="none"/>
        </w:tabs>
        <w:spacing w:line="240" w:lineRule="auto" w:before="44"/>
        <w:ind w:right="0"/>
        <w:jc w:val="left"/>
      </w:pPr>
      <w:r>
        <w:rPr/>
        <w:t>法定代表人：胡宏伟</w:t>
        <w:tab/>
      </w:r>
      <w:r>
        <w:rPr>
          <w:spacing w:val="-1"/>
        </w:rPr>
        <w:t>主管会计工作负责人：陈丽娜</w:t>
        <w:tab/>
      </w:r>
      <w:r>
        <w:rPr/>
        <w:t>会计机构负责人：郭伟民</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5、合并现金流量表" w:id="169"/>
      <w:bookmarkEnd w:id="169"/>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940"/>
        <w:gridCol w:w="2280"/>
        <w:gridCol w:w="2338"/>
      </w:tblGrid>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2,573,419,545.11</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2,128,881,483.25</w:t>
            </w: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收到再保业务现金净额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代理买卖证券收到的现金净额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5,678,162.21</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4,827,752.60</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882,773,909.33</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62,027,488.89</w:t>
            </w: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3,461,871,616.65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2,195,736,724.74</w:t>
            </w:r>
          </w:p>
        </w:tc>
      </w:tr>
      <w:tr>
        <w:trPr>
          <w:trHeight w:val="404"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1,092,482,162.72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981,343,982.32</w:t>
            </w: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拆出资金净增加额</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2280"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1,017,886,480.83</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776,467,334.52</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117,646,545.40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130,401,851.68</w:t>
            </w: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1,067,181,370.73</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235,267,425.63</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3,295,196,559.68</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2,123,480,594.15</w:t>
            </w: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166,675,056.97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72,256,130.59</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69,064,913.19</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226,188,888.76</w:t>
            </w:r>
          </w:p>
        </w:tc>
      </w:tr>
      <w:tr>
        <w:trPr>
          <w:trHeight w:val="403"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11,083,637.45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31,306,434.66</w:t>
            </w:r>
          </w:p>
        </w:tc>
      </w:tr>
      <w:tr>
        <w:trPr>
          <w:trHeight w:val="401"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67,809.56</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233,975.74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4935"/>
        <w:gridCol w:w="2285"/>
        <w:gridCol w:w="2338"/>
      </w:tblGrid>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-23,114,688.50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80,216,360.20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234,614,610.66</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409,554,554.18</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543,522,111.96</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67,273,777.22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153,792,270.00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476,828,331.40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697,314,381.96</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-396,611,971.20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-462,699,771.30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1,193,400,000.00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24,165,000.00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3,400,000.00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24,165,000.00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4,255,349,967.45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3,662,895,687.73</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5,448,749,967.45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3,687,060,687.73</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4,403,906,707.99</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3,895,146,329.37</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202,854,887.04</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225,503,340.73</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33,003,365.25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10,399,466.04</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4,639,764,960.28</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4,131,049,136.14</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808,985,007.17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-443,988,448.41</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55,006.80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2"/>
                <w:sz w:val="18"/>
              </w:rPr>
              <w:t>111,967.28</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579,103,099.74</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-834,320,121.84</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1,041,109,161.16</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1,875,429,283.00</w:t>
            </w:r>
          </w:p>
        </w:tc>
      </w:tr>
      <w:tr>
        <w:trPr>
          <w:trHeight w:val="403"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1,620,212,260.90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1,041,109,161.16</w:t>
            </w:r>
          </w:p>
        </w:tc>
      </w:tr>
    </w:tbl>
    <w:p>
      <w:pPr>
        <w:spacing w:line="240" w:lineRule="auto" w:before="3"/>
        <w:rPr>
          <w:rFonts w:ascii="宋体" w:hAnsi="宋体" w:cs="宋体" w:eastAsia="宋体" w:hint="default"/>
          <w:sz w:val="20"/>
          <w:szCs w:val="20"/>
        </w:rPr>
      </w:pPr>
    </w:p>
    <w:p>
      <w:pPr>
        <w:pStyle w:val="BodyText"/>
        <w:tabs>
          <w:tab w:pos="3425" w:val="left" w:leader="none"/>
          <w:tab w:pos="7568" w:val="left" w:leader="none"/>
        </w:tabs>
        <w:spacing w:line="240" w:lineRule="auto" w:before="44"/>
        <w:ind w:left="0" w:right="1223"/>
        <w:jc w:val="right"/>
      </w:pPr>
      <w:r>
        <w:rPr/>
        <w:t>法定代表人：胡宏伟</w:t>
        <w:tab/>
      </w:r>
      <w:r>
        <w:rPr>
          <w:spacing w:val="-1"/>
        </w:rPr>
        <w:t>主管会计工作负责人：陈丽娜</w:t>
        <w:tab/>
      </w:r>
      <w:r>
        <w:rPr/>
        <w:t>会计机构负责人：郭伟民</w:t>
      </w:r>
    </w:p>
    <w:p>
      <w:pPr>
        <w:spacing w:line="240" w:lineRule="auto" w:before="0"/>
        <w:rPr>
          <w:rFonts w:ascii="宋体" w:hAnsi="宋体" w:cs="宋体" w:eastAsia="宋体" w:hint="default"/>
          <w:sz w:val="18"/>
          <w:szCs w:val="18"/>
        </w:rPr>
      </w:pPr>
    </w:p>
    <w:p>
      <w:pPr>
        <w:pStyle w:val="Heading3"/>
        <w:spacing w:line="240" w:lineRule="auto" w:before="118"/>
        <w:ind w:right="2602"/>
        <w:jc w:val="left"/>
        <w:rPr>
          <w:b w:val="0"/>
          <w:bCs w:val="0"/>
        </w:rPr>
      </w:pPr>
      <w:bookmarkStart w:name="6、母公司现金流量表" w:id="170"/>
      <w:bookmarkEnd w:id="170"/>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952"/>
        <w:gridCol w:w="2268"/>
        <w:gridCol w:w="2326"/>
      </w:tblGrid>
      <w:tr>
        <w:trPr>
          <w:trHeight w:val="402" w:hRule="exact"/>
        </w:trPr>
        <w:tc>
          <w:tcPr>
            <w:tcW w:w="49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2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49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2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965" w:right="0"/>
              <w:jc w:val="left"/>
              <w:rPr>
                <w:rFonts w:ascii="Times New Roman" w:hAnsi="Times New Roman" w:cs="Times New Roman" w:eastAsia="Times New Roman" w:hint="default"/>
                <w:sz w:val="18"/>
                <w:szCs w:val="18"/>
              </w:rPr>
            </w:pPr>
            <w:r>
              <w:rPr>
                <w:rFonts w:ascii="Times New Roman"/>
                <w:sz w:val="18"/>
              </w:rPr>
              <w:t>2,061,947,899.26</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7" w:right="0"/>
              <w:jc w:val="left"/>
              <w:rPr>
                <w:rFonts w:ascii="Times New Roman" w:hAnsi="Times New Roman" w:cs="Times New Roman" w:eastAsia="Times New Roman" w:hint="default"/>
                <w:sz w:val="18"/>
                <w:szCs w:val="18"/>
              </w:rPr>
            </w:pPr>
            <w:r>
              <w:rPr>
                <w:rFonts w:ascii="Times New Roman"/>
                <w:sz w:val="18"/>
              </w:rPr>
              <w:t>1,672,262,989.35</w:t>
            </w:r>
          </w:p>
        </w:tc>
      </w:tr>
    </w:tbl>
    <w:p>
      <w:pPr>
        <w:spacing w:after="0" w:line="240" w:lineRule="auto"/>
        <w:jc w:val="left"/>
        <w:rPr>
          <w:rFonts w:ascii="Times New Roman" w:hAnsi="Times New Roman" w:cs="Times New Roman" w:eastAsia="Times New Roman" w:hint="default"/>
          <w:sz w:val="18"/>
          <w:szCs w:val="18"/>
        </w:rPr>
        <w:sectPr>
          <w:footerReference w:type="default" r:id="rId33"/>
          <w:pgSz w:w="11910" w:h="16840"/>
          <w:pgMar w:footer="980" w:header="745" w:top="1060" w:bottom="1160" w:left="980" w:right="0"/>
          <w:pgNumType w:start="11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935"/>
        <w:gridCol w:w="2285"/>
        <w:gridCol w:w="2338"/>
      </w:tblGrid>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988,887,820.23</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163,421,510.59</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3,050,835,719.49</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1,835,684,499.94</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1,149,583,796.70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1,125,706,933.73</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761,600,950.22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545,227,741.20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56,684,097.66</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66,161,365.74</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1,352,782,707.88</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309,487,660.25</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3,320,651,552.46</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2,046,583,700.92</w:t>
            </w:r>
          </w:p>
        </w:tc>
      </w:tr>
      <w:tr>
        <w:trPr>
          <w:trHeight w:val="403"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-269,815,832.97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-210,899,200.98</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1,039,000.00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81,507,000.00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82,930,099.10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42,394.32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172,677.82</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21,454,265.00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11,081,394.32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186,064,041.92</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372,614,450.31</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463,615,462.35</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45,662,250.00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90,870,000.00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418,276,700.31</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554,485,462.35</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-407,195,305.99</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-368,421,420.43</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1,190,000,000.00</w:t>
            </w: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4,151,949,967.45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3,479,195,687.73</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285" w:type="dxa"/>
            <w:tcBorders>
              <w:top w:val="single" w:sz="4" w:space="0" w:color="000000"/>
              <w:left w:val="single" w:sz="13" w:space="0" w:color="D2D2D2"/>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5,341,949,967.45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3,479,195,687.73</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4,175,584,838.20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3,585,448,300.00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182,319,676.32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201,916,811.86</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31,784,265.25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990,566.04</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4,389,688,779.77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3,788,355,677.90</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952,261,187.68</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-309,159,990.17</w:t>
            </w:r>
          </w:p>
        </w:tc>
      </w:tr>
      <w:tr>
        <w:trPr>
          <w:trHeight w:val="402" w:hRule="exact"/>
        </w:trPr>
        <w:tc>
          <w:tcPr>
            <w:tcW w:w="4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22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55,098.84</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101,977.85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940"/>
        <w:gridCol w:w="2280"/>
        <w:gridCol w:w="2338"/>
      </w:tblGrid>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275,305,147.56</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-888,378,633.73</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558,421,739.12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1,446,800,372.85</w:t>
            </w:r>
          </w:p>
        </w:tc>
      </w:tr>
      <w:tr>
        <w:trPr>
          <w:trHeight w:val="402" w:hRule="exact"/>
        </w:trPr>
        <w:tc>
          <w:tcPr>
            <w:tcW w:w="4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22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833,726,886.68</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558,421,739.12</w:t>
            </w:r>
          </w:p>
        </w:tc>
      </w:tr>
    </w:tbl>
    <w:p>
      <w:pPr>
        <w:spacing w:line="240" w:lineRule="auto" w:before="11"/>
        <w:rPr>
          <w:rFonts w:ascii="Times New Roman" w:hAnsi="Times New Roman" w:cs="Times New Roman" w:eastAsia="Times New Roman" w:hint="default"/>
          <w:sz w:val="22"/>
          <w:szCs w:val="22"/>
        </w:rPr>
      </w:pPr>
    </w:p>
    <w:p>
      <w:pPr>
        <w:pStyle w:val="BodyText"/>
        <w:tabs>
          <w:tab w:pos="3578" w:val="left" w:leader="none"/>
          <w:tab w:pos="7721" w:val="left" w:leader="none"/>
        </w:tabs>
        <w:spacing w:line="240" w:lineRule="auto" w:before="44"/>
        <w:ind w:right="0"/>
        <w:jc w:val="left"/>
      </w:pPr>
      <w:r>
        <w:rPr/>
        <w:t>法定代表人：胡宏伟</w:t>
        <w:tab/>
      </w:r>
      <w:r>
        <w:rPr>
          <w:spacing w:val="-1"/>
        </w:rPr>
        <w:t>主管会计工作负责人：陈丽娜</w:t>
        <w:tab/>
      </w:r>
      <w:r>
        <w:rPr/>
        <w:t>会计机构负责人：郭伟民</w:t>
      </w:r>
    </w:p>
    <w:p>
      <w:pPr>
        <w:spacing w:line="240" w:lineRule="auto" w:before="0"/>
        <w:rPr>
          <w:rFonts w:ascii="宋体" w:hAnsi="宋体" w:cs="宋体" w:eastAsia="宋体" w:hint="default"/>
          <w:sz w:val="18"/>
          <w:szCs w:val="18"/>
        </w:rPr>
      </w:pPr>
    </w:p>
    <w:p>
      <w:pPr>
        <w:pStyle w:val="Heading3"/>
        <w:spacing w:line="240" w:lineRule="auto" w:before="120"/>
        <w:ind w:right="2602"/>
        <w:jc w:val="left"/>
        <w:rPr>
          <w:b w:val="0"/>
          <w:bCs w:val="0"/>
        </w:rPr>
      </w:pPr>
      <w:bookmarkStart w:name="7、合并所有者权益变动表" w:id="171"/>
      <w:bookmarkEnd w:id="171"/>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t>本期金额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42"/>
        <w:gridCol w:w="505"/>
        <w:gridCol w:w="466"/>
        <w:gridCol w:w="466"/>
        <w:gridCol w:w="468"/>
        <w:gridCol w:w="583"/>
        <w:gridCol w:w="586"/>
        <w:gridCol w:w="583"/>
        <w:gridCol w:w="584"/>
        <w:gridCol w:w="583"/>
        <w:gridCol w:w="583"/>
        <w:gridCol w:w="586"/>
        <w:gridCol w:w="584"/>
        <w:gridCol w:w="583"/>
        <w:gridCol w:w="586"/>
        <w:gridCol w:w="578"/>
      </w:tblGrid>
      <w:tr>
        <w:trPr>
          <w:trHeight w:val="404" w:hRule="exact"/>
        </w:trPr>
        <w:tc>
          <w:tcPr>
            <w:tcW w:w="1242" w:type="dxa"/>
            <w:vMerge w:val="restart"/>
            <w:tcBorders>
              <w:top w:val="single" w:sz="4" w:space="0" w:color="000000"/>
              <w:left w:val="single" w:sz="4" w:space="0" w:color="000000"/>
              <w:right w:val="single" w:sz="4" w:space="0" w:color="000000"/>
            </w:tcBorders>
            <w:shd w:val="clear" w:color="auto" w:fill="D2D2D2"/>
          </w:tcPr>
          <w:p>
            <w:pPr/>
          </w:p>
        </w:tc>
        <w:tc>
          <w:tcPr>
            <w:tcW w:w="8324"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94" w:hRule="exact"/>
        </w:trPr>
        <w:tc>
          <w:tcPr>
            <w:tcW w:w="1242" w:type="dxa"/>
            <w:vMerge/>
            <w:tcBorders>
              <w:left w:val="single" w:sz="4" w:space="0" w:color="000000"/>
              <w:right w:val="single" w:sz="4" w:space="0" w:color="000000"/>
            </w:tcBorders>
            <w:shd w:val="clear" w:color="auto" w:fill="D2D2D2"/>
          </w:tcPr>
          <w:p>
            <w:pPr/>
          </w:p>
        </w:tc>
        <w:tc>
          <w:tcPr>
            <w:tcW w:w="7160" w:type="dxa"/>
            <w:gridSpan w:val="1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586" w:type="dxa"/>
            <w:vMerge w:val="restart"/>
            <w:tcBorders>
              <w:top w:val="single" w:sz="4" w:space="0" w:color="000000"/>
              <w:left w:val="single" w:sz="4" w:space="0" w:color="000000"/>
              <w:right w:val="single" w:sz="4" w:space="0" w:color="000000"/>
            </w:tcBorders>
            <w:shd w:val="clear" w:color="auto" w:fill="D2D2D2"/>
          </w:tcPr>
          <w:p>
            <w:pPr/>
          </w:p>
        </w:tc>
        <w:tc>
          <w:tcPr>
            <w:tcW w:w="57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242" w:type="dxa"/>
            <w:vMerge/>
            <w:tcBorders>
              <w:left w:val="single" w:sz="4" w:space="0" w:color="000000"/>
              <w:right w:val="single" w:sz="4" w:space="0" w:color="000000"/>
            </w:tcBorders>
            <w:shd w:val="clear" w:color="auto" w:fill="D2D2D2"/>
          </w:tcPr>
          <w:p>
            <w:pPr/>
          </w:p>
        </w:tc>
        <w:tc>
          <w:tcPr>
            <w:tcW w:w="7160" w:type="dxa"/>
            <w:gridSpan w:val="13"/>
            <w:vMerge/>
            <w:tcBorders>
              <w:left w:val="single" w:sz="4" w:space="0" w:color="000000"/>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5" w:right="101"/>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151" w:hRule="exact"/>
        </w:trPr>
        <w:tc>
          <w:tcPr>
            <w:tcW w:w="1242" w:type="dxa"/>
            <w:vMerge/>
            <w:tcBorders>
              <w:left w:val="single" w:sz="4" w:space="0" w:color="000000"/>
              <w:bottom w:val="nil" w:sz="6" w:space="0" w:color="auto"/>
              <w:right w:val="single" w:sz="4" w:space="0" w:color="000000"/>
            </w:tcBorders>
            <w:shd w:val="clear" w:color="auto" w:fill="D2D2D2"/>
          </w:tcPr>
          <w:p>
            <w:pPr/>
          </w:p>
        </w:tc>
        <w:tc>
          <w:tcPr>
            <w:tcW w:w="7160" w:type="dxa"/>
            <w:gridSpan w:val="13"/>
            <w:vMerge/>
            <w:tcBorders>
              <w:left w:val="single" w:sz="4" w:space="0" w:color="000000"/>
              <w:bottom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10" w:right="103"/>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578" w:type="dxa"/>
            <w:vMerge/>
            <w:tcBorders>
              <w:left w:val="single" w:sz="4" w:space="0" w:color="000000"/>
              <w:right w:val="single" w:sz="4" w:space="0" w:color="000000"/>
            </w:tcBorders>
            <w:shd w:val="clear" w:color="auto" w:fill="D2D2D2"/>
          </w:tcPr>
          <w:p>
            <w:pPr/>
          </w:p>
        </w:tc>
      </w:tr>
      <w:tr>
        <w:trPr>
          <w:trHeight w:val="206" w:hRule="exact"/>
        </w:trPr>
        <w:tc>
          <w:tcPr>
            <w:tcW w:w="12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05" w:type="dxa"/>
            <w:vMerge w:val="restart"/>
            <w:tcBorders>
              <w:top w:val="single" w:sz="4" w:space="0" w:color="000000"/>
              <w:left w:val="single" w:sz="4" w:space="0" w:color="000000"/>
              <w:right w:val="single" w:sz="4" w:space="0" w:color="000000"/>
            </w:tcBorders>
            <w:shd w:val="clear" w:color="auto" w:fill="D2D2D2"/>
          </w:tcPr>
          <w:p>
            <w:pPr/>
          </w:p>
        </w:tc>
        <w:tc>
          <w:tcPr>
            <w:tcW w:w="140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5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3" w:type="dxa"/>
            <w:tcBorders>
              <w:top w:val="single" w:sz="4" w:space="0" w:color="000000"/>
              <w:left w:val="single" w:sz="4" w:space="0" w:color="000000"/>
              <w:bottom w:val="nil" w:sz="6" w:space="0" w:color="auto"/>
              <w:right w:val="single" w:sz="4" w:space="0" w:color="000000"/>
            </w:tcBorders>
            <w:shd w:val="clear" w:color="auto" w:fill="D2D2D2"/>
          </w:tcPr>
          <w:p>
            <w:pPr/>
          </w:p>
        </w:tc>
        <w:tc>
          <w:tcPr>
            <w:tcW w:w="586"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8"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84"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7"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10" w:right="103"/>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84" w:type="dxa"/>
            <w:vMerge w:val="restart"/>
            <w:tcBorders>
              <w:top w:val="single" w:sz="4" w:space="0" w:color="000000"/>
              <w:left w:val="single" w:sz="4" w:space="0" w:color="000000"/>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65" w:hRule="exact"/>
        </w:trPr>
        <w:tc>
          <w:tcPr>
            <w:tcW w:w="1242" w:type="dxa"/>
            <w:vMerge/>
            <w:tcBorders>
              <w:left w:val="single" w:sz="4" w:space="0" w:color="000000"/>
              <w:bottom w:val="nil" w:sz="6" w:space="0" w:color="auto"/>
              <w:right w:val="single" w:sz="4" w:space="0" w:color="000000"/>
            </w:tcBorders>
            <w:shd w:val="clear" w:color="auto" w:fill="D2D2D2"/>
          </w:tcPr>
          <w:p>
            <w:pPr/>
          </w:p>
        </w:tc>
        <w:tc>
          <w:tcPr>
            <w:tcW w:w="505" w:type="dxa"/>
            <w:vMerge/>
            <w:tcBorders>
              <w:left w:val="single" w:sz="4" w:space="0" w:color="000000"/>
              <w:bottom w:val="nil" w:sz="6" w:space="0" w:color="auto"/>
              <w:right w:val="single" w:sz="4" w:space="0" w:color="000000"/>
            </w:tcBorders>
            <w:shd w:val="clear" w:color="auto" w:fill="D2D2D2"/>
          </w:tcPr>
          <w:p>
            <w:pPr/>
          </w:p>
        </w:tc>
        <w:tc>
          <w:tcPr>
            <w:tcW w:w="1400" w:type="dxa"/>
            <w:gridSpan w:val="3"/>
            <w:vMerge/>
            <w:tcBorders>
              <w:left w:val="single" w:sz="4" w:space="0" w:color="000000"/>
              <w:bottom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8" w:right="103"/>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7" w:right="22" w:hanging="84"/>
              <w:jc w:val="left"/>
              <w:rPr>
                <w:rFonts w:ascii="宋体" w:hAnsi="宋体" w:cs="宋体" w:eastAsia="宋体" w:hint="default"/>
                <w:sz w:val="18"/>
                <w:szCs w:val="18"/>
              </w:rPr>
            </w:pPr>
            <w:r>
              <w:rPr>
                <w:rFonts w:ascii="宋体" w:hAnsi="宋体" w:cs="宋体" w:eastAsia="宋体" w:hint="default"/>
                <w:spacing w:val="-5"/>
                <w:sz w:val="18"/>
                <w:szCs w:val="18"/>
              </w:rPr>
              <w:t>减：库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存股</w:t>
            </w:r>
          </w:p>
        </w:tc>
        <w:tc>
          <w:tcPr>
            <w:tcW w:w="583"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8" w:right="10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7" w:right="103"/>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93" w:hRule="exact"/>
        </w:trPr>
        <w:tc>
          <w:tcPr>
            <w:tcW w:w="1242" w:type="dxa"/>
            <w:vMerge w:val="restart"/>
            <w:tcBorders>
              <w:top w:val="nil" w:sz="6" w:space="0" w:color="auto"/>
              <w:left w:val="single" w:sz="4" w:space="0" w:color="000000"/>
              <w:right w:val="single" w:sz="4" w:space="0" w:color="000000"/>
            </w:tcBorders>
            <w:shd w:val="clear" w:color="auto" w:fill="D2D2D2"/>
          </w:tcPr>
          <w:p>
            <w:pPr/>
          </w:p>
        </w:tc>
        <w:tc>
          <w:tcPr>
            <w:tcW w:w="50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7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6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39" w:right="47"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46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39" w:right="46"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468"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10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90" w:hRule="exact"/>
        </w:trPr>
        <w:tc>
          <w:tcPr>
            <w:tcW w:w="1242" w:type="dxa"/>
            <w:vMerge/>
            <w:tcBorders>
              <w:left w:val="single" w:sz="4" w:space="0" w:color="000000"/>
              <w:right w:val="single" w:sz="4" w:space="0" w:color="000000"/>
            </w:tcBorders>
            <w:shd w:val="clear" w:color="auto" w:fill="D2D2D2"/>
          </w:tcPr>
          <w:p>
            <w:pPr/>
          </w:p>
        </w:tc>
        <w:tc>
          <w:tcPr>
            <w:tcW w:w="505" w:type="dxa"/>
            <w:vMerge/>
            <w:tcBorders>
              <w:left w:val="single" w:sz="4" w:space="0" w:color="000000"/>
              <w:bottom w:val="nil" w:sz="6" w:space="0" w:color="auto"/>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5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34" w:hRule="exact"/>
        </w:trPr>
        <w:tc>
          <w:tcPr>
            <w:tcW w:w="1242" w:type="dxa"/>
            <w:vMerge/>
            <w:tcBorders>
              <w:left w:val="single" w:sz="4" w:space="0" w:color="000000"/>
              <w:right w:val="single" w:sz="4" w:space="0" w:color="000000"/>
            </w:tcBorders>
            <w:shd w:val="clear" w:color="auto" w:fill="D2D2D2"/>
          </w:tcPr>
          <w:p>
            <w:pPr/>
          </w:p>
        </w:tc>
        <w:tc>
          <w:tcPr>
            <w:tcW w:w="505" w:type="dxa"/>
            <w:vMerge w:val="restart"/>
            <w:tcBorders>
              <w:top w:val="nil" w:sz="6" w:space="0" w:color="auto"/>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24" w:hRule="exact"/>
        </w:trPr>
        <w:tc>
          <w:tcPr>
            <w:tcW w:w="1242" w:type="dxa"/>
            <w:vMerge/>
            <w:tcBorders>
              <w:left w:val="single" w:sz="4" w:space="0" w:color="000000"/>
              <w:right w:val="single" w:sz="4" w:space="0" w:color="000000"/>
            </w:tcBorders>
            <w:shd w:val="clear" w:color="auto" w:fill="D2D2D2"/>
          </w:tcPr>
          <w:p>
            <w:pPr/>
          </w:p>
        </w:tc>
        <w:tc>
          <w:tcPr>
            <w:tcW w:w="505"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
        </w:tc>
        <w:tc>
          <w:tcPr>
            <w:tcW w:w="578" w:type="dxa"/>
            <w:vMerge/>
            <w:tcBorders>
              <w:left w:val="single" w:sz="4" w:space="0" w:color="000000"/>
              <w:bottom w:val="nil" w:sz="6" w:space="0" w:color="auto"/>
              <w:right w:val="single" w:sz="4" w:space="0" w:color="000000"/>
            </w:tcBorders>
            <w:shd w:val="clear" w:color="auto" w:fill="D2D2D2"/>
          </w:tcPr>
          <w:p>
            <w:pPr/>
          </w:p>
        </w:tc>
      </w:tr>
      <w:tr>
        <w:trPr>
          <w:trHeight w:val="94" w:hRule="exact"/>
        </w:trPr>
        <w:tc>
          <w:tcPr>
            <w:tcW w:w="1242" w:type="dxa"/>
            <w:vMerge/>
            <w:tcBorders>
              <w:left w:val="single" w:sz="4" w:space="0" w:color="000000"/>
              <w:bottom w:val="single" w:sz="4" w:space="0" w:color="000000"/>
              <w:right w:val="single" w:sz="4" w:space="0" w:color="000000"/>
            </w:tcBorders>
            <w:shd w:val="clear" w:color="auto" w:fill="D2D2D2"/>
          </w:tcPr>
          <w:p>
            <w:pPr/>
          </w:p>
        </w:tc>
        <w:tc>
          <w:tcPr>
            <w:tcW w:w="505" w:type="dxa"/>
            <w:vMerge/>
            <w:tcBorders>
              <w:left w:val="single" w:sz="4" w:space="0" w:color="000000"/>
              <w:bottom w:val="single" w:sz="4" w:space="0" w:color="000000"/>
              <w:right w:val="single" w:sz="4" w:space="0" w:color="000000"/>
            </w:tcBorders>
            <w:shd w:val="clear" w:color="auto" w:fill="D2D2D2"/>
          </w:tcPr>
          <w:p>
            <w:pPr/>
          </w:p>
        </w:tc>
        <w:tc>
          <w:tcPr>
            <w:tcW w:w="466" w:type="dxa"/>
            <w:vMerge/>
            <w:tcBorders>
              <w:left w:val="single" w:sz="4" w:space="0" w:color="000000"/>
              <w:bottom w:val="single" w:sz="4" w:space="0" w:color="000000"/>
              <w:right w:val="single" w:sz="4" w:space="0" w:color="000000"/>
            </w:tcBorders>
            <w:shd w:val="clear" w:color="auto" w:fill="D2D2D2"/>
          </w:tcPr>
          <w:p>
            <w:pPr/>
          </w:p>
        </w:tc>
        <w:tc>
          <w:tcPr>
            <w:tcW w:w="466" w:type="dxa"/>
            <w:vMerge/>
            <w:tcBorders>
              <w:left w:val="single" w:sz="4" w:space="0" w:color="000000"/>
              <w:bottom w:val="single" w:sz="4" w:space="0" w:color="000000"/>
              <w:right w:val="single" w:sz="4" w:space="0" w:color="000000"/>
            </w:tcBorders>
            <w:shd w:val="clear" w:color="auto" w:fill="D2D2D2"/>
          </w:tcPr>
          <w:p>
            <w:pPr/>
          </w:p>
        </w:tc>
        <w:tc>
          <w:tcPr>
            <w:tcW w:w="468"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7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242" w:type="dxa"/>
            <w:tcBorders>
              <w:top w:val="single" w:sz="4" w:space="0" w:color="000000"/>
              <w:left w:val="single" w:sz="4" w:space="0" w:color="000000"/>
              <w:bottom w:val="nil" w:sz="6" w:space="0" w:color="auto"/>
              <w:right w:val="single" w:sz="4" w:space="0" w:color="000000"/>
            </w:tcBorders>
            <w:shd w:val="clear" w:color="auto" w:fill="D2D2D2"/>
          </w:tcPr>
          <w:p>
            <w:pPr/>
          </w:p>
        </w:tc>
        <w:tc>
          <w:tcPr>
            <w:tcW w:w="505" w:type="dxa"/>
            <w:vMerge w:val="restart"/>
            <w:tcBorders>
              <w:top w:val="single" w:sz="4" w:space="0" w:color="000000"/>
              <w:left w:val="single" w:sz="9" w:space="0" w:color="D2D2D2"/>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1,099</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,449,</w:t>
            </w:r>
          </w:p>
          <w:p>
            <w:pPr>
              <w:pStyle w:val="TableParagraph"/>
              <w:spacing w:line="240" w:lineRule="auto" w:before="105"/>
              <w:ind w:left="59" w:right="0"/>
              <w:jc w:val="left"/>
              <w:rPr>
                <w:rFonts w:ascii="Times New Roman" w:hAnsi="Times New Roman" w:cs="Times New Roman" w:eastAsia="Times New Roman" w:hint="default"/>
                <w:sz w:val="18"/>
                <w:szCs w:val="18"/>
              </w:rPr>
            </w:pPr>
            <w:r>
              <w:rPr>
                <w:rFonts w:ascii="Times New Roman"/>
                <w:sz w:val="18"/>
              </w:rPr>
              <w:t>688.0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1,098,</w:t>
            </w:r>
          </w:p>
          <w:p>
            <w:pPr>
              <w:pStyle w:val="TableParagraph"/>
              <w:spacing w:line="240" w:lineRule="auto" w:before="105"/>
              <w:ind w:left="36" w:right="0"/>
              <w:jc w:val="center"/>
              <w:rPr>
                <w:rFonts w:ascii="Times New Roman" w:hAnsi="Times New Roman" w:cs="Times New Roman" w:eastAsia="Times New Roman" w:hint="default"/>
                <w:sz w:val="18"/>
                <w:szCs w:val="18"/>
              </w:rPr>
            </w:pPr>
            <w:r>
              <w:rPr>
                <w:rFonts w:ascii="Times New Roman"/>
                <w:sz w:val="18"/>
              </w:rPr>
              <w:t>069,41</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2.27</w:t>
            </w:r>
          </w:p>
        </w:tc>
        <w:tc>
          <w:tcPr>
            <w:tcW w:w="586"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18" w:space="0" w:color="D2D2D2"/>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36" w:right="0"/>
              <w:jc w:val="center"/>
              <w:rPr>
                <w:rFonts w:ascii="Times New Roman" w:hAnsi="Times New Roman" w:cs="Times New Roman" w:eastAsia="Times New Roman" w:hint="default"/>
                <w:sz w:val="18"/>
                <w:szCs w:val="18"/>
              </w:rPr>
            </w:pPr>
            <w:r>
              <w:rPr>
                <w:rFonts w:ascii="Times New Roman"/>
                <w:sz w:val="18"/>
              </w:rPr>
              <w:t>979,66</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3.68</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145,83</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4,602.</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82</w:t>
            </w:r>
          </w:p>
        </w:tc>
        <w:tc>
          <w:tcPr>
            <w:tcW w:w="583" w:type="dxa"/>
            <w:vMerge w:val="restart"/>
            <w:tcBorders>
              <w:top w:val="single" w:sz="18" w:space="0" w:color="D2D2D2"/>
              <w:left w:val="single" w:sz="4" w:space="0" w:color="000000"/>
              <w:right w:val="single" w:sz="4" w:space="0" w:color="000000"/>
            </w:tcBorders>
          </w:tcPr>
          <w:p>
            <w:pPr/>
          </w:p>
        </w:tc>
        <w:tc>
          <w:tcPr>
            <w:tcW w:w="586" w:type="dxa"/>
            <w:vMerge w:val="restart"/>
            <w:tcBorders>
              <w:top w:val="single" w:sz="18" w:space="0" w:color="D2D2D2"/>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1,288,</w:t>
            </w:r>
          </w:p>
          <w:p>
            <w:pPr>
              <w:pStyle w:val="TableParagraph"/>
              <w:spacing w:line="240" w:lineRule="auto" w:before="105"/>
              <w:ind w:left="39" w:right="0"/>
              <w:jc w:val="center"/>
              <w:rPr>
                <w:rFonts w:ascii="Times New Roman" w:hAnsi="Times New Roman" w:cs="Times New Roman" w:eastAsia="Times New Roman" w:hint="default"/>
                <w:sz w:val="18"/>
                <w:szCs w:val="18"/>
              </w:rPr>
            </w:pPr>
            <w:r>
              <w:rPr>
                <w:rFonts w:ascii="Times New Roman"/>
                <w:sz w:val="18"/>
              </w:rPr>
              <w:t>393,57</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4.83</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3,632,</w:t>
            </w:r>
          </w:p>
          <w:p>
            <w:pPr>
              <w:pStyle w:val="TableParagraph"/>
              <w:spacing w:line="240" w:lineRule="auto" w:before="105"/>
              <w:ind w:left="36" w:right="0"/>
              <w:jc w:val="center"/>
              <w:rPr>
                <w:rFonts w:ascii="Times New Roman" w:hAnsi="Times New Roman" w:cs="Times New Roman" w:eastAsia="Times New Roman" w:hint="default"/>
                <w:sz w:val="18"/>
                <w:szCs w:val="18"/>
              </w:rPr>
            </w:pPr>
            <w:r>
              <w:rPr>
                <w:rFonts w:ascii="Times New Roman"/>
                <w:sz w:val="18"/>
              </w:rPr>
              <w:t>726,94</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1.60</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22,164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,707.9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578" w:type="dxa"/>
            <w:vMerge w:val="restart"/>
            <w:tcBorders>
              <w:top w:val="single" w:sz="36" w:space="0" w:color="D2D2D2"/>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3,654,</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891,64</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9.53</w:t>
            </w:r>
          </w:p>
        </w:tc>
      </w:tr>
      <w:tr>
        <w:trPr>
          <w:trHeight w:val="706" w:hRule="exact"/>
        </w:trPr>
        <w:tc>
          <w:tcPr>
            <w:tcW w:w="12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24" w:right="9"/>
              <w:jc w:val="left"/>
              <w:rPr>
                <w:rFonts w:ascii="宋体" w:hAnsi="宋体" w:cs="宋体" w:eastAsia="宋体" w:hint="default"/>
                <w:sz w:val="18"/>
                <w:szCs w:val="18"/>
              </w:rPr>
            </w:pPr>
            <w:r>
              <w:rPr>
                <w:rFonts w:ascii="宋体" w:hAnsi="宋体" w:cs="宋体" w:eastAsia="宋体" w:hint="default"/>
                <w:spacing w:val="-9"/>
                <w:sz w:val="18"/>
                <w:szCs w:val="18"/>
              </w:rPr>
              <w:t>一、上年期末余</w:t>
            </w:r>
            <w:r>
              <w:rPr>
                <w:rFonts w:ascii="宋体" w:hAnsi="宋体" w:cs="宋体" w:eastAsia="宋体" w:hint="default"/>
                <w:sz w:val="18"/>
                <w:szCs w:val="18"/>
              </w:rPr>
              <w:t> 额</w:t>
            </w:r>
          </w:p>
        </w:tc>
        <w:tc>
          <w:tcPr>
            <w:tcW w:w="505"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317" w:hRule="exact"/>
        </w:trPr>
        <w:tc>
          <w:tcPr>
            <w:tcW w:w="1242" w:type="dxa"/>
            <w:tcBorders>
              <w:top w:val="nil" w:sz="6" w:space="0" w:color="auto"/>
              <w:left w:val="single" w:sz="4" w:space="0" w:color="000000"/>
              <w:bottom w:val="single" w:sz="4" w:space="0" w:color="000000"/>
              <w:right w:val="single" w:sz="4" w:space="0" w:color="000000"/>
            </w:tcBorders>
            <w:shd w:val="clear" w:color="auto" w:fill="D2D2D2"/>
          </w:tcPr>
          <w:p>
            <w:pPr/>
          </w:p>
        </w:tc>
        <w:tc>
          <w:tcPr>
            <w:tcW w:w="505"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161" w:hRule="exact"/>
        </w:trPr>
        <w:tc>
          <w:tcPr>
            <w:tcW w:w="1242" w:type="dxa"/>
            <w:tcBorders>
              <w:top w:val="single" w:sz="4" w:space="0" w:color="000000"/>
              <w:left w:val="single" w:sz="4" w:space="0" w:color="000000"/>
              <w:bottom w:val="nil" w:sz="6" w:space="0" w:color="auto"/>
              <w:right w:val="single" w:sz="4" w:space="0" w:color="000000"/>
            </w:tcBorders>
            <w:shd w:val="clear" w:color="auto" w:fill="D2D2D2"/>
          </w:tcPr>
          <w:p>
            <w:pPr/>
          </w:p>
        </w:tc>
        <w:tc>
          <w:tcPr>
            <w:tcW w:w="505" w:type="dxa"/>
            <w:vMerge w:val="restart"/>
            <w:tcBorders>
              <w:top w:val="single" w:sz="4" w:space="0" w:color="000000"/>
              <w:left w:val="single" w:sz="9" w:space="0" w:color="D2D2D2"/>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4,318,</w:t>
            </w:r>
          </w:p>
          <w:p>
            <w:pPr>
              <w:pStyle w:val="TableParagraph"/>
              <w:spacing w:line="240" w:lineRule="auto" w:before="102"/>
              <w:ind w:left="57" w:right="0"/>
              <w:jc w:val="left"/>
              <w:rPr>
                <w:rFonts w:ascii="Times New Roman" w:hAnsi="Times New Roman" w:cs="Times New Roman" w:eastAsia="Times New Roman" w:hint="default"/>
                <w:sz w:val="18"/>
                <w:szCs w:val="18"/>
              </w:rPr>
            </w:pPr>
            <w:r>
              <w:rPr>
                <w:rFonts w:ascii="Times New Roman"/>
                <w:sz w:val="18"/>
              </w:rPr>
              <w:t>620.60</w:t>
            </w: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38,867</w:t>
            </w:r>
          </w:p>
          <w:p>
            <w:pPr>
              <w:pStyle w:val="TableParagraph"/>
              <w:spacing w:line="240" w:lineRule="auto" w:before="103"/>
              <w:ind w:right="19"/>
              <w:jc w:val="right"/>
              <w:rPr>
                <w:rFonts w:ascii="Times New Roman" w:hAnsi="Times New Roman" w:cs="Times New Roman" w:eastAsia="Times New Roman" w:hint="default"/>
                <w:sz w:val="18"/>
                <w:szCs w:val="18"/>
              </w:rPr>
            </w:pPr>
            <w:r>
              <w:rPr>
                <w:rFonts w:ascii="Times New Roman"/>
                <w:sz w:val="18"/>
              </w:rPr>
              <w:t>,585.3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43,186</w:t>
            </w:r>
          </w:p>
          <w:p>
            <w:pPr>
              <w:pStyle w:val="TableParagraph"/>
              <w:spacing w:line="240" w:lineRule="auto" w:before="103"/>
              <w:ind w:right="19"/>
              <w:jc w:val="right"/>
              <w:rPr>
                <w:rFonts w:ascii="Times New Roman" w:hAnsi="Times New Roman" w:cs="Times New Roman" w:eastAsia="Times New Roman" w:hint="default"/>
                <w:sz w:val="18"/>
                <w:szCs w:val="18"/>
              </w:rPr>
            </w:pPr>
            <w:r>
              <w:rPr>
                <w:rFonts w:ascii="Times New Roman"/>
                <w:sz w:val="18"/>
              </w:rPr>
              <w:t>,205.9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58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43,186</w:t>
            </w:r>
          </w:p>
          <w:p>
            <w:pPr>
              <w:pStyle w:val="TableParagraph"/>
              <w:spacing w:line="240" w:lineRule="auto" w:before="103"/>
              <w:ind w:right="19"/>
              <w:jc w:val="right"/>
              <w:rPr>
                <w:rFonts w:ascii="Times New Roman" w:hAnsi="Times New Roman" w:cs="Times New Roman" w:eastAsia="Times New Roman" w:hint="default"/>
                <w:sz w:val="18"/>
                <w:szCs w:val="18"/>
              </w:rPr>
            </w:pPr>
            <w:r>
              <w:rPr>
                <w:rFonts w:ascii="Times New Roman"/>
                <w:sz w:val="18"/>
              </w:rPr>
              <w:t>,205.9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r>
      <w:tr>
        <w:trPr>
          <w:trHeight w:val="704" w:hRule="exact"/>
        </w:trPr>
        <w:tc>
          <w:tcPr>
            <w:tcW w:w="12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24" w:right="8" w:firstLine="360"/>
              <w:jc w:val="left"/>
              <w:rPr>
                <w:rFonts w:ascii="宋体" w:hAnsi="宋体" w:cs="宋体" w:eastAsia="宋体" w:hint="default"/>
                <w:sz w:val="18"/>
                <w:szCs w:val="18"/>
              </w:rPr>
            </w:pPr>
            <w:r>
              <w:rPr>
                <w:rFonts w:ascii="宋体" w:hAnsi="宋体" w:cs="宋体" w:eastAsia="宋体" w:hint="default"/>
                <w:spacing w:val="-13"/>
                <w:sz w:val="18"/>
                <w:szCs w:val="18"/>
              </w:rPr>
              <w:t>加：会计政</w:t>
            </w:r>
            <w:r>
              <w:rPr>
                <w:rFonts w:ascii="宋体" w:hAnsi="宋体" w:cs="宋体" w:eastAsia="宋体" w:hint="default"/>
                <w:sz w:val="18"/>
                <w:szCs w:val="18"/>
              </w:rPr>
              <w:t> 策变更</w:t>
            </w:r>
          </w:p>
        </w:tc>
        <w:tc>
          <w:tcPr>
            <w:tcW w:w="505"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161" w:hRule="exact"/>
        </w:trPr>
        <w:tc>
          <w:tcPr>
            <w:tcW w:w="1242" w:type="dxa"/>
            <w:tcBorders>
              <w:top w:val="nil" w:sz="6" w:space="0" w:color="auto"/>
              <w:left w:val="single" w:sz="4" w:space="0" w:color="000000"/>
              <w:bottom w:val="single" w:sz="4" w:space="0" w:color="000000"/>
              <w:right w:val="single" w:sz="4" w:space="0" w:color="000000"/>
            </w:tcBorders>
            <w:shd w:val="clear" w:color="auto" w:fill="D2D2D2"/>
          </w:tcPr>
          <w:p>
            <w:pPr/>
          </w:p>
        </w:tc>
        <w:tc>
          <w:tcPr>
            <w:tcW w:w="505"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715"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26"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242" w:type="dxa"/>
            <w:tcBorders>
              <w:top w:val="single" w:sz="4" w:space="0" w:color="000000"/>
              <w:left w:val="single" w:sz="4" w:space="0" w:color="000000"/>
              <w:bottom w:val="nil" w:sz="6" w:space="0" w:color="auto"/>
              <w:right w:val="single" w:sz="4" w:space="0" w:color="000000"/>
            </w:tcBorders>
            <w:shd w:val="clear" w:color="auto" w:fill="D2D2D2"/>
          </w:tcPr>
          <w:p>
            <w:pPr/>
          </w:p>
        </w:tc>
        <w:tc>
          <w:tcPr>
            <w:tcW w:w="505" w:type="dxa"/>
            <w:vMerge w:val="restart"/>
            <w:tcBorders>
              <w:top w:val="single" w:sz="4" w:space="0" w:color="000000"/>
              <w:left w:val="single" w:sz="9" w:space="0" w:color="D2D2D2"/>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1,099</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,449,</w:t>
            </w:r>
          </w:p>
          <w:p>
            <w:pPr>
              <w:pStyle w:val="TableParagraph"/>
              <w:spacing w:line="240" w:lineRule="auto" w:before="105"/>
              <w:ind w:left="59" w:right="0"/>
              <w:jc w:val="left"/>
              <w:rPr>
                <w:rFonts w:ascii="Times New Roman" w:hAnsi="Times New Roman" w:cs="Times New Roman" w:eastAsia="Times New Roman" w:hint="default"/>
                <w:sz w:val="18"/>
                <w:szCs w:val="18"/>
              </w:rPr>
            </w:pPr>
            <w:r>
              <w:rPr>
                <w:rFonts w:ascii="Times New Roman"/>
                <w:sz w:val="18"/>
              </w:rPr>
              <w:t>688.0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1,098,</w:t>
            </w:r>
          </w:p>
          <w:p>
            <w:pPr>
              <w:pStyle w:val="TableParagraph"/>
              <w:spacing w:line="240" w:lineRule="auto" w:before="102"/>
              <w:ind w:left="36" w:right="0"/>
              <w:jc w:val="center"/>
              <w:rPr>
                <w:rFonts w:ascii="Times New Roman" w:hAnsi="Times New Roman" w:cs="Times New Roman" w:eastAsia="Times New Roman" w:hint="default"/>
                <w:sz w:val="18"/>
                <w:szCs w:val="18"/>
              </w:rPr>
            </w:pPr>
            <w:r>
              <w:rPr>
                <w:rFonts w:ascii="Times New Roman"/>
                <w:sz w:val="18"/>
              </w:rPr>
              <w:t>069,41</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2.27</w:t>
            </w:r>
          </w:p>
        </w:tc>
        <w:tc>
          <w:tcPr>
            <w:tcW w:w="586"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979,66</w:t>
            </w:r>
          </w:p>
          <w:p>
            <w:pPr>
              <w:pStyle w:val="TableParagraph"/>
              <w:spacing w:line="240" w:lineRule="auto" w:before="103"/>
              <w:ind w:left="216" w:right="0"/>
              <w:jc w:val="center"/>
              <w:rPr>
                <w:rFonts w:ascii="Times New Roman" w:hAnsi="Times New Roman" w:cs="Times New Roman" w:eastAsia="Times New Roman" w:hint="default"/>
                <w:sz w:val="18"/>
                <w:szCs w:val="18"/>
              </w:rPr>
            </w:pPr>
            <w:r>
              <w:rPr>
                <w:rFonts w:ascii="Times New Roman"/>
                <w:sz w:val="18"/>
              </w:rPr>
              <w:t>3.68</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150,15</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3,223.</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42</w:t>
            </w: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1,327,</w:t>
            </w:r>
          </w:p>
          <w:p>
            <w:pPr>
              <w:pStyle w:val="TableParagraph"/>
              <w:spacing w:line="240" w:lineRule="auto" w:before="102"/>
              <w:ind w:left="39" w:right="0"/>
              <w:jc w:val="center"/>
              <w:rPr>
                <w:rFonts w:ascii="Times New Roman" w:hAnsi="Times New Roman" w:cs="Times New Roman" w:eastAsia="Times New Roman" w:hint="default"/>
                <w:sz w:val="18"/>
                <w:szCs w:val="18"/>
              </w:rPr>
            </w:pPr>
            <w:r>
              <w:rPr>
                <w:rFonts w:ascii="Times New Roman"/>
                <w:sz w:val="18"/>
              </w:rPr>
              <w:t>261,16</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0.22</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3,675,</w:t>
            </w:r>
          </w:p>
          <w:p>
            <w:pPr>
              <w:pStyle w:val="TableParagraph"/>
              <w:spacing w:line="240" w:lineRule="auto" w:before="102"/>
              <w:ind w:left="36" w:right="0"/>
              <w:jc w:val="center"/>
              <w:rPr>
                <w:rFonts w:ascii="Times New Roman" w:hAnsi="Times New Roman" w:cs="Times New Roman" w:eastAsia="Times New Roman" w:hint="default"/>
                <w:sz w:val="18"/>
                <w:szCs w:val="18"/>
              </w:rPr>
            </w:pPr>
            <w:r>
              <w:rPr>
                <w:rFonts w:ascii="Times New Roman"/>
                <w:sz w:val="18"/>
              </w:rPr>
              <w:t>913,14</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7.59</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22,164</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,707.9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3,698,</w:t>
            </w:r>
          </w:p>
          <w:p>
            <w:pPr>
              <w:pStyle w:val="TableParagraph"/>
              <w:spacing w:line="240" w:lineRule="auto" w:before="102"/>
              <w:ind w:left="31" w:right="0"/>
              <w:jc w:val="center"/>
              <w:rPr>
                <w:rFonts w:ascii="Times New Roman" w:hAnsi="Times New Roman" w:cs="Times New Roman" w:eastAsia="Times New Roman" w:hint="default"/>
                <w:sz w:val="18"/>
                <w:szCs w:val="18"/>
              </w:rPr>
            </w:pPr>
            <w:r>
              <w:rPr>
                <w:rFonts w:ascii="Times New Roman"/>
                <w:sz w:val="18"/>
              </w:rPr>
              <w:t>077,85</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5.52</w:t>
            </w:r>
          </w:p>
        </w:tc>
      </w:tr>
      <w:tr>
        <w:trPr>
          <w:trHeight w:val="704" w:hRule="exact"/>
        </w:trPr>
        <w:tc>
          <w:tcPr>
            <w:tcW w:w="12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24" w:right="8"/>
              <w:jc w:val="left"/>
              <w:rPr>
                <w:rFonts w:ascii="宋体" w:hAnsi="宋体" w:cs="宋体" w:eastAsia="宋体" w:hint="default"/>
                <w:sz w:val="18"/>
                <w:szCs w:val="18"/>
              </w:rPr>
            </w:pPr>
            <w:r>
              <w:rPr>
                <w:rFonts w:ascii="宋体" w:hAnsi="宋体" w:cs="宋体" w:eastAsia="宋体" w:hint="default"/>
                <w:spacing w:val="-9"/>
                <w:sz w:val="18"/>
                <w:szCs w:val="18"/>
              </w:rPr>
              <w:t>二、本年期初余</w:t>
            </w:r>
            <w:r>
              <w:rPr>
                <w:rFonts w:ascii="宋体" w:hAnsi="宋体" w:cs="宋体" w:eastAsia="宋体" w:hint="default"/>
                <w:sz w:val="18"/>
                <w:szCs w:val="18"/>
              </w:rPr>
              <w:t> 额</w:t>
            </w:r>
          </w:p>
        </w:tc>
        <w:tc>
          <w:tcPr>
            <w:tcW w:w="505"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317" w:hRule="exact"/>
        </w:trPr>
        <w:tc>
          <w:tcPr>
            <w:tcW w:w="1242" w:type="dxa"/>
            <w:tcBorders>
              <w:top w:val="nil" w:sz="6" w:space="0" w:color="auto"/>
              <w:left w:val="single" w:sz="4" w:space="0" w:color="000000"/>
              <w:bottom w:val="single" w:sz="4" w:space="0" w:color="000000"/>
              <w:right w:val="single" w:sz="4" w:space="0" w:color="000000"/>
            </w:tcBorders>
            <w:shd w:val="clear" w:color="auto" w:fill="D2D2D2"/>
          </w:tcPr>
          <w:p>
            <w:pPr/>
          </w:p>
        </w:tc>
        <w:tc>
          <w:tcPr>
            <w:tcW w:w="505"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1027"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
              <w:jc w:val="both"/>
              <w:rPr>
                <w:rFonts w:ascii="宋体" w:hAnsi="宋体" w:cs="宋体" w:eastAsia="宋体" w:hint="default"/>
                <w:sz w:val="18"/>
                <w:szCs w:val="18"/>
              </w:rPr>
            </w:pPr>
            <w:r>
              <w:rPr>
                <w:rFonts w:ascii="宋体" w:hAnsi="宋体" w:cs="宋体" w:eastAsia="宋体" w:hint="default"/>
                <w:spacing w:val="-9"/>
                <w:sz w:val="18"/>
                <w:szCs w:val="18"/>
              </w:rPr>
              <w:t>三、本期增减变</w:t>
            </w:r>
            <w:r>
              <w:rPr>
                <w:rFonts w:ascii="宋体" w:hAnsi="宋体" w:cs="宋体" w:eastAsia="宋体" w:hint="default"/>
                <w:sz w:val="18"/>
                <w:szCs w:val="18"/>
              </w:rPr>
              <w:t> </w:t>
            </w:r>
            <w:r>
              <w:rPr>
                <w:rFonts w:ascii="宋体" w:hAnsi="宋体" w:cs="宋体" w:eastAsia="宋体" w:hint="default"/>
                <w:spacing w:val="-9"/>
                <w:sz w:val="18"/>
                <w:szCs w:val="18"/>
              </w:rPr>
              <w:t>动金额（减少以</w:t>
            </w: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50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32" w:right="0"/>
              <w:jc w:val="center"/>
              <w:rPr>
                <w:rFonts w:ascii="Times New Roman" w:hAnsi="Times New Roman" w:cs="Times New Roman" w:eastAsia="Times New Roman" w:hint="default"/>
                <w:sz w:val="18"/>
                <w:szCs w:val="18"/>
              </w:rPr>
            </w:pPr>
            <w:r>
              <w:rPr>
                <w:rFonts w:ascii="Times New Roman"/>
                <w:sz w:val="18"/>
              </w:rPr>
              <w:t>40,40</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4,333</w:t>
            </w:r>
          </w:p>
          <w:p>
            <w:pPr>
              <w:pStyle w:val="TableParagraph"/>
              <w:spacing w:line="240" w:lineRule="auto" w:before="105"/>
              <w:ind w:left="212" w:right="0"/>
              <w:jc w:val="center"/>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125,2</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58,20</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3.62</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504,02</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9,084.</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18</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29,984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,265.2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740,93</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5.70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-1,424,</w:t>
            </w:r>
          </w:p>
          <w:p>
            <w:pPr>
              <w:pStyle w:val="TableParagraph"/>
              <w:spacing w:line="240" w:lineRule="auto" w:before="105"/>
              <w:ind w:left="39" w:right="0"/>
              <w:jc w:val="center"/>
              <w:rPr>
                <w:rFonts w:ascii="Times New Roman" w:hAnsi="Times New Roman" w:cs="Times New Roman" w:eastAsia="Times New Roman" w:hint="default"/>
                <w:sz w:val="18"/>
                <w:szCs w:val="18"/>
              </w:rPr>
            </w:pPr>
            <w:r>
              <w:rPr>
                <w:rFonts w:ascii="Times New Roman"/>
                <w:sz w:val="18"/>
              </w:rPr>
              <w:t>747,53</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3.89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-784,2</w:t>
            </w:r>
          </w:p>
          <w:p>
            <w:pPr>
              <w:pStyle w:val="TableParagraph"/>
              <w:spacing w:line="240" w:lineRule="auto" w:before="105"/>
              <w:ind w:left="57" w:right="0"/>
              <w:jc w:val="left"/>
              <w:rPr>
                <w:rFonts w:ascii="Times New Roman" w:hAnsi="Times New Roman" w:cs="Times New Roman" w:eastAsia="Times New Roman" w:hint="default"/>
                <w:sz w:val="18"/>
                <w:szCs w:val="18"/>
              </w:rPr>
            </w:pPr>
            <w:r>
              <w:rPr>
                <w:rFonts w:ascii="Times New Roman"/>
                <w:sz w:val="18"/>
              </w:rPr>
              <w:t>99,242</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.64</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-1,673,</w:t>
            </w:r>
          </w:p>
          <w:p>
            <w:pPr>
              <w:pStyle w:val="TableParagraph"/>
              <w:spacing w:line="240" w:lineRule="auto" w:before="105"/>
              <w:ind w:left="59" w:right="0"/>
              <w:jc w:val="left"/>
              <w:rPr>
                <w:rFonts w:ascii="Times New Roman" w:hAnsi="Times New Roman" w:cs="Times New Roman" w:eastAsia="Times New Roman" w:hint="default"/>
                <w:sz w:val="18"/>
                <w:szCs w:val="18"/>
              </w:rPr>
            </w:pPr>
            <w:r>
              <w:rPr>
                <w:rFonts w:ascii="Times New Roman"/>
                <w:sz w:val="18"/>
              </w:rPr>
              <w:t>560.01</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-785,9</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72,802</w:t>
            </w:r>
          </w:p>
          <w:p>
            <w:pPr>
              <w:pStyle w:val="TableParagraph"/>
              <w:spacing w:line="240" w:lineRule="auto" w:before="105"/>
              <w:ind w:left="321" w:right="0"/>
              <w:jc w:val="left"/>
              <w:rPr>
                <w:rFonts w:ascii="Times New Roman" w:hAnsi="Times New Roman" w:cs="Times New Roman" w:eastAsia="Times New Roman" w:hint="default"/>
                <w:sz w:val="18"/>
                <w:szCs w:val="18"/>
              </w:rPr>
            </w:pPr>
            <w:r>
              <w:rPr>
                <w:rFonts w:ascii="Times New Roman"/>
                <w:sz w:val="18"/>
              </w:rPr>
              <w:t>.65</w:t>
            </w:r>
          </w:p>
        </w:tc>
      </w:tr>
      <w:tr>
        <w:trPr>
          <w:trHeight w:val="161" w:hRule="exact"/>
        </w:trPr>
        <w:tc>
          <w:tcPr>
            <w:tcW w:w="1242" w:type="dxa"/>
            <w:tcBorders>
              <w:top w:val="single" w:sz="4" w:space="0" w:color="000000"/>
              <w:left w:val="single" w:sz="4" w:space="0" w:color="000000"/>
              <w:bottom w:val="nil" w:sz="6" w:space="0" w:color="auto"/>
              <w:right w:val="single" w:sz="4" w:space="0" w:color="000000"/>
            </w:tcBorders>
            <w:shd w:val="clear" w:color="auto" w:fill="D2D2D2"/>
          </w:tcPr>
          <w:p>
            <w:pPr/>
          </w:p>
        </w:tc>
        <w:tc>
          <w:tcPr>
            <w:tcW w:w="505" w:type="dxa"/>
            <w:vMerge w:val="restart"/>
            <w:tcBorders>
              <w:top w:val="single" w:sz="4" w:space="0" w:color="000000"/>
              <w:left w:val="single" w:sz="9" w:space="0" w:color="D2D2D2"/>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740,93</w:t>
            </w:r>
          </w:p>
          <w:p>
            <w:pPr>
              <w:pStyle w:val="TableParagraph"/>
              <w:spacing w:line="240" w:lineRule="auto" w:before="102"/>
              <w:ind w:left="216" w:right="0"/>
              <w:jc w:val="center"/>
              <w:rPr>
                <w:rFonts w:ascii="Times New Roman" w:hAnsi="Times New Roman" w:cs="Times New Roman" w:eastAsia="Times New Roman" w:hint="default"/>
                <w:sz w:val="18"/>
                <w:szCs w:val="18"/>
              </w:rPr>
            </w:pPr>
            <w:r>
              <w:rPr>
                <w:rFonts w:ascii="Times New Roman"/>
                <w:sz w:val="18"/>
              </w:rPr>
              <w:t>5.70</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-1,397,</w:t>
            </w:r>
          </w:p>
          <w:p>
            <w:pPr>
              <w:pStyle w:val="TableParagraph"/>
              <w:spacing w:line="240" w:lineRule="auto" w:before="102"/>
              <w:ind w:left="39" w:right="0"/>
              <w:jc w:val="center"/>
              <w:rPr>
                <w:rFonts w:ascii="Times New Roman" w:hAnsi="Times New Roman" w:cs="Times New Roman" w:eastAsia="Times New Roman" w:hint="default"/>
                <w:sz w:val="18"/>
                <w:szCs w:val="18"/>
              </w:rPr>
            </w:pPr>
            <w:r>
              <w:rPr>
                <w:rFonts w:ascii="Times New Roman"/>
                <w:sz w:val="18"/>
              </w:rPr>
              <w:t>325,37</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7.07</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-1,396,</w:t>
            </w:r>
          </w:p>
          <w:p>
            <w:pPr>
              <w:pStyle w:val="TableParagraph"/>
              <w:spacing w:line="240" w:lineRule="auto" w:before="102"/>
              <w:ind w:left="36" w:right="0"/>
              <w:jc w:val="center"/>
              <w:rPr>
                <w:rFonts w:ascii="Times New Roman" w:hAnsi="Times New Roman" w:cs="Times New Roman" w:eastAsia="Times New Roman" w:hint="default"/>
                <w:sz w:val="18"/>
                <w:szCs w:val="18"/>
              </w:rPr>
            </w:pPr>
            <w:r>
              <w:rPr>
                <w:rFonts w:ascii="Times New Roman"/>
                <w:sz w:val="18"/>
              </w:rPr>
              <w:t>584,44</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1.37</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-5,073,</w:t>
            </w:r>
          </w:p>
          <w:p>
            <w:pPr>
              <w:pStyle w:val="TableParagraph"/>
              <w:spacing w:line="240" w:lineRule="auto" w:before="102"/>
              <w:ind w:left="59" w:right="0"/>
              <w:jc w:val="left"/>
              <w:rPr>
                <w:rFonts w:ascii="Times New Roman" w:hAnsi="Times New Roman" w:cs="Times New Roman" w:eastAsia="Times New Roman" w:hint="default"/>
                <w:sz w:val="18"/>
                <w:szCs w:val="18"/>
              </w:rPr>
            </w:pPr>
            <w:r>
              <w:rPr>
                <w:rFonts w:ascii="Times New Roman"/>
                <w:sz w:val="18"/>
              </w:rPr>
              <w:t>560.01</w:t>
            </w: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91"/>
              <w:ind w:left="17" w:right="0"/>
              <w:jc w:val="center"/>
              <w:rPr>
                <w:rFonts w:ascii="Times New Roman" w:hAnsi="Times New Roman" w:cs="Times New Roman" w:eastAsia="Times New Roman" w:hint="default"/>
                <w:sz w:val="18"/>
                <w:szCs w:val="18"/>
              </w:rPr>
            </w:pPr>
            <w:r>
              <w:rPr>
                <w:rFonts w:ascii="Times New Roman"/>
                <w:sz w:val="18"/>
              </w:rPr>
              <w:t>-1,401,</w:t>
            </w:r>
          </w:p>
          <w:p>
            <w:pPr>
              <w:pStyle w:val="TableParagraph"/>
              <w:spacing w:line="240" w:lineRule="auto" w:before="102"/>
              <w:ind w:left="31" w:right="0"/>
              <w:jc w:val="center"/>
              <w:rPr>
                <w:rFonts w:ascii="Times New Roman" w:hAnsi="Times New Roman" w:cs="Times New Roman" w:eastAsia="Times New Roman" w:hint="default"/>
                <w:sz w:val="18"/>
                <w:szCs w:val="18"/>
              </w:rPr>
            </w:pPr>
            <w:r>
              <w:rPr>
                <w:rFonts w:ascii="Times New Roman"/>
                <w:sz w:val="18"/>
              </w:rPr>
              <w:t>658,00</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1.38</w:t>
            </w:r>
          </w:p>
        </w:tc>
      </w:tr>
      <w:tr>
        <w:trPr>
          <w:trHeight w:val="703" w:hRule="exact"/>
        </w:trPr>
        <w:tc>
          <w:tcPr>
            <w:tcW w:w="12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24" w:right="9"/>
              <w:jc w:val="left"/>
              <w:rPr>
                <w:rFonts w:ascii="宋体" w:hAnsi="宋体" w:cs="宋体" w:eastAsia="宋体" w:hint="default"/>
                <w:sz w:val="18"/>
                <w:szCs w:val="18"/>
              </w:rPr>
            </w:pPr>
            <w:r>
              <w:rPr>
                <w:rFonts w:ascii="宋体" w:hAnsi="宋体" w:cs="宋体" w:eastAsia="宋体" w:hint="default"/>
                <w:spacing w:val="-9"/>
                <w:sz w:val="18"/>
                <w:szCs w:val="18"/>
              </w:rPr>
              <w:t>（一）综合收益</w:t>
            </w:r>
            <w:r>
              <w:rPr>
                <w:rFonts w:ascii="宋体" w:hAnsi="宋体" w:cs="宋体" w:eastAsia="宋体" w:hint="default"/>
                <w:sz w:val="18"/>
                <w:szCs w:val="18"/>
              </w:rPr>
              <w:t> 总额</w:t>
            </w:r>
          </w:p>
        </w:tc>
        <w:tc>
          <w:tcPr>
            <w:tcW w:w="505"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161" w:hRule="exact"/>
        </w:trPr>
        <w:tc>
          <w:tcPr>
            <w:tcW w:w="1242" w:type="dxa"/>
            <w:tcBorders>
              <w:top w:val="nil" w:sz="6" w:space="0" w:color="auto"/>
              <w:left w:val="single" w:sz="4" w:space="0" w:color="000000"/>
              <w:bottom w:val="single" w:sz="4" w:space="0" w:color="000000"/>
              <w:right w:val="single" w:sz="4" w:space="0" w:color="000000"/>
            </w:tcBorders>
            <w:shd w:val="clear" w:color="auto" w:fill="D2D2D2"/>
          </w:tcPr>
          <w:p>
            <w:pPr/>
          </w:p>
        </w:tc>
        <w:tc>
          <w:tcPr>
            <w:tcW w:w="505"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241"/>
        <w:gridCol w:w="494"/>
        <w:gridCol w:w="466"/>
        <w:gridCol w:w="466"/>
        <w:gridCol w:w="468"/>
        <w:gridCol w:w="583"/>
        <w:gridCol w:w="586"/>
        <w:gridCol w:w="583"/>
        <w:gridCol w:w="584"/>
        <w:gridCol w:w="583"/>
        <w:gridCol w:w="583"/>
        <w:gridCol w:w="586"/>
        <w:gridCol w:w="584"/>
        <w:gridCol w:w="583"/>
        <w:gridCol w:w="586"/>
        <w:gridCol w:w="578"/>
      </w:tblGrid>
      <w:tr>
        <w:trPr>
          <w:trHeight w:val="402" w:hRule="exact"/>
        </w:trPr>
        <w:tc>
          <w:tcPr>
            <w:tcW w:w="1241" w:type="dxa"/>
            <w:vMerge w:val="restart"/>
            <w:tcBorders>
              <w:top w:val="single" w:sz="4" w:space="0" w:color="000000"/>
              <w:left w:val="single" w:sz="4" w:space="0" w:color="000000"/>
              <w:right w:val="single" w:sz="4" w:space="0" w:color="000000"/>
            </w:tcBorders>
            <w:shd w:val="clear" w:color="auto" w:fill="D2D2D2"/>
          </w:tcPr>
          <w:p>
            <w:pPr/>
          </w:p>
        </w:tc>
        <w:tc>
          <w:tcPr>
            <w:tcW w:w="8313"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95" w:hRule="exact"/>
        </w:trPr>
        <w:tc>
          <w:tcPr>
            <w:tcW w:w="1241" w:type="dxa"/>
            <w:vMerge/>
            <w:tcBorders>
              <w:left w:val="single" w:sz="4" w:space="0" w:color="000000"/>
              <w:right w:val="single" w:sz="4" w:space="0" w:color="000000"/>
            </w:tcBorders>
            <w:shd w:val="clear" w:color="auto" w:fill="D2D2D2"/>
          </w:tcPr>
          <w:p>
            <w:pPr/>
          </w:p>
        </w:tc>
        <w:tc>
          <w:tcPr>
            <w:tcW w:w="7149" w:type="dxa"/>
            <w:gridSpan w:val="1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586" w:type="dxa"/>
            <w:vMerge w:val="restart"/>
            <w:tcBorders>
              <w:top w:val="single" w:sz="4" w:space="0" w:color="000000"/>
              <w:left w:val="single" w:sz="4" w:space="0" w:color="000000"/>
              <w:right w:val="single" w:sz="4" w:space="0" w:color="000000"/>
            </w:tcBorders>
            <w:shd w:val="clear" w:color="auto" w:fill="D2D2D2"/>
          </w:tcPr>
          <w:p>
            <w:pPr/>
          </w:p>
        </w:tc>
        <w:tc>
          <w:tcPr>
            <w:tcW w:w="57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241" w:type="dxa"/>
            <w:vMerge/>
            <w:tcBorders>
              <w:left w:val="single" w:sz="4" w:space="0" w:color="000000"/>
              <w:right w:val="single" w:sz="4" w:space="0" w:color="000000"/>
            </w:tcBorders>
            <w:shd w:val="clear" w:color="auto" w:fill="D2D2D2"/>
          </w:tcPr>
          <w:p>
            <w:pPr/>
          </w:p>
        </w:tc>
        <w:tc>
          <w:tcPr>
            <w:tcW w:w="7149" w:type="dxa"/>
            <w:gridSpan w:val="13"/>
            <w:vMerge/>
            <w:tcBorders>
              <w:left w:val="single" w:sz="4" w:space="0" w:color="000000"/>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5" w:right="101"/>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151" w:hRule="exact"/>
        </w:trPr>
        <w:tc>
          <w:tcPr>
            <w:tcW w:w="1241" w:type="dxa"/>
            <w:vMerge/>
            <w:tcBorders>
              <w:left w:val="single" w:sz="4" w:space="0" w:color="000000"/>
              <w:bottom w:val="nil" w:sz="6" w:space="0" w:color="auto"/>
              <w:right w:val="single" w:sz="4" w:space="0" w:color="000000"/>
            </w:tcBorders>
            <w:shd w:val="clear" w:color="auto" w:fill="D2D2D2"/>
          </w:tcPr>
          <w:p>
            <w:pPr/>
          </w:p>
        </w:tc>
        <w:tc>
          <w:tcPr>
            <w:tcW w:w="7149" w:type="dxa"/>
            <w:gridSpan w:val="13"/>
            <w:vMerge/>
            <w:tcBorders>
              <w:left w:val="single" w:sz="4" w:space="0" w:color="000000"/>
              <w:bottom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10" w:right="103"/>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578" w:type="dxa"/>
            <w:vMerge/>
            <w:tcBorders>
              <w:left w:val="single" w:sz="4" w:space="0" w:color="000000"/>
              <w:right w:val="single" w:sz="4" w:space="0" w:color="000000"/>
            </w:tcBorders>
            <w:shd w:val="clear" w:color="auto" w:fill="D2D2D2"/>
          </w:tcPr>
          <w:p>
            <w:pPr/>
          </w:p>
        </w:tc>
      </w:tr>
      <w:tr>
        <w:trPr>
          <w:trHeight w:val="206" w:hRule="exact"/>
        </w:trPr>
        <w:tc>
          <w:tcPr>
            <w:tcW w:w="124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494" w:type="dxa"/>
            <w:vMerge w:val="restart"/>
            <w:tcBorders>
              <w:top w:val="single" w:sz="4" w:space="0" w:color="000000"/>
              <w:left w:val="single" w:sz="4" w:space="0" w:color="000000"/>
              <w:right w:val="single" w:sz="4" w:space="0" w:color="000000"/>
            </w:tcBorders>
            <w:shd w:val="clear" w:color="auto" w:fill="D2D2D2"/>
          </w:tcPr>
          <w:p>
            <w:pPr/>
          </w:p>
        </w:tc>
        <w:tc>
          <w:tcPr>
            <w:tcW w:w="140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5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3" w:type="dxa"/>
            <w:tcBorders>
              <w:top w:val="single" w:sz="4" w:space="0" w:color="000000"/>
              <w:left w:val="single" w:sz="4" w:space="0" w:color="000000"/>
              <w:bottom w:val="nil" w:sz="6" w:space="0" w:color="auto"/>
              <w:right w:val="single" w:sz="4" w:space="0" w:color="000000"/>
            </w:tcBorders>
            <w:shd w:val="clear" w:color="auto" w:fill="D2D2D2"/>
          </w:tcPr>
          <w:p>
            <w:pPr/>
          </w:p>
        </w:tc>
        <w:tc>
          <w:tcPr>
            <w:tcW w:w="586"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8"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84"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7"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10" w:right="103"/>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84" w:type="dxa"/>
            <w:vMerge w:val="restart"/>
            <w:tcBorders>
              <w:top w:val="single" w:sz="4" w:space="0" w:color="000000"/>
              <w:left w:val="single" w:sz="4" w:space="0" w:color="000000"/>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65" w:hRule="exact"/>
        </w:trPr>
        <w:tc>
          <w:tcPr>
            <w:tcW w:w="1241" w:type="dxa"/>
            <w:vMerge/>
            <w:tcBorders>
              <w:left w:val="single" w:sz="4" w:space="0" w:color="000000"/>
              <w:bottom w:val="nil" w:sz="6" w:space="0" w:color="auto"/>
              <w:right w:val="single" w:sz="4" w:space="0" w:color="000000"/>
            </w:tcBorders>
            <w:shd w:val="clear" w:color="auto" w:fill="D2D2D2"/>
          </w:tcPr>
          <w:p>
            <w:pPr/>
          </w:p>
        </w:tc>
        <w:tc>
          <w:tcPr>
            <w:tcW w:w="494" w:type="dxa"/>
            <w:vMerge/>
            <w:tcBorders>
              <w:left w:val="single" w:sz="4" w:space="0" w:color="000000"/>
              <w:bottom w:val="nil" w:sz="6" w:space="0" w:color="auto"/>
              <w:right w:val="single" w:sz="4" w:space="0" w:color="000000"/>
            </w:tcBorders>
            <w:shd w:val="clear" w:color="auto" w:fill="D2D2D2"/>
          </w:tcPr>
          <w:p>
            <w:pPr/>
          </w:p>
        </w:tc>
        <w:tc>
          <w:tcPr>
            <w:tcW w:w="1400" w:type="dxa"/>
            <w:gridSpan w:val="3"/>
            <w:vMerge/>
            <w:tcBorders>
              <w:left w:val="single" w:sz="4" w:space="0" w:color="000000"/>
              <w:bottom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8" w:right="103"/>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7" w:right="22" w:hanging="84"/>
              <w:jc w:val="left"/>
              <w:rPr>
                <w:rFonts w:ascii="宋体" w:hAnsi="宋体" w:cs="宋体" w:eastAsia="宋体" w:hint="default"/>
                <w:sz w:val="18"/>
                <w:szCs w:val="18"/>
              </w:rPr>
            </w:pPr>
            <w:r>
              <w:rPr>
                <w:rFonts w:ascii="宋体" w:hAnsi="宋体" w:cs="宋体" w:eastAsia="宋体" w:hint="default"/>
                <w:spacing w:val="-5"/>
                <w:sz w:val="18"/>
                <w:szCs w:val="18"/>
              </w:rPr>
              <w:t>减：库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存股</w:t>
            </w:r>
          </w:p>
        </w:tc>
        <w:tc>
          <w:tcPr>
            <w:tcW w:w="583"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8" w:right="10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7" w:right="103"/>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93" w:hRule="exact"/>
        </w:trPr>
        <w:tc>
          <w:tcPr>
            <w:tcW w:w="1241" w:type="dxa"/>
            <w:vMerge w:val="restart"/>
            <w:tcBorders>
              <w:top w:val="nil" w:sz="6" w:space="0" w:color="auto"/>
              <w:left w:val="single" w:sz="4" w:space="0" w:color="000000"/>
              <w:right w:val="single" w:sz="4" w:space="0" w:color="000000"/>
            </w:tcBorders>
            <w:shd w:val="clear" w:color="auto" w:fill="D2D2D2"/>
          </w:tcPr>
          <w:p>
            <w:pPr/>
          </w:p>
        </w:tc>
        <w:tc>
          <w:tcPr>
            <w:tcW w:w="4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6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39" w:right="47"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46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39" w:right="46"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468"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10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90" w:hRule="exact"/>
        </w:trPr>
        <w:tc>
          <w:tcPr>
            <w:tcW w:w="1241" w:type="dxa"/>
            <w:vMerge/>
            <w:tcBorders>
              <w:left w:val="single" w:sz="4" w:space="0" w:color="000000"/>
              <w:right w:val="single" w:sz="4" w:space="0" w:color="000000"/>
            </w:tcBorders>
            <w:shd w:val="clear" w:color="auto" w:fill="D2D2D2"/>
          </w:tcPr>
          <w:p>
            <w:pPr/>
          </w:p>
        </w:tc>
        <w:tc>
          <w:tcPr>
            <w:tcW w:w="494" w:type="dxa"/>
            <w:vMerge/>
            <w:tcBorders>
              <w:left w:val="single" w:sz="4" w:space="0" w:color="000000"/>
              <w:bottom w:val="nil" w:sz="6" w:space="0" w:color="auto"/>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5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33" w:hRule="exact"/>
        </w:trPr>
        <w:tc>
          <w:tcPr>
            <w:tcW w:w="1241" w:type="dxa"/>
            <w:vMerge/>
            <w:tcBorders>
              <w:left w:val="single" w:sz="4" w:space="0" w:color="000000"/>
              <w:right w:val="single" w:sz="4" w:space="0" w:color="000000"/>
            </w:tcBorders>
            <w:shd w:val="clear" w:color="auto" w:fill="D2D2D2"/>
          </w:tcPr>
          <w:p>
            <w:pPr/>
          </w:p>
        </w:tc>
        <w:tc>
          <w:tcPr>
            <w:tcW w:w="494" w:type="dxa"/>
            <w:vMerge w:val="restart"/>
            <w:tcBorders>
              <w:top w:val="nil" w:sz="6" w:space="0" w:color="auto"/>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22" w:hRule="exact"/>
        </w:trPr>
        <w:tc>
          <w:tcPr>
            <w:tcW w:w="1241" w:type="dxa"/>
            <w:vMerge/>
            <w:tcBorders>
              <w:left w:val="single" w:sz="4" w:space="0" w:color="000000"/>
              <w:right w:val="single" w:sz="4" w:space="0" w:color="000000"/>
            </w:tcBorders>
            <w:shd w:val="clear" w:color="auto" w:fill="D2D2D2"/>
          </w:tcPr>
          <w:p>
            <w:pPr/>
          </w:p>
        </w:tc>
        <w:tc>
          <w:tcPr>
            <w:tcW w:w="494"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
        </w:tc>
        <w:tc>
          <w:tcPr>
            <w:tcW w:w="578" w:type="dxa"/>
            <w:vMerge/>
            <w:tcBorders>
              <w:left w:val="single" w:sz="4" w:space="0" w:color="000000"/>
              <w:bottom w:val="nil" w:sz="6" w:space="0" w:color="auto"/>
              <w:right w:val="single" w:sz="4" w:space="0" w:color="000000"/>
            </w:tcBorders>
            <w:shd w:val="clear" w:color="auto" w:fill="D2D2D2"/>
          </w:tcPr>
          <w:p>
            <w:pPr/>
          </w:p>
        </w:tc>
      </w:tr>
      <w:tr>
        <w:trPr>
          <w:trHeight w:val="96" w:hRule="exact"/>
        </w:trPr>
        <w:tc>
          <w:tcPr>
            <w:tcW w:w="1241" w:type="dxa"/>
            <w:vMerge/>
            <w:tcBorders>
              <w:left w:val="single" w:sz="4" w:space="0" w:color="000000"/>
              <w:bottom w:val="single" w:sz="4" w:space="0" w:color="000000"/>
              <w:right w:val="single" w:sz="4" w:space="0" w:color="000000"/>
            </w:tcBorders>
            <w:shd w:val="clear" w:color="auto" w:fill="D2D2D2"/>
          </w:tcPr>
          <w:p>
            <w:pPr/>
          </w:p>
        </w:tc>
        <w:tc>
          <w:tcPr>
            <w:tcW w:w="494" w:type="dxa"/>
            <w:vMerge/>
            <w:tcBorders>
              <w:left w:val="single" w:sz="4" w:space="0" w:color="000000"/>
              <w:bottom w:val="single" w:sz="4" w:space="0" w:color="000000"/>
              <w:right w:val="single" w:sz="4" w:space="0" w:color="000000"/>
            </w:tcBorders>
            <w:shd w:val="clear" w:color="auto" w:fill="D2D2D2"/>
          </w:tcPr>
          <w:p>
            <w:pPr/>
          </w:p>
        </w:tc>
        <w:tc>
          <w:tcPr>
            <w:tcW w:w="466" w:type="dxa"/>
            <w:vMerge/>
            <w:tcBorders>
              <w:left w:val="single" w:sz="4" w:space="0" w:color="000000"/>
              <w:bottom w:val="single" w:sz="4" w:space="0" w:color="000000"/>
              <w:right w:val="single" w:sz="4" w:space="0" w:color="000000"/>
            </w:tcBorders>
            <w:shd w:val="clear" w:color="auto" w:fill="D2D2D2"/>
          </w:tcPr>
          <w:p>
            <w:pPr/>
          </w:p>
        </w:tc>
        <w:tc>
          <w:tcPr>
            <w:tcW w:w="466" w:type="dxa"/>
            <w:vMerge/>
            <w:tcBorders>
              <w:left w:val="single" w:sz="4" w:space="0" w:color="000000"/>
              <w:bottom w:val="single" w:sz="4" w:space="0" w:color="000000"/>
              <w:right w:val="single" w:sz="4" w:space="0" w:color="000000"/>
            </w:tcBorders>
            <w:shd w:val="clear" w:color="auto" w:fill="D2D2D2"/>
          </w:tcPr>
          <w:p>
            <w:pPr/>
          </w:p>
        </w:tc>
        <w:tc>
          <w:tcPr>
            <w:tcW w:w="468"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7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1241" w:type="dxa"/>
            <w:tcBorders>
              <w:top w:val="single" w:sz="4" w:space="0" w:color="000000"/>
              <w:left w:val="single" w:sz="4" w:space="0" w:color="000000"/>
              <w:bottom w:val="nil" w:sz="6" w:space="0" w:color="auto"/>
              <w:right w:val="single" w:sz="4" w:space="0" w:color="000000"/>
            </w:tcBorders>
            <w:shd w:val="clear" w:color="auto" w:fill="D2D2D2"/>
          </w:tcPr>
          <w:p>
            <w:pPr/>
          </w:p>
        </w:tc>
        <w:tc>
          <w:tcPr>
            <w:tcW w:w="494" w:type="dxa"/>
            <w:vMerge w:val="restart"/>
            <w:tcBorders>
              <w:top w:val="single" w:sz="4" w:space="0" w:color="000000"/>
              <w:left w:val="single" w:sz="9" w:space="0" w:color="D2D2D2"/>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40,40</w:t>
            </w:r>
          </w:p>
          <w:p>
            <w:pPr>
              <w:pStyle w:val="TableParagraph"/>
              <w:spacing w:line="240" w:lineRule="auto" w:before="105"/>
              <w:ind w:left="25" w:right="0"/>
              <w:jc w:val="center"/>
              <w:rPr>
                <w:rFonts w:ascii="Times New Roman" w:hAnsi="Times New Roman" w:cs="Times New Roman" w:eastAsia="Times New Roman" w:hint="default"/>
                <w:sz w:val="18"/>
                <w:szCs w:val="18"/>
              </w:rPr>
            </w:pPr>
            <w:r>
              <w:rPr>
                <w:rFonts w:ascii="Times New Roman"/>
                <w:sz w:val="18"/>
              </w:rPr>
              <w:t>4,333</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.00</w:t>
            </w: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125,2</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58,20</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3.62</w:t>
            </w: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504,02</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9,084.</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18</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29,984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,265.2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583" w:type="dxa"/>
            <w:vMerge w:val="restart"/>
            <w:tcBorders>
              <w:top w:val="single" w:sz="22" w:space="0" w:color="D2D2D2"/>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22" w:space="0" w:color="D2D2D2"/>
              <w:left w:val="single" w:sz="4" w:space="0" w:color="000000"/>
              <w:right w:val="single" w:sz="4" w:space="0" w:color="000000"/>
            </w:tcBorders>
          </w:tcPr>
          <w:p>
            <w:pPr/>
          </w:p>
        </w:tc>
        <w:tc>
          <w:tcPr>
            <w:tcW w:w="586" w:type="dxa"/>
            <w:vMerge w:val="restart"/>
            <w:tcBorders>
              <w:top w:val="single" w:sz="22" w:space="0" w:color="D2D2D2"/>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639,70</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7,355.</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55</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3,400,</w:t>
            </w:r>
          </w:p>
          <w:p>
            <w:pPr>
              <w:pStyle w:val="TableParagraph"/>
              <w:spacing w:line="240" w:lineRule="auto" w:before="105"/>
              <w:ind w:left="59" w:right="0"/>
              <w:jc w:val="left"/>
              <w:rPr>
                <w:rFonts w:ascii="Times New Roman" w:hAnsi="Times New Roman" w:cs="Times New Roman" w:eastAsia="Times New Roman" w:hint="default"/>
                <w:sz w:val="18"/>
                <w:szCs w:val="18"/>
              </w:rPr>
            </w:pPr>
            <w:r>
              <w:rPr>
                <w:rFonts w:ascii="Times New Roman"/>
                <w:sz w:val="18"/>
              </w:rPr>
              <w:t>000.00</w:t>
            </w:r>
          </w:p>
        </w:tc>
        <w:tc>
          <w:tcPr>
            <w:tcW w:w="578" w:type="dxa"/>
            <w:vMerge w:val="restart"/>
            <w:tcBorders>
              <w:top w:val="single" w:sz="40" w:space="0" w:color="D2D2D2"/>
              <w:left w:val="single" w:sz="4" w:space="0" w:color="000000"/>
              <w:right w:val="single" w:sz="4" w:space="0" w:color="000000"/>
            </w:tcBorders>
          </w:tcPr>
          <w:p>
            <w:pPr>
              <w:pStyle w:val="TableParagraph"/>
              <w:spacing w:line="240" w:lineRule="auto" w:before="45"/>
              <w:ind w:left="52" w:right="0"/>
              <w:jc w:val="left"/>
              <w:rPr>
                <w:rFonts w:ascii="Times New Roman" w:hAnsi="Times New Roman" w:cs="Times New Roman" w:eastAsia="Times New Roman" w:hint="default"/>
                <w:sz w:val="18"/>
                <w:szCs w:val="18"/>
              </w:rPr>
            </w:pPr>
            <w:r>
              <w:rPr>
                <w:rFonts w:ascii="Times New Roman"/>
                <w:sz w:val="18"/>
              </w:rPr>
              <w:t>643,10</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7,355.</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55</w:t>
            </w:r>
          </w:p>
        </w:tc>
      </w:tr>
      <w:tr>
        <w:trPr>
          <w:trHeight w:val="703" w:hRule="exact"/>
        </w:trPr>
        <w:tc>
          <w:tcPr>
            <w:tcW w:w="12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9"/>
                <w:sz w:val="18"/>
                <w:szCs w:val="18"/>
              </w:rPr>
              <w:t>（二）所有者投</w:t>
            </w:r>
            <w:r>
              <w:rPr>
                <w:rFonts w:ascii="宋体" w:hAnsi="宋体" w:cs="宋体" w:eastAsia="宋体" w:hint="default"/>
                <w:sz w:val="18"/>
                <w:szCs w:val="18"/>
              </w:rPr>
              <w:t> 入和减少资本</w:t>
            </w:r>
          </w:p>
        </w:tc>
        <w:tc>
          <w:tcPr>
            <w:tcW w:w="494"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161" w:hRule="exact"/>
        </w:trPr>
        <w:tc>
          <w:tcPr>
            <w:tcW w:w="1241" w:type="dxa"/>
            <w:tcBorders>
              <w:top w:val="nil" w:sz="6" w:space="0" w:color="auto"/>
              <w:left w:val="single" w:sz="4" w:space="0" w:color="000000"/>
              <w:bottom w:val="single" w:sz="4" w:space="0" w:color="000000"/>
              <w:right w:val="single" w:sz="4" w:space="0" w:color="000000"/>
            </w:tcBorders>
            <w:shd w:val="clear" w:color="auto" w:fill="D2D2D2"/>
          </w:tcPr>
          <w:p>
            <w:pPr/>
          </w:p>
        </w:tc>
        <w:tc>
          <w:tcPr>
            <w:tcW w:w="494"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715"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3,400,</w:t>
            </w:r>
          </w:p>
          <w:p>
            <w:pPr>
              <w:pStyle w:val="TableParagraph"/>
              <w:spacing w:line="240" w:lineRule="auto" w:before="102"/>
              <w:ind w:left="59" w:right="0"/>
              <w:jc w:val="left"/>
              <w:rPr>
                <w:rFonts w:ascii="Times New Roman" w:hAnsi="Times New Roman" w:cs="Times New Roman" w:eastAsia="Times New Roman" w:hint="default"/>
                <w:sz w:val="18"/>
                <w:szCs w:val="18"/>
              </w:rPr>
            </w:pPr>
            <w:r>
              <w:rPr>
                <w:rFonts w:ascii="Times New Roman"/>
                <w:sz w:val="18"/>
              </w:rPr>
              <w:t>000.00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5" w:right="0"/>
              <w:jc w:val="left"/>
              <w:rPr>
                <w:rFonts w:ascii="Times New Roman" w:hAnsi="Times New Roman" w:cs="Times New Roman" w:eastAsia="Times New Roman" w:hint="default"/>
                <w:sz w:val="18"/>
                <w:szCs w:val="18"/>
              </w:rPr>
            </w:pPr>
            <w:r>
              <w:rPr>
                <w:rFonts w:ascii="Times New Roman"/>
                <w:sz w:val="18"/>
              </w:rPr>
              <w:t>3,400,</w:t>
            </w:r>
          </w:p>
          <w:p>
            <w:pPr>
              <w:pStyle w:val="TableParagraph"/>
              <w:spacing w:line="240" w:lineRule="auto" w:before="102"/>
              <w:ind w:left="52" w:right="0"/>
              <w:jc w:val="left"/>
              <w:rPr>
                <w:rFonts w:ascii="Times New Roman" w:hAnsi="Times New Roman" w:cs="Times New Roman" w:eastAsia="Times New Roman" w:hint="default"/>
                <w:sz w:val="18"/>
                <w:szCs w:val="18"/>
              </w:rPr>
            </w:pPr>
            <w:r>
              <w:rPr>
                <w:rFonts w:ascii="Times New Roman"/>
                <w:sz w:val="18"/>
              </w:rPr>
              <w:t>000.00</w:t>
            </w:r>
          </w:p>
        </w:tc>
      </w:tr>
      <w:tr>
        <w:trPr>
          <w:trHeight w:val="1025"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49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40,40</w:t>
            </w:r>
          </w:p>
          <w:p>
            <w:pPr>
              <w:pStyle w:val="TableParagraph"/>
              <w:spacing w:line="240" w:lineRule="auto" w:before="105"/>
              <w:ind w:left="21" w:right="0"/>
              <w:jc w:val="center"/>
              <w:rPr>
                <w:rFonts w:ascii="Times New Roman" w:hAnsi="Times New Roman" w:cs="Times New Roman" w:eastAsia="Times New Roman" w:hint="default"/>
                <w:sz w:val="18"/>
                <w:szCs w:val="18"/>
              </w:rPr>
            </w:pPr>
            <w:r>
              <w:rPr>
                <w:rFonts w:ascii="Times New Roman"/>
                <w:sz w:val="18"/>
              </w:rPr>
              <w:t>4,333</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125,2</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58,20</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3.62</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503,50</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0,784.</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18</w:t>
            </w: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669,16</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3,320.</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80</w:t>
            </w: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669,16</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3,320.</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80</w:t>
            </w:r>
          </w:p>
        </w:tc>
      </w:tr>
      <w:tr>
        <w:trPr>
          <w:trHeight w:val="1027"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528,30</w:t>
            </w:r>
          </w:p>
          <w:p>
            <w:pPr>
              <w:pStyle w:val="TableParagraph"/>
              <w:spacing w:line="240" w:lineRule="auto" w:before="102"/>
              <w:ind w:left="216" w:right="0"/>
              <w:jc w:val="center"/>
              <w:rPr>
                <w:rFonts w:ascii="Times New Roman" w:hAnsi="Times New Roman" w:cs="Times New Roman" w:eastAsia="Times New Roman" w:hint="default"/>
                <w:sz w:val="18"/>
                <w:szCs w:val="18"/>
              </w:rPr>
            </w:pPr>
            <w:r>
              <w:rPr>
                <w:rFonts w:ascii="Times New Roman"/>
                <w:sz w:val="18"/>
              </w:rPr>
              <w:t>0.00</w:t>
            </w: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528,30</w:t>
            </w:r>
          </w:p>
          <w:p>
            <w:pPr>
              <w:pStyle w:val="TableParagraph"/>
              <w:spacing w:line="240" w:lineRule="auto" w:before="102"/>
              <w:ind w:left="216" w:right="0"/>
              <w:jc w:val="center"/>
              <w:rPr>
                <w:rFonts w:ascii="Times New Roman" w:hAnsi="Times New Roman" w:cs="Times New Roman" w:eastAsia="Times New Roman" w:hint="default"/>
                <w:sz w:val="18"/>
                <w:szCs w:val="18"/>
              </w:rPr>
            </w:pPr>
            <w:r>
              <w:rPr>
                <w:rFonts w:ascii="Times New Roman"/>
                <w:sz w:val="18"/>
              </w:rPr>
              <w:t>0.00</w:t>
            </w: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528,30</w:t>
            </w:r>
          </w:p>
          <w:p>
            <w:pPr>
              <w:pStyle w:val="TableParagraph"/>
              <w:spacing w:line="240" w:lineRule="auto" w:before="102"/>
              <w:ind w:left="211" w:right="0"/>
              <w:jc w:val="center"/>
              <w:rPr>
                <w:rFonts w:ascii="Times New Roman" w:hAnsi="Times New Roman" w:cs="Times New Roman" w:eastAsia="Times New Roman" w:hint="default"/>
                <w:sz w:val="18"/>
                <w:szCs w:val="18"/>
              </w:rPr>
            </w:pPr>
            <w:r>
              <w:rPr>
                <w:rFonts w:ascii="Times New Roman"/>
                <w:sz w:val="18"/>
              </w:rPr>
              <w:t>0.00</w:t>
            </w:r>
          </w:p>
        </w:tc>
      </w:tr>
      <w:tr>
        <w:trPr>
          <w:trHeight w:val="317" w:hRule="exact"/>
        </w:trPr>
        <w:tc>
          <w:tcPr>
            <w:tcW w:w="1241" w:type="dxa"/>
            <w:tcBorders>
              <w:top w:val="single" w:sz="4" w:space="0" w:color="000000"/>
              <w:left w:val="single" w:sz="4" w:space="0" w:color="000000"/>
              <w:bottom w:val="nil" w:sz="6" w:space="0" w:color="auto"/>
              <w:right w:val="single" w:sz="4" w:space="0" w:color="000000"/>
            </w:tcBorders>
            <w:shd w:val="clear" w:color="auto" w:fill="D2D2D2"/>
          </w:tcPr>
          <w:p>
            <w:pPr/>
          </w:p>
        </w:tc>
        <w:tc>
          <w:tcPr>
            <w:tcW w:w="494" w:type="dxa"/>
            <w:vMerge w:val="restart"/>
            <w:tcBorders>
              <w:top w:val="single" w:sz="4" w:space="0" w:color="000000"/>
              <w:left w:val="single" w:sz="9" w:space="0" w:color="D2D2D2"/>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29,984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,265.2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-29,98</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4,265.</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25</w:t>
            </w:r>
          </w:p>
        </w:tc>
        <w:tc>
          <w:tcPr>
            <w:tcW w:w="58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-29,98</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4,265.</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25</w:t>
            </w:r>
          </w:p>
        </w:tc>
      </w:tr>
      <w:tr>
        <w:trPr>
          <w:trHeight w:val="391" w:hRule="exact"/>
        </w:trPr>
        <w:tc>
          <w:tcPr>
            <w:tcW w:w="12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4"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317" w:hRule="exact"/>
        </w:trPr>
        <w:tc>
          <w:tcPr>
            <w:tcW w:w="1241" w:type="dxa"/>
            <w:tcBorders>
              <w:top w:val="nil" w:sz="6" w:space="0" w:color="auto"/>
              <w:left w:val="single" w:sz="4" w:space="0" w:color="000000"/>
              <w:bottom w:val="single" w:sz="4" w:space="0" w:color="000000"/>
              <w:right w:val="single" w:sz="4" w:space="0" w:color="000000"/>
            </w:tcBorders>
            <w:shd w:val="clear" w:color="auto" w:fill="D2D2D2"/>
          </w:tcPr>
          <w:p>
            <w:pPr/>
          </w:p>
        </w:tc>
        <w:tc>
          <w:tcPr>
            <w:tcW w:w="494"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319" w:hRule="exact"/>
        </w:trPr>
        <w:tc>
          <w:tcPr>
            <w:tcW w:w="1241" w:type="dxa"/>
            <w:tcBorders>
              <w:top w:val="single" w:sz="4" w:space="0" w:color="000000"/>
              <w:left w:val="single" w:sz="4" w:space="0" w:color="000000"/>
              <w:bottom w:val="nil" w:sz="6" w:space="0" w:color="auto"/>
              <w:right w:val="single" w:sz="4" w:space="0" w:color="000000"/>
            </w:tcBorders>
            <w:shd w:val="clear" w:color="auto" w:fill="D2D2D2"/>
          </w:tcPr>
          <w:p>
            <w:pPr/>
          </w:p>
        </w:tc>
        <w:tc>
          <w:tcPr>
            <w:tcW w:w="494" w:type="dxa"/>
            <w:vMerge w:val="restart"/>
            <w:tcBorders>
              <w:top w:val="single" w:sz="4" w:space="0" w:color="000000"/>
              <w:left w:val="single" w:sz="9" w:space="0" w:color="D2D2D2"/>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93"/>
              <w:ind w:left="88" w:right="0"/>
              <w:jc w:val="left"/>
              <w:rPr>
                <w:rFonts w:ascii="Times New Roman" w:hAnsi="Times New Roman" w:cs="Times New Roman" w:eastAsia="Times New Roman" w:hint="default"/>
                <w:sz w:val="18"/>
                <w:szCs w:val="18"/>
              </w:rPr>
            </w:pPr>
            <w:r>
              <w:rPr>
                <w:rFonts w:ascii="Times New Roman"/>
                <w:sz w:val="18"/>
              </w:rPr>
              <w:t>-27,42</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2,156.</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82</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3"/>
              <w:ind w:left="86" w:right="0"/>
              <w:jc w:val="left"/>
              <w:rPr>
                <w:rFonts w:ascii="Times New Roman" w:hAnsi="Times New Roman" w:cs="Times New Roman" w:eastAsia="Times New Roman" w:hint="default"/>
                <w:sz w:val="18"/>
                <w:szCs w:val="18"/>
              </w:rPr>
            </w:pPr>
            <w:r>
              <w:rPr>
                <w:rFonts w:ascii="Times New Roman"/>
                <w:sz w:val="18"/>
              </w:rPr>
              <w:t>-27,42</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2,156.</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82</w:t>
            </w:r>
          </w:p>
        </w:tc>
        <w:tc>
          <w:tcPr>
            <w:tcW w:w="58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93"/>
              <w:ind w:left="81" w:right="0"/>
              <w:jc w:val="left"/>
              <w:rPr>
                <w:rFonts w:ascii="Times New Roman" w:hAnsi="Times New Roman" w:cs="Times New Roman" w:eastAsia="Times New Roman" w:hint="default"/>
                <w:sz w:val="18"/>
                <w:szCs w:val="18"/>
              </w:rPr>
            </w:pPr>
            <w:r>
              <w:rPr>
                <w:rFonts w:ascii="Times New Roman"/>
                <w:sz w:val="18"/>
              </w:rPr>
              <w:t>-27,42</w:t>
            </w:r>
          </w:p>
          <w:p>
            <w:pPr>
              <w:pStyle w:val="TableParagraph"/>
              <w:spacing w:line="240" w:lineRule="auto" w:before="102"/>
              <w:ind w:left="95" w:right="0"/>
              <w:jc w:val="left"/>
              <w:rPr>
                <w:rFonts w:ascii="Times New Roman" w:hAnsi="Times New Roman" w:cs="Times New Roman" w:eastAsia="Times New Roman" w:hint="default"/>
                <w:sz w:val="18"/>
                <w:szCs w:val="18"/>
              </w:rPr>
            </w:pPr>
            <w:r>
              <w:rPr>
                <w:rFonts w:ascii="Times New Roman"/>
                <w:sz w:val="18"/>
              </w:rPr>
              <w:t>2,156.</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82</w:t>
            </w:r>
          </w:p>
        </w:tc>
      </w:tr>
      <w:tr>
        <w:trPr>
          <w:trHeight w:val="391" w:hRule="exact"/>
        </w:trPr>
        <w:tc>
          <w:tcPr>
            <w:tcW w:w="12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
                <w:sz w:val="18"/>
                <w:szCs w:val="18"/>
              </w:rPr>
              <w:t>（三）利润分配</w:t>
            </w:r>
          </w:p>
        </w:tc>
        <w:tc>
          <w:tcPr>
            <w:tcW w:w="494"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317" w:hRule="exact"/>
        </w:trPr>
        <w:tc>
          <w:tcPr>
            <w:tcW w:w="1241" w:type="dxa"/>
            <w:tcBorders>
              <w:top w:val="nil" w:sz="6" w:space="0" w:color="auto"/>
              <w:left w:val="single" w:sz="4" w:space="0" w:color="000000"/>
              <w:bottom w:val="single" w:sz="4" w:space="0" w:color="000000"/>
              <w:right w:val="single" w:sz="4" w:space="0" w:color="000000"/>
            </w:tcBorders>
            <w:shd w:val="clear" w:color="auto" w:fill="D2D2D2"/>
          </w:tcPr>
          <w:p>
            <w:pPr/>
          </w:p>
        </w:tc>
        <w:tc>
          <w:tcPr>
            <w:tcW w:w="494"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713"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241" w:type="dxa"/>
            <w:tcBorders>
              <w:top w:val="single" w:sz="4" w:space="0" w:color="000000"/>
              <w:left w:val="single" w:sz="4" w:space="0" w:color="000000"/>
              <w:bottom w:val="nil" w:sz="6" w:space="0" w:color="auto"/>
              <w:right w:val="single" w:sz="4" w:space="0" w:color="000000"/>
            </w:tcBorders>
            <w:shd w:val="clear" w:color="auto" w:fill="D2D2D2"/>
          </w:tcPr>
          <w:p>
            <w:pPr/>
          </w:p>
        </w:tc>
        <w:tc>
          <w:tcPr>
            <w:tcW w:w="494" w:type="dxa"/>
            <w:vMerge w:val="restart"/>
            <w:tcBorders>
              <w:top w:val="single" w:sz="4" w:space="0" w:color="000000"/>
              <w:left w:val="single" w:sz="9" w:space="0" w:color="D2D2D2"/>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-27,42</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2,156.</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82</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-27,42</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2,156.</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82</w:t>
            </w:r>
          </w:p>
        </w:tc>
        <w:tc>
          <w:tcPr>
            <w:tcW w:w="58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-27,42</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2,156.</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82</w:t>
            </w:r>
          </w:p>
        </w:tc>
      </w:tr>
      <w:tr>
        <w:trPr>
          <w:trHeight w:val="703" w:hRule="exact"/>
        </w:trPr>
        <w:tc>
          <w:tcPr>
            <w:tcW w:w="12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00" w:lineRule="auto" w:before="49"/>
              <w:ind w:left="12" w:right="20"/>
              <w:jc w:val="left"/>
              <w:rPr>
                <w:rFonts w:ascii="宋体" w:hAnsi="宋体" w:cs="宋体" w:eastAsia="宋体" w:hint="default"/>
                <w:sz w:val="18"/>
                <w:szCs w:val="18"/>
              </w:rPr>
            </w:pPr>
            <w:r>
              <w:rPr>
                <w:rFonts w:ascii="Times New Roman" w:hAnsi="Times New Roman" w:cs="Times New Roman" w:eastAsia="Times New Roman" w:hint="default"/>
                <w:spacing w:val="-20"/>
                <w:sz w:val="18"/>
                <w:szCs w:val="18"/>
              </w:rPr>
              <w:t>3</w:t>
            </w:r>
            <w:r>
              <w:rPr>
                <w:rFonts w:ascii="宋体" w:hAnsi="宋体" w:cs="宋体" w:eastAsia="宋体" w:hint="default"/>
                <w:spacing w:val="-20"/>
                <w:sz w:val="18"/>
                <w:szCs w:val="18"/>
              </w:rPr>
              <w:t>．对所有者（或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股东）的分配</w:t>
            </w:r>
          </w:p>
        </w:tc>
        <w:tc>
          <w:tcPr>
            <w:tcW w:w="494"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161" w:hRule="exact"/>
        </w:trPr>
        <w:tc>
          <w:tcPr>
            <w:tcW w:w="1241" w:type="dxa"/>
            <w:tcBorders>
              <w:top w:val="nil" w:sz="6" w:space="0" w:color="auto"/>
              <w:left w:val="single" w:sz="4" w:space="0" w:color="000000"/>
              <w:bottom w:val="single" w:sz="4" w:space="0" w:color="000000"/>
              <w:right w:val="single" w:sz="4" w:space="0" w:color="000000"/>
            </w:tcBorders>
            <w:shd w:val="clear" w:color="auto" w:fill="D2D2D2"/>
          </w:tcPr>
          <w:p>
            <w:pPr/>
          </w:p>
        </w:tc>
        <w:tc>
          <w:tcPr>
            <w:tcW w:w="494"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403"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9"/>
              <w:jc w:val="left"/>
              <w:rPr>
                <w:rFonts w:ascii="宋体" w:hAnsi="宋体" w:cs="宋体" w:eastAsia="宋体" w:hint="default"/>
                <w:sz w:val="18"/>
                <w:szCs w:val="18"/>
              </w:rPr>
            </w:pPr>
            <w:r>
              <w:rPr>
                <w:rFonts w:ascii="宋体" w:hAnsi="宋体" w:cs="宋体" w:eastAsia="宋体" w:hint="default"/>
                <w:spacing w:val="-9"/>
                <w:sz w:val="18"/>
                <w:szCs w:val="18"/>
              </w:rPr>
              <w:t>（四）所有者权</w:t>
            </w:r>
            <w:r>
              <w:rPr>
                <w:rFonts w:ascii="宋体" w:hAnsi="宋体" w:cs="宋体" w:eastAsia="宋体" w:hint="default"/>
                <w:sz w:val="18"/>
                <w:szCs w:val="18"/>
              </w:rPr>
              <w:t> 益内部结转</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230"/>
        <w:gridCol w:w="505"/>
        <w:gridCol w:w="466"/>
        <w:gridCol w:w="466"/>
        <w:gridCol w:w="468"/>
        <w:gridCol w:w="583"/>
        <w:gridCol w:w="586"/>
        <w:gridCol w:w="583"/>
        <w:gridCol w:w="584"/>
        <w:gridCol w:w="583"/>
        <w:gridCol w:w="583"/>
        <w:gridCol w:w="586"/>
        <w:gridCol w:w="584"/>
        <w:gridCol w:w="583"/>
        <w:gridCol w:w="586"/>
        <w:gridCol w:w="578"/>
      </w:tblGrid>
      <w:tr>
        <w:trPr>
          <w:trHeight w:val="402" w:hRule="exact"/>
        </w:trPr>
        <w:tc>
          <w:tcPr>
            <w:tcW w:w="1230" w:type="dxa"/>
            <w:vMerge w:val="restart"/>
            <w:tcBorders>
              <w:top w:val="single" w:sz="4" w:space="0" w:color="000000"/>
              <w:left w:val="single" w:sz="4" w:space="0" w:color="000000"/>
              <w:right w:val="single" w:sz="4" w:space="0" w:color="000000"/>
            </w:tcBorders>
            <w:shd w:val="clear" w:color="auto" w:fill="D2D2D2"/>
          </w:tcPr>
          <w:p>
            <w:pPr/>
          </w:p>
        </w:tc>
        <w:tc>
          <w:tcPr>
            <w:tcW w:w="8324"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95" w:hRule="exact"/>
        </w:trPr>
        <w:tc>
          <w:tcPr>
            <w:tcW w:w="1230" w:type="dxa"/>
            <w:vMerge/>
            <w:tcBorders>
              <w:left w:val="single" w:sz="4" w:space="0" w:color="000000"/>
              <w:right w:val="single" w:sz="4" w:space="0" w:color="000000"/>
            </w:tcBorders>
            <w:shd w:val="clear" w:color="auto" w:fill="D2D2D2"/>
          </w:tcPr>
          <w:p>
            <w:pPr/>
          </w:p>
        </w:tc>
        <w:tc>
          <w:tcPr>
            <w:tcW w:w="7160" w:type="dxa"/>
            <w:gridSpan w:val="1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586" w:type="dxa"/>
            <w:vMerge w:val="restart"/>
            <w:tcBorders>
              <w:top w:val="single" w:sz="4" w:space="0" w:color="000000"/>
              <w:left w:val="single" w:sz="4" w:space="0" w:color="000000"/>
              <w:right w:val="single" w:sz="4" w:space="0" w:color="000000"/>
            </w:tcBorders>
            <w:shd w:val="clear" w:color="auto" w:fill="D2D2D2"/>
          </w:tcPr>
          <w:p>
            <w:pPr/>
          </w:p>
        </w:tc>
        <w:tc>
          <w:tcPr>
            <w:tcW w:w="57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230" w:type="dxa"/>
            <w:vMerge/>
            <w:tcBorders>
              <w:left w:val="single" w:sz="4" w:space="0" w:color="000000"/>
              <w:right w:val="single" w:sz="4" w:space="0" w:color="000000"/>
            </w:tcBorders>
            <w:shd w:val="clear" w:color="auto" w:fill="D2D2D2"/>
          </w:tcPr>
          <w:p>
            <w:pPr/>
          </w:p>
        </w:tc>
        <w:tc>
          <w:tcPr>
            <w:tcW w:w="7160" w:type="dxa"/>
            <w:gridSpan w:val="13"/>
            <w:vMerge/>
            <w:tcBorders>
              <w:left w:val="single" w:sz="4" w:space="0" w:color="000000"/>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5" w:right="101"/>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151" w:hRule="exact"/>
        </w:trPr>
        <w:tc>
          <w:tcPr>
            <w:tcW w:w="1230" w:type="dxa"/>
            <w:vMerge/>
            <w:tcBorders>
              <w:left w:val="single" w:sz="4" w:space="0" w:color="000000"/>
              <w:bottom w:val="nil" w:sz="6" w:space="0" w:color="auto"/>
              <w:right w:val="single" w:sz="4" w:space="0" w:color="000000"/>
            </w:tcBorders>
            <w:shd w:val="clear" w:color="auto" w:fill="D2D2D2"/>
          </w:tcPr>
          <w:p>
            <w:pPr/>
          </w:p>
        </w:tc>
        <w:tc>
          <w:tcPr>
            <w:tcW w:w="7160" w:type="dxa"/>
            <w:gridSpan w:val="13"/>
            <w:vMerge/>
            <w:tcBorders>
              <w:left w:val="single" w:sz="4" w:space="0" w:color="000000"/>
              <w:bottom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10" w:right="103"/>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578" w:type="dxa"/>
            <w:vMerge/>
            <w:tcBorders>
              <w:left w:val="single" w:sz="4" w:space="0" w:color="000000"/>
              <w:right w:val="single" w:sz="4" w:space="0" w:color="000000"/>
            </w:tcBorders>
            <w:shd w:val="clear" w:color="auto" w:fill="D2D2D2"/>
          </w:tcPr>
          <w:p>
            <w:pPr/>
          </w:p>
        </w:tc>
      </w:tr>
      <w:tr>
        <w:trPr>
          <w:trHeight w:val="206" w:hRule="exact"/>
        </w:trPr>
        <w:tc>
          <w:tcPr>
            <w:tcW w:w="12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05" w:type="dxa"/>
            <w:vMerge w:val="restart"/>
            <w:tcBorders>
              <w:top w:val="single" w:sz="4" w:space="0" w:color="000000"/>
              <w:left w:val="single" w:sz="4" w:space="0" w:color="000000"/>
              <w:right w:val="single" w:sz="4" w:space="0" w:color="000000"/>
            </w:tcBorders>
            <w:shd w:val="clear" w:color="auto" w:fill="D2D2D2"/>
          </w:tcPr>
          <w:p>
            <w:pPr/>
          </w:p>
        </w:tc>
        <w:tc>
          <w:tcPr>
            <w:tcW w:w="140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5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3" w:type="dxa"/>
            <w:tcBorders>
              <w:top w:val="single" w:sz="4" w:space="0" w:color="000000"/>
              <w:left w:val="single" w:sz="4" w:space="0" w:color="000000"/>
              <w:bottom w:val="nil" w:sz="6" w:space="0" w:color="auto"/>
              <w:right w:val="single" w:sz="4" w:space="0" w:color="000000"/>
            </w:tcBorders>
            <w:shd w:val="clear" w:color="auto" w:fill="D2D2D2"/>
          </w:tcPr>
          <w:p>
            <w:pPr/>
          </w:p>
        </w:tc>
        <w:tc>
          <w:tcPr>
            <w:tcW w:w="586"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8"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84"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7"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10" w:right="103"/>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84" w:type="dxa"/>
            <w:vMerge w:val="restart"/>
            <w:tcBorders>
              <w:top w:val="single" w:sz="4" w:space="0" w:color="000000"/>
              <w:left w:val="single" w:sz="4" w:space="0" w:color="000000"/>
              <w:right w:val="single" w:sz="4" w:space="0" w:color="000000"/>
            </w:tcBorders>
            <w:shd w:val="clear" w:color="auto" w:fill="D2D2D2"/>
          </w:tcPr>
          <w:p>
            <w:pPr/>
          </w:p>
        </w:tc>
        <w:tc>
          <w:tcPr>
            <w:tcW w:w="583" w:type="dxa"/>
            <w:vMerge w:val="restart"/>
            <w:tcBorders>
              <w:top w:val="single" w:sz="4" w:space="0" w:color="000000"/>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65" w:hRule="exact"/>
        </w:trPr>
        <w:tc>
          <w:tcPr>
            <w:tcW w:w="1230" w:type="dxa"/>
            <w:vMerge/>
            <w:tcBorders>
              <w:left w:val="single" w:sz="4" w:space="0" w:color="000000"/>
              <w:bottom w:val="nil" w:sz="6" w:space="0" w:color="auto"/>
              <w:right w:val="single" w:sz="4" w:space="0" w:color="000000"/>
            </w:tcBorders>
            <w:shd w:val="clear" w:color="auto" w:fill="D2D2D2"/>
          </w:tcPr>
          <w:p>
            <w:pPr/>
          </w:p>
        </w:tc>
        <w:tc>
          <w:tcPr>
            <w:tcW w:w="505" w:type="dxa"/>
            <w:vMerge/>
            <w:tcBorders>
              <w:left w:val="single" w:sz="4" w:space="0" w:color="000000"/>
              <w:bottom w:val="nil" w:sz="6" w:space="0" w:color="auto"/>
              <w:right w:val="single" w:sz="4" w:space="0" w:color="000000"/>
            </w:tcBorders>
            <w:shd w:val="clear" w:color="auto" w:fill="D2D2D2"/>
          </w:tcPr>
          <w:p>
            <w:pPr/>
          </w:p>
        </w:tc>
        <w:tc>
          <w:tcPr>
            <w:tcW w:w="1400" w:type="dxa"/>
            <w:gridSpan w:val="3"/>
            <w:vMerge/>
            <w:tcBorders>
              <w:left w:val="single" w:sz="4" w:space="0" w:color="000000"/>
              <w:bottom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8" w:right="103"/>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7" w:right="22" w:hanging="84"/>
              <w:jc w:val="left"/>
              <w:rPr>
                <w:rFonts w:ascii="宋体" w:hAnsi="宋体" w:cs="宋体" w:eastAsia="宋体" w:hint="default"/>
                <w:sz w:val="18"/>
                <w:szCs w:val="18"/>
              </w:rPr>
            </w:pPr>
            <w:r>
              <w:rPr>
                <w:rFonts w:ascii="宋体" w:hAnsi="宋体" w:cs="宋体" w:eastAsia="宋体" w:hint="default"/>
                <w:spacing w:val="-5"/>
                <w:sz w:val="18"/>
                <w:szCs w:val="18"/>
              </w:rPr>
              <w:t>减：库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存股</w:t>
            </w:r>
          </w:p>
        </w:tc>
        <w:tc>
          <w:tcPr>
            <w:tcW w:w="583"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8" w:right="10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7" w:right="103"/>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93" w:hRule="exact"/>
        </w:trPr>
        <w:tc>
          <w:tcPr>
            <w:tcW w:w="1230" w:type="dxa"/>
            <w:vMerge w:val="restart"/>
            <w:tcBorders>
              <w:top w:val="nil" w:sz="6" w:space="0" w:color="auto"/>
              <w:left w:val="single" w:sz="4" w:space="0" w:color="000000"/>
              <w:right w:val="single" w:sz="4" w:space="0" w:color="000000"/>
            </w:tcBorders>
            <w:shd w:val="clear" w:color="auto" w:fill="D2D2D2"/>
          </w:tcPr>
          <w:p>
            <w:pPr/>
          </w:p>
        </w:tc>
        <w:tc>
          <w:tcPr>
            <w:tcW w:w="50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7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6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39" w:right="47"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46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39" w:right="46"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468"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10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90" w:hRule="exact"/>
        </w:trPr>
        <w:tc>
          <w:tcPr>
            <w:tcW w:w="1230" w:type="dxa"/>
            <w:vMerge/>
            <w:tcBorders>
              <w:left w:val="single" w:sz="4" w:space="0" w:color="000000"/>
              <w:right w:val="single" w:sz="4" w:space="0" w:color="000000"/>
            </w:tcBorders>
            <w:shd w:val="clear" w:color="auto" w:fill="D2D2D2"/>
          </w:tcPr>
          <w:p>
            <w:pPr/>
          </w:p>
        </w:tc>
        <w:tc>
          <w:tcPr>
            <w:tcW w:w="505" w:type="dxa"/>
            <w:vMerge/>
            <w:tcBorders>
              <w:left w:val="single" w:sz="4" w:space="0" w:color="000000"/>
              <w:bottom w:val="nil" w:sz="6" w:space="0" w:color="auto"/>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5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33" w:hRule="exact"/>
        </w:trPr>
        <w:tc>
          <w:tcPr>
            <w:tcW w:w="1230" w:type="dxa"/>
            <w:vMerge/>
            <w:tcBorders>
              <w:left w:val="single" w:sz="4" w:space="0" w:color="000000"/>
              <w:right w:val="single" w:sz="4" w:space="0" w:color="000000"/>
            </w:tcBorders>
            <w:shd w:val="clear" w:color="auto" w:fill="D2D2D2"/>
          </w:tcPr>
          <w:p>
            <w:pPr/>
          </w:p>
        </w:tc>
        <w:tc>
          <w:tcPr>
            <w:tcW w:w="505" w:type="dxa"/>
            <w:vMerge w:val="restart"/>
            <w:tcBorders>
              <w:top w:val="nil" w:sz="6" w:space="0" w:color="auto"/>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22" w:hRule="exact"/>
        </w:trPr>
        <w:tc>
          <w:tcPr>
            <w:tcW w:w="1230" w:type="dxa"/>
            <w:vMerge/>
            <w:tcBorders>
              <w:left w:val="single" w:sz="4" w:space="0" w:color="000000"/>
              <w:right w:val="single" w:sz="4" w:space="0" w:color="000000"/>
            </w:tcBorders>
            <w:shd w:val="clear" w:color="auto" w:fill="D2D2D2"/>
          </w:tcPr>
          <w:p>
            <w:pPr/>
          </w:p>
        </w:tc>
        <w:tc>
          <w:tcPr>
            <w:tcW w:w="505"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
        </w:tc>
        <w:tc>
          <w:tcPr>
            <w:tcW w:w="578" w:type="dxa"/>
            <w:vMerge/>
            <w:tcBorders>
              <w:left w:val="single" w:sz="4" w:space="0" w:color="000000"/>
              <w:bottom w:val="nil" w:sz="6" w:space="0" w:color="auto"/>
              <w:right w:val="single" w:sz="4" w:space="0" w:color="000000"/>
            </w:tcBorders>
            <w:shd w:val="clear" w:color="auto" w:fill="D2D2D2"/>
          </w:tcPr>
          <w:p>
            <w:pPr/>
          </w:p>
        </w:tc>
      </w:tr>
      <w:tr>
        <w:trPr>
          <w:trHeight w:val="96" w:hRule="exact"/>
        </w:trPr>
        <w:tc>
          <w:tcPr>
            <w:tcW w:w="1230" w:type="dxa"/>
            <w:vMerge/>
            <w:tcBorders>
              <w:left w:val="single" w:sz="4" w:space="0" w:color="000000"/>
              <w:bottom w:val="single" w:sz="4" w:space="0" w:color="000000"/>
              <w:right w:val="single" w:sz="4" w:space="0" w:color="000000"/>
            </w:tcBorders>
            <w:shd w:val="clear" w:color="auto" w:fill="D2D2D2"/>
          </w:tcPr>
          <w:p>
            <w:pPr/>
          </w:p>
        </w:tc>
        <w:tc>
          <w:tcPr>
            <w:tcW w:w="505" w:type="dxa"/>
            <w:vMerge/>
            <w:tcBorders>
              <w:left w:val="single" w:sz="4" w:space="0" w:color="000000"/>
              <w:bottom w:val="single" w:sz="4" w:space="0" w:color="000000"/>
              <w:right w:val="single" w:sz="4" w:space="0" w:color="000000"/>
            </w:tcBorders>
            <w:shd w:val="clear" w:color="auto" w:fill="D2D2D2"/>
          </w:tcPr>
          <w:p>
            <w:pPr/>
          </w:p>
        </w:tc>
        <w:tc>
          <w:tcPr>
            <w:tcW w:w="466" w:type="dxa"/>
            <w:vMerge/>
            <w:tcBorders>
              <w:left w:val="single" w:sz="4" w:space="0" w:color="000000"/>
              <w:bottom w:val="single" w:sz="4" w:space="0" w:color="000000"/>
              <w:right w:val="single" w:sz="4" w:space="0" w:color="000000"/>
            </w:tcBorders>
            <w:shd w:val="clear" w:color="auto" w:fill="D2D2D2"/>
          </w:tcPr>
          <w:p>
            <w:pPr/>
          </w:p>
        </w:tc>
        <w:tc>
          <w:tcPr>
            <w:tcW w:w="466" w:type="dxa"/>
            <w:vMerge/>
            <w:tcBorders>
              <w:left w:val="single" w:sz="4" w:space="0" w:color="000000"/>
              <w:bottom w:val="single" w:sz="4" w:space="0" w:color="000000"/>
              <w:right w:val="single" w:sz="4" w:space="0" w:color="000000"/>
            </w:tcBorders>
            <w:shd w:val="clear" w:color="auto" w:fill="D2D2D2"/>
          </w:tcPr>
          <w:p>
            <w:pPr/>
          </w:p>
        </w:tc>
        <w:tc>
          <w:tcPr>
            <w:tcW w:w="468"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7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62"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补亏损</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22" w:space="0" w:color="D2D2D2"/>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22" w:space="0" w:color="D2D2D2"/>
              <w:left w:val="single" w:sz="4" w:space="0" w:color="000000"/>
              <w:bottom w:val="single" w:sz="4" w:space="0" w:color="000000"/>
              <w:right w:val="single" w:sz="4" w:space="0" w:color="000000"/>
            </w:tcBorders>
          </w:tcPr>
          <w:p>
            <w:pPr/>
          </w:p>
        </w:tc>
        <w:tc>
          <w:tcPr>
            <w:tcW w:w="586" w:type="dxa"/>
            <w:tcBorders>
              <w:top w:val="single" w:sz="22" w:space="0" w:color="D2D2D2"/>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0" w:space="0" w:color="D2D2D2"/>
              <w:left w:val="single" w:sz="4" w:space="0" w:color="000000"/>
              <w:bottom w:val="single" w:sz="4" w:space="0" w:color="000000"/>
              <w:right w:val="single" w:sz="4" w:space="0" w:color="000000"/>
            </w:tcBorders>
          </w:tcPr>
          <w:p>
            <w:pPr/>
          </w:p>
        </w:tc>
      </w:tr>
      <w:tr>
        <w:trPr>
          <w:trHeight w:val="1025"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35"/>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35"/>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
                <w:sz w:val="18"/>
                <w:szCs w:val="18"/>
              </w:rPr>
              <w:t>（五）专项储备</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05"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230" w:type="dxa"/>
            <w:tcBorders>
              <w:top w:val="single" w:sz="4" w:space="0" w:color="000000"/>
              <w:left w:val="single" w:sz="4" w:space="0" w:color="000000"/>
              <w:bottom w:val="nil" w:sz="6" w:space="0" w:color="auto"/>
              <w:right w:val="single" w:sz="4" w:space="0" w:color="000000"/>
            </w:tcBorders>
            <w:shd w:val="clear" w:color="auto" w:fill="D2D2D2"/>
          </w:tcPr>
          <w:p>
            <w:pPr/>
          </w:p>
        </w:tc>
        <w:tc>
          <w:tcPr>
            <w:tcW w:w="505" w:type="dxa"/>
            <w:vMerge w:val="restart"/>
            <w:tcBorders>
              <w:top w:val="single" w:sz="4" w:space="0" w:color="000000"/>
              <w:left w:val="single" w:sz="9" w:space="0" w:color="D2D2D2"/>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1,139</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,854,</w:t>
            </w:r>
          </w:p>
          <w:p>
            <w:pPr>
              <w:pStyle w:val="TableParagraph"/>
              <w:spacing w:line="240" w:lineRule="auto" w:before="105"/>
              <w:ind w:left="59" w:right="0"/>
              <w:jc w:val="left"/>
              <w:rPr>
                <w:rFonts w:ascii="Times New Roman" w:hAnsi="Times New Roman" w:cs="Times New Roman" w:eastAsia="Times New Roman" w:hint="default"/>
                <w:sz w:val="18"/>
                <w:szCs w:val="18"/>
              </w:rPr>
            </w:pPr>
            <w:r>
              <w:rPr>
                <w:rFonts w:ascii="Times New Roman"/>
                <w:sz w:val="18"/>
              </w:rPr>
              <w:t>021.0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125,2</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58,20</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3.62</w:t>
            </w: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1,602,</w:t>
            </w:r>
          </w:p>
          <w:p>
            <w:pPr>
              <w:pStyle w:val="TableParagraph"/>
              <w:spacing w:line="240" w:lineRule="auto" w:before="105"/>
              <w:ind w:left="36" w:right="0"/>
              <w:jc w:val="center"/>
              <w:rPr>
                <w:rFonts w:ascii="Times New Roman" w:hAnsi="Times New Roman" w:cs="Times New Roman" w:eastAsia="Times New Roman" w:hint="default"/>
                <w:sz w:val="18"/>
                <w:szCs w:val="18"/>
              </w:rPr>
            </w:pPr>
            <w:r>
              <w:rPr>
                <w:rFonts w:ascii="Times New Roman"/>
                <w:sz w:val="18"/>
              </w:rPr>
              <w:t>098,49</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6.45</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29,984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,265.2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1,720,</w:t>
            </w:r>
          </w:p>
          <w:p>
            <w:pPr>
              <w:pStyle w:val="TableParagraph"/>
              <w:spacing w:line="240" w:lineRule="auto" w:before="105"/>
              <w:ind w:left="57" w:right="0"/>
              <w:jc w:val="left"/>
              <w:rPr>
                <w:rFonts w:ascii="Times New Roman" w:hAnsi="Times New Roman" w:cs="Times New Roman" w:eastAsia="Times New Roman" w:hint="default"/>
                <w:sz w:val="18"/>
                <w:szCs w:val="18"/>
              </w:rPr>
            </w:pPr>
            <w:r>
              <w:rPr>
                <w:rFonts w:ascii="Times New Roman"/>
                <w:sz w:val="18"/>
              </w:rPr>
              <w:t>599.38</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150,15</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3,223.</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42</w:t>
            </w: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-97,48</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6,373.</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67</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2,891,</w:t>
            </w:r>
          </w:p>
          <w:p>
            <w:pPr>
              <w:pStyle w:val="TableParagraph"/>
              <w:spacing w:line="240" w:lineRule="auto" w:before="105"/>
              <w:ind w:left="36" w:right="0"/>
              <w:jc w:val="center"/>
              <w:rPr>
                <w:rFonts w:ascii="Times New Roman" w:hAnsi="Times New Roman" w:cs="Times New Roman" w:eastAsia="Times New Roman" w:hint="default"/>
                <w:sz w:val="18"/>
                <w:szCs w:val="18"/>
              </w:rPr>
            </w:pPr>
            <w:r>
              <w:rPr>
                <w:rFonts w:ascii="Times New Roman"/>
                <w:sz w:val="18"/>
              </w:rPr>
              <w:t>613,90</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4.95</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20,491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,147.9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2,912,</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105,05</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2.87</w:t>
            </w:r>
          </w:p>
        </w:tc>
      </w:tr>
      <w:tr>
        <w:trPr>
          <w:trHeight w:val="706" w:hRule="exact"/>
        </w:trPr>
        <w:tc>
          <w:tcPr>
            <w:tcW w:w="12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9"/>
                <w:sz w:val="18"/>
                <w:szCs w:val="18"/>
              </w:rPr>
              <w:t>四、本期期末余</w:t>
            </w:r>
            <w:r>
              <w:rPr>
                <w:rFonts w:ascii="宋体" w:hAnsi="宋体" w:cs="宋体" w:eastAsia="宋体" w:hint="default"/>
                <w:sz w:val="18"/>
                <w:szCs w:val="18"/>
              </w:rPr>
              <w:t> 额</w:t>
            </w:r>
          </w:p>
        </w:tc>
        <w:tc>
          <w:tcPr>
            <w:tcW w:w="505"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317" w:hRule="exact"/>
        </w:trPr>
        <w:tc>
          <w:tcPr>
            <w:tcW w:w="1230" w:type="dxa"/>
            <w:tcBorders>
              <w:top w:val="nil" w:sz="6" w:space="0" w:color="auto"/>
              <w:left w:val="single" w:sz="4" w:space="0" w:color="000000"/>
              <w:bottom w:val="single" w:sz="4" w:space="0" w:color="000000"/>
              <w:right w:val="single" w:sz="4" w:space="0" w:color="000000"/>
            </w:tcBorders>
            <w:shd w:val="clear" w:color="auto" w:fill="D2D2D2"/>
          </w:tcPr>
          <w:p>
            <w:pPr/>
          </w:p>
        </w:tc>
        <w:tc>
          <w:tcPr>
            <w:tcW w:w="505"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bl>
    <w:p>
      <w:pPr>
        <w:pStyle w:val="BodyText"/>
        <w:spacing w:line="240" w:lineRule="auto" w:before="49"/>
        <w:ind w:right="2602"/>
        <w:jc w:val="left"/>
      </w:pPr>
      <w:r>
        <w:rPr/>
        <w:t>上期金额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12"/>
        <w:gridCol w:w="490"/>
        <w:gridCol w:w="449"/>
        <w:gridCol w:w="449"/>
        <w:gridCol w:w="493"/>
        <w:gridCol w:w="576"/>
        <w:gridCol w:w="576"/>
        <w:gridCol w:w="578"/>
        <w:gridCol w:w="576"/>
        <w:gridCol w:w="576"/>
        <w:gridCol w:w="578"/>
        <w:gridCol w:w="588"/>
        <w:gridCol w:w="567"/>
        <w:gridCol w:w="569"/>
        <w:gridCol w:w="641"/>
        <w:gridCol w:w="653"/>
      </w:tblGrid>
      <w:tr>
        <w:trPr>
          <w:trHeight w:val="402" w:hRule="exact"/>
        </w:trPr>
        <w:tc>
          <w:tcPr>
            <w:tcW w:w="1212" w:type="dxa"/>
            <w:vMerge w:val="restart"/>
            <w:tcBorders>
              <w:top w:val="single" w:sz="4" w:space="0" w:color="000000"/>
              <w:left w:val="single" w:sz="4" w:space="0" w:color="000000"/>
              <w:right w:val="single" w:sz="4" w:space="0" w:color="000000"/>
            </w:tcBorders>
            <w:shd w:val="clear" w:color="auto" w:fill="D2D2D2"/>
          </w:tcPr>
          <w:p>
            <w:pPr/>
          </w:p>
        </w:tc>
        <w:tc>
          <w:tcPr>
            <w:tcW w:w="8358"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w:t>
            </w:r>
          </w:p>
        </w:tc>
      </w:tr>
      <w:tr>
        <w:trPr>
          <w:trHeight w:val="251" w:hRule="exact"/>
        </w:trPr>
        <w:tc>
          <w:tcPr>
            <w:tcW w:w="1212" w:type="dxa"/>
            <w:vMerge/>
            <w:tcBorders>
              <w:left w:val="single" w:sz="4" w:space="0" w:color="000000"/>
              <w:right w:val="single" w:sz="4" w:space="0" w:color="000000"/>
            </w:tcBorders>
            <w:shd w:val="clear" w:color="auto" w:fill="D2D2D2"/>
          </w:tcPr>
          <w:p>
            <w:pPr/>
          </w:p>
        </w:tc>
        <w:tc>
          <w:tcPr>
            <w:tcW w:w="7065" w:type="dxa"/>
            <w:gridSpan w:val="1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41" w:type="dxa"/>
            <w:vMerge w:val="restart"/>
            <w:tcBorders>
              <w:top w:val="single" w:sz="4" w:space="0" w:color="000000"/>
              <w:left w:val="single" w:sz="4" w:space="0" w:color="000000"/>
              <w:right w:val="single" w:sz="4" w:space="0" w:color="000000"/>
            </w:tcBorders>
            <w:shd w:val="clear" w:color="auto" w:fill="D2D2D2"/>
          </w:tcPr>
          <w:p>
            <w:pP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212" w:type="dxa"/>
            <w:vMerge/>
            <w:tcBorders>
              <w:left w:val="single" w:sz="4" w:space="0" w:color="000000"/>
              <w:bottom w:val="nil" w:sz="6" w:space="0" w:color="auto"/>
              <w:right w:val="single" w:sz="4" w:space="0" w:color="000000"/>
            </w:tcBorders>
            <w:shd w:val="clear" w:color="auto" w:fill="D2D2D2"/>
          </w:tcPr>
          <w:p>
            <w:pPr/>
          </w:p>
        </w:tc>
        <w:tc>
          <w:tcPr>
            <w:tcW w:w="7065" w:type="dxa"/>
            <w:gridSpan w:val="13"/>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2" w:right="48"/>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2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90" w:type="dxa"/>
            <w:vMerge w:val="restart"/>
            <w:tcBorders>
              <w:top w:val="single" w:sz="4" w:space="0" w:color="000000"/>
              <w:left w:val="single" w:sz="4" w:space="0" w:color="000000"/>
              <w:right w:val="single" w:sz="4" w:space="0" w:color="000000"/>
            </w:tcBorders>
            <w:shd w:val="clear" w:color="auto" w:fill="D2D2D2"/>
          </w:tcPr>
          <w:p>
            <w:pPr/>
          </w:p>
        </w:tc>
        <w:tc>
          <w:tcPr>
            <w:tcW w:w="139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10" w:right="107"/>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67" w:type="dxa"/>
            <w:vMerge w:val="restart"/>
            <w:tcBorders>
              <w:top w:val="single" w:sz="4" w:space="0" w:color="000000"/>
              <w:left w:val="single" w:sz="4" w:space="0" w:color="000000"/>
              <w:right w:val="single" w:sz="4" w:space="0" w:color="000000"/>
            </w:tcBorders>
            <w:shd w:val="clear" w:color="auto" w:fill="D2D2D2"/>
          </w:tcPr>
          <w:p>
            <w:pPr/>
          </w:p>
        </w:tc>
        <w:tc>
          <w:tcPr>
            <w:tcW w:w="569" w:type="dxa"/>
            <w:vMerge w:val="restart"/>
            <w:tcBorders>
              <w:top w:val="single" w:sz="4" w:space="0" w:color="000000"/>
              <w:left w:val="single" w:sz="4" w:space="0" w:color="000000"/>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48" w:right="41"/>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3" w:type="dxa"/>
            <w:vMerge/>
            <w:tcBorders>
              <w:left w:val="single" w:sz="4" w:space="0" w:color="000000"/>
              <w:right w:val="single" w:sz="4" w:space="0" w:color="000000"/>
            </w:tcBorders>
            <w:shd w:val="clear" w:color="auto" w:fill="D2D2D2"/>
          </w:tcPr>
          <w:p>
            <w:pPr/>
          </w:p>
        </w:tc>
      </w:tr>
      <w:tr>
        <w:trPr>
          <w:trHeight w:val="165" w:hRule="exact"/>
        </w:trPr>
        <w:tc>
          <w:tcPr>
            <w:tcW w:w="1212" w:type="dxa"/>
            <w:vMerge/>
            <w:tcBorders>
              <w:left w:val="single" w:sz="4" w:space="0" w:color="000000"/>
              <w:bottom w:val="nil" w:sz="6" w:space="0" w:color="auto"/>
              <w:right w:val="single" w:sz="4" w:space="0" w:color="000000"/>
            </w:tcBorders>
            <w:shd w:val="clear" w:color="auto" w:fill="D2D2D2"/>
          </w:tcPr>
          <w:p>
            <w:pPr/>
          </w:p>
        </w:tc>
        <w:tc>
          <w:tcPr>
            <w:tcW w:w="490" w:type="dxa"/>
            <w:vMerge/>
            <w:tcBorders>
              <w:left w:val="single" w:sz="4" w:space="0" w:color="000000"/>
              <w:bottom w:val="nil" w:sz="6" w:space="0" w:color="auto"/>
              <w:right w:val="single" w:sz="4" w:space="0" w:color="000000"/>
            </w:tcBorders>
            <w:shd w:val="clear" w:color="auto" w:fill="D2D2D2"/>
          </w:tcPr>
          <w:p>
            <w:pPr/>
          </w:p>
        </w:tc>
        <w:tc>
          <w:tcPr>
            <w:tcW w:w="1390" w:type="dxa"/>
            <w:gridSpan w:val="3"/>
            <w:vMerge/>
            <w:tcBorders>
              <w:left w:val="single" w:sz="4" w:space="0" w:color="000000"/>
              <w:bottom w:val="single" w:sz="4" w:space="0" w:color="000000"/>
              <w:right w:val="single" w:sz="4" w:space="0" w:color="000000"/>
            </w:tcBorders>
            <w:shd w:val="clear" w:color="auto" w:fill="D2D2D2"/>
          </w:tcPr>
          <w:p>
            <w:pP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9" w:hanging="80"/>
              <w:jc w:val="left"/>
              <w:rPr>
                <w:rFonts w:ascii="宋体" w:hAnsi="宋体" w:cs="宋体" w:eastAsia="宋体" w:hint="default"/>
                <w:sz w:val="18"/>
                <w:szCs w:val="18"/>
              </w:rPr>
            </w:pPr>
            <w:r>
              <w:rPr>
                <w:rFonts w:ascii="宋体" w:hAnsi="宋体" w:cs="宋体" w:eastAsia="宋体" w:hint="default"/>
                <w:spacing w:val="-7"/>
                <w:sz w:val="18"/>
                <w:szCs w:val="18"/>
              </w:rPr>
              <w:t>减：库</w:t>
            </w:r>
            <w:r>
              <w:rPr>
                <w:rFonts w:ascii="宋体" w:hAnsi="宋体" w:cs="宋体" w:eastAsia="宋体" w:hint="default"/>
                <w:sz w:val="18"/>
                <w:szCs w:val="18"/>
              </w:rPr>
              <w:t> 存股</w:t>
            </w:r>
          </w:p>
        </w:tc>
        <w:tc>
          <w:tcPr>
            <w:tcW w:w="578" w:type="dxa"/>
            <w:vMerge/>
            <w:tcBorders>
              <w:left w:val="single" w:sz="4" w:space="0" w:color="000000"/>
              <w:right w:val="single" w:sz="4" w:space="0" w:color="000000"/>
            </w:tcBorders>
            <w:shd w:val="clear" w:color="auto" w:fill="D2D2D2"/>
          </w:tcPr>
          <w:p>
            <w:pP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93" w:hRule="exact"/>
        </w:trPr>
        <w:tc>
          <w:tcPr>
            <w:tcW w:w="1212" w:type="dxa"/>
            <w:vMerge w:val="restart"/>
            <w:tcBorders>
              <w:top w:val="nil" w:sz="6" w:space="0" w:color="auto"/>
              <w:left w:val="single" w:sz="4" w:space="0" w:color="000000"/>
              <w:right w:val="single" w:sz="4" w:space="0" w:color="000000"/>
            </w:tcBorders>
            <w:shd w:val="clear" w:color="auto" w:fill="D2D2D2"/>
          </w:tcPr>
          <w:p>
            <w:pPr/>
          </w:p>
        </w:tc>
        <w:tc>
          <w:tcPr>
            <w:tcW w:w="4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6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49"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449"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493"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641"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90" w:hRule="exact"/>
        </w:trPr>
        <w:tc>
          <w:tcPr>
            <w:tcW w:w="1212" w:type="dxa"/>
            <w:vMerge/>
            <w:tcBorders>
              <w:left w:val="single" w:sz="4" w:space="0" w:color="000000"/>
              <w:right w:val="single" w:sz="4" w:space="0" w:color="000000"/>
            </w:tcBorders>
            <w:shd w:val="clear" w:color="auto" w:fill="D2D2D2"/>
          </w:tcPr>
          <w:p>
            <w:pPr/>
          </w:p>
        </w:tc>
        <w:tc>
          <w:tcPr>
            <w:tcW w:w="490" w:type="dxa"/>
            <w:vMerge/>
            <w:tcBorders>
              <w:left w:val="single" w:sz="4" w:space="0" w:color="000000"/>
              <w:bottom w:val="nil" w:sz="6" w:space="0" w:color="auto"/>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33" w:hRule="exact"/>
        </w:trPr>
        <w:tc>
          <w:tcPr>
            <w:tcW w:w="1212" w:type="dxa"/>
            <w:vMerge/>
            <w:tcBorders>
              <w:left w:val="single" w:sz="4" w:space="0" w:color="000000"/>
              <w:right w:val="single" w:sz="4" w:space="0" w:color="000000"/>
            </w:tcBorders>
            <w:shd w:val="clear" w:color="auto" w:fill="D2D2D2"/>
          </w:tcPr>
          <w:p>
            <w:pPr/>
          </w:p>
        </w:tc>
        <w:tc>
          <w:tcPr>
            <w:tcW w:w="490" w:type="dxa"/>
            <w:vMerge w:val="restart"/>
            <w:tcBorders>
              <w:top w:val="nil" w:sz="6" w:space="0" w:color="auto"/>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93"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val="restart"/>
            <w:tcBorders>
              <w:top w:val="nil" w:sz="6" w:space="0" w:color="auto"/>
              <w:left w:val="single" w:sz="4" w:space="0" w:color="000000"/>
              <w:right w:val="single" w:sz="4" w:space="0" w:color="000000"/>
            </w:tcBorders>
            <w:shd w:val="clear" w:color="auto" w:fill="D2D2D2"/>
          </w:tcPr>
          <w:p>
            <w:pPr/>
          </w:p>
        </w:tc>
        <w:tc>
          <w:tcPr>
            <w:tcW w:w="569" w:type="dxa"/>
            <w:vMerge w:val="restart"/>
            <w:tcBorders>
              <w:top w:val="nil" w:sz="6" w:space="0" w:color="auto"/>
              <w:left w:val="single" w:sz="4" w:space="0" w:color="000000"/>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r>
      <w:tr>
        <w:trPr>
          <w:trHeight w:val="218" w:hRule="exact"/>
        </w:trPr>
        <w:tc>
          <w:tcPr>
            <w:tcW w:w="1212" w:type="dxa"/>
            <w:vMerge/>
            <w:tcBorders>
              <w:left w:val="single" w:sz="4" w:space="0" w:color="000000"/>
              <w:bottom w:val="single" w:sz="4" w:space="0" w:color="000000"/>
              <w:right w:val="single" w:sz="4" w:space="0" w:color="000000"/>
            </w:tcBorders>
            <w:shd w:val="clear" w:color="auto" w:fill="D2D2D2"/>
          </w:tcPr>
          <w:p>
            <w:pPr/>
          </w:p>
        </w:tc>
        <w:tc>
          <w:tcPr>
            <w:tcW w:w="490" w:type="dxa"/>
            <w:vMerge/>
            <w:tcBorders>
              <w:left w:val="single" w:sz="4" w:space="0" w:color="000000"/>
              <w:bottom w:val="single" w:sz="4" w:space="0" w:color="000000"/>
              <w:right w:val="single" w:sz="4" w:space="0" w:color="000000"/>
            </w:tcBorders>
            <w:shd w:val="clear" w:color="auto" w:fill="D2D2D2"/>
          </w:tcPr>
          <w:p>
            <w:pPr/>
          </w:p>
        </w:tc>
        <w:tc>
          <w:tcPr>
            <w:tcW w:w="449" w:type="dxa"/>
            <w:vMerge/>
            <w:tcBorders>
              <w:left w:val="single" w:sz="4" w:space="0" w:color="000000"/>
              <w:bottom w:val="single" w:sz="4" w:space="0" w:color="000000"/>
              <w:right w:val="single" w:sz="4" w:space="0" w:color="000000"/>
            </w:tcBorders>
            <w:shd w:val="clear" w:color="auto" w:fill="D2D2D2"/>
          </w:tcPr>
          <w:p>
            <w:pPr/>
          </w:p>
        </w:tc>
        <w:tc>
          <w:tcPr>
            <w:tcW w:w="449" w:type="dxa"/>
            <w:vMerge/>
            <w:tcBorders>
              <w:left w:val="single" w:sz="4" w:space="0" w:color="000000"/>
              <w:bottom w:val="single" w:sz="4" w:space="0" w:color="000000"/>
              <w:right w:val="single" w:sz="4" w:space="0" w:color="000000"/>
            </w:tcBorders>
            <w:shd w:val="clear" w:color="auto" w:fill="D2D2D2"/>
          </w:tcPr>
          <w:p>
            <w:pPr/>
          </w:p>
        </w:tc>
        <w:tc>
          <w:tcPr>
            <w:tcW w:w="493"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588" w:type="dxa"/>
            <w:vMerge/>
            <w:tcBorders>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569" w:type="dxa"/>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vMerge w:val="restart"/>
            <w:tcBorders>
              <w:top w:val="single" w:sz="4" w:space="0" w:color="000000"/>
              <w:left w:val="single" w:sz="9" w:space="0" w:color="D2D2D2"/>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1,031</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,082,</w:t>
            </w:r>
          </w:p>
          <w:p>
            <w:pPr>
              <w:pStyle w:val="TableParagraph"/>
              <w:spacing w:line="240" w:lineRule="auto" w:before="105"/>
              <w:ind w:left="46" w:right="0"/>
              <w:jc w:val="left"/>
              <w:rPr>
                <w:rFonts w:ascii="Times New Roman" w:hAnsi="Times New Roman" w:cs="Times New Roman" w:eastAsia="Times New Roman" w:hint="default"/>
                <w:sz w:val="18"/>
                <w:szCs w:val="18"/>
              </w:rPr>
            </w:pPr>
            <w:r>
              <w:rPr>
                <w:rFonts w:ascii="Times New Roman"/>
                <w:sz w:val="18"/>
              </w:rPr>
              <w:t>642.0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217,8</w:t>
            </w:r>
          </w:p>
          <w:p>
            <w:pPr>
              <w:pStyle w:val="TableParagraph"/>
              <w:spacing w:line="240" w:lineRule="auto" w:before="105"/>
              <w:ind w:left="53" w:right="0"/>
              <w:jc w:val="left"/>
              <w:rPr>
                <w:rFonts w:ascii="Times New Roman" w:hAnsi="Times New Roman" w:cs="Times New Roman" w:eastAsia="Times New Roman" w:hint="default"/>
                <w:sz w:val="18"/>
                <w:szCs w:val="18"/>
              </w:rPr>
            </w:pPr>
            <w:r>
              <w:rPr>
                <w:rFonts w:ascii="Times New Roman"/>
                <w:sz w:val="18"/>
              </w:rPr>
              <w:t>21,74</w:t>
            </w:r>
          </w:p>
          <w:p>
            <w:pPr>
              <w:pStyle w:val="TableParagraph"/>
              <w:spacing w:line="240" w:lineRule="auto" w:before="105"/>
              <w:ind w:left="144" w:right="0"/>
              <w:jc w:val="left"/>
              <w:rPr>
                <w:rFonts w:ascii="Times New Roman" w:hAnsi="Times New Roman" w:cs="Times New Roman" w:eastAsia="Times New Roman" w:hint="default"/>
                <w:sz w:val="18"/>
                <w:szCs w:val="18"/>
              </w:rPr>
            </w:pPr>
            <w:r>
              <w:rPr>
                <w:rFonts w:ascii="Times New Roman"/>
                <w:sz w:val="18"/>
              </w:rPr>
              <w:t>2.90</w:t>
            </w: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262,30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2,307.</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66</w:t>
            </w: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22" w:space="0" w:color="D2D2D2"/>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left="26" w:right="0"/>
              <w:jc w:val="center"/>
              <w:rPr>
                <w:rFonts w:ascii="Times New Roman" w:hAnsi="Times New Roman" w:cs="Times New Roman" w:eastAsia="Times New Roman" w:hint="default"/>
                <w:sz w:val="18"/>
                <w:szCs w:val="18"/>
              </w:rPr>
            </w:pPr>
            <w:r>
              <w:rPr>
                <w:rFonts w:ascii="Times New Roman"/>
                <w:sz w:val="18"/>
              </w:rPr>
              <w:t>910,54</w:t>
            </w:r>
          </w:p>
          <w:p>
            <w:pPr>
              <w:pStyle w:val="TableParagraph"/>
              <w:spacing w:line="240" w:lineRule="auto" w:before="105"/>
              <w:ind w:left="207" w:right="0"/>
              <w:jc w:val="center"/>
              <w:rPr>
                <w:rFonts w:ascii="Times New Roman" w:hAnsi="Times New Roman" w:cs="Times New Roman" w:eastAsia="Times New Roman" w:hint="default"/>
                <w:sz w:val="18"/>
                <w:szCs w:val="18"/>
              </w:rPr>
            </w:pPr>
            <w:r>
              <w:rPr>
                <w:rFonts w:ascii="Times New Roman"/>
                <w:sz w:val="18"/>
              </w:rPr>
              <w:t>2.28</w:t>
            </w: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123,15</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4,105.</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48</w:t>
            </w:r>
          </w:p>
        </w:tc>
        <w:tc>
          <w:tcPr>
            <w:tcW w:w="578" w:type="dxa"/>
            <w:vMerge w:val="restart"/>
            <w:tcBorders>
              <w:top w:val="single" w:sz="22" w:space="0" w:color="D2D2D2"/>
              <w:left w:val="single" w:sz="4" w:space="0" w:color="000000"/>
              <w:right w:val="single" w:sz="4" w:space="0" w:color="000000"/>
            </w:tcBorders>
          </w:tcPr>
          <w:p>
            <w:pPr/>
          </w:p>
        </w:tc>
        <w:tc>
          <w:tcPr>
            <w:tcW w:w="588" w:type="dxa"/>
            <w:vMerge w:val="restart"/>
            <w:tcBorders>
              <w:top w:val="single" w:sz="22" w:space="0" w:color="D2D2D2"/>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92" w:right="0"/>
              <w:jc w:val="center"/>
              <w:rPr>
                <w:rFonts w:ascii="Times New Roman" w:hAnsi="Times New Roman" w:cs="Times New Roman" w:eastAsia="Times New Roman" w:hint="default"/>
                <w:sz w:val="18"/>
                <w:szCs w:val="18"/>
              </w:rPr>
            </w:pPr>
            <w:r>
              <w:rPr>
                <w:rFonts w:ascii="Times New Roman"/>
                <w:sz w:val="18"/>
              </w:rPr>
              <w:t>1,117,</w:t>
            </w:r>
          </w:p>
          <w:p>
            <w:pPr>
              <w:pStyle w:val="TableParagraph"/>
              <w:spacing w:line="240" w:lineRule="auto" w:before="105"/>
              <w:ind w:left="41" w:right="0"/>
              <w:jc w:val="center"/>
              <w:rPr>
                <w:rFonts w:ascii="Times New Roman" w:hAnsi="Times New Roman" w:cs="Times New Roman" w:eastAsia="Times New Roman" w:hint="default"/>
                <w:sz w:val="18"/>
                <w:szCs w:val="18"/>
              </w:rPr>
            </w:pPr>
            <w:r>
              <w:rPr>
                <w:rFonts w:ascii="Times New Roman"/>
                <w:sz w:val="18"/>
              </w:rPr>
              <w:t>231,53</w:t>
            </w:r>
          </w:p>
          <w:p>
            <w:pPr>
              <w:pStyle w:val="TableParagraph"/>
              <w:spacing w:line="240" w:lineRule="auto" w:before="105"/>
              <w:ind w:left="228" w:right="0"/>
              <w:jc w:val="center"/>
              <w:rPr>
                <w:rFonts w:ascii="Times New Roman" w:hAnsi="Times New Roman" w:cs="Times New Roman" w:eastAsia="Times New Roman" w:hint="default"/>
                <w:sz w:val="18"/>
                <w:szCs w:val="18"/>
              </w:rPr>
            </w:pPr>
            <w:r>
              <w:rPr>
                <w:rFonts w:ascii="Times New Roman"/>
                <w:sz w:val="18"/>
              </w:rPr>
              <w:t>2.11</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2,752,</w:t>
            </w:r>
          </w:p>
          <w:p>
            <w:pPr>
              <w:pStyle w:val="TableParagraph"/>
              <w:spacing w:line="240" w:lineRule="auto" w:before="105"/>
              <w:ind w:left="17" w:right="0"/>
              <w:jc w:val="center"/>
              <w:rPr>
                <w:rFonts w:ascii="Times New Roman" w:hAnsi="Times New Roman" w:cs="Times New Roman" w:eastAsia="Times New Roman" w:hint="default"/>
                <w:sz w:val="18"/>
                <w:szCs w:val="18"/>
              </w:rPr>
            </w:pPr>
            <w:r>
              <w:rPr>
                <w:rFonts w:ascii="Times New Roman"/>
                <w:sz w:val="18"/>
              </w:rPr>
              <w:t>502,87</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2.43</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60,623,</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976.84</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2,813,1</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26,849.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27</w:t>
            </w:r>
          </w:p>
        </w:tc>
      </w:tr>
      <w:tr>
        <w:trPr>
          <w:trHeight w:val="704"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49"/>
              <w:ind w:left="24" w:right="96"/>
              <w:jc w:val="left"/>
              <w:rPr>
                <w:rFonts w:ascii="宋体" w:hAnsi="宋体" w:cs="宋体" w:eastAsia="宋体" w:hint="default"/>
                <w:sz w:val="18"/>
                <w:szCs w:val="18"/>
              </w:rPr>
            </w:pPr>
            <w:r>
              <w:rPr>
                <w:rFonts w:ascii="宋体" w:hAnsi="宋体" w:cs="宋体" w:eastAsia="宋体" w:hint="default"/>
                <w:sz w:val="18"/>
                <w:szCs w:val="18"/>
              </w:rPr>
              <w:t>一、上年期末 余额</w:t>
            </w:r>
          </w:p>
        </w:tc>
        <w:tc>
          <w:tcPr>
            <w:tcW w:w="49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317"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715"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6" w:firstLine="360"/>
              <w:jc w:val="left"/>
              <w:rPr>
                <w:rFonts w:ascii="宋体" w:hAnsi="宋体" w:cs="宋体" w:eastAsia="宋体" w:hint="default"/>
                <w:sz w:val="18"/>
                <w:szCs w:val="18"/>
              </w:rPr>
            </w:pPr>
            <w:r>
              <w:rPr>
                <w:rFonts w:ascii="宋体" w:hAnsi="宋体" w:cs="宋体" w:eastAsia="宋体" w:hint="default"/>
                <w:sz w:val="18"/>
                <w:szCs w:val="18"/>
              </w:rPr>
              <w:t>加：会计 政策变更</w:t>
            </w:r>
          </w:p>
        </w:tc>
        <w:tc>
          <w:tcPr>
            <w:tcW w:w="49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49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6" w:firstLine="720"/>
              <w:jc w:val="left"/>
              <w:rPr>
                <w:rFonts w:ascii="宋体" w:hAnsi="宋体" w:cs="宋体" w:eastAsia="宋体" w:hint="default"/>
                <w:sz w:val="18"/>
                <w:szCs w:val="18"/>
              </w:rPr>
            </w:pPr>
            <w:r>
              <w:rPr>
                <w:rFonts w:ascii="宋体" w:hAnsi="宋体" w:cs="宋体" w:eastAsia="宋体" w:hint="default"/>
                <w:sz w:val="18"/>
                <w:szCs w:val="18"/>
              </w:rPr>
              <w:t>同一 控制下企业合</w:t>
            </w:r>
          </w:p>
        </w:tc>
        <w:tc>
          <w:tcPr>
            <w:tcW w:w="49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200"/>
        <w:gridCol w:w="490"/>
        <w:gridCol w:w="449"/>
        <w:gridCol w:w="449"/>
        <w:gridCol w:w="493"/>
        <w:gridCol w:w="576"/>
        <w:gridCol w:w="576"/>
        <w:gridCol w:w="578"/>
        <w:gridCol w:w="576"/>
        <w:gridCol w:w="576"/>
        <w:gridCol w:w="578"/>
        <w:gridCol w:w="588"/>
        <w:gridCol w:w="567"/>
        <w:gridCol w:w="569"/>
        <w:gridCol w:w="641"/>
        <w:gridCol w:w="653"/>
      </w:tblGrid>
      <w:tr>
        <w:trPr>
          <w:trHeight w:val="402" w:hRule="exact"/>
        </w:trPr>
        <w:tc>
          <w:tcPr>
            <w:tcW w:w="1200" w:type="dxa"/>
            <w:vMerge w:val="restart"/>
            <w:tcBorders>
              <w:top w:val="single" w:sz="4" w:space="0" w:color="000000"/>
              <w:left w:val="single" w:sz="4" w:space="0" w:color="000000"/>
              <w:right w:val="single" w:sz="4" w:space="0" w:color="000000"/>
            </w:tcBorders>
            <w:shd w:val="clear" w:color="auto" w:fill="D2D2D2"/>
          </w:tcPr>
          <w:p>
            <w:pPr/>
          </w:p>
        </w:tc>
        <w:tc>
          <w:tcPr>
            <w:tcW w:w="8358"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w:t>
            </w:r>
          </w:p>
        </w:tc>
      </w:tr>
      <w:tr>
        <w:trPr>
          <w:trHeight w:val="251" w:hRule="exact"/>
        </w:trPr>
        <w:tc>
          <w:tcPr>
            <w:tcW w:w="1200" w:type="dxa"/>
            <w:vMerge/>
            <w:tcBorders>
              <w:left w:val="single" w:sz="4" w:space="0" w:color="000000"/>
              <w:right w:val="single" w:sz="4" w:space="0" w:color="000000"/>
            </w:tcBorders>
            <w:shd w:val="clear" w:color="auto" w:fill="D2D2D2"/>
          </w:tcPr>
          <w:p>
            <w:pPr/>
          </w:p>
        </w:tc>
        <w:tc>
          <w:tcPr>
            <w:tcW w:w="7065" w:type="dxa"/>
            <w:gridSpan w:val="1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41" w:type="dxa"/>
            <w:vMerge w:val="restart"/>
            <w:tcBorders>
              <w:top w:val="single" w:sz="4" w:space="0" w:color="000000"/>
              <w:left w:val="single" w:sz="4" w:space="0" w:color="000000"/>
              <w:right w:val="single" w:sz="4" w:space="0" w:color="000000"/>
            </w:tcBorders>
            <w:shd w:val="clear" w:color="auto" w:fill="D2D2D2"/>
          </w:tcPr>
          <w:p>
            <w:pP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200" w:type="dxa"/>
            <w:vMerge/>
            <w:tcBorders>
              <w:left w:val="single" w:sz="4" w:space="0" w:color="000000"/>
              <w:bottom w:val="nil" w:sz="6" w:space="0" w:color="auto"/>
              <w:right w:val="single" w:sz="4" w:space="0" w:color="000000"/>
            </w:tcBorders>
            <w:shd w:val="clear" w:color="auto" w:fill="D2D2D2"/>
          </w:tcPr>
          <w:p>
            <w:pPr/>
          </w:p>
        </w:tc>
        <w:tc>
          <w:tcPr>
            <w:tcW w:w="7065" w:type="dxa"/>
            <w:gridSpan w:val="13"/>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2" w:right="48"/>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2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490" w:type="dxa"/>
            <w:vMerge w:val="restart"/>
            <w:tcBorders>
              <w:top w:val="single" w:sz="4" w:space="0" w:color="000000"/>
              <w:left w:val="single" w:sz="4" w:space="0" w:color="000000"/>
              <w:right w:val="single" w:sz="4" w:space="0" w:color="000000"/>
            </w:tcBorders>
            <w:shd w:val="clear" w:color="auto" w:fill="D2D2D2"/>
          </w:tcPr>
          <w:p>
            <w:pPr/>
          </w:p>
        </w:tc>
        <w:tc>
          <w:tcPr>
            <w:tcW w:w="139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10" w:right="107"/>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67" w:type="dxa"/>
            <w:vMerge w:val="restart"/>
            <w:tcBorders>
              <w:top w:val="single" w:sz="4" w:space="0" w:color="000000"/>
              <w:left w:val="single" w:sz="4" w:space="0" w:color="000000"/>
              <w:right w:val="single" w:sz="4" w:space="0" w:color="000000"/>
            </w:tcBorders>
            <w:shd w:val="clear" w:color="auto" w:fill="D2D2D2"/>
          </w:tcPr>
          <w:p>
            <w:pPr/>
          </w:p>
        </w:tc>
        <w:tc>
          <w:tcPr>
            <w:tcW w:w="569" w:type="dxa"/>
            <w:vMerge w:val="restart"/>
            <w:tcBorders>
              <w:top w:val="single" w:sz="4" w:space="0" w:color="000000"/>
              <w:left w:val="single" w:sz="4" w:space="0" w:color="000000"/>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48" w:right="41"/>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3" w:type="dxa"/>
            <w:vMerge/>
            <w:tcBorders>
              <w:left w:val="single" w:sz="4" w:space="0" w:color="000000"/>
              <w:right w:val="single" w:sz="4" w:space="0" w:color="000000"/>
            </w:tcBorders>
            <w:shd w:val="clear" w:color="auto" w:fill="D2D2D2"/>
          </w:tcPr>
          <w:p>
            <w:pPr/>
          </w:p>
        </w:tc>
      </w:tr>
      <w:tr>
        <w:trPr>
          <w:trHeight w:val="165" w:hRule="exact"/>
        </w:trPr>
        <w:tc>
          <w:tcPr>
            <w:tcW w:w="1200" w:type="dxa"/>
            <w:vMerge/>
            <w:tcBorders>
              <w:left w:val="single" w:sz="4" w:space="0" w:color="000000"/>
              <w:bottom w:val="nil" w:sz="6" w:space="0" w:color="auto"/>
              <w:right w:val="single" w:sz="4" w:space="0" w:color="000000"/>
            </w:tcBorders>
            <w:shd w:val="clear" w:color="auto" w:fill="D2D2D2"/>
          </w:tcPr>
          <w:p>
            <w:pPr/>
          </w:p>
        </w:tc>
        <w:tc>
          <w:tcPr>
            <w:tcW w:w="490" w:type="dxa"/>
            <w:vMerge/>
            <w:tcBorders>
              <w:left w:val="single" w:sz="4" w:space="0" w:color="000000"/>
              <w:bottom w:val="nil" w:sz="6" w:space="0" w:color="auto"/>
              <w:right w:val="single" w:sz="4" w:space="0" w:color="000000"/>
            </w:tcBorders>
            <w:shd w:val="clear" w:color="auto" w:fill="D2D2D2"/>
          </w:tcPr>
          <w:p>
            <w:pPr/>
          </w:p>
        </w:tc>
        <w:tc>
          <w:tcPr>
            <w:tcW w:w="1390" w:type="dxa"/>
            <w:gridSpan w:val="3"/>
            <w:vMerge/>
            <w:tcBorders>
              <w:left w:val="single" w:sz="4" w:space="0" w:color="000000"/>
              <w:bottom w:val="single" w:sz="4" w:space="0" w:color="000000"/>
              <w:right w:val="single" w:sz="4" w:space="0" w:color="000000"/>
            </w:tcBorders>
            <w:shd w:val="clear" w:color="auto" w:fill="D2D2D2"/>
          </w:tcPr>
          <w:p>
            <w:pP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9" w:hanging="80"/>
              <w:jc w:val="left"/>
              <w:rPr>
                <w:rFonts w:ascii="宋体" w:hAnsi="宋体" w:cs="宋体" w:eastAsia="宋体" w:hint="default"/>
                <w:sz w:val="18"/>
                <w:szCs w:val="18"/>
              </w:rPr>
            </w:pPr>
            <w:r>
              <w:rPr>
                <w:rFonts w:ascii="宋体" w:hAnsi="宋体" w:cs="宋体" w:eastAsia="宋体" w:hint="default"/>
                <w:spacing w:val="-7"/>
                <w:sz w:val="18"/>
                <w:szCs w:val="18"/>
              </w:rPr>
              <w:t>减：库</w:t>
            </w:r>
            <w:r>
              <w:rPr>
                <w:rFonts w:ascii="宋体" w:hAnsi="宋体" w:cs="宋体" w:eastAsia="宋体" w:hint="default"/>
                <w:sz w:val="18"/>
                <w:szCs w:val="18"/>
              </w:rPr>
              <w:t> 存股</w:t>
            </w:r>
          </w:p>
        </w:tc>
        <w:tc>
          <w:tcPr>
            <w:tcW w:w="578" w:type="dxa"/>
            <w:vMerge/>
            <w:tcBorders>
              <w:left w:val="single" w:sz="4" w:space="0" w:color="000000"/>
              <w:right w:val="single" w:sz="4" w:space="0" w:color="000000"/>
            </w:tcBorders>
            <w:shd w:val="clear" w:color="auto" w:fill="D2D2D2"/>
          </w:tcPr>
          <w:p>
            <w:pP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93" w:hRule="exact"/>
        </w:trPr>
        <w:tc>
          <w:tcPr>
            <w:tcW w:w="1200" w:type="dxa"/>
            <w:vMerge w:val="restart"/>
            <w:tcBorders>
              <w:top w:val="nil" w:sz="6" w:space="0" w:color="auto"/>
              <w:left w:val="single" w:sz="4" w:space="0" w:color="000000"/>
              <w:right w:val="single" w:sz="4" w:space="0" w:color="000000"/>
            </w:tcBorders>
            <w:shd w:val="clear" w:color="auto" w:fill="D2D2D2"/>
          </w:tcPr>
          <w:p>
            <w:pPr/>
          </w:p>
        </w:tc>
        <w:tc>
          <w:tcPr>
            <w:tcW w:w="4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6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49"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449"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493"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641"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90" w:hRule="exact"/>
        </w:trPr>
        <w:tc>
          <w:tcPr>
            <w:tcW w:w="1200" w:type="dxa"/>
            <w:vMerge/>
            <w:tcBorders>
              <w:left w:val="single" w:sz="4" w:space="0" w:color="000000"/>
              <w:right w:val="single" w:sz="4" w:space="0" w:color="000000"/>
            </w:tcBorders>
            <w:shd w:val="clear" w:color="auto" w:fill="D2D2D2"/>
          </w:tcPr>
          <w:p>
            <w:pPr/>
          </w:p>
        </w:tc>
        <w:tc>
          <w:tcPr>
            <w:tcW w:w="490" w:type="dxa"/>
            <w:vMerge/>
            <w:tcBorders>
              <w:left w:val="single" w:sz="4" w:space="0" w:color="000000"/>
              <w:bottom w:val="nil" w:sz="6" w:space="0" w:color="auto"/>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33" w:hRule="exact"/>
        </w:trPr>
        <w:tc>
          <w:tcPr>
            <w:tcW w:w="1200" w:type="dxa"/>
            <w:vMerge/>
            <w:tcBorders>
              <w:left w:val="single" w:sz="4" w:space="0" w:color="000000"/>
              <w:right w:val="single" w:sz="4" w:space="0" w:color="000000"/>
            </w:tcBorders>
            <w:shd w:val="clear" w:color="auto" w:fill="D2D2D2"/>
          </w:tcPr>
          <w:p>
            <w:pPr/>
          </w:p>
        </w:tc>
        <w:tc>
          <w:tcPr>
            <w:tcW w:w="490" w:type="dxa"/>
            <w:vMerge w:val="restart"/>
            <w:tcBorders>
              <w:top w:val="nil" w:sz="6" w:space="0" w:color="auto"/>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93"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val="restart"/>
            <w:tcBorders>
              <w:top w:val="nil" w:sz="6" w:space="0" w:color="auto"/>
              <w:left w:val="single" w:sz="4" w:space="0" w:color="000000"/>
              <w:right w:val="single" w:sz="4" w:space="0" w:color="000000"/>
            </w:tcBorders>
            <w:shd w:val="clear" w:color="auto" w:fill="D2D2D2"/>
          </w:tcPr>
          <w:p>
            <w:pPr/>
          </w:p>
        </w:tc>
        <w:tc>
          <w:tcPr>
            <w:tcW w:w="569" w:type="dxa"/>
            <w:vMerge w:val="restart"/>
            <w:tcBorders>
              <w:top w:val="nil" w:sz="6" w:space="0" w:color="auto"/>
              <w:left w:val="single" w:sz="4" w:space="0" w:color="000000"/>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r>
      <w:tr>
        <w:trPr>
          <w:trHeight w:val="218" w:hRule="exact"/>
        </w:trPr>
        <w:tc>
          <w:tcPr>
            <w:tcW w:w="1200" w:type="dxa"/>
            <w:vMerge/>
            <w:tcBorders>
              <w:left w:val="single" w:sz="4" w:space="0" w:color="000000"/>
              <w:bottom w:val="single" w:sz="4" w:space="0" w:color="000000"/>
              <w:right w:val="single" w:sz="4" w:space="0" w:color="000000"/>
            </w:tcBorders>
            <w:shd w:val="clear" w:color="auto" w:fill="D2D2D2"/>
          </w:tcPr>
          <w:p>
            <w:pPr/>
          </w:p>
        </w:tc>
        <w:tc>
          <w:tcPr>
            <w:tcW w:w="490" w:type="dxa"/>
            <w:vMerge/>
            <w:tcBorders>
              <w:left w:val="single" w:sz="4" w:space="0" w:color="000000"/>
              <w:bottom w:val="single" w:sz="4" w:space="0" w:color="000000"/>
              <w:right w:val="single" w:sz="4" w:space="0" w:color="000000"/>
            </w:tcBorders>
            <w:shd w:val="clear" w:color="auto" w:fill="D2D2D2"/>
          </w:tcPr>
          <w:p>
            <w:pPr/>
          </w:p>
        </w:tc>
        <w:tc>
          <w:tcPr>
            <w:tcW w:w="449" w:type="dxa"/>
            <w:vMerge/>
            <w:tcBorders>
              <w:left w:val="single" w:sz="4" w:space="0" w:color="000000"/>
              <w:bottom w:val="single" w:sz="4" w:space="0" w:color="000000"/>
              <w:right w:val="single" w:sz="4" w:space="0" w:color="000000"/>
            </w:tcBorders>
            <w:shd w:val="clear" w:color="auto" w:fill="D2D2D2"/>
          </w:tcPr>
          <w:p>
            <w:pPr/>
          </w:p>
        </w:tc>
        <w:tc>
          <w:tcPr>
            <w:tcW w:w="449" w:type="dxa"/>
            <w:vMerge/>
            <w:tcBorders>
              <w:left w:val="single" w:sz="4" w:space="0" w:color="000000"/>
              <w:bottom w:val="single" w:sz="4" w:space="0" w:color="000000"/>
              <w:right w:val="single" w:sz="4" w:space="0" w:color="000000"/>
            </w:tcBorders>
            <w:shd w:val="clear" w:color="auto" w:fill="D2D2D2"/>
          </w:tcPr>
          <w:p>
            <w:pPr/>
          </w:p>
        </w:tc>
        <w:tc>
          <w:tcPr>
            <w:tcW w:w="493"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588" w:type="dxa"/>
            <w:vMerge/>
            <w:tcBorders>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569" w:type="dxa"/>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62"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并</w:t>
            </w:r>
          </w:p>
        </w:tc>
        <w:tc>
          <w:tcPr>
            <w:tcW w:w="49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22" w:space="0" w:color="D2D2D2"/>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22" w:space="0" w:color="D2D2D2"/>
              <w:left w:val="single" w:sz="4" w:space="0" w:color="000000"/>
              <w:bottom w:val="single" w:sz="4" w:space="0" w:color="000000"/>
              <w:right w:val="single" w:sz="4" w:space="0" w:color="000000"/>
            </w:tcBorders>
          </w:tcPr>
          <w:p>
            <w:pPr/>
          </w:p>
        </w:tc>
        <w:tc>
          <w:tcPr>
            <w:tcW w:w="588" w:type="dxa"/>
            <w:tcBorders>
              <w:top w:val="single" w:sz="22" w:space="0" w:color="D2D2D2"/>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9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200"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vMerge w:val="restart"/>
            <w:tcBorders>
              <w:top w:val="single" w:sz="4" w:space="0" w:color="000000"/>
              <w:left w:val="single" w:sz="9" w:space="0" w:color="D2D2D2"/>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1,031</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,082,</w:t>
            </w:r>
          </w:p>
          <w:p>
            <w:pPr>
              <w:pStyle w:val="TableParagraph"/>
              <w:spacing w:line="240" w:lineRule="auto" w:before="105"/>
              <w:ind w:left="46" w:right="0"/>
              <w:jc w:val="left"/>
              <w:rPr>
                <w:rFonts w:ascii="Times New Roman" w:hAnsi="Times New Roman" w:cs="Times New Roman" w:eastAsia="Times New Roman" w:hint="default"/>
                <w:sz w:val="18"/>
                <w:szCs w:val="18"/>
              </w:rPr>
            </w:pPr>
            <w:r>
              <w:rPr>
                <w:rFonts w:ascii="Times New Roman"/>
                <w:sz w:val="18"/>
              </w:rPr>
              <w:t>642.0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217,8</w:t>
            </w:r>
          </w:p>
          <w:p>
            <w:pPr>
              <w:pStyle w:val="TableParagraph"/>
              <w:spacing w:line="240" w:lineRule="auto" w:before="105"/>
              <w:ind w:left="53" w:right="0"/>
              <w:jc w:val="left"/>
              <w:rPr>
                <w:rFonts w:ascii="Times New Roman" w:hAnsi="Times New Roman" w:cs="Times New Roman" w:eastAsia="Times New Roman" w:hint="default"/>
                <w:sz w:val="18"/>
                <w:szCs w:val="18"/>
              </w:rPr>
            </w:pPr>
            <w:r>
              <w:rPr>
                <w:rFonts w:ascii="Times New Roman"/>
                <w:sz w:val="18"/>
              </w:rPr>
              <w:t>21,74</w:t>
            </w:r>
          </w:p>
          <w:p>
            <w:pPr>
              <w:pStyle w:val="TableParagraph"/>
              <w:spacing w:line="240" w:lineRule="auto" w:before="105"/>
              <w:ind w:left="144" w:right="0"/>
              <w:jc w:val="left"/>
              <w:rPr>
                <w:rFonts w:ascii="Times New Roman" w:hAnsi="Times New Roman" w:cs="Times New Roman" w:eastAsia="Times New Roman" w:hint="default"/>
                <w:sz w:val="18"/>
                <w:szCs w:val="18"/>
              </w:rPr>
            </w:pPr>
            <w:r>
              <w:rPr>
                <w:rFonts w:ascii="Times New Roman"/>
                <w:sz w:val="18"/>
              </w:rPr>
              <w:t>2.90</w:t>
            </w: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262,30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2,307.</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66</w:t>
            </w: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6" w:right="0"/>
              <w:jc w:val="center"/>
              <w:rPr>
                <w:rFonts w:ascii="Times New Roman" w:hAnsi="Times New Roman" w:cs="Times New Roman" w:eastAsia="Times New Roman" w:hint="default"/>
                <w:sz w:val="18"/>
                <w:szCs w:val="18"/>
              </w:rPr>
            </w:pPr>
            <w:r>
              <w:rPr>
                <w:rFonts w:ascii="Times New Roman"/>
                <w:sz w:val="18"/>
              </w:rPr>
              <w:t>910,54</w:t>
            </w:r>
          </w:p>
          <w:p>
            <w:pPr>
              <w:pStyle w:val="TableParagraph"/>
              <w:spacing w:line="240" w:lineRule="auto" w:before="105"/>
              <w:ind w:left="207" w:right="0"/>
              <w:jc w:val="center"/>
              <w:rPr>
                <w:rFonts w:ascii="Times New Roman" w:hAnsi="Times New Roman" w:cs="Times New Roman" w:eastAsia="Times New Roman" w:hint="default"/>
                <w:sz w:val="18"/>
                <w:szCs w:val="18"/>
              </w:rPr>
            </w:pPr>
            <w:r>
              <w:rPr>
                <w:rFonts w:ascii="Times New Roman"/>
                <w:sz w:val="18"/>
              </w:rPr>
              <w:t>2.28</w:t>
            </w: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123,15</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4,105.</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48</w:t>
            </w:r>
          </w:p>
        </w:tc>
        <w:tc>
          <w:tcPr>
            <w:tcW w:w="578" w:type="dxa"/>
            <w:vMerge w:val="restart"/>
            <w:tcBorders>
              <w:top w:val="single" w:sz="4" w:space="0" w:color="000000"/>
              <w:left w:val="single" w:sz="4" w:space="0" w:color="000000"/>
              <w:right w:val="single" w:sz="4" w:space="0" w:color="000000"/>
            </w:tcBorders>
          </w:tcPr>
          <w:p>
            <w:pPr/>
          </w:p>
        </w:tc>
        <w:tc>
          <w:tcPr>
            <w:tcW w:w="58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2" w:right="0"/>
              <w:jc w:val="center"/>
              <w:rPr>
                <w:rFonts w:ascii="Times New Roman" w:hAnsi="Times New Roman" w:cs="Times New Roman" w:eastAsia="Times New Roman" w:hint="default"/>
                <w:sz w:val="18"/>
                <w:szCs w:val="18"/>
              </w:rPr>
            </w:pPr>
            <w:r>
              <w:rPr>
                <w:rFonts w:ascii="Times New Roman"/>
                <w:sz w:val="18"/>
              </w:rPr>
              <w:t>1,117,</w:t>
            </w:r>
          </w:p>
          <w:p>
            <w:pPr>
              <w:pStyle w:val="TableParagraph"/>
              <w:spacing w:line="240" w:lineRule="auto" w:before="105"/>
              <w:ind w:left="41" w:right="0"/>
              <w:jc w:val="center"/>
              <w:rPr>
                <w:rFonts w:ascii="Times New Roman" w:hAnsi="Times New Roman" w:cs="Times New Roman" w:eastAsia="Times New Roman" w:hint="default"/>
                <w:sz w:val="18"/>
                <w:szCs w:val="18"/>
              </w:rPr>
            </w:pPr>
            <w:r>
              <w:rPr>
                <w:rFonts w:ascii="Times New Roman"/>
                <w:sz w:val="18"/>
              </w:rPr>
              <w:t>231,53</w:t>
            </w:r>
          </w:p>
          <w:p>
            <w:pPr>
              <w:pStyle w:val="TableParagraph"/>
              <w:spacing w:line="240" w:lineRule="auto" w:before="105"/>
              <w:ind w:left="228" w:right="0"/>
              <w:jc w:val="center"/>
              <w:rPr>
                <w:rFonts w:ascii="Times New Roman" w:hAnsi="Times New Roman" w:cs="Times New Roman" w:eastAsia="Times New Roman" w:hint="default"/>
                <w:sz w:val="18"/>
                <w:szCs w:val="18"/>
              </w:rPr>
            </w:pPr>
            <w:r>
              <w:rPr>
                <w:rFonts w:ascii="Times New Roman"/>
                <w:sz w:val="18"/>
              </w:rPr>
              <w:t>2.11</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2,752,</w:t>
            </w:r>
          </w:p>
          <w:p>
            <w:pPr>
              <w:pStyle w:val="TableParagraph"/>
              <w:spacing w:line="240" w:lineRule="auto" w:before="105"/>
              <w:ind w:left="17" w:right="0"/>
              <w:jc w:val="center"/>
              <w:rPr>
                <w:rFonts w:ascii="Times New Roman" w:hAnsi="Times New Roman" w:cs="Times New Roman" w:eastAsia="Times New Roman" w:hint="default"/>
                <w:sz w:val="18"/>
                <w:szCs w:val="18"/>
              </w:rPr>
            </w:pPr>
            <w:r>
              <w:rPr>
                <w:rFonts w:ascii="Times New Roman"/>
                <w:sz w:val="18"/>
              </w:rPr>
              <w:t>502,87</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2.43</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60,623,</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976.84</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2,813,1</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26,849.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27</w:t>
            </w:r>
          </w:p>
        </w:tc>
      </w:tr>
      <w:tr>
        <w:trPr>
          <w:trHeight w:val="706" w:hRule="exact"/>
        </w:trPr>
        <w:tc>
          <w:tcPr>
            <w:tcW w:w="12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6"/>
              <w:jc w:val="left"/>
              <w:rPr>
                <w:rFonts w:ascii="宋体" w:hAnsi="宋体" w:cs="宋体" w:eastAsia="宋体" w:hint="default"/>
                <w:sz w:val="18"/>
                <w:szCs w:val="18"/>
              </w:rPr>
            </w:pPr>
            <w:r>
              <w:rPr>
                <w:rFonts w:ascii="宋体" w:hAnsi="宋体" w:cs="宋体" w:eastAsia="宋体" w:hint="default"/>
                <w:sz w:val="18"/>
                <w:szCs w:val="18"/>
              </w:rPr>
              <w:t>二、本年期初 余额</w:t>
            </w:r>
          </w:p>
        </w:tc>
        <w:tc>
          <w:tcPr>
            <w:tcW w:w="49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317" w:hRule="exact"/>
        </w:trPr>
        <w:tc>
          <w:tcPr>
            <w:tcW w:w="1200"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1337"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49"/>
              <w:ind w:left="12" w:right="96"/>
              <w:jc w:val="both"/>
              <w:rPr>
                <w:rFonts w:ascii="宋体" w:hAnsi="宋体" w:cs="宋体" w:eastAsia="宋体" w:hint="default"/>
                <w:sz w:val="18"/>
                <w:szCs w:val="18"/>
              </w:rPr>
            </w:pPr>
            <w:r>
              <w:rPr>
                <w:rFonts w:ascii="宋体" w:hAnsi="宋体" w:cs="宋体" w:eastAsia="宋体" w:hint="default"/>
                <w:sz w:val="18"/>
                <w:szCs w:val="18"/>
              </w:rPr>
              <w:t>三、本期增减 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4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68,36</w:t>
            </w:r>
          </w:p>
          <w:p>
            <w:pPr>
              <w:pStyle w:val="TableParagraph"/>
              <w:spacing w:line="240" w:lineRule="auto" w:before="105"/>
              <w:ind w:left="21" w:right="0"/>
              <w:jc w:val="center"/>
              <w:rPr>
                <w:rFonts w:ascii="Times New Roman" w:hAnsi="Times New Roman" w:cs="Times New Roman" w:eastAsia="Times New Roman" w:hint="default"/>
                <w:sz w:val="18"/>
                <w:szCs w:val="18"/>
              </w:rPr>
            </w:pPr>
            <w:r>
              <w:rPr>
                <w:rFonts w:ascii="Times New Roman"/>
                <w:sz w:val="18"/>
              </w:rPr>
              <w:t>7,046</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4" w:right="0"/>
              <w:jc w:val="left"/>
              <w:rPr>
                <w:rFonts w:ascii="Times New Roman" w:hAnsi="Times New Roman" w:cs="Times New Roman" w:eastAsia="Times New Roman" w:hint="default"/>
                <w:sz w:val="18"/>
                <w:szCs w:val="18"/>
              </w:rPr>
            </w:pPr>
            <w:r>
              <w:rPr>
                <w:rFonts w:ascii="Times New Roman"/>
                <w:sz w:val="18"/>
              </w:rPr>
              <w:t>-217,</w:t>
            </w:r>
          </w:p>
          <w:p>
            <w:pPr>
              <w:pStyle w:val="TableParagraph"/>
              <w:spacing w:line="240" w:lineRule="auto" w:before="105"/>
              <w:ind w:left="53" w:right="0"/>
              <w:jc w:val="left"/>
              <w:rPr>
                <w:rFonts w:ascii="Times New Roman" w:hAnsi="Times New Roman" w:cs="Times New Roman" w:eastAsia="Times New Roman" w:hint="default"/>
                <w:sz w:val="18"/>
                <w:szCs w:val="18"/>
              </w:rPr>
            </w:pPr>
            <w:r>
              <w:rPr>
                <w:rFonts w:ascii="Times New Roman"/>
                <w:sz w:val="18"/>
              </w:rPr>
              <w:t>821,7</w:t>
            </w:r>
          </w:p>
          <w:p>
            <w:pPr>
              <w:pStyle w:val="TableParagraph"/>
              <w:spacing w:line="240" w:lineRule="auto" w:before="105"/>
              <w:ind w:left="53" w:right="0"/>
              <w:jc w:val="left"/>
              <w:rPr>
                <w:rFonts w:ascii="Times New Roman" w:hAnsi="Times New Roman" w:cs="Times New Roman" w:eastAsia="Times New Roman" w:hint="default"/>
                <w:sz w:val="18"/>
                <w:szCs w:val="18"/>
              </w:rPr>
            </w:pPr>
            <w:r>
              <w:rPr>
                <w:rFonts w:ascii="Times New Roman"/>
                <w:sz w:val="18"/>
              </w:rPr>
              <w:t>42.90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835,76</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7,104.</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61</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69,121</w:t>
            </w:r>
          </w:p>
          <w:p>
            <w:pPr>
              <w:pStyle w:val="TableParagraph"/>
              <w:spacing w:line="240" w:lineRule="auto" w:before="105"/>
              <w:ind w:left="319" w:right="0"/>
              <w:jc w:val="left"/>
              <w:rPr>
                <w:rFonts w:ascii="Times New Roman" w:hAnsi="Times New Roman" w:cs="Times New Roman" w:eastAsia="Times New Roman" w:hint="default"/>
                <w:sz w:val="18"/>
                <w:szCs w:val="18"/>
              </w:rPr>
            </w:pPr>
            <w:r>
              <w:rPr>
                <w:rFonts w:ascii="Times New Roman"/>
                <w:sz w:val="18"/>
              </w:rPr>
              <w:t>.40</w:t>
            </w: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22,680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,497.3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171,16</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2,042.</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72</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880,22</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4,069.</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17</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-38,459</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,268.91</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841,764</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,800.26</w:t>
            </w:r>
          </w:p>
        </w:tc>
      </w:tr>
      <w:tr>
        <w:trPr>
          <w:trHeight w:val="161" w:hRule="exact"/>
        </w:trPr>
        <w:tc>
          <w:tcPr>
            <w:tcW w:w="1200"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vMerge w:val="restart"/>
            <w:tcBorders>
              <w:top w:val="single" w:sz="4" w:space="0" w:color="000000"/>
              <w:left w:val="single" w:sz="9" w:space="0" w:color="D2D2D2"/>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69,121</w:t>
            </w:r>
          </w:p>
          <w:p>
            <w:pPr>
              <w:pStyle w:val="TableParagraph"/>
              <w:spacing w:line="240" w:lineRule="auto" w:before="105"/>
              <w:ind w:left="319" w:right="0"/>
              <w:jc w:val="left"/>
              <w:rPr>
                <w:rFonts w:ascii="Times New Roman" w:hAnsi="Times New Roman" w:cs="Times New Roman" w:eastAsia="Times New Roman" w:hint="default"/>
                <w:sz w:val="18"/>
                <w:szCs w:val="18"/>
              </w:rPr>
            </w:pPr>
            <w:r>
              <w:rPr>
                <w:rFonts w:ascii="Times New Roman"/>
                <w:sz w:val="18"/>
              </w:rPr>
              <w:t>.40</w:t>
            </w: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588" w:type="dxa"/>
            <w:vMerge w:val="restart"/>
            <w:tcBorders>
              <w:top w:val="single" w:sz="4" w:space="0" w:color="000000"/>
              <w:left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231,99</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9,258.</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41</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232,06</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8,379.</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81</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-6,754,</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607.93</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225,313</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,771.88</w:t>
            </w:r>
          </w:p>
        </w:tc>
      </w:tr>
      <w:tr>
        <w:trPr>
          <w:trHeight w:val="706" w:hRule="exact"/>
        </w:trPr>
        <w:tc>
          <w:tcPr>
            <w:tcW w:w="12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6"/>
              <w:jc w:val="left"/>
              <w:rPr>
                <w:rFonts w:ascii="宋体" w:hAnsi="宋体" w:cs="宋体" w:eastAsia="宋体" w:hint="default"/>
                <w:sz w:val="18"/>
                <w:szCs w:val="18"/>
              </w:rPr>
            </w:pPr>
            <w:r>
              <w:rPr>
                <w:rFonts w:ascii="宋体" w:hAnsi="宋体" w:cs="宋体" w:eastAsia="宋体" w:hint="default"/>
                <w:sz w:val="18"/>
                <w:szCs w:val="18"/>
              </w:rPr>
              <w:t>（一）综合收 益总额</w:t>
            </w:r>
          </w:p>
        </w:tc>
        <w:tc>
          <w:tcPr>
            <w:tcW w:w="49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161" w:hRule="exact"/>
        </w:trPr>
        <w:tc>
          <w:tcPr>
            <w:tcW w:w="1200"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1025"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6"/>
              <w:jc w:val="both"/>
              <w:rPr>
                <w:rFonts w:ascii="宋体" w:hAnsi="宋体" w:cs="宋体" w:eastAsia="宋体" w:hint="default"/>
                <w:sz w:val="18"/>
                <w:szCs w:val="18"/>
              </w:rPr>
            </w:pPr>
            <w:r>
              <w:rPr>
                <w:rFonts w:ascii="宋体" w:hAnsi="宋体" w:cs="宋体" w:eastAsia="宋体" w:hint="default"/>
                <w:sz w:val="18"/>
                <w:szCs w:val="18"/>
              </w:rPr>
              <w:t>（二）所有者 投入和减少资 本</w:t>
            </w:r>
          </w:p>
        </w:tc>
        <w:tc>
          <w:tcPr>
            <w:tcW w:w="4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68,36</w:t>
            </w:r>
          </w:p>
          <w:p>
            <w:pPr>
              <w:pStyle w:val="TableParagraph"/>
              <w:spacing w:line="240" w:lineRule="auto" w:before="105"/>
              <w:ind w:left="21" w:right="0"/>
              <w:jc w:val="center"/>
              <w:rPr>
                <w:rFonts w:ascii="Times New Roman" w:hAnsi="Times New Roman" w:cs="Times New Roman" w:eastAsia="Times New Roman" w:hint="default"/>
                <w:sz w:val="18"/>
                <w:szCs w:val="18"/>
              </w:rPr>
            </w:pPr>
            <w:r>
              <w:rPr>
                <w:rFonts w:ascii="Times New Roman"/>
                <w:sz w:val="18"/>
              </w:rPr>
              <w:t>7,046</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left"/>
              <w:rPr>
                <w:rFonts w:ascii="Times New Roman" w:hAnsi="Times New Roman" w:cs="Times New Roman" w:eastAsia="Times New Roman" w:hint="default"/>
                <w:sz w:val="18"/>
                <w:szCs w:val="18"/>
              </w:rPr>
            </w:pPr>
            <w:r>
              <w:rPr>
                <w:rFonts w:ascii="Times New Roman"/>
                <w:sz w:val="18"/>
              </w:rPr>
              <w:t>-217,</w:t>
            </w:r>
          </w:p>
          <w:p>
            <w:pPr>
              <w:pStyle w:val="TableParagraph"/>
              <w:spacing w:line="240" w:lineRule="auto" w:before="105"/>
              <w:ind w:left="53" w:right="0"/>
              <w:jc w:val="left"/>
              <w:rPr>
                <w:rFonts w:ascii="Times New Roman" w:hAnsi="Times New Roman" w:cs="Times New Roman" w:eastAsia="Times New Roman" w:hint="default"/>
                <w:sz w:val="18"/>
                <w:szCs w:val="18"/>
              </w:rPr>
            </w:pPr>
            <w:r>
              <w:rPr>
                <w:rFonts w:ascii="Times New Roman"/>
                <w:sz w:val="18"/>
              </w:rPr>
              <w:t>821,7</w:t>
            </w:r>
          </w:p>
          <w:p>
            <w:pPr>
              <w:pStyle w:val="TableParagraph"/>
              <w:spacing w:line="240" w:lineRule="auto" w:before="105"/>
              <w:ind w:left="53" w:right="0"/>
              <w:jc w:val="left"/>
              <w:rPr>
                <w:rFonts w:ascii="Times New Roman" w:hAnsi="Times New Roman" w:cs="Times New Roman" w:eastAsia="Times New Roman" w:hint="default"/>
                <w:sz w:val="18"/>
                <w:szCs w:val="18"/>
              </w:rPr>
            </w:pPr>
            <w:r>
              <w:rPr>
                <w:rFonts w:ascii="Times New Roman"/>
                <w:sz w:val="18"/>
              </w:rPr>
              <w:t>42.90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835,76</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7,104.</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61</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686,31</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2,407.</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71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-31,704</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,660.98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654,607</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,746.73</w:t>
            </w:r>
          </w:p>
        </w:tc>
      </w:tr>
      <w:tr>
        <w:trPr>
          <w:trHeight w:val="716"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．所有者投入</w:t>
            </w:r>
            <w:r>
              <w:rPr>
                <w:rFonts w:ascii="宋体" w:hAnsi="宋体" w:cs="宋体" w:eastAsia="宋体" w:hint="default"/>
                <w:sz w:val="18"/>
                <w:szCs w:val="18"/>
              </w:rPr>
              <w:t> 的普通股</w:t>
            </w:r>
          </w:p>
        </w:tc>
        <w:tc>
          <w:tcPr>
            <w:tcW w:w="49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．其他权益工</w:t>
            </w:r>
            <w:r>
              <w:rPr>
                <w:rFonts w:ascii="宋体" w:hAnsi="宋体" w:cs="宋体" w:eastAsia="宋体" w:hint="default"/>
                <w:sz w:val="18"/>
                <w:szCs w:val="18"/>
              </w:rPr>
              <w:t> 具持有者投入 资本</w:t>
            </w:r>
          </w:p>
        </w:tc>
        <w:tc>
          <w:tcPr>
            <w:tcW w:w="4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68,36</w:t>
            </w:r>
          </w:p>
          <w:p>
            <w:pPr>
              <w:pStyle w:val="TableParagraph"/>
              <w:spacing w:line="240" w:lineRule="auto" w:before="105"/>
              <w:ind w:left="21" w:right="0"/>
              <w:jc w:val="center"/>
              <w:rPr>
                <w:rFonts w:ascii="Times New Roman" w:hAnsi="Times New Roman" w:cs="Times New Roman" w:eastAsia="Times New Roman" w:hint="default"/>
                <w:sz w:val="18"/>
                <w:szCs w:val="18"/>
              </w:rPr>
            </w:pPr>
            <w:r>
              <w:rPr>
                <w:rFonts w:ascii="Times New Roman"/>
                <w:sz w:val="18"/>
              </w:rPr>
              <w:t>7,046</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left"/>
              <w:rPr>
                <w:rFonts w:ascii="Times New Roman" w:hAnsi="Times New Roman" w:cs="Times New Roman" w:eastAsia="Times New Roman" w:hint="default"/>
                <w:sz w:val="18"/>
                <w:szCs w:val="18"/>
              </w:rPr>
            </w:pPr>
            <w:r>
              <w:rPr>
                <w:rFonts w:ascii="Times New Roman"/>
                <w:sz w:val="18"/>
              </w:rPr>
              <w:t>-217,</w:t>
            </w:r>
          </w:p>
          <w:p>
            <w:pPr>
              <w:pStyle w:val="TableParagraph"/>
              <w:spacing w:line="240" w:lineRule="auto" w:before="105"/>
              <w:ind w:left="53" w:right="0"/>
              <w:jc w:val="left"/>
              <w:rPr>
                <w:rFonts w:ascii="Times New Roman" w:hAnsi="Times New Roman" w:cs="Times New Roman" w:eastAsia="Times New Roman" w:hint="default"/>
                <w:sz w:val="18"/>
                <w:szCs w:val="18"/>
              </w:rPr>
            </w:pPr>
            <w:r>
              <w:rPr>
                <w:rFonts w:ascii="Times New Roman"/>
                <w:sz w:val="18"/>
              </w:rPr>
              <w:t>821,7</w:t>
            </w:r>
          </w:p>
          <w:p>
            <w:pPr>
              <w:pStyle w:val="TableParagraph"/>
              <w:spacing w:line="240" w:lineRule="auto" w:before="105"/>
              <w:ind w:left="53" w:right="0"/>
              <w:jc w:val="left"/>
              <w:rPr>
                <w:rFonts w:ascii="Times New Roman" w:hAnsi="Times New Roman" w:cs="Times New Roman" w:eastAsia="Times New Roman" w:hint="default"/>
                <w:sz w:val="18"/>
                <w:szCs w:val="18"/>
              </w:rPr>
            </w:pPr>
            <w:r>
              <w:rPr>
                <w:rFonts w:ascii="Times New Roman"/>
                <w:sz w:val="18"/>
              </w:rPr>
              <w:t>42.90</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810,05</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8,100.</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37</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660,60</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3,403.</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47</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660,603</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,403.47</w:t>
            </w:r>
          </w:p>
        </w:tc>
      </w:tr>
      <w:tr>
        <w:trPr>
          <w:trHeight w:val="1027"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．股份支付计</w:t>
            </w:r>
            <w:r>
              <w:rPr>
                <w:rFonts w:ascii="宋体" w:hAnsi="宋体" w:cs="宋体" w:eastAsia="宋体" w:hint="default"/>
                <w:sz w:val="18"/>
                <w:szCs w:val="18"/>
              </w:rPr>
              <w:t> 入所有者权益 的金额</w:t>
            </w:r>
          </w:p>
        </w:tc>
        <w:tc>
          <w:tcPr>
            <w:tcW w:w="49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27,686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27,686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27,686,</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500.00</w:t>
            </w:r>
          </w:p>
        </w:tc>
      </w:tr>
      <w:tr>
        <w:trPr>
          <w:trHeight w:val="161" w:hRule="exact"/>
        </w:trPr>
        <w:tc>
          <w:tcPr>
            <w:tcW w:w="1200"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vMerge w:val="restart"/>
            <w:tcBorders>
              <w:top w:val="single" w:sz="4" w:space="0" w:color="000000"/>
              <w:left w:val="single" w:sz="9" w:space="0" w:color="D2D2D2"/>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-1,977,</w:t>
            </w:r>
          </w:p>
          <w:p>
            <w:pPr>
              <w:pStyle w:val="TableParagraph"/>
              <w:spacing w:line="240" w:lineRule="auto" w:before="105"/>
              <w:ind w:left="50" w:right="0"/>
              <w:jc w:val="left"/>
              <w:rPr>
                <w:rFonts w:ascii="Times New Roman" w:hAnsi="Times New Roman" w:cs="Times New Roman" w:eastAsia="Times New Roman" w:hint="default"/>
                <w:sz w:val="18"/>
                <w:szCs w:val="18"/>
              </w:rPr>
            </w:pPr>
            <w:r>
              <w:rPr>
                <w:rFonts w:ascii="Times New Roman"/>
                <w:sz w:val="18"/>
              </w:rPr>
              <w:t>495.76</w:t>
            </w: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588"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-1,977,</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495.76</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-31,704</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,660.98</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91"/>
              <w:ind w:left="67" w:right="0"/>
              <w:jc w:val="left"/>
              <w:rPr>
                <w:rFonts w:ascii="Times New Roman" w:hAnsi="Times New Roman" w:cs="Times New Roman" w:eastAsia="Times New Roman" w:hint="default"/>
                <w:sz w:val="18"/>
                <w:szCs w:val="18"/>
              </w:rPr>
            </w:pPr>
            <w:r>
              <w:rPr>
                <w:rFonts w:ascii="Times New Roman"/>
                <w:sz w:val="18"/>
              </w:rPr>
              <w:t>-33,682</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,156.74</w:t>
            </w:r>
          </w:p>
        </w:tc>
      </w:tr>
      <w:tr>
        <w:trPr>
          <w:trHeight w:val="391" w:hRule="exact"/>
        </w:trPr>
        <w:tc>
          <w:tcPr>
            <w:tcW w:w="12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161" w:hRule="exact"/>
        </w:trPr>
        <w:tc>
          <w:tcPr>
            <w:tcW w:w="1200"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161" w:hRule="exact"/>
        </w:trPr>
        <w:tc>
          <w:tcPr>
            <w:tcW w:w="1200"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vMerge w:val="restart"/>
            <w:tcBorders>
              <w:top w:val="single" w:sz="4" w:space="0" w:color="000000"/>
              <w:left w:val="single" w:sz="9" w:space="0" w:color="D2D2D2"/>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22,680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,497.3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578" w:type="dxa"/>
            <w:vMerge w:val="restart"/>
            <w:tcBorders>
              <w:top w:val="single" w:sz="4" w:space="0" w:color="000000"/>
              <w:left w:val="single" w:sz="4" w:space="0" w:color="000000"/>
              <w:right w:val="single" w:sz="4" w:space="0" w:color="000000"/>
            </w:tcBorders>
          </w:tcPr>
          <w:p>
            <w:pPr/>
          </w:p>
        </w:tc>
        <w:tc>
          <w:tcPr>
            <w:tcW w:w="588" w:type="dxa"/>
            <w:vMerge w:val="restart"/>
            <w:tcBorders>
              <w:top w:val="single" w:sz="4" w:space="0" w:color="000000"/>
              <w:left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-60,83</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7,215.</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69</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-38,15</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6,718.</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35</w:t>
            </w:r>
          </w:p>
        </w:tc>
        <w:tc>
          <w:tcPr>
            <w:tcW w:w="641" w:type="dxa"/>
            <w:vMerge w:val="restart"/>
            <w:tcBorders>
              <w:top w:val="single" w:sz="4" w:space="0" w:color="000000"/>
              <w:left w:val="single" w:sz="4" w:space="0" w:color="000000"/>
              <w:right w:val="single" w:sz="4" w:space="0" w:color="000000"/>
            </w:tcBorders>
          </w:tcPr>
          <w:p>
            <w:pP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-38,156</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,718.35</w:t>
            </w:r>
          </w:p>
        </w:tc>
      </w:tr>
      <w:tr>
        <w:trPr>
          <w:trHeight w:val="706" w:hRule="exact"/>
        </w:trPr>
        <w:tc>
          <w:tcPr>
            <w:tcW w:w="12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6"/>
              <w:jc w:val="left"/>
              <w:rPr>
                <w:rFonts w:ascii="宋体" w:hAnsi="宋体" w:cs="宋体" w:eastAsia="宋体" w:hint="default"/>
                <w:sz w:val="18"/>
                <w:szCs w:val="18"/>
              </w:rPr>
            </w:pPr>
            <w:r>
              <w:rPr>
                <w:rFonts w:ascii="宋体" w:hAnsi="宋体" w:cs="宋体" w:eastAsia="宋体" w:hint="default"/>
                <w:sz w:val="18"/>
                <w:szCs w:val="18"/>
              </w:rPr>
              <w:t>（三）利润分 配</w:t>
            </w:r>
          </w:p>
        </w:tc>
        <w:tc>
          <w:tcPr>
            <w:tcW w:w="49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161" w:hRule="exact"/>
        </w:trPr>
        <w:tc>
          <w:tcPr>
            <w:tcW w:w="1200"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161" w:hRule="exact"/>
        </w:trPr>
        <w:tc>
          <w:tcPr>
            <w:tcW w:w="1200"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vMerge w:val="restart"/>
            <w:tcBorders>
              <w:top w:val="single" w:sz="4" w:space="0" w:color="000000"/>
              <w:left w:val="single" w:sz="9" w:space="0" w:color="D2D2D2"/>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22,680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,497.3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578" w:type="dxa"/>
            <w:vMerge w:val="restart"/>
            <w:tcBorders>
              <w:top w:val="single" w:sz="4" w:space="0" w:color="000000"/>
              <w:left w:val="single" w:sz="4" w:space="0" w:color="000000"/>
              <w:right w:val="single" w:sz="4" w:space="0" w:color="000000"/>
            </w:tcBorders>
          </w:tcPr>
          <w:p>
            <w:pPr/>
          </w:p>
        </w:tc>
        <w:tc>
          <w:tcPr>
            <w:tcW w:w="588" w:type="dxa"/>
            <w:vMerge w:val="restart"/>
            <w:tcBorders>
              <w:top w:val="single" w:sz="4" w:space="0" w:color="000000"/>
              <w:left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-22,68</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0,497.</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34</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
        </w:tc>
        <w:tc>
          <w:tcPr>
            <w:tcW w:w="641" w:type="dxa"/>
            <w:vMerge w:val="restart"/>
            <w:tcBorders>
              <w:top w:val="single" w:sz="4" w:space="0" w:color="000000"/>
              <w:left w:val="single" w:sz="4" w:space="0" w:color="000000"/>
              <w:right w:val="single" w:sz="4" w:space="0" w:color="000000"/>
            </w:tcBorders>
          </w:tcPr>
          <w:p>
            <w:pPr/>
          </w:p>
        </w:tc>
        <w:tc>
          <w:tcPr>
            <w:tcW w:w="653" w:type="dxa"/>
            <w:vMerge w:val="restart"/>
            <w:tcBorders>
              <w:top w:val="single" w:sz="4" w:space="0" w:color="000000"/>
              <w:left w:val="single" w:sz="4" w:space="0" w:color="000000"/>
              <w:right w:val="single" w:sz="4" w:space="0" w:color="000000"/>
            </w:tcBorders>
          </w:tcPr>
          <w:p>
            <w:pPr/>
          </w:p>
        </w:tc>
      </w:tr>
      <w:tr>
        <w:trPr>
          <w:trHeight w:val="703" w:hRule="exact"/>
        </w:trPr>
        <w:tc>
          <w:tcPr>
            <w:tcW w:w="12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00" w:lineRule="auto" w:before="49"/>
              <w:ind w:left="1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．提取盈余公</w:t>
            </w:r>
            <w:r>
              <w:rPr>
                <w:rFonts w:ascii="宋体" w:hAnsi="宋体" w:cs="宋体" w:eastAsia="宋体" w:hint="default"/>
                <w:sz w:val="18"/>
                <w:szCs w:val="18"/>
              </w:rPr>
              <w:t> 积</w:t>
            </w:r>
          </w:p>
        </w:tc>
        <w:tc>
          <w:tcPr>
            <w:tcW w:w="49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161" w:hRule="exact"/>
        </w:trPr>
        <w:tc>
          <w:tcPr>
            <w:tcW w:w="1200"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715"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．提取一般风</w:t>
            </w:r>
            <w:r>
              <w:rPr>
                <w:rFonts w:ascii="宋体" w:hAnsi="宋体" w:cs="宋体" w:eastAsia="宋体" w:hint="default"/>
                <w:sz w:val="18"/>
                <w:szCs w:val="18"/>
              </w:rPr>
              <w:t> 险准备</w:t>
            </w:r>
          </w:p>
        </w:tc>
        <w:tc>
          <w:tcPr>
            <w:tcW w:w="49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190"/>
        <w:gridCol w:w="500"/>
        <w:gridCol w:w="449"/>
        <w:gridCol w:w="449"/>
        <w:gridCol w:w="493"/>
        <w:gridCol w:w="576"/>
        <w:gridCol w:w="576"/>
        <w:gridCol w:w="578"/>
        <w:gridCol w:w="576"/>
        <w:gridCol w:w="576"/>
        <w:gridCol w:w="578"/>
        <w:gridCol w:w="588"/>
        <w:gridCol w:w="567"/>
        <w:gridCol w:w="569"/>
        <w:gridCol w:w="641"/>
        <w:gridCol w:w="653"/>
      </w:tblGrid>
      <w:tr>
        <w:trPr>
          <w:trHeight w:val="402" w:hRule="exact"/>
        </w:trPr>
        <w:tc>
          <w:tcPr>
            <w:tcW w:w="1190" w:type="dxa"/>
            <w:vMerge w:val="restart"/>
            <w:tcBorders>
              <w:top w:val="single" w:sz="4" w:space="0" w:color="000000"/>
              <w:left w:val="single" w:sz="4" w:space="0" w:color="000000"/>
              <w:right w:val="single" w:sz="4" w:space="0" w:color="000000"/>
            </w:tcBorders>
            <w:shd w:val="clear" w:color="auto" w:fill="D2D2D2"/>
          </w:tcPr>
          <w:p>
            <w:pPr/>
          </w:p>
        </w:tc>
        <w:tc>
          <w:tcPr>
            <w:tcW w:w="8369"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w:t>
            </w:r>
          </w:p>
        </w:tc>
      </w:tr>
      <w:tr>
        <w:trPr>
          <w:trHeight w:val="251" w:hRule="exact"/>
        </w:trPr>
        <w:tc>
          <w:tcPr>
            <w:tcW w:w="1190" w:type="dxa"/>
            <w:vMerge/>
            <w:tcBorders>
              <w:left w:val="single" w:sz="4" w:space="0" w:color="000000"/>
              <w:right w:val="single" w:sz="4" w:space="0" w:color="000000"/>
            </w:tcBorders>
            <w:shd w:val="clear" w:color="auto" w:fill="D2D2D2"/>
          </w:tcPr>
          <w:p>
            <w:pPr/>
          </w:p>
        </w:tc>
        <w:tc>
          <w:tcPr>
            <w:tcW w:w="7076" w:type="dxa"/>
            <w:gridSpan w:val="1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0"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41" w:type="dxa"/>
            <w:vMerge w:val="restart"/>
            <w:tcBorders>
              <w:top w:val="single" w:sz="4" w:space="0" w:color="000000"/>
              <w:left w:val="single" w:sz="4" w:space="0" w:color="000000"/>
              <w:right w:val="single" w:sz="4" w:space="0" w:color="000000"/>
            </w:tcBorders>
            <w:shd w:val="clear" w:color="auto" w:fill="D2D2D2"/>
          </w:tcPr>
          <w:p>
            <w:pP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190" w:type="dxa"/>
            <w:vMerge/>
            <w:tcBorders>
              <w:left w:val="single" w:sz="4" w:space="0" w:color="000000"/>
              <w:bottom w:val="nil" w:sz="6" w:space="0" w:color="auto"/>
              <w:right w:val="single" w:sz="4" w:space="0" w:color="000000"/>
            </w:tcBorders>
            <w:shd w:val="clear" w:color="auto" w:fill="D2D2D2"/>
          </w:tcPr>
          <w:p>
            <w:pPr/>
          </w:p>
        </w:tc>
        <w:tc>
          <w:tcPr>
            <w:tcW w:w="7076" w:type="dxa"/>
            <w:gridSpan w:val="13"/>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2" w:right="48"/>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1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00" w:type="dxa"/>
            <w:vMerge w:val="restart"/>
            <w:tcBorders>
              <w:top w:val="single" w:sz="4" w:space="0" w:color="000000"/>
              <w:left w:val="single" w:sz="4" w:space="0" w:color="000000"/>
              <w:right w:val="single" w:sz="4" w:space="0" w:color="000000"/>
            </w:tcBorders>
            <w:shd w:val="clear" w:color="auto" w:fill="D2D2D2"/>
          </w:tcPr>
          <w:p>
            <w:pPr/>
          </w:p>
        </w:tc>
        <w:tc>
          <w:tcPr>
            <w:tcW w:w="139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10" w:right="107"/>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67" w:type="dxa"/>
            <w:vMerge w:val="restart"/>
            <w:tcBorders>
              <w:top w:val="single" w:sz="4" w:space="0" w:color="000000"/>
              <w:left w:val="single" w:sz="4" w:space="0" w:color="000000"/>
              <w:right w:val="single" w:sz="4" w:space="0" w:color="000000"/>
            </w:tcBorders>
            <w:shd w:val="clear" w:color="auto" w:fill="D2D2D2"/>
          </w:tcPr>
          <w:p>
            <w:pPr/>
          </w:p>
        </w:tc>
        <w:tc>
          <w:tcPr>
            <w:tcW w:w="569" w:type="dxa"/>
            <w:vMerge w:val="restart"/>
            <w:tcBorders>
              <w:top w:val="single" w:sz="4" w:space="0" w:color="000000"/>
              <w:left w:val="single" w:sz="4" w:space="0" w:color="000000"/>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48" w:right="41"/>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3" w:type="dxa"/>
            <w:vMerge/>
            <w:tcBorders>
              <w:left w:val="single" w:sz="4" w:space="0" w:color="000000"/>
              <w:right w:val="single" w:sz="4" w:space="0" w:color="000000"/>
            </w:tcBorders>
            <w:shd w:val="clear" w:color="auto" w:fill="D2D2D2"/>
          </w:tcPr>
          <w:p>
            <w:pPr/>
          </w:p>
        </w:tc>
      </w:tr>
      <w:tr>
        <w:trPr>
          <w:trHeight w:val="165" w:hRule="exact"/>
        </w:trPr>
        <w:tc>
          <w:tcPr>
            <w:tcW w:w="1190" w:type="dxa"/>
            <w:vMerge/>
            <w:tcBorders>
              <w:left w:val="single" w:sz="4" w:space="0" w:color="000000"/>
              <w:bottom w:val="nil" w:sz="6" w:space="0" w:color="auto"/>
              <w:right w:val="single" w:sz="4" w:space="0" w:color="000000"/>
            </w:tcBorders>
            <w:shd w:val="clear" w:color="auto" w:fill="D2D2D2"/>
          </w:tcPr>
          <w:p>
            <w:pPr/>
          </w:p>
        </w:tc>
        <w:tc>
          <w:tcPr>
            <w:tcW w:w="500" w:type="dxa"/>
            <w:vMerge/>
            <w:tcBorders>
              <w:left w:val="single" w:sz="4" w:space="0" w:color="000000"/>
              <w:bottom w:val="nil" w:sz="6" w:space="0" w:color="auto"/>
              <w:right w:val="single" w:sz="4" w:space="0" w:color="000000"/>
            </w:tcBorders>
            <w:shd w:val="clear" w:color="auto" w:fill="D2D2D2"/>
          </w:tcPr>
          <w:p>
            <w:pPr/>
          </w:p>
        </w:tc>
        <w:tc>
          <w:tcPr>
            <w:tcW w:w="1390" w:type="dxa"/>
            <w:gridSpan w:val="3"/>
            <w:vMerge/>
            <w:tcBorders>
              <w:left w:val="single" w:sz="4" w:space="0" w:color="000000"/>
              <w:bottom w:val="single" w:sz="4" w:space="0" w:color="000000"/>
              <w:right w:val="single" w:sz="4" w:space="0" w:color="000000"/>
            </w:tcBorders>
            <w:shd w:val="clear" w:color="auto" w:fill="D2D2D2"/>
          </w:tcPr>
          <w:p>
            <w:pP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9" w:hanging="80"/>
              <w:jc w:val="left"/>
              <w:rPr>
                <w:rFonts w:ascii="宋体" w:hAnsi="宋体" w:cs="宋体" w:eastAsia="宋体" w:hint="default"/>
                <w:sz w:val="18"/>
                <w:szCs w:val="18"/>
              </w:rPr>
            </w:pPr>
            <w:r>
              <w:rPr>
                <w:rFonts w:ascii="宋体" w:hAnsi="宋体" w:cs="宋体" w:eastAsia="宋体" w:hint="default"/>
                <w:spacing w:val="-7"/>
                <w:sz w:val="18"/>
                <w:szCs w:val="18"/>
              </w:rPr>
              <w:t>减：库</w:t>
            </w:r>
            <w:r>
              <w:rPr>
                <w:rFonts w:ascii="宋体" w:hAnsi="宋体" w:cs="宋体" w:eastAsia="宋体" w:hint="default"/>
                <w:sz w:val="18"/>
                <w:szCs w:val="18"/>
              </w:rPr>
              <w:t> 存股</w:t>
            </w:r>
          </w:p>
        </w:tc>
        <w:tc>
          <w:tcPr>
            <w:tcW w:w="578" w:type="dxa"/>
            <w:vMerge/>
            <w:tcBorders>
              <w:left w:val="single" w:sz="4" w:space="0" w:color="000000"/>
              <w:right w:val="single" w:sz="4" w:space="0" w:color="000000"/>
            </w:tcBorders>
            <w:shd w:val="clear" w:color="auto" w:fill="D2D2D2"/>
          </w:tcPr>
          <w:p>
            <w:pP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93" w:hRule="exact"/>
        </w:trPr>
        <w:tc>
          <w:tcPr>
            <w:tcW w:w="1190" w:type="dxa"/>
            <w:vMerge w:val="restart"/>
            <w:tcBorders>
              <w:top w:val="nil" w:sz="6" w:space="0" w:color="auto"/>
              <w:left w:val="single" w:sz="4" w:space="0" w:color="000000"/>
              <w:right w:val="single" w:sz="4" w:space="0" w:color="000000"/>
            </w:tcBorders>
            <w:shd w:val="clear" w:color="auto" w:fill="D2D2D2"/>
          </w:tcPr>
          <w:p>
            <w:pPr/>
          </w:p>
        </w:tc>
        <w:tc>
          <w:tcPr>
            <w:tcW w:w="5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7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49"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449"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493"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641"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90" w:hRule="exact"/>
        </w:trPr>
        <w:tc>
          <w:tcPr>
            <w:tcW w:w="1190" w:type="dxa"/>
            <w:vMerge/>
            <w:tcBorders>
              <w:left w:val="single" w:sz="4" w:space="0" w:color="000000"/>
              <w:right w:val="single" w:sz="4" w:space="0" w:color="000000"/>
            </w:tcBorders>
            <w:shd w:val="clear" w:color="auto" w:fill="D2D2D2"/>
          </w:tcPr>
          <w:p>
            <w:pPr/>
          </w:p>
        </w:tc>
        <w:tc>
          <w:tcPr>
            <w:tcW w:w="500" w:type="dxa"/>
            <w:vMerge/>
            <w:tcBorders>
              <w:left w:val="single" w:sz="4" w:space="0" w:color="000000"/>
              <w:bottom w:val="nil" w:sz="6" w:space="0" w:color="auto"/>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33" w:hRule="exact"/>
        </w:trPr>
        <w:tc>
          <w:tcPr>
            <w:tcW w:w="1190" w:type="dxa"/>
            <w:vMerge/>
            <w:tcBorders>
              <w:left w:val="single" w:sz="4" w:space="0" w:color="000000"/>
              <w:right w:val="single" w:sz="4" w:space="0" w:color="000000"/>
            </w:tcBorders>
            <w:shd w:val="clear" w:color="auto" w:fill="D2D2D2"/>
          </w:tcPr>
          <w:p>
            <w:pPr/>
          </w:p>
        </w:tc>
        <w:tc>
          <w:tcPr>
            <w:tcW w:w="500" w:type="dxa"/>
            <w:vMerge w:val="restart"/>
            <w:tcBorders>
              <w:top w:val="nil" w:sz="6" w:space="0" w:color="auto"/>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93"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val="restart"/>
            <w:tcBorders>
              <w:top w:val="nil" w:sz="6" w:space="0" w:color="auto"/>
              <w:left w:val="single" w:sz="4" w:space="0" w:color="000000"/>
              <w:right w:val="single" w:sz="4" w:space="0" w:color="000000"/>
            </w:tcBorders>
            <w:shd w:val="clear" w:color="auto" w:fill="D2D2D2"/>
          </w:tcPr>
          <w:p>
            <w:pPr/>
          </w:p>
        </w:tc>
        <w:tc>
          <w:tcPr>
            <w:tcW w:w="569" w:type="dxa"/>
            <w:vMerge w:val="restart"/>
            <w:tcBorders>
              <w:top w:val="nil" w:sz="6" w:space="0" w:color="auto"/>
              <w:left w:val="single" w:sz="4" w:space="0" w:color="000000"/>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r>
      <w:tr>
        <w:trPr>
          <w:trHeight w:val="218" w:hRule="exact"/>
        </w:trPr>
        <w:tc>
          <w:tcPr>
            <w:tcW w:w="1190" w:type="dxa"/>
            <w:vMerge/>
            <w:tcBorders>
              <w:left w:val="single" w:sz="4" w:space="0" w:color="000000"/>
              <w:bottom w:val="single" w:sz="4" w:space="0" w:color="000000"/>
              <w:right w:val="single" w:sz="4" w:space="0" w:color="000000"/>
            </w:tcBorders>
            <w:shd w:val="clear" w:color="auto" w:fill="D2D2D2"/>
          </w:tcPr>
          <w:p>
            <w:pPr/>
          </w:p>
        </w:tc>
        <w:tc>
          <w:tcPr>
            <w:tcW w:w="500" w:type="dxa"/>
            <w:vMerge/>
            <w:tcBorders>
              <w:left w:val="single" w:sz="4" w:space="0" w:color="000000"/>
              <w:bottom w:val="single" w:sz="4" w:space="0" w:color="000000"/>
              <w:right w:val="single" w:sz="4" w:space="0" w:color="000000"/>
            </w:tcBorders>
            <w:shd w:val="clear" w:color="auto" w:fill="D2D2D2"/>
          </w:tcPr>
          <w:p>
            <w:pPr/>
          </w:p>
        </w:tc>
        <w:tc>
          <w:tcPr>
            <w:tcW w:w="449" w:type="dxa"/>
            <w:vMerge/>
            <w:tcBorders>
              <w:left w:val="single" w:sz="4" w:space="0" w:color="000000"/>
              <w:bottom w:val="single" w:sz="4" w:space="0" w:color="000000"/>
              <w:right w:val="single" w:sz="4" w:space="0" w:color="000000"/>
            </w:tcBorders>
            <w:shd w:val="clear" w:color="auto" w:fill="D2D2D2"/>
          </w:tcPr>
          <w:p>
            <w:pPr/>
          </w:p>
        </w:tc>
        <w:tc>
          <w:tcPr>
            <w:tcW w:w="449" w:type="dxa"/>
            <w:vMerge/>
            <w:tcBorders>
              <w:left w:val="single" w:sz="4" w:space="0" w:color="000000"/>
              <w:bottom w:val="single" w:sz="4" w:space="0" w:color="000000"/>
              <w:right w:val="single" w:sz="4" w:space="0" w:color="000000"/>
            </w:tcBorders>
            <w:shd w:val="clear" w:color="auto" w:fill="D2D2D2"/>
          </w:tcPr>
          <w:p>
            <w:pPr/>
          </w:p>
        </w:tc>
        <w:tc>
          <w:tcPr>
            <w:tcW w:w="493"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588" w:type="dxa"/>
            <w:vMerge/>
            <w:tcBorders>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569" w:type="dxa"/>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025"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6" w:lineRule="auto" w:before="63"/>
              <w:ind w:left="12" w:right="87"/>
              <w:jc w:val="left"/>
              <w:rPr>
                <w:rFonts w:ascii="宋体" w:hAnsi="宋体" w:cs="宋体" w:eastAsia="宋体" w:hint="default"/>
                <w:sz w:val="18"/>
                <w:szCs w:val="18"/>
              </w:rPr>
            </w:pPr>
            <w:r>
              <w:rPr>
                <w:rFonts w:ascii="宋体" w:hAnsi="宋体" w:cs="宋体" w:eastAsia="宋体" w:hint="default"/>
                <w:sz w:val="18"/>
                <w:szCs w:val="18"/>
              </w:rPr>
              <w:t>（或股东）的 分配</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22" w:space="0" w:color="D2D2D2"/>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22" w:space="0" w:color="D2D2D2"/>
              <w:left w:val="single" w:sz="4" w:space="0" w:color="000000"/>
              <w:bottom w:val="single" w:sz="4" w:space="0" w:color="000000"/>
              <w:right w:val="single" w:sz="4" w:space="0" w:color="000000"/>
            </w:tcBorders>
          </w:tcPr>
          <w:p>
            <w:pPr/>
          </w:p>
        </w:tc>
        <w:tc>
          <w:tcPr>
            <w:tcW w:w="588" w:type="dxa"/>
            <w:tcBorders>
              <w:top w:val="single" w:sz="22" w:space="0" w:color="D2D2D2"/>
              <w:left w:val="single" w:sz="4" w:space="0" w:color="000000"/>
              <w:bottom w:val="single" w:sz="4" w:space="0" w:color="000000"/>
              <w:right w:val="single" w:sz="4" w:space="0" w:color="000000"/>
            </w:tcBorders>
          </w:tcPr>
          <w:p>
            <w:pPr>
              <w:pStyle w:val="TableParagraph"/>
              <w:spacing w:line="240" w:lineRule="auto" w:before="68"/>
              <w:ind w:left="91" w:right="0"/>
              <w:jc w:val="left"/>
              <w:rPr>
                <w:rFonts w:ascii="Times New Roman" w:hAnsi="Times New Roman" w:cs="Times New Roman" w:eastAsia="Times New Roman" w:hint="default"/>
                <w:sz w:val="18"/>
                <w:szCs w:val="18"/>
              </w:rPr>
            </w:pPr>
            <w:r>
              <w:rPr>
                <w:rFonts w:ascii="Times New Roman"/>
                <w:sz w:val="18"/>
              </w:rPr>
              <w:t>-39,18</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1,140.</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39</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-39,18</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1,140.</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39</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-39,181</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,140.39</w:t>
            </w:r>
          </w:p>
        </w:tc>
      </w:tr>
      <w:tr>
        <w:trPr>
          <w:trHeight w:val="163" w:hRule="exact"/>
        </w:trPr>
        <w:tc>
          <w:tcPr>
            <w:tcW w:w="1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500" w:type="dxa"/>
            <w:vMerge w:val="restart"/>
            <w:tcBorders>
              <w:top w:val="single" w:sz="4" w:space="0" w:color="000000"/>
              <w:left w:val="single" w:sz="9" w:space="0" w:color="D2D2D2"/>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588" w:type="dxa"/>
            <w:vMerge w:val="restart"/>
            <w:tcBorders>
              <w:top w:val="single" w:sz="4" w:space="0" w:color="000000"/>
              <w:left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1,024,</w:t>
            </w:r>
          </w:p>
          <w:p>
            <w:pPr>
              <w:pStyle w:val="TableParagraph"/>
              <w:spacing w:line="240" w:lineRule="auto" w:before="102"/>
              <w:ind w:left="62" w:right="0"/>
              <w:jc w:val="left"/>
              <w:rPr>
                <w:rFonts w:ascii="Times New Roman" w:hAnsi="Times New Roman" w:cs="Times New Roman" w:eastAsia="Times New Roman" w:hint="default"/>
                <w:sz w:val="18"/>
                <w:szCs w:val="18"/>
              </w:rPr>
            </w:pPr>
            <w:r>
              <w:rPr>
                <w:rFonts w:ascii="Times New Roman"/>
                <w:sz w:val="18"/>
              </w:rPr>
              <w:t>422.04</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93"/>
              <w:ind w:left="84" w:right="0"/>
              <w:jc w:val="left"/>
              <w:rPr>
                <w:rFonts w:ascii="Times New Roman" w:hAnsi="Times New Roman" w:cs="Times New Roman" w:eastAsia="Times New Roman" w:hint="default"/>
                <w:sz w:val="18"/>
                <w:szCs w:val="18"/>
              </w:rPr>
            </w:pPr>
            <w:r>
              <w:rPr>
                <w:rFonts w:ascii="Times New Roman"/>
                <w:sz w:val="18"/>
              </w:rPr>
              <w:t>1,024,</w:t>
            </w:r>
          </w:p>
          <w:p>
            <w:pPr>
              <w:pStyle w:val="TableParagraph"/>
              <w:spacing w:line="240" w:lineRule="auto" w:before="102"/>
              <w:ind w:left="40" w:right="0"/>
              <w:jc w:val="left"/>
              <w:rPr>
                <w:rFonts w:ascii="Times New Roman" w:hAnsi="Times New Roman" w:cs="Times New Roman" w:eastAsia="Times New Roman" w:hint="default"/>
                <w:sz w:val="18"/>
                <w:szCs w:val="18"/>
              </w:rPr>
            </w:pPr>
            <w:r>
              <w:rPr>
                <w:rFonts w:ascii="Times New Roman"/>
                <w:sz w:val="18"/>
              </w:rPr>
              <w:t>422.04</w:t>
            </w:r>
          </w:p>
        </w:tc>
        <w:tc>
          <w:tcPr>
            <w:tcW w:w="641" w:type="dxa"/>
            <w:vMerge w:val="restart"/>
            <w:tcBorders>
              <w:top w:val="single" w:sz="4" w:space="0" w:color="000000"/>
              <w:left w:val="single" w:sz="4" w:space="0" w:color="000000"/>
              <w:right w:val="single" w:sz="4" w:space="0" w:color="000000"/>
            </w:tcBorders>
          </w:tcPr>
          <w:p>
            <w:pP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93"/>
              <w:ind w:left="60" w:right="0"/>
              <w:jc w:val="center"/>
              <w:rPr>
                <w:rFonts w:ascii="Times New Roman" w:hAnsi="Times New Roman" w:cs="Times New Roman" w:eastAsia="Times New Roman" w:hint="default"/>
                <w:sz w:val="18"/>
                <w:szCs w:val="18"/>
              </w:rPr>
            </w:pPr>
            <w:r>
              <w:rPr>
                <w:rFonts w:ascii="Times New Roman"/>
                <w:sz w:val="18"/>
              </w:rPr>
              <w:t>1,024,4</w:t>
            </w:r>
          </w:p>
          <w:p>
            <w:pPr>
              <w:pStyle w:val="TableParagraph"/>
              <w:spacing w:line="240" w:lineRule="auto" w:before="102"/>
              <w:ind w:left="195" w:right="0"/>
              <w:jc w:val="center"/>
              <w:rPr>
                <w:rFonts w:ascii="Times New Roman" w:hAnsi="Times New Roman" w:cs="Times New Roman" w:eastAsia="Times New Roman" w:hint="default"/>
                <w:sz w:val="18"/>
                <w:szCs w:val="18"/>
              </w:rPr>
            </w:pPr>
            <w:r>
              <w:rPr>
                <w:rFonts w:ascii="Times New Roman"/>
                <w:sz w:val="18"/>
              </w:rPr>
              <w:t>22.04</w:t>
            </w:r>
          </w:p>
        </w:tc>
      </w:tr>
      <w:tr>
        <w:trPr>
          <w:trHeight w:val="391" w:hRule="exact"/>
        </w:trPr>
        <w:tc>
          <w:tcPr>
            <w:tcW w:w="1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0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161" w:hRule="exact"/>
        </w:trPr>
        <w:tc>
          <w:tcPr>
            <w:tcW w:w="1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50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713"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87"/>
              <w:jc w:val="left"/>
              <w:rPr>
                <w:rFonts w:ascii="宋体" w:hAnsi="宋体" w:cs="宋体" w:eastAsia="宋体" w:hint="default"/>
                <w:sz w:val="18"/>
                <w:szCs w:val="18"/>
              </w:rPr>
            </w:pPr>
            <w:r>
              <w:rPr>
                <w:rFonts w:ascii="宋体" w:hAnsi="宋体" w:cs="宋体" w:eastAsia="宋体" w:hint="default"/>
                <w:sz w:val="18"/>
                <w:szCs w:val="18"/>
              </w:rPr>
              <w:t>（四）所有者 权益内部结转</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．资本公积转</w:t>
            </w:r>
            <w:r>
              <w:rPr>
                <w:rFonts w:ascii="宋体" w:hAnsi="宋体" w:cs="宋体" w:eastAsia="宋体" w:hint="default"/>
                <w:sz w:val="18"/>
                <w:szCs w:val="18"/>
              </w:rPr>
              <w:t> 增资本（或股 本）</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．盈余公积转</w:t>
            </w:r>
            <w:r>
              <w:rPr>
                <w:rFonts w:ascii="宋体" w:hAnsi="宋体" w:cs="宋体" w:eastAsia="宋体" w:hint="default"/>
                <w:sz w:val="18"/>
                <w:szCs w:val="18"/>
              </w:rPr>
              <w:t> 增资本（或股 本）</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．盈余公积弥</w:t>
            </w:r>
            <w:r>
              <w:rPr>
                <w:rFonts w:ascii="宋体" w:hAnsi="宋体" w:cs="宋体" w:eastAsia="宋体" w:hint="default"/>
                <w:sz w:val="18"/>
                <w:szCs w:val="18"/>
              </w:rPr>
              <w:t> 补亏损</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．设定受益计</w:t>
            </w:r>
            <w:r>
              <w:rPr>
                <w:rFonts w:ascii="宋体" w:hAnsi="宋体" w:cs="宋体" w:eastAsia="宋体" w:hint="default"/>
                <w:sz w:val="18"/>
                <w:szCs w:val="18"/>
              </w:rPr>
              <w:t> 划变动额结转 留存收益</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．其他综合收</w:t>
            </w:r>
            <w:r>
              <w:rPr>
                <w:rFonts w:ascii="宋体" w:hAnsi="宋体" w:cs="宋体" w:eastAsia="宋体" w:hint="default"/>
                <w:sz w:val="18"/>
                <w:szCs w:val="18"/>
              </w:rPr>
              <w:t> 益结转留存收 益</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87"/>
              <w:jc w:val="left"/>
              <w:rPr>
                <w:rFonts w:ascii="宋体" w:hAnsi="宋体" w:cs="宋体" w:eastAsia="宋体" w:hint="default"/>
                <w:sz w:val="18"/>
                <w:szCs w:val="18"/>
              </w:rPr>
            </w:pPr>
            <w:r>
              <w:rPr>
                <w:rFonts w:ascii="宋体" w:hAnsi="宋体" w:cs="宋体" w:eastAsia="宋体" w:hint="default"/>
                <w:sz w:val="18"/>
                <w:szCs w:val="18"/>
              </w:rPr>
              <w:t>（五）专项储 备</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1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500" w:type="dxa"/>
            <w:vMerge w:val="restart"/>
            <w:tcBorders>
              <w:top w:val="single" w:sz="4" w:space="0" w:color="000000"/>
              <w:left w:val="single" w:sz="9" w:space="0" w:color="D2D2D2"/>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1,099</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,449,</w:t>
            </w:r>
          </w:p>
          <w:p>
            <w:pPr>
              <w:pStyle w:val="TableParagraph"/>
              <w:spacing w:line="240" w:lineRule="auto" w:before="105"/>
              <w:ind w:left="57" w:right="0"/>
              <w:jc w:val="left"/>
              <w:rPr>
                <w:rFonts w:ascii="Times New Roman" w:hAnsi="Times New Roman" w:cs="Times New Roman" w:eastAsia="Times New Roman" w:hint="default"/>
                <w:sz w:val="18"/>
                <w:szCs w:val="18"/>
              </w:rPr>
            </w:pPr>
            <w:r>
              <w:rPr>
                <w:rFonts w:ascii="Times New Roman"/>
                <w:sz w:val="18"/>
              </w:rPr>
              <w:t>688.0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1,098,</w:t>
            </w:r>
          </w:p>
          <w:p>
            <w:pPr>
              <w:pStyle w:val="TableParagraph"/>
              <w:spacing w:line="240" w:lineRule="auto" w:before="102"/>
              <w:ind w:left="29" w:right="0"/>
              <w:jc w:val="center"/>
              <w:rPr>
                <w:rFonts w:ascii="Times New Roman" w:hAnsi="Times New Roman" w:cs="Times New Roman" w:eastAsia="Times New Roman" w:hint="default"/>
                <w:sz w:val="18"/>
                <w:szCs w:val="18"/>
              </w:rPr>
            </w:pPr>
            <w:r>
              <w:rPr>
                <w:rFonts w:ascii="Times New Roman"/>
                <w:sz w:val="18"/>
              </w:rPr>
              <w:t>069,41</w:t>
            </w:r>
          </w:p>
          <w:p>
            <w:pPr>
              <w:pStyle w:val="TableParagraph"/>
              <w:spacing w:line="240" w:lineRule="auto" w:before="105"/>
              <w:ind w:left="209" w:right="0"/>
              <w:jc w:val="center"/>
              <w:rPr>
                <w:rFonts w:ascii="Times New Roman" w:hAnsi="Times New Roman" w:cs="Times New Roman" w:eastAsia="Times New Roman" w:hint="default"/>
                <w:sz w:val="18"/>
                <w:szCs w:val="18"/>
              </w:rPr>
            </w:pPr>
            <w:r>
              <w:rPr>
                <w:rFonts w:ascii="Times New Roman"/>
                <w:sz w:val="18"/>
              </w:rPr>
              <w:t>2.27</w:t>
            </w:r>
          </w:p>
        </w:tc>
        <w:tc>
          <w:tcPr>
            <w:tcW w:w="57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6" w:right="0"/>
              <w:jc w:val="center"/>
              <w:rPr>
                <w:rFonts w:ascii="Times New Roman" w:hAnsi="Times New Roman" w:cs="Times New Roman" w:eastAsia="Times New Roman" w:hint="default"/>
                <w:sz w:val="18"/>
                <w:szCs w:val="18"/>
              </w:rPr>
            </w:pPr>
            <w:r>
              <w:rPr>
                <w:rFonts w:ascii="Times New Roman"/>
                <w:sz w:val="18"/>
              </w:rPr>
              <w:t>979,66</w:t>
            </w:r>
          </w:p>
          <w:p>
            <w:pPr>
              <w:pStyle w:val="TableParagraph"/>
              <w:spacing w:line="240" w:lineRule="auto" w:before="102"/>
              <w:ind w:left="207" w:right="0"/>
              <w:jc w:val="center"/>
              <w:rPr>
                <w:rFonts w:ascii="Times New Roman" w:hAnsi="Times New Roman" w:cs="Times New Roman" w:eastAsia="Times New Roman" w:hint="default"/>
                <w:sz w:val="18"/>
                <w:szCs w:val="18"/>
              </w:rPr>
            </w:pPr>
            <w:r>
              <w:rPr>
                <w:rFonts w:ascii="Times New Roman"/>
                <w:sz w:val="18"/>
              </w:rPr>
              <w:t>3.68</w:t>
            </w: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145,83</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4,602.</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82</w:t>
            </w:r>
          </w:p>
        </w:tc>
        <w:tc>
          <w:tcPr>
            <w:tcW w:w="578" w:type="dxa"/>
            <w:vMerge w:val="restart"/>
            <w:tcBorders>
              <w:top w:val="single" w:sz="4" w:space="0" w:color="000000"/>
              <w:left w:val="single" w:sz="4" w:space="0" w:color="000000"/>
              <w:right w:val="single" w:sz="4" w:space="0" w:color="000000"/>
            </w:tcBorders>
          </w:tcPr>
          <w:p>
            <w:pPr/>
          </w:p>
        </w:tc>
        <w:tc>
          <w:tcPr>
            <w:tcW w:w="588"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1,288,</w:t>
            </w:r>
          </w:p>
          <w:p>
            <w:pPr>
              <w:pStyle w:val="TableParagraph"/>
              <w:spacing w:line="240" w:lineRule="auto" w:before="102"/>
              <w:ind w:left="41" w:right="0"/>
              <w:jc w:val="center"/>
              <w:rPr>
                <w:rFonts w:ascii="Times New Roman" w:hAnsi="Times New Roman" w:cs="Times New Roman" w:eastAsia="Times New Roman" w:hint="default"/>
                <w:sz w:val="18"/>
                <w:szCs w:val="18"/>
              </w:rPr>
            </w:pPr>
            <w:r>
              <w:rPr>
                <w:rFonts w:ascii="Times New Roman"/>
                <w:sz w:val="18"/>
              </w:rPr>
              <w:t>393,57</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4.83</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3,632,</w:t>
            </w:r>
          </w:p>
          <w:p>
            <w:pPr>
              <w:pStyle w:val="TableParagraph"/>
              <w:spacing w:line="240" w:lineRule="auto" w:before="102"/>
              <w:ind w:left="17" w:right="0"/>
              <w:jc w:val="center"/>
              <w:rPr>
                <w:rFonts w:ascii="Times New Roman" w:hAnsi="Times New Roman" w:cs="Times New Roman" w:eastAsia="Times New Roman" w:hint="default"/>
                <w:sz w:val="18"/>
                <w:szCs w:val="18"/>
              </w:rPr>
            </w:pPr>
            <w:r>
              <w:rPr>
                <w:rFonts w:ascii="Times New Roman"/>
                <w:sz w:val="18"/>
              </w:rPr>
              <w:t>726,94</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1.60</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22,164,</w:t>
            </w:r>
          </w:p>
          <w:p>
            <w:pPr>
              <w:pStyle w:val="TableParagraph"/>
              <w:spacing w:line="240" w:lineRule="auto" w:before="102"/>
              <w:ind w:left="117" w:right="0"/>
              <w:jc w:val="left"/>
              <w:rPr>
                <w:rFonts w:ascii="Times New Roman" w:hAnsi="Times New Roman" w:cs="Times New Roman" w:eastAsia="Times New Roman" w:hint="default"/>
                <w:sz w:val="18"/>
                <w:szCs w:val="18"/>
              </w:rPr>
            </w:pPr>
            <w:r>
              <w:rPr>
                <w:rFonts w:ascii="Times New Roman"/>
                <w:sz w:val="18"/>
              </w:rPr>
              <w:t>707.93</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3,654,8</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91,649.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53</w:t>
            </w:r>
          </w:p>
        </w:tc>
      </w:tr>
      <w:tr>
        <w:trPr>
          <w:trHeight w:val="703" w:hRule="exact"/>
        </w:trPr>
        <w:tc>
          <w:tcPr>
            <w:tcW w:w="1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87"/>
              <w:jc w:val="left"/>
              <w:rPr>
                <w:rFonts w:ascii="宋体" w:hAnsi="宋体" w:cs="宋体" w:eastAsia="宋体" w:hint="default"/>
                <w:sz w:val="18"/>
                <w:szCs w:val="18"/>
              </w:rPr>
            </w:pPr>
            <w:r>
              <w:rPr>
                <w:rFonts w:ascii="宋体" w:hAnsi="宋体" w:cs="宋体" w:eastAsia="宋体" w:hint="default"/>
                <w:sz w:val="18"/>
                <w:szCs w:val="18"/>
              </w:rPr>
              <w:t>四、本期期末 余额</w:t>
            </w:r>
          </w:p>
        </w:tc>
        <w:tc>
          <w:tcPr>
            <w:tcW w:w="50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317" w:hRule="exact"/>
        </w:trPr>
        <w:tc>
          <w:tcPr>
            <w:tcW w:w="1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50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2"/>
          <w:szCs w:val="22"/>
        </w:rPr>
      </w:pPr>
    </w:p>
    <w:p>
      <w:pPr>
        <w:pStyle w:val="BodyText"/>
        <w:tabs>
          <w:tab w:pos="3578" w:val="left" w:leader="none"/>
          <w:tab w:pos="7721" w:val="left" w:leader="none"/>
        </w:tabs>
        <w:spacing w:line="240" w:lineRule="auto" w:before="44"/>
        <w:ind w:right="0"/>
        <w:jc w:val="left"/>
      </w:pPr>
      <w:r>
        <w:rPr/>
        <w:t>法定代表人：胡宏伟</w:t>
        <w:tab/>
      </w:r>
      <w:r>
        <w:rPr>
          <w:spacing w:val="-1"/>
        </w:rPr>
        <w:t>主管会计工作负责人：陈丽娜</w:t>
        <w:tab/>
      </w:r>
      <w:r>
        <w:rPr/>
        <w:t>会计机构负责人：郭伟民</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8、母公司所有者权益变动表" w:id="172"/>
      <w:bookmarkEnd w:id="172"/>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t>本期金额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294"/>
        <w:gridCol w:w="629"/>
        <w:gridCol w:w="605"/>
        <w:gridCol w:w="603"/>
        <w:gridCol w:w="605"/>
        <w:gridCol w:w="727"/>
        <w:gridCol w:w="728"/>
        <w:gridCol w:w="725"/>
        <w:gridCol w:w="727"/>
        <w:gridCol w:w="727"/>
        <w:gridCol w:w="615"/>
        <w:gridCol w:w="710"/>
        <w:gridCol w:w="862"/>
      </w:tblGrid>
      <w:tr>
        <w:trPr>
          <w:trHeight w:val="401" w:hRule="exact"/>
        </w:trPr>
        <w:tc>
          <w:tcPr>
            <w:tcW w:w="1294" w:type="dxa"/>
            <w:tcBorders>
              <w:top w:val="single" w:sz="4" w:space="0" w:color="000000"/>
              <w:left w:val="single" w:sz="4" w:space="0" w:color="000000"/>
              <w:bottom w:val="nil" w:sz="6" w:space="0" w:color="auto"/>
              <w:right w:val="single" w:sz="4" w:space="0" w:color="000000"/>
            </w:tcBorders>
            <w:shd w:val="clear" w:color="auto" w:fill="D2D2D2"/>
          </w:tcPr>
          <w:p>
            <w:pPr/>
          </w:p>
        </w:tc>
        <w:tc>
          <w:tcPr>
            <w:tcW w:w="826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206" w:hRule="exact"/>
        </w:trPr>
        <w:tc>
          <w:tcPr>
            <w:tcW w:w="12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629" w:type="dxa"/>
            <w:tcBorders>
              <w:top w:val="single" w:sz="4" w:space="0" w:color="000000"/>
              <w:left w:val="single" w:sz="4" w:space="0" w:color="000000"/>
              <w:bottom w:val="nil" w:sz="6" w:space="0" w:color="auto"/>
              <w:right w:val="single" w:sz="4" w:space="0" w:color="000000"/>
            </w:tcBorders>
            <w:shd w:val="clear" w:color="auto" w:fill="D2D2D2"/>
          </w:tcPr>
          <w:p>
            <w:pPr/>
          </w:p>
        </w:tc>
        <w:tc>
          <w:tcPr>
            <w:tcW w:w="18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72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20" w:hanging="245"/>
              <w:jc w:val="left"/>
              <w:rPr>
                <w:rFonts w:ascii="宋体" w:hAnsi="宋体" w:cs="宋体" w:eastAsia="宋体" w:hint="default"/>
                <w:sz w:val="18"/>
                <w:szCs w:val="18"/>
              </w:rPr>
            </w:pPr>
            <w:r>
              <w:rPr>
                <w:rFonts w:ascii="宋体" w:hAnsi="宋体" w:cs="宋体" w:eastAsia="宋体" w:hint="default"/>
                <w:spacing w:val="-13"/>
                <w:sz w:val="18"/>
                <w:szCs w:val="18"/>
              </w:rPr>
              <w:t>减：库存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w:t>
            </w:r>
          </w:p>
        </w:tc>
        <w:tc>
          <w:tcPr>
            <w:tcW w:w="72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88" w:right="84"/>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1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22" w:right="29" w:hanging="89"/>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10" w:type="dxa"/>
            <w:tcBorders>
              <w:top w:val="single" w:sz="4" w:space="0" w:color="000000"/>
              <w:left w:val="single" w:sz="4" w:space="0" w:color="000000"/>
              <w:bottom w:val="nil" w:sz="6" w:space="0" w:color="auto"/>
              <w:right w:val="single" w:sz="4" w:space="0" w:color="000000"/>
            </w:tcBorders>
            <w:shd w:val="clear" w:color="auto" w:fill="D2D2D2"/>
          </w:tcPr>
          <w:p>
            <w:pPr/>
          </w:p>
        </w:tc>
        <w:tc>
          <w:tcPr>
            <w:tcW w:w="8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55" w:right="62"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2" w:hRule="exact"/>
        </w:trPr>
        <w:tc>
          <w:tcPr>
            <w:tcW w:w="1294" w:type="dxa"/>
            <w:vMerge/>
            <w:tcBorders>
              <w:left w:val="single" w:sz="4" w:space="0" w:color="000000"/>
              <w:bottom w:val="nil" w:sz="6" w:space="0" w:color="auto"/>
              <w:right w:val="single" w:sz="4" w:space="0" w:color="000000"/>
            </w:tcBorders>
            <w:shd w:val="clear" w:color="auto" w:fill="D2D2D2"/>
          </w:tcPr>
          <w:p>
            <w:pPr/>
          </w:p>
        </w:tc>
        <w:tc>
          <w:tcPr>
            <w:tcW w:w="62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2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13" w:type="dxa"/>
            <w:gridSpan w:val="3"/>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8" w:type="dxa"/>
            <w:vMerge/>
            <w:tcBorders>
              <w:left w:val="single" w:sz="4" w:space="0" w:color="000000"/>
              <w:right w:val="single" w:sz="4" w:space="0" w:color="000000"/>
            </w:tcBorders>
            <w:shd w:val="clear" w:color="auto" w:fill="D2D2D2"/>
          </w:tcPr>
          <w:p>
            <w:pPr/>
          </w:p>
        </w:tc>
        <w:tc>
          <w:tcPr>
            <w:tcW w:w="725"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615" w:type="dxa"/>
            <w:vMerge/>
            <w:tcBorders>
              <w:left w:val="single" w:sz="4" w:space="0" w:color="000000"/>
              <w:right w:val="single" w:sz="4" w:space="0" w:color="000000"/>
            </w:tcBorders>
            <w:shd w:val="clear" w:color="auto" w:fill="D2D2D2"/>
          </w:tcPr>
          <w:p>
            <w:pPr/>
          </w:p>
        </w:tc>
        <w:tc>
          <w:tcPr>
            <w:tcW w:w="7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2" w:type="dxa"/>
            <w:vMerge/>
            <w:tcBorders>
              <w:left w:val="single" w:sz="4" w:space="0" w:color="000000"/>
              <w:right w:val="single" w:sz="4" w:space="0" w:color="000000"/>
            </w:tcBorders>
            <w:shd w:val="clear" w:color="auto" w:fill="D2D2D2"/>
          </w:tcPr>
          <w:p>
            <w:pPr/>
          </w:p>
        </w:tc>
      </w:tr>
      <w:tr>
        <w:trPr>
          <w:trHeight w:val="202" w:hRule="exact"/>
        </w:trPr>
        <w:tc>
          <w:tcPr>
            <w:tcW w:w="1294" w:type="dxa"/>
            <w:vMerge w:val="restart"/>
            <w:tcBorders>
              <w:top w:val="nil" w:sz="6" w:space="0" w:color="auto"/>
              <w:left w:val="single" w:sz="4" w:space="0" w:color="000000"/>
              <w:right w:val="single" w:sz="4" w:space="0" w:color="000000"/>
            </w:tcBorders>
            <w:shd w:val="clear" w:color="auto" w:fill="D2D2D2"/>
          </w:tcPr>
          <w:p>
            <w:pPr/>
          </w:p>
        </w:tc>
        <w:tc>
          <w:tcPr>
            <w:tcW w:w="629" w:type="dxa"/>
            <w:vMerge/>
            <w:tcBorders>
              <w:left w:val="single" w:sz="4" w:space="0" w:color="000000"/>
              <w:bottom w:val="nil" w:sz="6" w:space="0" w:color="auto"/>
              <w:right w:val="single" w:sz="4" w:space="0" w:color="000000"/>
            </w:tcBorders>
            <w:shd w:val="clear" w:color="auto" w:fill="D2D2D2"/>
          </w:tcPr>
          <w:p>
            <w:pPr/>
          </w:p>
        </w:tc>
        <w:tc>
          <w:tcPr>
            <w:tcW w:w="6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1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7" w:type="dxa"/>
            <w:vMerge/>
            <w:tcBorders>
              <w:left w:val="single" w:sz="4" w:space="0" w:color="000000"/>
              <w:right w:val="single" w:sz="4" w:space="0" w:color="000000"/>
            </w:tcBorders>
            <w:shd w:val="clear" w:color="auto" w:fill="D2D2D2"/>
          </w:tcPr>
          <w:p>
            <w:pPr/>
          </w:p>
        </w:tc>
        <w:tc>
          <w:tcPr>
            <w:tcW w:w="728" w:type="dxa"/>
            <w:vMerge/>
            <w:tcBorders>
              <w:left w:val="single" w:sz="4" w:space="0" w:color="000000"/>
              <w:right w:val="single" w:sz="4" w:space="0" w:color="000000"/>
            </w:tcBorders>
            <w:shd w:val="clear" w:color="auto" w:fill="D2D2D2"/>
          </w:tcPr>
          <w:p>
            <w:pPr/>
          </w:p>
        </w:tc>
        <w:tc>
          <w:tcPr>
            <w:tcW w:w="725"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615" w:type="dxa"/>
            <w:vMerge/>
            <w:tcBorders>
              <w:left w:val="single" w:sz="4" w:space="0" w:color="000000"/>
              <w:right w:val="single" w:sz="4" w:space="0" w:color="000000"/>
            </w:tcBorders>
            <w:shd w:val="clear" w:color="auto" w:fill="D2D2D2"/>
          </w:tcPr>
          <w:p>
            <w:pPr/>
          </w:p>
        </w:tc>
        <w:tc>
          <w:tcPr>
            <w:tcW w:w="710" w:type="dxa"/>
            <w:vMerge/>
            <w:tcBorders>
              <w:left w:val="single" w:sz="4" w:space="0" w:color="000000"/>
              <w:bottom w:val="nil" w:sz="6" w:space="0" w:color="auto"/>
              <w:right w:val="single" w:sz="4" w:space="0" w:color="000000"/>
            </w:tcBorders>
            <w:shd w:val="clear" w:color="auto" w:fill="D2D2D2"/>
          </w:tcPr>
          <w:p>
            <w:pPr/>
          </w:p>
        </w:tc>
        <w:tc>
          <w:tcPr>
            <w:tcW w:w="862" w:type="dxa"/>
            <w:vMerge/>
            <w:tcBorders>
              <w:left w:val="single" w:sz="4" w:space="0" w:color="000000"/>
              <w:right w:val="single" w:sz="4" w:space="0" w:color="000000"/>
            </w:tcBorders>
            <w:shd w:val="clear" w:color="auto" w:fill="D2D2D2"/>
          </w:tcPr>
          <w:p>
            <w:pPr/>
          </w:p>
        </w:tc>
      </w:tr>
      <w:tr>
        <w:trPr>
          <w:trHeight w:val="182" w:hRule="exact"/>
        </w:trPr>
        <w:tc>
          <w:tcPr>
            <w:tcW w:w="1294" w:type="dxa"/>
            <w:vMerge/>
            <w:tcBorders>
              <w:left w:val="single" w:sz="4" w:space="0" w:color="000000"/>
              <w:bottom w:val="single" w:sz="4" w:space="0" w:color="000000"/>
              <w:right w:val="single" w:sz="4" w:space="0" w:color="000000"/>
            </w:tcBorders>
            <w:shd w:val="clear" w:color="auto" w:fill="D2D2D2"/>
          </w:tcPr>
          <w:p>
            <w:pPr/>
          </w:p>
        </w:tc>
        <w:tc>
          <w:tcPr>
            <w:tcW w:w="629" w:type="dxa"/>
            <w:tcBorders>
              <w:top w:val="nil" w:sz="6" w:space="0" w:color="auto"/>
              <w:left w:val="single" w:sz="4" w:space="0" w:color="000000"/>
              <w:bottom w:val="single" w:sz="4" w:space="0" w:color="000000"/>
              <w:right w:val="single" w:sz="4" w:space="0" w:color="000000"/>
            </w:tcBorders>
            <w:shd w:val="clear" w:color="auto" w:fill="D2D2D2"/>
          </w:tcPr>
          <w:p>
            <w:pPr/>
          </w:p>
        </w:tc>
        <w:tc>
          <w:tcPr>
            <w:tcW w:w="605" w:type="dxa"/>
            <w:vMerge/>
            <w:tcBorders>
              <w:left w:val="single" w:sz="4" w:space="0" w:color="000000"/>
              <w:bottom w:val="single" w:sz="4" w:space="0" w:color="000000"/>
              <w:right w:val="single" w:sz="4" w:space="0" w:color="000000"/>
            </w:tcBorders>
            <w:shd w:val="clear" w:color="auto" w:fill="D2D2D2"/>
          </w:tcPr>
          <w:p>
            <w:pPr/>
          </w:p>
        </w:tc>
        <w:tc>
          <w:tcPr>
            <w:tcW w:w="603" w:type="dxa"/>
            <w:vMerge/>
            <w:tcBorders>
              <w:left w:val="single" w:sz="4" w:space="0" w:color="000000"/>
              <w:bottom w:val="single" w:sz="4" w:space="0" w:color="000000"/>
              <w:right w:val="single" w:sz="4" w:space="0" w:color="000000"/>
            </w:tcBorders>
            <w:shd w:val="clear" w:color="auto" w:fill="D2D2D2"/>
          </w:tcPr>
          <w:p>
            <w:pPr/>
          </w:p>
        </w:tc>
        <w:tc>
          <w:tcPr>
            <w:tcW w:w="605"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8" w:type="dxa"/>
            <w:vMerge/>
            <w:tcBorders>
              <w:left w:val="single" w:sz="4" w:space="0" w:color="000000"/>
              <w:bottom w:val="single" w:sz="4" w:space="0" w:color="000000"/>
              <w:right w:val="single" w:sz="4" w:space="0" w:color="000000"/>
            </w:tcBorders>
            <w:shd w:val="clear" w:color="auto" w:fill="D2D2D2"/>
          </w:tcPr>
          <w:p>
            <w:pPr/>
          </w:p>
        </w:tc>
        <w:tc>
          <w:tcPr>
            <w:tcW w:w="725"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615" w:type="dxa"/>
            <w:vMerge/>
            <w:tcBorders>
              <w:left w:val="single" w:sz="4" w:space="0" w:color="000000"/>
              <w:bottom w:val="single" w:sz="4" w:space="0" w:color="000000"/>
              <w:right w:val="single" w:sz="4" w:space="0" w:color="000000"/>
            </w:tcBorders>
            <w:shd w:val="clear" w:color="auto" w:fill="D2D2D2"/>
          </w:tcPr>
          <w:p>
            <w:pPr/>
          </w:p>
        </w:tc>
        <w:tc>
          <w:tcPr>
            <w:tcW w:w="710" w:type="dxa"/>
            <w:tcBorders>
              <w:top w:val="nil" w:sz="6" w:space="0" w:color="auto"/>
              <w:left w:val="single" w:sz="4" w:space="0" w:color="000000"/>
              <w:bottom w:val="single" w:sz="4" w:space="0" w:color="000000"/>
              <w:right w:val="single" w:sz="4" w:space="0" w:color="000000"/>
            </w:tcBorders>
            <w:shd w:val="clear" w:color="auto" w:fill="D2D2D2"/>
          </w:tcPr>
          <w:p>
            <w:pPr/>
          </w:p>
        </w:tc>
        <w:tc>
          <w:tcPr>
            <w:tcW w:w="862" w:type="dxa"/>
            <w:vMerge/>
            <w:tcBorders>
              <w:left w:val="single" w:sz="4" w:space="0" w:color="000000"/>
              <w:bottom w:val="single" w:sz="4" w:space="0" w:color="000000"/>
              <w:right w:val="single" w:sz="4" w:space="0" w:color="000000"/>
            </w:tcBorders>
            <w:shd w:val="clear" w:color="auto" w:fill="D2D2D2"/>
          </w:tcPr>
          <w:p>
            <w:pPr/>
          </w:p>
        </w:tc>
      </w:tr>
      <w:tr>
        <w:trPr>
          <w:trHeight w:val="185" w:hRule="exact"/>
        </w:trPr>
        <w:tc>
          <w:tcPr>
            <w:tcW w:w="1294" w:type="dxa"/>
            <w:tcBorders>
              <w:top w:val="single" w:sz="4" w:space="0" w:color="000000"/>
              <w:left w:val="single" w:sz="4" w:space="0" w:color="000000"/>
              <w:bottom w:val="nil" w:sz="6" w:space="0" w:color="auto"/>
              <w:right w:val="single" w:sz="4" w:space="0" w:color="000000"/>
            </w:tcBorders>
            <w:shd w:val="clear" w:color="auto" w:fill="D2D2D2"/>
          </w:tcPr>
          <w:p>
            <w:pPr/>
          </w:p>
        </w:tc>
        <w:tc>
          <w:tcPr>
            <w:tcW w:w="629" w:type="dxa"/>
            <w:vMerge w:val="restart"/>
            <w:tcBorders>
              <w:top w:val="single" w:sz="4" w:space="0" w:color="000000"/>
              <w:left w:val="single" w:sz="10" w:space="0" w:color="D2D2D2"/>
              <w:right w:val="single" w:sz="4" w:space="0" w:color="000000"/>
            </w:tcBorders>
          </w:tcPr>
          <w:p>
            <w:pPr>
              <w:pStyle w:val="TableParagraph"/>
              <w:spacing w:line="240" w:lineRule="auto" w:before="115"/>
              <w:ind w:left="48" w:right="0"/>
              <w:jc w:val="left"/>
              <w:rPr>
                <w:rFonts w:ascii="Times New Roman" w:hAnsi="Times New Roman" w:cs="Times New Roman" w:eastAsia="Times New Roman" w:hint="default"/>
                <w:sz w:val="18"/>
                <w:szCs w:val="18"/>
              </w:rPr>
            </w:pPr>
            <w:r>
              <w:rPr>
                <w:rFonts w:ascii="Times New Roman"/>
                <w:sz w:val="18"/>
              </w:rPr>
              <w:t>1,099,4</w:t>
            </w:r>
          </w:p>
          <w:p>
            <w:pPr>
              <w:pStyle w:val="TableParagraph"/>
              <w:spacing w:line="240" w:lineRule="auto" w:before="102"/>
              <w:ind w:left="48" w:right="0"/>
              <w:jc w:val="left"/>
              <w:rPr>
                <w:rFonts w:ascii="Times New Roman" w:hAnsi="Times New Roman" w:cs="Times New Roman" w:eastAsia="Times New Roman" w:hint="default"/>
                <w:sz w:val="18"/>
                <w:szCs w:val="18"/>
              </w:rPr>
            </w:pPr>
            <w:r>
              <w:rPr>
                <w:rFonts w:ascii="Times New Roman"/>
                <w:sz w:val="18"/>
              </w:rPr>
              <w:t>49,688.</w:t>
            </w:r>
          </w:p>
          <w:p>
            <w:pPr>
              <w:pStyle w:val="TableParagraph"/>
              <w:spacing w:line="240" w:lineRule="auto" w:before="105"/>
              <w:ind w:left="408" w:right="0"/>
              <w:jc w:val="left"/>
              <w:rPr>
                <w:rFonts w:ascii="Times New Roman" w:hAnsi="Times New Roman" w:cs="Times New Roman" w:eastAsia="Times New Roman" w:hint="default"/>
                <w:sz w:val="18"/>
                <w:szCs w:val="18"/>
              </w:rPr>
            </w:pPr>
            <w:r>
              <w:rPr>
                <w:rFonts w:ascii="Times New Roman"/>
                <w:sz w:val="18"/>
              </w:rPr>
              <w:t>00</w:t>
            </w: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17" w:space="0" w:color="D2D2D2"/>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1,228,38</w:t>
            </w:r>
          </w:p>
          <w:p>
            <w:pPr>
              <w:pStyle w:val="TableParagraph"/>
              <w:spacing w:line="240" w:lineRule="auto" w:before="102"/>
              <w:ind w:left="62" w:right="0"/>
              <w:jc w:val="left"/>
              <w:rPr>
                <w:rFonts w:ascii="Times New Roman" w:hAnsi="Times New Roman" w:cs="Times New Roman" w:eastAsia="Times New Roman" w:hint="default"/>
                <w:sz w:val="18"/>
                <w:szCs w:val="18"/>
              </w:rPr>
            </w:pPr>
            <w:r>
              <w:rPr>
                <w:rFonts w:ascii="Times New Roman"/>
                <w:sz w:val="18"/>
              </w:rPr>
              <w:t>1,164.27</w:t>
            </w:r>
          </w:p>
        </w:tc>
        <w:tc>
          <w:tcPr>
            <w:tcW w:w="728" w:type="dxa"/>
            <w:vMerge w:val="restart"/>
            <w:tcBorders>
              <w:top w:val="single" w:sz="17" w:space="0" w:color="D2D2D2"/>
              <w:left w:val="single" w:sz="4" w:space="0" w:color="000000"/>
              <w:right w:val="single" w:sz="4" w:space="0" w:color="000000"/>
            </w:tcBorders>
          </w:tcPr>
          <w:p>
            <w:pPr/>
          </w:p>
        </w:tc>
        <w:tc>
          <w:tcPr>
            <w:tcW w:w="725" w:type="dxa"/>
            <w:vMerge w:val="restart"/>
            <w:tcBorders>
              <w:top w:val="single" w:sz="17" w:space="0" w:color="D2D2D2"/>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2,363,52</w:t>
            </w:r>
          </w:p>
          <w:p>
            <w:pPr>
              <w:pStyle w:val="TableParagraph"/>
              <w:spacing w:line="240" w:lineRule="auto" w:before="102"/>
              <w:ind w:left="379" w:right="0"/>
              <w:jc w:val="left"/>
              <w:rPr>
                <w:rFonts w:ascii="Times New Roman" w:hAnsi="Times New Roman" w:cs="Times New Roman" w:eastAsia="Times New Roman" w:hint="default"/>
                <w:sz w:val="18"/>
                <w:szCs w:val="18"/>
              </w:rPr>
            </w:pPr>
            <w:r>
              <w:rPr>
                <w:rFonts w:ascii="Times New Roman"/>
                <w:sz w:val="18"/>
              </w:rPr>
              <w:t>6.48</w:t>
            </w:r>
          </w:p>
        </w:tc>
        <w:tc>
          <w:tcPr>
            <w:tcW w:w="727" w:type="dxa"/>
            <w:vMerge w:val="restart"/>
            <w:tcBorders>
              <w:top w:val="single" w:sz="17" w:space="0" w:color="D2D2D2"/>
              <w:left w:val="single" w:sz="4" w:space="0" w:color="000000"/>
              <w:right w:val="single" w:sz="4" w:space="0" w:color="000000"/>
            </w:tcBorders>
          </w:tcPr>
          <w:p>
            <w:pPr/>
          </w:p>
        </w:tc>
        <w:tc>
          <w:tcPr>
            <w:tcW w:w="727" w:type="dxa"/>
            <w:vMerge w:val="restart"/>
            <w:tcBorders>
              <w:top w:val="single" w:sz="17" w:space="0" w:color="D2D2D2"/>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145,834,</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602.82</w:t>
            </w:r>
          </w:p>
        </w:tc>
        <w:tc>
          <w:tcPr>
            <w:tcW w:w="615" w:type="dxa"/>
            <w:vMerge w:val="restart"/>
            <w:tcBorders>
              <w:top w:val="single" w:sz="17" w:space="0" w:color="D2D2D2"/>
              <w:left w:val="single" w:sz="4" w:space="0" w:color="000000"/>
              <w:right w:val="single" w:sz="4" w:space="0" w:color="000000"/>
            </w:tcBorders>
          </w:tcPr>
          <w:p>
            <w:pPr>
              <w:pStyle w:val="TableParagraph"/>
              <w:spacing w:line="240" w:lineRule="auto" w:before="98"/>
              <w:ind w:right="19"/>
              <w:jc w:val="right"/>
              <w:rPr>
                <w:rFonts w:ascii="Times New Roman" w:hAnsi="Times New Roman" w:cs="Times New Roman" w:eastAsia="Times New Roman" w:hint="default"/>
                <w:sz w:val="18"/>
                <w:szCs w:val="18"/>
              </w:rPr>
            </w:pPr>
            <w:r>
              <w:rPr>
                <w:rFonts w:ascii="Times New Roman"/>
                <w:spacing w:val="-1"/>
                <w:sz w:val="18"/>
              </w:rPr>
              <w:t>948,41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3,406.4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17" w:space="0" w:color="D2D2D2"/>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3,424,442,</w:t>
            </w:r>
          </w:p>
          <w:p>
            <w:pPr>
              <w:pStyle w:val="TableParagraph"/>
              <w:spacing w:line="240" w:lineRule="auto" w:before="102"/>
              <w:ind w:left="335" w:right="0"/>
              <w:jc w:val="left"/>
              <w:rPr>
                <w:rFonts w:ascii="Times New Roman" w:hAnsi="Times New Roman" w:cs="Times New Roman" w:eastAsia="Times New Roman" w:hint="default"/>
                <w:sz w:val="18"/>
                <w:szCs w:val="18"/>
              </w:rPr>
            </w:pPr>
            <w:r>
              <w:rPr>
                <w:rFonts w:ascii="Times New Roman"/>
                <w:sz w:val="18"/>
              </w:rPr>
              <w:t>388.00</w:t>
            </w:r>
          </w:p>
        </w:tc>
      </w:tr>
      <w:tr>
        <w:trPr>
          <w:trHeight w:val="703" w:hRule="exact"/>
        </w:trPr>
        <w:tc>
          <w:tcPr>
            <w:tcW w:w="12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19"/>
              <w:jc w:val="left"/>
              <w:rPr>
                <w:rFonts w:ascii="宋体" w:hAnsi="宋体" w:cs="宋体" w:eastAsia="宋体" w:hint="default"/>
                <w:sz w:val="18"/>
                <w:szCs w:val="18"/>
              </w:rPr>
            </w:pPr>
            <w:r>
              <w:rPr>
                <w:rFonts w:ascii="宋体" w:hAnsi="宋体" w:cs="宋体" w:eastAsia="宋体" w:hint="default"/>
                <w:spacing w:val="-2"/>
                <w:sz w:val="18"/>
                <w:szCs w:val="18"/>
              </w:rPr>
              <w:t>一、上年期末余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629"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94" w:type="dxa"/>
            <w:tcBorders>
              <w:top w:val="nil" w:sz="6" w:space="0" w:color="auto"/>
              <w:left w:val="single" w:sz="4" w:space="0" w:color="000000"/>
              <w:bottom w:val="single" w:sz="4" w:space="0" w:color="000000"/>
              <w:right w:val="single" w:sz="4" w:space="0" w:color="000000"/>
            </w:tcBorders>
            <w:shd w:val="clear" w:color="auto" w:fill="D2D2D2"/>
          </w:tcPr>
          <w:p>
            <w:pPr/>
          </w:p>
        </w:tc>
        <w:tc>
          <w:tcPr>
            <w:tcW w:w="629"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713" w:hRule="exact"/>
        </w:trPr>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9" w:firstLine="360"/>
              <w:jc w:val="left"/>
              <w:rPr>
                <w:rFonts w:ascii="宋体" w:hAnsi="宋体" w:cs="宋体" w:eastAsia="宋体" w:hint="default"/>
                <w:sz w:val="18"/>
                <w:szCs w:val="18"/>
              </w:rPr>
            </w:pPr>
            <w:r>
              <w:rPr>
                <w:rFonts w:ascii="宋体" w:hAnsi="宋体" w:cs="宋体" w:eastAsia="宋体" w:hint="default"/>
                <w:spacing w:val="-2"/>
                <w:sz w:val="18"/>
                <w:szCs w:val="18"/>
              </w:rPr>
              <w:t>加：会计政</w:t>
            </w:r>
            <w:r>
              <w:rPr>
                <w:rFonts w:ascii="宋体" w:hAnsi="宋体" w:cs="宋体" w:eastAsia="宋体" w:hint="default"/>
                <w:sz w:val="18"/>
                <w:szCs w:val="18"/>
              </w:rPr>
              <w:t> 策变更</w:t>
            </w:r>
          </w:p>
        </w:tc>
        <w:tc>
          <w:tcPr>
            <w:tcW w:w="629"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4,318,62</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0.60</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38,867,</w:t>
            </w:r>
          </w:p>
          <w:p>
            <w:pPr>
              <w:pStyle w:val="TableParagraph"/>
              <w:spacing w:line="240" w:lineRule="auto" w:before="105"/>
              <w:ind w:left="88" w:right="0"/>
              <w:jc w:val="left"/>
              <w:rPr>
                <w:rFonts w:ascii="Times New Roman" w:hAnsi="Times New Roman" w:cs="Times New Roman" w:eastAsia="Times New Roman" w:hint="default"/>
                <w:sz w:val="18"/>
                <w:szCs w:val="18"/>
              </w:rPr>
            </w:pPr>
            <w:r>
              <w:rPr>
                <w:rFonts w:ascii="Times New Roman"/>
                <w:sz w:val="18"/>
              </w:rPr>
              <w:t>585.39</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43,186,20</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5.99</w:t>
            </w:r>
          </w:p>
        </w:tc>
      </w:tr>
      <w:tr>
        <w:trPr>
          <w:trHeight w:val="715" w:hRule="exact"/>
        </w:trPr>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629"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9"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294" w:type="dxa"/>
            <w:tcBorders>
              <w:top w:val="single" w:sz="4" w:space="0" w:color="000000"/>
              <w:left w:val="single" w:sz="4" w:space="0" w:color="000000"/>
              <w:bottom w:val="nil" w:sz="6" w:space="0" w:color="auto"/>
              <w:right w:val="single" w:sz="4" w:space="0" w:color="000000"/>
            </w:tcBorders>
            <w:shd w:val="clear" w:color="auto" w:fill="D2D2D2"/>
          </w:tcPr>
          <w:p>
            <w:pPr/>
          </w:p>
        </w:tc>
        <w:tc>
          <w:tcPr>
            <w:tcW w:w="629" w:type="dxa"/>
            <w:vMerge w:val="restart"/>
            <w:tcBorders>
              <w:top w:val="single" w:sz="4" w:space="0" w:color="000000"/>
              <w:left w:val="single" w:sz="10" w:space="0" w:color="D2D2D2"/>
              <w:right w:val="single" w:sz="4" w:space="0" w:color="000000"/>
            </w:tcBorders>
          </w:tcPr>
          <w:p>
            <w:pPr>
              <w:pStyle w:val="TableParagraph"/>
              <w:spacing w:line="240" w:lineRule="auto" w:before="93"/>
              <w:ind w:left="48" w:right="0"/>
              <w:jc w:val="left"/>
              <w:rPr>
                <w:rFonts w:ascii="Times New Roman" w:hAnsi="Times New Roman" w:cs="Times New Roman" w:eastAsia="Times New Roman" w:hint="default"/>
                <w:sz w:val="18"/>
                <w:szCs w:val="18"/>
              </w:rPr>
            </w:pPr>
            <w:r>
              <w:rPr>
                <w:rFonts w:ascii="Times New Roman"/>
                <w:sz w:val="18"/>
              </w:rPr>
              <w:t>1,099,4</w:t>
            </w:r>
          </w:p>
          <w:p>
            <w:pPr>
              <w:pStyle w:val="TableParagraph"/>
              <w:spacing w:line="240" w:lineRule="auto" w:before="102"/>
              <w:ind w:left="48" w:right="0"/>
              <w:jc w:val="left"/>
              <w:rPr>
                <w:rFonts w:ascii="Times New Roman" w:hAnsi="Times New Roman" w:cs="Times New Roman" w:eastAsia="Times New Roman" w:hint="default"/>
                <w:sz w:val="18"/>
                <w:szCs w:val="18"/>
              </w:rPr>
            </w:pPr>
            <w:r>
              <w:rPr>
                <w:rFonts w:ascii="Times New Roman"/>
                <w:sz w:val="18"/>
              </w:rPr>
              <w:t>49,688.</w:t>
            </w:r>
          </w:p>
          <w:p>
            <w:pPr>
              <w:pStyle w:val="TableParagraph"/>
              <w:spacing w:line="240" w:lineRule="auto" w:before="105"/>
              <w:ind w:left="408" w:right="0"/>
              <w:jc w:val="left"/>
              <w:rPr>
                <w:rFonts w:ascii="Times New Roman" w:hAnsi="Times New Roman" w:cs="Times New Roman" w:eastAsia="Times New Roman" w:hint="default"/>
                <w:sz w:val="18"/>
                <w:szCs w:val="18"/>
              </w:rPr>
            </w:pPr>
            <w:r>
              <w:rPr>
                <w:rFonts w:ascii="Times New Roman"/>
                <w:sz w:val="18"/>
              </w:rPr>
              <w:t>00</w:t>
            </w: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1,228,38</w:t>
            </w:r>
          </w:p>
          <w:p>
            <w:pPr>
              <w:pStyle w:val="TableParagraph"/>
              <w:spacing w:line="240" w:lineRule="auto" w:before="102"/>
              <w:ind w:left="62" w:right="0"/>
              <w:jc w:val="left"/>
              <w:rPr>
                <w:rFonts w:ascii="Times New Roman" w:hAnsi="Times New Roman" w:cs="Times New Roman" w:eastAsia="Times New Roman" w:hint="default"/>
                <w:sz w:val="18"/>
                <w:szCs w:val="18"/>
              </w:rPr>
            </w:pPr>
            <w:r>
              <w:rPr>
                <w:rFonts w:ascii="Times New Roman"/>
                <w:sz w:val="18"/>
              </w:rPr>
              <w:t>1,164.27</w:t>
            </w:r>
          </w:p>
        </w:tc>
        <w:tc>
          <w:tcPr>
            <w:tcW w:w="728" w:type="dxa"/>
            <w:vMerge w:val="restart"/>
            <w:tcBorders>
              <w:top w:val="single" w:sz="4" w:space="0" w:color="000000"/>
              <w:left w:val="single" w:sz="4" w:space="0" w:color="000000"/>
              <w:right w:val="single" w:sz="4" w:space="0" w:color="000000"/>
            </w:tcBorders>
          </w:tcPr>
          <w:p>
            <w:pPr/>
          </w:p>
        </w:tc>
        <w:tc>
          <w:tcPr>
            <w:tcW w:w="72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2,363,52</w:t>
            </w:r>
          </w:p>
          <w:p>
            <w:pPr>
              <w:pStyle w:val="TableParagraph"/>
              <w:spacing w:line="240" w:lineRule="auto" w:before="102"/>
              <w:ind w:left="379" w:right="0"/>
              <w:jc w:val="left"/>
              <w:rPr>
                <w:rFonts w:ascii="Times New Roman" w:hAnsi="Times New Roman" w:cs="Times New Roman" w:eastAsia="Times New Roman" w:hint="default"/>
                <w:sz w:val="18"/>
                <w:szCs w:val="18"/>
              </w:rPr>
            </w:pPr>
            <w:r>
              <w:rPr>
                <w:rFonts w:ascii="Times New Roman"/>
                <w:sz w:val="18"/>
              </w:rPr>
              <w:t>6.48</w:t>
            </w: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150,153,</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223.42</w:t>
            </w:r>
          </w:p>
        </w:tc>
        <w:tc>
          <w:tcPr>
            <w:tcW w:w="615"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987,28</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0,991.8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3,467,628,</w:t>
            </w:r>
          </w:p>
          <w:p>
            <w:pPr>
              <w:pStyle w:val="TableParagraph"/>
              <w:spacing w:line="240" w:lineRule="auto" w:before="102"/>
              <w:ind w:left="335" w:right="0"/>
              <w:jc w:val="left"/>
              <w:rPr>
                <w:rFonts w:ascii="Times New Roman" w:hAnsi="Times New Roman" w:cs="Times New Roman" w:eastAsia="Times New Roman" w:hint="default"/>
                <w:sz w:val="18"/>
                <w:szCs w:val="18"/>
              </w:rPr>
            </w:pPr>
            <w:r>
              <w:rPr>
                <w:rFonts w:ascii="Times New Roman"/>
                <w:sz w:val="18"/>
              </w:rPr>
              <w:t>593.99</w:t>
            </w:r>
          </w:p>
        </w:tc>
      </w:tr>
      <w:tr>
        <w:trPr>
          <w:trHeight w:val="703" w:hRule="exact"/>
        </w:trPr>
        <w:tc>
          <w:tcPr>
            <w:tcW w:w="12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19"/>
              <w:jc w:val="left"/>
              <w:rPr>
                <w:rFonts w:ascii="宋体" w:hAnsi="宋体" w:cs="宋体" w:eastAsia="宋体" w:hint="default"/>
                <w:sz w:val="18"/>
                <w:szCs w:val="18"/>
              </w:rPr>
            </w:pPr>
            <w:r>
              <w:rPr>
                <w:rFonts w:ascii="宋体" w:hAnsi="宋体" w:cs="宋体" w:eastAsia="宋体" w:hint="default"/>
                <w:spacing w:val="-2"/>
                <w:sz w:val="18"/>
                <w:szCs w:val="18"/>
              </w:rPr>
              <w:t>二、本年期初余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629"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94" w:type="dxa"/>
            <w:tcBorders>
              <w:top w:val="nil" w:sz="6" w:space="0" w:color="auto"/>
              <w:left w:val="single" w:sz="4" w:space="0" w:color="000000"/>
              <w:bottom w:val="single" w:sz="4" w:space="0" w:color="000000"/>
              <w:right w:val="single" w:sz="4" w:space="0" w:color="000000"/>
            </w:tcBorders>
            <w:shd w:val="clear" w:color="auto" w:fill="D2D2D2"/>
          </w:tcPr>
          <w:p>
            <w:pPr/>
          </w:p>
        </w:tc>
        <w:tc>
          <w:tcPr>
            <w:tcW w:w="629"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1025" w:hRule="exact"/>
        </w:trPr>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9"/>
              <w:jc w:val="both"/>
              <w:rPr>
                <w:rFonts w:ascii="宋体" w:hAnsi="宋体" w:cs="宋体" w:eastAsia="宋体" w:hint="default"/>
                <w:sz w:val="18"/>
                <w:szCs w:val="18"/>
              </w:rPr>
            </w:pPr>
            <w:r>
              <w:rPr>
                <w:rFonts w:ascii="宋体" w:hAnsi="宋体" w:cs="宋体" w:eastAsia="宋体" w:hint="default"/>
                <w:spacing w:val="-2"/>
                <w:sz w:val="18"/>
                <w:szCs w:val="18"/>
              </w:rPr>
              <w:t>三、本期增减变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动金额（减少以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62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40,404,</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333.00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125,25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pacing w:val="-1"/>
                <w:sz w:val="18"/>
              </w:rPr>
              <w:t>8,203.6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504,029,</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084.18</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29,984,2</w:t>
            </w:r>
          </w:p>
          <w:p>
            <w:pPr>
              <w:pStyle w:val="TableParagraph"/>
              <w:spacing w:line="240" w:lineRule="auto" w:before="105"/>
              <w:ind w:left="290" w:right="0"/>
              <w:jc w:val="left"/>
              <w:rPr>
                <w:rFonts w:ascii="Times New Roman" w:hAnsi="Times New Roman" w:cs="Times New Roman" w:eastAsia="Times New Roman" w:hint="default"/>
                <w:sz w:val="18"/>
                <w:szCs w:val="18"/>
              </w:rPr>
            </w:pPr>
            <w:r>
              <w:rPr>
                <w:rFonts w:ascii="Times New Roman"/>
                <w:sz w:val="18"/>
              </w:rPr>
              <w:t>65.25</w:t>
            </w: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-1,305,</w:t>
            </w:r>
          </w:p>
          <w:p>
            <w:pPr>
              <w:pStyle w:val="TableParagraph"/>
              <w:spacing w:line="240" w:lineRule="auto" w:before="105"/>
              <w:ind w:left="67" w:right="0"/>
              <w:jc w:val="center"/>
              <w:rPr>
                <w:rFonts w:ascii="Times New Roman" w:hAnsi="Times New Roman" w:cs="Times New Roman" w:eastAsia="Times New Roman" w:hint="default"/>
                <w:sz w:val="18"/>
                <w:szCs w:val="18"/>
              </w:rPr>
            </w:pPr>
            <w:r>
              <w:rPr>
                <w:rFonts w:ascii="Times New Roman"/>
                <w:sz w:val="18"/>
              </w:rPr>
              <w:t>489,24</w:t>
            </w:r>
          </w:p>
          <w:p>
            <w:pPr>
              <w:pStyle w:val="TableParagraph"/>
              <w:spacing w:line="240" w:lineRule="auto" w:before="105"/>
              <w:ind w:left="247" w:right="0"/>
              <w:jc w:val="center"/>
              <w:rPr>
                <w:rFonts w:ascii="Times New Roman" w:hAnsi="Times New Roman" w:cs="Times New Roman" w:eastAsia="Times New Roman" w:hint="default"/>
                <w:sz w:val="18"/>
                <w:szCs w:val="18"/>
              </w:rPr>
            </w:pPr>
            <w:r>
              <w:rPr>
                <w:rFonts w:ascii="Times New Roman"/>
                <w:sz w:val="18"/>
              </w:rPr>
              <w:t>0.89</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-665,781,8</w:t>
            </w:r>
          </w:p>
          <w:p>
            <w:pPr>
              <w:pStyle w:val="TableParagraph"/>
              <w:spacing w:line="240" w:lineRule="auto" w:before="105"/>
              <w:ind w:left="424" w:right="0"/>
              <w:jc w:val="left"/>
              <w:rPr>
                <w:rFonts w:ascii="Times New Roman" w:hAnsi="Times New Roman" w:cs="Times New Roman" w:eastAsia="Times New Roman" w:hint="default"/>
                <w:sz w:val="18"/>
                <w:szCs w:val="18"/>
              </w:rPr>
            </w:pPr>
            <w:r>
              <w:rPr>
                <w:rFonts w:ascii="Times New Roman"/>
                <w:sz w:val="18"/>
              </w:rPr>
              <w:t>85.34</w:t>
            </w:r>
          </w:p>
        </w:tc>
      </w:tr>
      <w:tr>
        <w:trPr>
          <w:trHeight w:val="164" w:hRule="exact"/>
        </w:trPr>
        <w:tc>
          <w:tcPr>
            <w:tcW w:w="1294" w:type="dxa"/>
            <w:tcBorders>
              <w:top w:val="single" w:sz="4" w:space="0" w:color="000000"/>
              <w:left w:val="single" w:sz="4" w:space="0" w:color="000000"/>
              <w:bottom w:val="nil" w:sz="6" w:space="0" w:color="auto"/>
              <w:right w:val="single" w:sz="4" w:space="0" w:color="000000"/>
            </w:tcBorders>
            <w:shd w:val="clear" w:color="auto" w:fill="D2D2D2"/>
          </w:tcPr>
          <w:p>
            <w:pPr/>
          </w:p>
        </w:tc>
        <w:tc>
          <w:tcPr>
            <w:tcW w:w="629" w:type="dxa"/>
            <w:vMerge w:val="restart"/>
            <w:tcBorders>
              <w:top w:val="single" w:sz="4" w:space="0" w:color="000000"/>
              <w:left w:val="single" w:sz="10" w:space="0" w:color="D2D2D2"/>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8" w:type="dxa"/>
            <w:vMerge w:val="restart"/>
            <w:tcBorders>
              <w:top w:val="single" w:sz="4" w:space="0" w:color="000000"/>
              <w:left w:val="single" w:sz="4" w:space="0" w:color="000000"/>
              <w:right w:val="single" w:sz="4" w:space="0" w:color="000000"/>
            </w:tcBorders>
          </w:tcPr>
          <w:p>
            <w:pPr/>
          </w:p>
        </w:tc>
        <w:tc>
          <w:tcPr>
            <w:tcW w:w="72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Style w:val="TableParagraph"/>
              <w:spacing w:line="240" w:lineRule="auto" w:before="94"/>
              <w:ind w:left="53" w:right="0"/>
              <w:jc w:val="center"/>
              <w:rPr>
                <w:rFonts w:ascii="Times New Roman" w:hAnsi="Times New Roman" w:cs="Times New Roman" w:eastAsia="Times New Roman" w:hint="default"/>
                <w:sz w:val="18"/>
                <w:szCs w:val="18"/>
              </w:rPr>
            </w:pPr>
            <w:r>
              <w:rPr>
                <w:rFonts w:ascii="Times New Roman"/>
                <w:sz w:val="18"/>
              </w:rPr>
              <w:t>-1,278,</w:t>
            </w:r>
          </w:p>
          <w:p>
            <w:pPr>
              <w:pStyle w:val="TableParagraph"/>
              <w:spacing w:line="240" w:lineRule="auto" w:before="102"/>
              <w:ind w:left="67" w:right="0"/>
              <w:jc w:val="center"/>
              <w:rPr>
                <w:rFonts w:ascii="Times New Roman" w:hAnsi="Times New Roman" w:cs="Times New Roman" w:eastAsia="Times New Roman" w:hint="default"/>
                <w:sz w:val="18"/>
                <w:szCs w:val="18"/>
              </w:rPr>
            </w:pPr>
            <w:r>
              <w:rPr>
                <w:rFonts w:ascii="Times New Roman"/>
                <w:sz w:val="18"/>
              </w:rPr>
              <w:t>067,08</w:t>
            </w:r>
          </w:p>
          <w:p>
            <w:pPr>
              <w:pStyle w:val="TableParagraph"/>
              <w:spacing w:line="240" w:lineRule="auto" w:before="105"/>
              <w:ind w:left="247" w:right="0"/>
              <w:jc w:val="center"/>
              <w:rPr>
                <w:rFonts w:ascii="Times New Roman" w:hAnsi="Times New Roman" w:cs="Times New Roman" w:eastAsia="Times New Roman" w:hint="default"/>
                <w:sz w:val="18"/>
                <w:szCs w:val="18"/>
              </w:rPr>
            </w:pPr>
            <w:r>
              <w:rPr>
                <w:rFonts w:ascii="Times New Roman"/>
                <w:sz w:val="18"/>
              </w:rPr>
              <w:t>4.07</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-1,278,067</w:t>
            </w:r>
          </w:p>
          <w:p>
            <w:pPr>
              <w:pStyle w:val="TableParagraph"/>
              <w:spacing w:line="240" w:lineRule="auto" w:before="102"/>
              <w:ind w:left="290" w:right="0"/>
              <w:jc w:val="left"/>
              <w:rPr>
                <w:rFonts w:ascii="Times New Roman" w:hAnsi="Times New Roman" w:cs="Times New Roman" w:eastAsia="Times New Roman" w:hint="default"/>
                <w:sz w:val="18"/>
                <w:szCs w:val="18"/>
              </w:rPr>
            </w:pPr>
            <w:r>
              <w:rPr>
                <w:rFonts w:ascii="Times New Roman"/>
                <w:sz w:val="18"/>
              </w:rPr>
              <w:t>,084.07</w:t>
            </w:r>
          </w:p>
        </w:tc>
      </w:tr>
      <w:tr>
        <w:trPr>
          <w:trHeight w:val="703" w:hRule="exact"/>
        </w:trPr>
        <w:tc>
          <w:tcPr>
            <w:tcW w:w="12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19"/>
              <w:jc w:val="left"/>
              <w:rPr>
                <w:rFonts w:ascii="宋体" w:hAnsi="宋体" w:cs="宋体" w:eastAsia="宋体" w:hint="default"/>
                <w:sz w:val="18"/>
                <w:szCs w:val="18"/>
              </w:rPr>
            </w:pPr>
            <w:r>
              <w:rPr>
                <w:rFonts w:ascii="宋体" w:hAnsi="宋体" w:cs="宋体" w:eastAsia="宋体" w:hint="default"/>
                <w:spacing w:val="-2"/>
                <w:sz w:val="18"/>
                <w:szCs w:val="18"/>
              </w:rPr>
              <w:t>（一）综合收益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总额</w:t>
            </w:r>
          </w:p>
        </w:tc>
        <w:tc>
          <w:tcPr>
            <w:tcW w:w="629"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94" w:type="dxa"/>
            <w:tcBorders>
              <w:top w:val="nil" w:sz="6" w:space="0" w:color="auto"/>
              <w:left w:val="single" w:sz="4" w:space="0" w:color="000000"/>
              <w:bottom w:val="single" w:sz="4" w:space="0" w:color="000000"/>
              <w:right w:val="single" w:sz="4" w:space="0" w:color="000000"/>
            </w:tcBorders>
            <w:shd w:val="clear" w:color="auto" w:fill="D2D2D2"/>
          </w:tcPr>
          <w:p>
            <w:pPr/>
          </w:p>
        </w:tc>
        <w:tc>
          <w:tcPr>
            <w:tcW w:w="629"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161" w:hRule="exact"/>
        </w:trPr>
        <w:tc>
          <w:tcPr>
            <w:tcW w:w="1294" w:type="dxa"/>
            <w:tcBorders>
              <w:top w:val="single" w:sz="4" w:space="0" w:color="000000"/>
              <w:left w:val="single" w:sz="4" w:space="0" w:color="000000"/>
              <w:bottom w:val="nil" w:sz="6" w:space="0" w:color="auto"/>
              <w:right w:val="single" w:sz="4" w:space="0" w:color="000000"/>
            </w:tcBorders>
            <w:shd w:val="clear" w:color="auto" w:fill="D2D2D2"/>
          </w:tcPr>
          <w:p>
            <w:pPr/>
          </w:p>
        </w:tc>
        <w:tc>
          <w:tcPr>
            <w:tcW w:w="629"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40,404,</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333.00</w:t>
            </w: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125,25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pacing w:val="-1"/>
                <w:sz w:val="18"/>
              </w:rPr>
              <w:t>8,203.6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504,029,</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084.18</w:t>
            </w:r>
          </w:p>
        </w:tc>
        <w:tc>
          <w:tcPr>
            <w:tcW w:w="72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29,984,2</w:t>
            </w:r>
          </w:p>
          <w:p>
            <w:pPr>
              <w:pStyle w:val="TableParagraph"/>
              <w:spacing w:line="240" w:lineRule="auto" w:before="105"/>
              <w:ind w:left="290" w:right="0"/>
              <w:jc w:val="left"/>
              <w:rPr>
                <w:rFonts w:ascii="Times New Roman" w:hAnsi="Times New Roman" w:cs="Times New Roman" w:eastAsia="Times New Roman" w:hint="default"/>
                <w:sz w:val="18"/>
                <w:szCs w:val="18"/>
              </w:rPr>
            </w:pPr>
            <w:r>
              <w:rPr>
                <w:rFonts w:ascii="Times New Roman"/>
                <w:sz w:val="18"/>
              </w:rPr>
              <w:t>65.25</w:t>
            </w:r>
          </w:p>
        </w:tc>
        <w:tc>
          <w:tcPr>
            <w:tcW w:w="72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639,707,3</w:t>
            </w:r>
          </w:p>
          <w:p>
            <w:pPr>
              <w:pStyle w:val="TableParagraph"/>
              <w:spacing w:line="240" w:lineRule="auto" w:before="105"/>
              <w:ind w:left="424" w:right="0"/>
              <w:jc w:val="left"/>
              <w:rPr>
                <w:rFonts w:ascii="Times New Roman" w:hAnsi="Times New Roman" w:cs="Times New Roman" w:eastAsia="Times New Roman" w:hint="default"/>
                <w:sz w:val="18"/>
                <w:szCs w:val="18"/>
              </w:rPr>
            </w:pPr>
            <w:r>
              <w:rPr>
                <w:rFonts w:ascii="Times New Roman"/>
                <w:sz w:val="18"/>
              </w:rPr>
              <w:t>55.55</w:t>
            </w:r>
          </w:p>
        </w:tc>
      </w:tr>
      <w:tr>
        <w:trPr>
          <w:trHeight w:val="703" w:hRule="exact"/>
        </w:trPr>
        <w:tc>
          <w:tcPr>
            <w:tcW w:w="12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19"/>
              <w:jc w:val="left"/>
              <w:rPr>
                <w:rFonts w:ascii="宋体" w:hAnsi="宋体" w:cs="宋体" w:eastAsia="宋体" w:hint="default"/>
                <w:sz w:val="18"/>
                <w:szCs w:val="18"/>
              </w:rPr>
            </w:pPr>
            <w:r>
              <w:rPr>
                <w:rFonts w:ascii="宋体" w:hAnsi="宋体" w:cs="宋体" w:eastAsia="宋体" w:hint="default"/>
                <w:spacing w:val="-2"/>
                <w:sz w:val="18"/>
                <w:szCs w:val="18"/>
              </w:rPr>
              <w:t>（二）所有者投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入和减少资本</w:t>
            </w:r>
          </w:p>
        </w:tc>
        <w:tc>
          <w:tcPr>
            <w:tcW w:w="629"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94" w:type="dxa"/>
            <w:tcBorders>
              <w:top w:val="nil" w:sz="6" w:space="0" w:color="auto"/>
              <w:left w:val="single" w:sz="4" w:space="0" w:color="000000"/>
              <w:bottom w:val="single" w:sz="4" w:space="0" w:color="000000"/>
              <w:right w:val="single" w:sz="4" w:space="0" w:color="000000"/>
            </w:tcBorders>
            <w:shd w:val="clear" w:color="auto" w:fill="D2D2D2"/>
          </w:tcPr>
          <w:p>
            <w:pPr/>
          </w:p>
        </w:tc>
        <w:tc>
          <w:tcPr>
            <w:tcW w:w="629"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715" w:hRule="exact"/>
        </w:trPr>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629"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62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40,404,</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333.00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125,25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pacing w:val="-1"/>
                <w:sz w:val="18"/>
              </w:rPr>
              <w:t>8,203.6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503,500,</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784.18</w:t>
            </w: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669,163,3</w:t>
            </w:r>
          </w:p>
          <w:p>
            <w:pPr>
              <w:pStyle w:val="TableParagraph"/>
              <w:spacing w:line="240" w:lineRule="auto" w:before="105"/>
              <w:ind w:left="424" w:right="0"/>
              <w:jc w:val="left"/>
              <w:rPr>
                <w:rFonts w:ascii="Times New Roman" w:hAnsi="Times New Roman" w:cs="Times New Roman" w:eastAsia="Times New Roman" w:hint="default"/>
                <w:sz w:val="18"/>
                <w:szCs w:val="18"/>
              </w:rPr>
            </w:pPr>
            <w:r>
              <w:rPr>
                <w:rFonts w:ascii="Times New Roman"/>
                <w:sz w:val="18"/>
              </w:rPr>
              <w:t>20.80</w:t>
            </w:r>
          </w:p>
        </w:tc>
      </w:tr>
      <w:tr>
        <w:trPr>
          <w:trHeight w:val="1027" w:hRule="exact"/>
        </w:trPr>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629"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528,300.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528,300.0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r>
      <w:tr>
        <w:trPr>
          <w:trHeight w:val="161" w:hRule="exact"/>
        </w:trPr>
        <w:tc>
          <w:tcPr>
            <w:tcW w:w="1294" w:type="dxa"/>
            <w:tcBorders>
              <w:top w:val="single" w:sz="4" w:space="0" w:color="000000"/>
              <w:left w:val="single" w:sz="4" w:space="0" w:color="000000"/>
              <w:bottom w:val="nil" w:sz="6" w:space="0" w:color="auto"/>
              <w:right w:val="single" w:sz="4" w:space="0" w:color="000000"/>
            </w:tcBorders>
            <w:shd w:val="clear" w:color="auto" w:fill="D2D2D2"/>
          </w:tcPr>
          <w:p>
            <w:pPr/>
          </w:p>
        </w:tc>
        <w:tc>
          <w:tcPr>
            <w:tcW w:w="629" w:type="dxa"/>
            <w:vMerge w:val="restart"/>
            <w:tcBorders>
              <w:top w:val="single" w:sz="4" w:space="0" w:color="000000"/>
              <w:left w:val="single" w:sz="10" w:space="0" w:color="D2D2D2"/>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8" w:type="dxa"/>
            <w:vMerge w:val="restart"/>
            <w:tcBorders>
              <w:top w:val="single" w:sz="4" w:space="0" w:color="000000"/>
              <w:left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29,984,2</w:t>
            </w:r>
          </w:p>
          <w:p>
            <w:pPr>
              <w:pStyle w:val="TableParagraph"/>
              <w:spacing w:line="240" w:lineRule="auto" w:before="105"/>
              <w:ind w:left="290" w:right="0"/>
              <w:jc w:val="left"/>
              <w:rPr>
                <w:rFonts w:ascii="Times New Roman" w:hAnsi="Times New Roman" w:cs="Times New Roman" w:eastAsia="Times New Roman" w:hint="default"/>
                <w:sz w:val="18"/>
                <w:szCs w:val="18"/>
              </w:rPr>
            </w:pPr>
            <w:r>
              <w:rPr>
                <w:rFonts w:ascii="Times New Roman"/>
                <w:sz w:val="18"/>
              </w:rPr>
              <w:t>65.25</w:t>
            </w:r>
          </w:p>
        </w:tc>
        <w:tc>
          <w:tcPr>
            <w:tcW w:w="72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-29,984,26</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5.25</w:t>
            </w:r>
          </w:p>
        </w:tc>
      </w:tr>
      <w:tr>
        <w:trPr>
          <w:trHeight w:val="391" w:hRule="exact"/>
        </w:trPr>
        <w:tc>
          <w:tcPr>
            <w:tcW w:w="12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9"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94" w:type="dxa"/>
            <w:tcBorders>
              <w:top w:val="nil" w:sz="6" w:space="0" w:color="auto"/>
              <w:left w:val="single" w:sz="4" w:space="0" w:color="000000"/>
              <w:bottom w:val="single" w:sz="4" w:space="0" w:color="000000"/>
              <w:right w:val="single" w:sz="4" w:space="0" w:color="000000"/>
            </w:tcBorders>
            <w:shd w:val="clear" w:color="auto" w:fill="D2D2D2"/>
          </w:tcPr>
          <w:p>
            <w:pPr/>
          </w:p>
        </w:tc>
        <w:tc>
          <w:tcPr>
            <w:tcW w:w="629"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161" w:hRule="exact"/>
        </w:trPr>
        <w:tc>
          <w:tcPr>
            <w:tcW w:w="1294" w:type="dxa"/>
            <w:tcBorders>
              <w:top w:val="single" w:sz="4" w:space="0" w:color="000000"/>
              <w:left w:val="single" w:sz="4" w:space="0" w:color="000000"/>
              <w:bottom w:val="nil" w:sz="6" w:space="0" w:color="auto"/>
              <w:right w:val="single" w:sz="4" w:space="0" w:color="000000"/>
            </w:tcBorders>
            <w:shd w:val="clear" w:color="auto" w:fill="D2D2D2"/>
          </w:tcPr>
          <w:p>
            <w:pPr/>
          </w:p>
        </w:tc>
        <w:tc>
          <w:tcPr>
            <w:tcW w:w="629" w:type="dxa"/>
            <w:vMerge w:val="restart"/>
            <w:tcBorders>
              <w:top w:val="single" w:sz="4" w:space="0" w:color="000000"/>
              <w:left w:val="single" w:sz="10" w:space="0" w:color="D2D2D2"/>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8" w:type="dxa"/>
            <w:vMerge w:val="restart"/>
            <w:tcBorders>
              <w:top w:val="single" w:sz="4" w:space="0" w:color="000000"/>
              <w:left w:val="single" w:sz="4" w:space="0" w:color="000000"/>
              <w:right w:val="single" w:sz="4" w:space="0" w:color="000000"/>
            </w:tcBorders>
          </w:tcPr>
          <w:p>
            <w:pPr/>
          </w:p>
        </w:tc>
        <w:tc>
          <w:tcPr>
            <w:tcW w:w="72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-27,422</w:t>
            </w:r>
          </w:p>
          <w:p>
            <w:pPr>
              <w:pStyle w:val="TableParagraph"/>
              <w:spacing w:line="240" w:lineRule="auto" w:before="105"/>
              <w:ind w:left="43" w:right="0"/>
              <w:jc w:val="left"/>
              <w:rPr>
                <w:rFonts w:ascii="Times New Roman" w:hAnsi="Times New Roman" w:cs="Times New Roman" w:eastAsia="Times New Roman" w:hint="default"/>
                <w:sz w:val="18"/>
                <w:szCs w:val="18"/>
              </w:rPr>
            </w:pPr>
            <w:r>
              <w:rPr>
                <w:rFonts w:ascii="Times New Roman"/>
                <w:sz w:val="18"/>
              </w:rPr>
              <w:t>,156.82</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-27,422,15</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6.82</w:t>
            </w:r>
          </w:p>
        </w:tc>
      </w:tr>
      <w:tr>
        <w:trPr>
          <w:trHeight w:val="394" w:hRule="exact"/>
        </w:trPr>
        <w:tc>
          <w:tcPr>
            <w:tcW w:w="12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29"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94" w:type="dxa"/>
            <w:tcBorders>
              <w:top w:val="nil" w:sz="6" w:space="0" w:color="auto"/>
              <w:left w:val="single" w:sz="4" w:space="0" w:color="000000"/>
              <w:bottom w:val="single" w:sz="4" w:space="0" w:color="000000"/>
              <w:right w:val="single" w:sz="4" w:space="0" w:color="000000"/>
            </w:tcBorders>
            <w:shd w:val="clear" w:color="auto" w:fill="D2D2D2"/>
          </w:tcPr>
          <w:p>
            <w:pPr/>
          </w:p>
        </w:tc>
        <w:tc>
          <w:tcPr>
            <w:tcW w:w="629"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283"/>
        <w:gridCol w:w="640"/>
        <w:gridCol w:w="605"/>
        <w:gridCol w:w="603"/>
        <w:gridCol w:w="605"/>
        <w:gridCol w:w="727"/>
        <w:gridCol w:w="728"/>
        <w:gridCol w:w="725"/>
        <w:gridCol w:w="727"/>
        <w:gridCol w:w="727"/>
        <w:gridCol w:w="615"/>
        <w:gridCol w:w="710"/>
        <w:gridCol w:w="862"/>
      </w:tblGrid>
      <w:tr>
        <w:trPr>
          <w:trHeight w:val="401" w:hRule="exact"/>
        </w:trPr>
        <w:tc>
          <w:tcPr>
            <w:tcW w:w="128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206" w:hRule="exact"/>
        </w:trPr>
        <w:tc>
          <w:tcPr>
            <w:tcW w:w="12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40" w:type="dxa"/>
            <w:tcBorders>
              <w:top w:val="single" w:sz="4" w:space="0" w:color="000000"/>
              <w:left w:val="single" w:sz="4" w:space="0" w:color="000000"/>
              <w:bottom w:val="nil" w:sz="6" w:space="0" w:color="auto"/>
              <w:right w:val="single" w:sz="4" w:space="0" w:color="000000"/>
            </w:tcBorders>
            <w:shd w:val="clear" w:color="auto" w:fill="D2D2D2"/>
          </w:tcPr>
          <w:p>
            <w:pPr/>
          </w:p>
        </w:tc>
        <w:tc>
          <w:tcPr>
            <w:tcW w:w="18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72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20" w:hanging="245"/>
              <w:jc w:val="left"/>
              <w:rPr>
                <w:rFonts w:ascii="宋体" w:hAnsi="宋体" w:cs="宋体" w:eastAsia="宋体" w:hint="default"/>
                <w:sz w:val="18"/>
                <w:szCs w:val="18"/>
              </w:rPr>
            </w:pPr>
            <w:r>
              <w:rPr>
                <w:rFonts w:ascii="宋体" w:hAnsi="宋体" w:cs="宋体" w:eastAsia="宋体" w:hint="default"/>
                <w:spacing w:val="-13"/>
                <w:sz w:val="18"/>
                <w:szCs w:val="18"/>
              </w:rPr>
              <w:t>减：库存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w:t>
            </w:r>
          </w:p>
        </w:tc>
        <w:tc>
          <w:tcPr>
            <w:tcW w:w="72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88" w:right="84"/>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1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22" w:right="29" w:hanging="89"/>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10" w:type="dxa"/>
            <w:tcBorders>
              <w:top w:val="single" w:sz="4" w:space="0" w:color="000000"/>
              <w:left w:val="single" w:sz="4" w:space="0" w:color="000000"/>
              <w:bottom w:val="nil" w:sz="6" w:space="0" w:color="auto"/>
              <w:right w:val="single" w:sz="4" w:space="0" w:color="000000"/>
            </w:tcBorders>
            <w:shd w:val="clear" w:color="auto" w:fill="D2D2D2"/>
          </w:tcPr>
          <w:p>
            <w:pPr/>
          </w:p>
        </w:tc>
        <w:tc>
          <w:tcPr>
            <w:tcW w:w="8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55" w:right="62"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2" w:hRule="exact"/>
        </w:trPr>
        <w:tc>
          <w:tcPr>
            <w:tcW w:w="1283" w:type="dxa"/>
            <w:vMerge/>
            <w:tcBorders>
              <w:left w:val="single" w:sz="4" w:space="0" w:color="000000"/>
              <w:bottom w:val="nil" w:sz="6" w:space="0" w:color="auto"/>
              <w:right w:val="single" w:sz="4" w:space="0" w:color="000000"/>
            </w:tcBorders>
            <w:shd w:val="clear" w:color="auto" w:fill="D2D2D2"/>
          </w:tcPr>
          <w:p>
            <w:pPr/>
          </w:p>
        </w:tc>
        <w:tc>
          <w:tcPr>
            <w:tcW w:w="64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4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13" w:type="dxa"/>
            <w:gridSpan w:val="3"/>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8" w:type="dxa"/>
            <w:vMerge/>
            <w:tcBorders>
              <w:left w:val="single" w:sz="4" w:space="0" w:color="000000"/>
              <w:right w:val="single" w:sz="4" w:space="0" w:color="000000"/>
            </w:tcBorders>
            <w:shd w:val="clear" w:color="auto" w:fill="D2D2D2"/>
          </w:tcPr>
          <w:p>
            <w:pPr/>
          </w:p>
        </w:tc>
        <w:tc>
          <w:tcPr>
            <w:tcW w:w="725"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615" w:type="dxa"/>
            <w:vMerge/>
            <w:tcBorders>
              <w:left w:val="single" w:sz="4" w:space="0" w:color="000000"/>
              <w:right w:val="single" w:sz="4" w:space="0" w:color="000000"/>
            </w:tcBorders>
            <w:shd w:val="clear" w:color="auto" w:fill="D2D2D2"/>
          </w:tcPr>
          <w:p>
            <w:pPr/>
          </w:p>
        </w:tc>
        <w:tc>
          <w:tcPr>
            <w:tcW w:w="7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2" w:type="dxa"/>
            <w:vMerge/>
            <w:tcBorders>
              <w:left w:val="single" w:sz="4" w:space="0" w:color="000000"/>
              <w:right w:val="single" w:sz="4" w:space="0" w:color="000000"/>
            </w:tcBorders>
            <w:shd w:val="clear" w:color="auto" w:fill="D2D2D2"/>
          </w:tcPr>
          <w:p>
            <w:pPr/>
          </w:p>
        </w:tc>
      </w:tr>
      <w:tr>
        <w:trPr>
          <w:trHeight w:val="202" w:hRule="exact"/>
        </w:trPr>
        <w:tc>
          <w:tcPr>
            <w:tcW w:w="1283" w:type="dxa"/>
            <w:vMerge w:val="restart"/>
            <w:tcBorders>
              <w:top w:val="nil" w:sz="6" w:space="0" w:color="auto"/>
              <w:left w:val="single" w:sz="4" w:space="0" w:color="000000"/>
              <w:right w:val="single" w:sz="4" w:space="0" w:color="000000"/>
            </w:tcBorders>
            <w:shd w:val="clear" w:color="auto" w:fill="D2D2D2"/>
          </w:tcPr>
          <w:p>
            <w:pPr/>
          </w:p>
        </w:tc>
        <w:tc>
          <w:tcPr>
            <w:tcW w:w="640" w:type="dxa"/>
            <w:vMerge/>
            <w:tcBorders>
              <w:left w:val="single" w:sz="4" w:space="0" w:color="000000"/>
              <w:bottom w:val="nil" w:sz="6" w:space="0" w:color="auto"/>
              <w:right w:val="single" w:sz="4" w:space="0" w:color="000000"/>
            </w:tcBorders>
            <w:shd w:val="clear" w:color="auto" w:fill="D2D2D2"/>
          </w:tcPr>
          <w:p>
            <w:pPr/>
          </w:p>
        </w:tc>
        <w:tc>
          <w:tcPr>
            <w:tcW w:w="6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1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7" w:type="dxa"/>
            <w:vMerge/>
            <w:tcBorders>
              <w:left w:val="single" w:sz="4" w:space="0" w:color="000000"/>
              <w:right w:val="single" w:sz="4" w:space="0" w:color="000000"/>
            </w:tcBorders>
            <w:shd w:val="clear" w:color="auto" w:fill="D2D2D2"/>
          </w:tcPr>
          <w:p>
            <w:pPr/>
          </w:p>
        </w:tc>
        <w:tc>
          <w:tcPr>
            <w:tcW w:w="728" w:type="dxa"/>
            <w:vMerge/>
            <w:tcBorders>
              <w:left w:val="single" w:sz="4" w:space="0" w:color="000000"/>
              <w:right w:val="single" w:sz="4" w:space="0" w:color="000000"/>
            </w:tcBorders>
            <w:shd w:val="clear" w:color="auto" w:fill="D2D2D2"/>
          </w:tcPr>
          <w:p>
            <w:pPr/>
          </w:p>
        </w:tc>
        <w:tc>
          <w:tcPr>
            <w:tcW w:w="725"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615" w:type="dxa"/>
            <w:vMerge/>
            <w:tcBorders>
              <w:left w:val="single" w:sz="4" w:space="0" w:color="000000"/>
              <w:right w:val="single" w:sz="4" w:space="0" w:color="000000"/>
            </w:tcBorders>
            <w:shd w:val="clear" w:color="auto" w:fill="D2D2D2"/>
          </w:tcPr>
          <w:p>
            <w:pPr/>
          </w:p>
        </w:tc>
        <w:tc>
          <w:tcPr>
            <w:tcW w:w="710" w:type="dxa"/>
            <w:vMerge/>
            <w:tcBorders>
              <w:left w:val="single" w:sz="4" w:space="0" w:color="000000"/>
              <w:bottom w:val="nil" w:sz="6" w:space="0" w:color="auto"/>
              <w:right w:val="single" w:sz="4" w:space="0" w:color="000000"/>
            </w:tcBorders>
            <w:shd w:val="clear" w:color="auto" w:fill="D2D2D2"/>
          </w:tcPr>
          <w:p>
            <w:pPr/>
          </w:p>
        </w:tc>
        <w:tc>
          <w:tcPr>
            <w:tcW w:w="862" w:type="dxa"/>
            <w:vMerge/>
            <w:tcBorders>
              <w:left w:val="single" w:sz="4" w:space="0" w:color="000000"/>
              <w:right w:val="single" w:sz="4" w:space="0" w:color="000000"/>
            </w:tcBorders>
            <w:shd w:val="clear" w:color="auto" w:fill="D2D2D2"/>
          </w:tcPr>
          <w:p>
            <w:pPr/>
          </w:p>
        </w:tc>
      </w:tr>
      <w:tr>
        <w:trPr>
          <w:trHeight w:val="182" w:hRule="exact"/>
        </w:trPr>
        <w:tc>
          <w:tcPr>
            <w:tcW w:w="1283" w:type="dxa"/>
            <w:vMerge/>
            <w:tcBorders>
              <w:left w:val="single" w:sz="4" w:space="0" w:color="000000"/>
              <w:bottom w:val="single" w:sz="4" w:space="0" w:color="000000"/>
              <w:right w:val="single" w:sz="4" w:space="0" w:color="000000"/>
            </w:tcBorders>
            <w:shd w:val="clear" w:color="auto" w:fill="D2D2D2"/>
          </w:tcPr>
          <w:p>
            <w:pPr/>
          </w:p>
        </w:tc>
        <w:tc>
          <w:tcPr>
            <w:tcW w:w="640" w:type="dxa"/>
            <w:tcBorders>
              <w:top w:val="nil" w:sz="6" w:space="0" w:color="auto"/>
              <w:left w:val="single" w:sz="4" w:space="0" w:color="000000"/>
              <w:bottom w:val="single" w:sz="4" w:space="0" w:color="000000"/>
              <w:right w:val="single" w:sz="4" w:space="0" w:color="000000"/>
            </w:tcBorders>
            <w:shd w:val="clear" w:color="auto" w:fill="D2D2D2"/>
          </w:tcPr>
          <w:p>
            <w:pPr/>
          </w:p>
        </w:tc>
        <w:tc>
          <w:tcPr>
            <w:tcW w:w="605" w:type="dxa"/>
            <w:vMerge/>
            <w:tcBorders>
              <w:left w:val="single" w:sz="4" w:space="0" w:color="000000"/>
              <w:bottom w:val="single" w:sz="4" w:space="0" w:color="000000"/>
              <w:right w:val="single" w:sz="4" w:space="0" w:color="000000"/>
            </w:tcBorders>
            <w:shd w:val="clear" w:color="auto" w:fill="D2D2D2"/>
          </w:tcPr>
          <w:p>
            <w:pPr/>
          </w:p>
        </w:tc>
        <w:tc>
          <w:tcPr>
            <w:tcW w:w="603" w:type="dxa"/>
            <w:vMerge/>
            <w:tcBorders>
              <w:left w:val="single" w:sz="4" w:space="0" w:color="000000"/>
              <w:bottom w:val="single" w:sz="4" w:space="0" w:color="000000"/>
              <w:right w:val="single" w:sz="4" w:space="0" w:color="000000"/>
            </w:tcBorders>
            <w:shd w:val="clear" w:color="auto" w:fill="D2D2D2"/>
          </w:tcPr>
          <w:p>
            <w:pPr/>
          </w:p>
        </w:tc>
        <w:tc>
          <w:tcPr>
            <w:tcW w:w="605"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8" w:type="dxa"/>
            <w:vMerge/>
            <w:tcBorders>
              <w:left w:val="single" w:sz="4" w:space="0" w:color="000000"/>
              <w:bottom w:val="single" w:sz="4" w:space="0" w:color="000000"/>
              <w:right w:val="single" w:sz="4" w:space="0" w:color="000000"/>
            </w:tcBorders>
            <w:shd w:val="clear" w:color="auto" w:fill="D2D2D2"/>
          </w:tcPr>
          <w:p>
            <w:pPr/>
          </w:p>
        </w:tc>
        <w:tc>
          <w:tcPr>
            <w:tcW w:w="725"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615" w:type="dxa"/>
            <w:vMerge/>
            <w:tcBorders>
              <w:left w:val="single" w:sz="4" w:space="0" w:color="000000"/>
              <w:bottom w:val="single" w:sz="4" w:space="0" w:color="000000"/>
              <w:right w:val="single" w:sz="4" w:space="0" w:color="000000"/>
            </w:tcBorders>
            <w:shd w:val="clear" w:color="auto" w:fill="D2D2D2"/>
          </w:tcPr>
          <w:p>
            <w:pPr/>
          </w:p>
        </w:tc>
        <w:tc>
          <w:tcPr>
            <w:tcW w:w="710" w:type="dxa"/>
            <w:tcBorders>
              <w:top w:val="nil" w:sz="6" w:space="0" w:color="auto"/>
              <w:left w:val="single" w:sz="4" w:space="0" w:color="000000"/>
              <w:bottom w:val="single" w:sz="4" w:space="0" w:color="000000"/>
              <w:right w:val="single" w:sz="4" w:space="0" w:color="000000"/>
            </w:tcBorders>
            <w:shd w:val="clear" w:color="auto" w:fill="D2D2D2"/>
          </w:tcPr>
          <w:p>
            <w:pPr/>
          </w:p>
        </w:tc>
        <w:tc>
          <w:tcPr>
            <w:tcW w:w="862" w:type="dxa"/>
            <w:vMerge/>
            <w:tcBorders>
              <w:left w:val="single" w:sz="4" w:space="0" w:color="000000"/>
              <w:bottom w:val="single" w:sz="4" w:space="0" w:color="000000"/>
              <w:right w:val="single" w:sz="4" w:space="0" w:color="000000"/>
            </w:tcBorders>
            <w:shd w:val="clear" w:color="auto" w:fill="D2D2D2"/>
          </w:tcPr>
          <w:p>
            <w:pPr/>
          </w:p>
        </w:tc>
      </w:tr>
      <w:tr>
        <w:trPr>
          <w:trHeight w:val="737"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73"/>
              <w:ind w:left="12" w:right="8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21" w:space="0" w:color="D2D2D2"/>
              <w:left w:val="single" w:sz="4" w:space="0" w:color="000000"/>
              <w:bottom w:val="single" w:sz="4" w:space="0" w:color="000000"/>
              <w:right w:val="single" w:sz="4" w:space="0" w:color="000000"/>
            </w:tcBorders>
          </w:tcPr>
          <w:p>
            <w:pPr/>
          </w:p>
        </w:tc>
        <w:tc>
          <w:tcPr>
            <w:tcW w:w="728" w:type="dxa"/>
            <w:tcBorders>
              <w:top w:val="single" w:sz="21" w:space="0" w:color="D2D2D2"/>
              <w:left w:val="single" w:sz="4" w:space="0" w:color="000000"/>
              <w:bottom w:val="single" w:sz="4" w:space="0" w:color="000000"/>
              <w:right w:val="single" w:sz="4" w:space="0" w:color="000000"/>
            </w:tcBorders>
          </w:tcPr>
          <w:p>
            <w:pPr/>
          </w:p>
        </w:tc>
        <w:tc>
          <w:tcPr>
            <w:tcW w:w="725" w:type="dxa"/>
            <w:tcBorders>
              <w:top w:val="single" w:sz="21" w:space="0" w:color="D2D2D2"/>
              <w:left w:val="single" w:sz="4" w:space="0" w:color="000000"/>
              <w:bottom w:val="single" w:sz="4" w:space="0" w:color="000000"/>
              <w:right w:val="single" w:sz="4" w:space="0" w:color="000000"/>
            </w:tcBorders>
          </w:tcPr>
          <w:p>
            <w:pPr/>
          </w:p>
        </w:tc>
        <w:tc>
          <w:tcPr>
            <w:tcW w:w="727" w:type="dxa"/>
            <w:tcBorders>
              <w:top w:val="single" w:sz="21" w:space="0" w:color="D2D2D2"/>
              <w:left w:val="single" w:sz="4" w:space="0" w:color="000000"/>
              <w:bottom w:val="single" w:sz="4" w:space="0" w:color="000000"/>
              <w:right w:val="single" w:sz="4" w:space="0" w:color="000000"/>
            </w:tcBorders>
          </w:tcPr>
          <w:p>
            <w:pPr/>
          </w:p>
        </w:tc>
        <w:tc>
          <w:tcPr>
            <w:tcW w:w="727" w:type="dxa"/>
            <w:tcBorders>
              <w:top w:val="single" w:sz="21" w:space="0" w:color="D2D2D2"/>
              <w:left w:val="single" w:sz="4" w:space="0" w:color="000000"/>
              <w:bottom w:val="single" w:sz="4" w:space="0" w:color="000000"/>
              <w:right w:val="single" w:sz="4" w:space="0" w:color="000000"/>
            </w:tcBorders>
          </w:tcPr>
          <w:p>
            <w:pPr/>
          </w:p>
        </w:tc>
        <w:tc>
          <w:tcPr>
            <w:tcW w:w="615" w:type="dxa"/>
            <w:tcBorders>
              <w:top w:val="single" w:sz="21" w:space="0" w:color="D2D2D2"/>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21" w:space="0" w:color="D2D2D2"/>
              <w:left w:val="single" w:sz="4" w:space="0" w:color="000000"/>
              <w:bottom w:val="single" w:sz="4" w:space="0" w:color="000000"/>
              <w:right w:val="single" w:sz="4" w:space="0" w:color="000000"/>
            </w:tcBorders>
          </w:tcPr>
          <w:p>
            <w:pPr/>
          </w:p>
        </w:tc>
      </w:tr>
      <w:tr>
        <w:trPr>
          <w:trHeight w:val="713"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9"/>
              <w:jc w:val="left"/>
              <w:rPr>
                <w:rFonts w:ascii="宋体" w:hAnsi="宋体" w:cs="宋体" w:eastAsia="宋体" w:hint="default"/>
                <w:sz w:val="18"/>
                <w:szCs w:val="18"/>
              </w:rPr>
            </w:pPr>
            <w:r>
              <w:rPr>
                <w:rFonts w:ascii="Times New Roman" w:hAnsi="Times New Roman" w:cs="Times New Roman" w:eastAsia="Times New Roman" w:hint="default"/>
                <w:spacing w:val="-13"/>
                <w:sz w:val="18"/>
                <w:szCs w:val="18"/>
              </w:rPr>
              <w:t>2</w:t>
            </w:r>
            <w:r>
              <w:rPr>
                <w:rFonts w:ascii="宋体" w:hAnsi="宋体" w:cs="宋体" w:eastAsia="宋体" w:hint="default"/>
                <w:spacing w:val="-13"/>
                <w:sz w:val="18"/>
                <w:szCs w:val="18"/>
              </w:rPr>
              <w:t>．对所有者（或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股东）的分配</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-27,422</w:t>
            </w:r>
          </w:p>
          <w:p>
            <w:pPr>
              <w:pStyle w:val="TableParagraph"/>
              <w:spacing w:line="240" w:lineRule="auto" w:before="105"/>
              <w:ind w:left="43" w:right="0"/>
              <w:jc w:val="left"/>
              <w:rPr>
                <w:rFonts w:ascii="Times New Roman" w:hAnsi="Times New Roman" w:cs="Times New Roman" w:eastAsia="Times New Roman" w:hint="default"/>
                <w:sz w:val="18"/>
                <w:szCs w:val="18"/>
              </w:rPr>
            </w:pPr>
            <w:r>
              <w:rPr>
                <w:rFonts w:ascii="Times New Roman"/>
                <w:sz w:val="18"/>
              </w:rPr>
              <w:t>,156.82</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-27,422,15</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6.82</w:t>
            </w:r>
          </w:p>
        </w:tc>
      </w:tr>
      <w:tr>
        <w:trPr>
          <w:trHeight w:val="403"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2"/>
                <w:sz w:val="18"/>
                <w:szCs w:val="18"/>
              </w:rPr>
              <w:t>（四）所有者权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益内部结转</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2"/>
              <w:ind w:left="12" w:right="8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8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8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88"/>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88"/>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283" w:type="dxa"/>
            <w:tcBorders>
              <w:top w:val="single" w:sz="4" w:space="0" w:color="000000"/>
              <w:left w:val="single" w:sz="4" w:space="0" w:color="000000"/>
              <w:bottom w:val="nil" w:sz="6" w:space="0" w:color="auto"/>
              <w:right w:val="single" w:sz="4" w:space="0" w:color="000000"/>
            </w:tcBorders>
            <w:shd w:val="clear" w:color="auto" w:fill="D2D2D2"/>
          </w:tcPr>
          <w:p>
            <w:pPr/>
          </w:p>
        </w:tc>
        <w:tc>
          <w:tcPr>
            <w:tcW w:w="640" w:type="dxa"/>
            <w:vMerge w:val="restart"/>
            <w:tcBorders>
              <w:top w:val="single" w:sz="4" w:space="0" w:color="000000"/>
              <w:left w:val="single" w:sz="10" w:space="0" w:color="D2D2D2"/>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1,139,8</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54,021.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125,25</w:t>
            </w:r>
          </w:p>
          <w:p>
            <w:pPr>
              <w:pStyle w:val="TableParagraph"/>
              <w:spacing w:line="240" w:lineRule="auto" w:before="103"/>
              <w:ind w:right="19"/>
              <w:jc w:val="right"/>
              <w:rPr>
                <w:rFonts w:ascii="Times New Roman" w:hAnsi="Times New Roman" w:cs="Times New Roman" w:eastAsia="Times New Roman" w:hint="default"/>
                <w:sz w:val="18"/>
                <w:szCs w:val="18"/>
              </w:rPr>
            </w:pPr>
            <w:r>
              <w:rPr>
                <w:rFonts w:ascii="Times New Roman"/>
                <w:spacing w:val="-1"/>
                <w:sz w:val="18"/>
              </w:rPr>
              <w:t>8,203.6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1,732,41</w:t>
            </w:r>
          </w:p>
          <w:p>
            <w:pPr>
              <w:pStyle w:val="TableParagraph"/>
              <w:spacing w:line="240" w:lineRule="auto" w:before="103"/>
              <w:ind w:left="62" w:right="0"/>
              <w:jc w:val="left"/>
              <w:rPr>
                <w:rFonts w:ascii="Times New Roman" w:hAnsi="Times New Roman" w:cs="Times New Roman" w:eastAsia="Times New Roman" w:hint="default"/>
                <w:sz w:val="18"/>
                <w:szCs w:val="18"/>
              </w:rPr>
            </w:pPr>
            <w:r>
              <w:rPr>
                <w:rFonts w:ascii="Times New Roman"/>
                <w:sz w:val="18"/>
              </w:rPr>
              <w:t>0,248.45</w:t>
            </w:r>
          </w:p>
        </w:tc>
        <w:tc>
          <w:tcPr>
            <w:tcW w:w="72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29,984,2</w:t>
            </w:r>
          </w:p>
          <w:p>
            <w:pPr>
              <w:pStyle w:val="TableParagraph"/>
              <w:spacing w:line="240" w:lineRule="auto" w:before="103"/>
              <w:ind w:left="290" w:right="0"/>
              <w:jc w:val="left"/>
              <w:rPr>
                <w:rFonts w:ascii="Times New Roman" w:hAnsi="Times New Roman" w:cs="Times New Roman" w:eastAsia="Times New Roman" w:hint="default"/>
                <w:sz w:val="18"/>
                <w:szCs w:val="18"/>
              </w:rPr>
            </w:pPr>
            <w:r>
              <w:rPr>
                <w:rFonts w:ascii="Times New Roman"/>
                <w:sz w:val="18"/>
              </w:rPr>
              <w:t>65.25</w:t>
            </w:r>
          </w:p>
        </w:tc>
        <w:tc>
          <w:tcPr>
            <w:tcW w:w="72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2,363,52</w:t>
            </w:r>
          </w:p>
          <w:p>
            <w:pPr>
              <w:pStyle w:val="TableParagraph"/>
              <w:spacing w:line="240" w:lineRule="auto" w:before="103"/>
              <w:ind w:left="379" w:right="0"/>
              <w:jc w:val="left"/>
              <w:rPr>
                <w:rFonts w:ascii="Times New Roman" w:hAnsi="Times New Roman" w:cs="Times New Roman" w:eastAsia="Times New Roman" w:hint="default"/>
                <w:sz w:val="18"/>
                <w:szCs w:val="18"/>
              </w:rPr>
            </w:pPr>
            <w:r>
              <w:rPr>
                <w:rFonts w:ascii="Times New Roman"/>
                <w:sz w:val="18"/>
              </w:rPr>
              <w:t>6.48</w:t>
            </w: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150,153,</w:t>
            </w:r>
          </w:p>
          <w:p>
            <w:pPr>
              <w:pStyle w:val="TableParagraph"/>
              <w:spacing w:line="240" w:lineRule="auto" w:before="103"/>
              <w:ind w:left="175" w:right="0"/>
              <w:jc w:val="center"/>
              <w:rPr>
                <w:rFonts w:ascii="Times New Roman" w:hAnsi="Times New Roman" w:cs="Times New Roman" w:eastAsia="Times New Roman" w:hint="default"/>
                <w:sz w:val="18"/>
                <w:szCs w:val="18"/>
              </w:rPr>
            </w:pPr>
            <w:r>
              <w:rPr>
                <w:rFonts w:ascii="Times New Roman"/>
                <w:sz w:val="18"/>
              </w:rPr>
              <w:t>223.42</w:t>
            </w:r>
          </w:p>
        </w:tc>
        <w:tc>
          <w:tcPr>
            <w:tcW w:w="615"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-318,20</w:t>
            </w:r>
          </w:p>
          <w:p>
            <w:pPr>
              <w:pStyle w:val="TableParagraph"/>
              <w:spacing w:line="240" w:lineRule="auto" w:before="103"/>
              <w:ind w:right="19"/>
              <w:jc w:val="right"/>
              <w:rPr>
                <w:rFonts w:ascii="Times New Roman" w:hAnsi="Times New Roman" w:cs="Times New Roman" w:eastAsia="Times New Roman" w:hint="default"/>
                <w:sz w:val="18"/>
                <w:szCs w:val="18"/>
              </w:rPr>
            </w:pPr>
            <w:r>
              <w:rPr>
                <w:rFonts w:ascii="Times New Roman"/>
                <w:spacing w:val="-1"/>
                <w:sz w:val="18"/>
              </w:rPr>
              <w:t>8,249.0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2,801,846,</w:t>
            </w:r>
          </w:p>
          <w:p>
            <w:pPr>
              <w:pStyle w:val="TableParagraph"/>
              <w:spacing w:line="240" w:lineRule="auto" w:before="103"/>
              <w:ind w:left="335" w:right="0"/>
              <w:jc w:val="left"/>
              <w:rPr>
                <w:rFonts w:ascii="Times New Roman" w:hAnsi="Times New Roman" w:cs="Times New Roman" w:eastAsia="Times New Roman" w:hint="default"/>
                <w:sz w:val="18"/>
                <w:szCs w:val="18"/>
              </w:rPr>
            </w:pPr>
            <w:r>
              <w:rPr>
                <w:rFonts w:ascii="Times New Roman"/>
                <w:sz w:val="18"/>
              </w:rPr>
              <w:t>708.65</w:t>
            </w:r>
          </w:p>
        </w:tc>
      </w:tr>
      <w:tr>
        <w:trPr>
          <w:trHeight w:val="704" w:hRule="exact"/>
        </w:trPr>
        <w:tc>
          <w:tcPr>
            <w:tcW w:w="12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2"/>
                <w:sz w:val="18"/>
                <w:szCs w:val="18"/>
              </w:rPr>
              <w:t>四、本期期末余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640"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83" w:type="dxa"/>
            <w:tcBorders>
              <w:top w:val="nil" w:sz="6" w:space="0" w:color="auto"/>
              <w:left w:val="single" w:sz="4" w:space="0" w:color="000000"/>
              <w:bottom w:val="single" w:sz="4" w:space="0" w:color="000000"/>
              <w:right w:val="single" w:sz="4" w:space="0" w:color="000000"/>
            </w:tcBorders>
            <w:shd w:val="clear" w:color="auto" w:fill="D2D2D2"/>
          </w:tcPr>
          <w:p>
            <w:pPr/>
          </w:p>
        </w:tc>
        <w:tc>
          <w:tcPr>
            <w:tcW w:w="640"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bl>
    <w:p>
      <w:pPr>
        <w:pStyle w:val="BodyText"/>
        <w:spacing w:line="240" w:lineRule="auto" w:before="49"/>
        <w:ind w:right="2602"/>
        <w:jc w:val="left"/>
      </w:pPr>
      <w:r>
        <w:rPr/>
        <w:t>上期金额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230"/>
        <w:gridCol w:w="593"/>
        <w:gridCol w:w="574"/>
        <w:gridCol w:w="572"/>
        <w:gridCol w:w="571"/>
        <w:gridCol w:w="686"/>
        <w:gridCol w:w="686"/>
        <w:gridCol w:w="684"/>
        <w:gridCol w:w="782"/>
        <w:gridCol w:w="665"/>
        <w:gridCol w:w="797"/>
        <w:gridCol w:w="797"/>
        <w:gridCol w:w="931"/>
      </w:tblGrid>
      <w:tr>
        <w:trPr>
          <w:trHeight w:val="403" w:hRule="exact"/>
        </w:trPr>
        <w:tc>
          <w:tcPr>
            <w:tcW w:w="123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39"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w:t>
            </w:r>
          </w:p>
        </w:tc>
      </w:tr>
      <w:tr>
        <w:trPr>
          <w:trHeight w:val="401" w:hRule="exact"/>
        </w:trPr>
        <w:tc>
          <w:tcPr>
            <w:tcW w:w="1230" w:type="dxa"/>
            <w:vMerge/>
            <w:tcBorders>
              <w:left w:val="single" w:sz="4" w:space="0" w:color="000000"/>
              <w:right w:val="single" w:sz="4" w:space="0" w:color="000000"/>
            </w:tcBorders>
            <w:shd w:val="clear" w:color="auto" w:fill="D2D2D2"/>
          </w:tcPr>
          <w:p>
            <w:pPr/>
          </w:p>
        </w:tc>
        <w:tc>
          <w:tcPr>
            <w:tcW w:w="5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249" w:right="6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249" w:right="22" w:hanging="226"/>
              <w:jc w:val="left"/>
              <w:rPr>
                <w:rFonts w:ascii="宋体" w:hAnsi="宋体" w:cs="宋体" w:eastAsia="宋体" w:hint="default"/>
                <w:sz w:val="18"/>
                <w:szCs w:val="18"/>
              </w:rPr>
            </w:pPr>
            <w:r>
              <w:rPr>
                <w:rFonts w:ascii="宋体" w:hAnsi="宋体" w:cs="宋体" w:eastAsia="宋体" w:hint="default"/>
                <w:spacing w:val="-23"/>
                <w:sz w:val="18"/>
                <w:szCs w:val="18"/>
              </w:rPr>
              <w:t>减：库存</w:t>
            </w:r>
            <w:r>
              <w:rPr>
                <w:rFonts w:ascii="宋体" w:hAnsi="宋体" w:cs="宋体" w:eastAsia="宋体" w:hint="default"/>
                <w:sz w:val="18"/>
                <w:szCs w:val="18"/>
              </w:rPr>
              <w:t> 股</w:t>
            </w:r>
          </w:p>
        </w:tc>
        <w:tc>
          <w:tcPr>
            <w:tcW w:w="6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67" w:right="65"/>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304" w:right="32" w:hanging="272"/>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189" w:right="98"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715" w:hRule="exact"/>
        </w:trPr>
        <w:tc>
          <w:tcPr>
            <w:tcW w:w="1230" w:type="dxa"/>
            <w:vMerge/>
            <w:tcBorders>
              <w:left w:val="single" w:sz="4" w:space="0" w:color="000000"/>
              <w:bottom w:val="single" w:sz="4" w:space="0" w:color="000000"/>
              <w:right w:val="single" w:sz="4" w:space="0" w:color="000000"/>
            </w:tcBorders>
            <w:shd w:val="clear" w:color="auto" w:fill="D2D2D2"/>
          </w:tcPr>
          <w:p>
            <w:pPr/>
          </w:p>
        </w:tc>
        <w:tc>
          <w:tcPr>
            <w:tcW w:w="593" w:type="dxa"/>
            <w:vMerge/>
            <w:tcBorders>
              <w:left w:val="single" w:sz="4" w:space="0" w:color="000000"/>
              <w:bottom w:val="single" w:sz="4" w:space="0" w:color="000000"/>
              <w:right w:val="single" w:sz="4" w:space="0" w:color="000000"/>
            </w:tcBorders>
            <w:shd w:val="clear" w:color="auto" w:fill="D2D2D2"/>
          </w:tcPr>
          <w:p>
            <w:pPr/>
          </w:p>
        </w:tc>
        <w:tc>
          <w:tcPr>
            <w:tcW w:w="5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94" w:right="98"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91" w:right="99"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86" w:type="dxa"/>
            <w:vMerge/>
            <w:tcBorders>
              <w:left w:val="single" w:sz="4" w:space="0" w:color="000000"/>
              <w:bottom w:val="single" w:sz="4" w:space="0" w:color="000000"/>
              <w:right w:val="single" w:sz="4" w:space="0" w:color="000000"/>
            </w:tcBorders>
            <w:shd w:val="clear" w:color="auto" w:fill="D2D2D2"/>
          </w:tcPr>
          <w:p>
            <w:pPr/>
          </w:p>
        </w:tc>
        <w:tc>
          <w:tcPr>
            <w:tcW w:w="686" w:type="dxa"/>
            <w:vMerge/>
            <w:tcBorders>
              <w:left w:val="single" w:sz="4" w:space="0" w:color="000000"/>
              <w:bottom w:val="single" w:sz="4" w:space="0" w:color="000000"/>
              <w:right w:val="single" w:sz="4" w:space="0" w:color="000000"/>
            </w:tcBorders>
            <w:shd w:val="clear" w:color="auto" w:fill="D2D2D2"/>
          </w:tcPr>
          <w:p>
            <w:pPr/>
          </w:p>
        </w:tc>
        <w:tc>
          <w:tcPr>
            <w:tcW w:w="684" w:type="dxa"/>
            <w:vMerge/>
            <w:tcBorders>
              <w:left w:val="single" w:sz="4" w:space="0" w:color="000000"/>
              <w:bottom w:val="single" w:sz="4" w:space="0" w:color="000000"/>
              <w:right w:val="single" w:sz="4" w:space="0" w:color="000000"/>
            </w:tcBorders>
            <w:shd w:val="clear" w:color="auto" w:fill="D2D2D2"/>
          </w:tcPr>
          <w:p>
            <w:pPr/>
          </w:p>
        </w:tc>
        <w:tc>
          <w:tcPr>
            <w:tcW w:w="782"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220"/>
        <w:gridCol w:w="593"/>
        <w:gridCol w:w="574"/>
        <w:gridCol w:w="572"/>
        <w:gridCol w:w="571"/>
        <w:gridCol w:w="686"/>
        <w:gridCol w:w="686"/>
        <w:gridCol w:w="684"/>
        <w:gridCol w:w="782"/>
        <w:gridCol w:w="665"/>
        <w:gridCol w:w="797"/>
        <w:gridCol w:w="797"/>
        <w:gridCol w:w="931"/>
      </w:tblGrid>
      <w:tr>
        <w:trPr>
          <w:trHeight w:val="402" w:hRule="exact"/>
        </w:trPr>
        <w:tc>
          <w:tcPr>
            <w:tcW w:w="1220" w:type="dxa"/>
            <w:vMerge w:val="restart"/>
            <w:tcBorders>
              <w:top w:val="single" w:sz="4" w:space="0" w:color="000000"/>
              <w:left w:val="single" w:sz="4" w:space="0" w:color="000000"/>
              <w:right w:val="single" w:sz="4" w:space="0" w:color="000000"/>
            </w:tcBorders>
            <w:shd w:val="clear" w:color="auto" w:fill="D2D2D2"/>
          </w:tcPr>
          <w:p>
            <w:pPr/>
          </w:p>
        </w:tc>
        <w:tc>
          <w:tcPr>
            <w:tcW w:w="8339"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w:t>
            </w:r>
          </w:p>
        </w:tc>
      </w:tr>
      <w:tr>
        <w:trPr>
          <w:trHeight w:val="184" w:hRule="exact"/>
        </w:trPr>
        <w:tc>
          <w:tcPr>
            <w:tcW w:w="1220" w:type="dxa"/>
            <w:vMerge/>
            <w:tcBorders>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4" w:space="0" w:color="000000"/>
              <w:right w:val="single" w:sz="4" w:space="0" w:color="000000"/>
            </w:tcBorders>
            <w:shd w:val="clear" w:color="auto" w:fill="D2D2D2"/>
          </w:tcPr>
          <w:p>
            <w:pPr/>
          </w:p>
        </w:tc>
        <w:tc>
          <w:tcPr>
            <w:tcW w:w="171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1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2" w:type="dxa"/>
            <w:vMerge w:val="restart"/>
            <w:tcBorders>
              <w:top w:val="single" w:sz="4" w:space="0" w:color="000000"/>
              <w:left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79" w:hRule="exact"/>
        </w:trPr>
        <w:tc>
          <w:tcPr>
            <w:tcW w:w="122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7"/>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593" w:type="dxa"/>
            <w:vMerge/>
            <w:tcBorders>
              <w:left w:val="single" w:sz="4" w:space="0" w:color="000000"/>
              <w:bottom w:val="nil" w:sz="6" w:space="0" w:color="auto"/>
              <w:right w:val="single" w:sz="4" w:space="0" w:color="000000"/>
            </w:tcBorders>
            <w:shd w:val="clear" w:color="auto" w:fill="D2D2D2"/>
          </w:tcPr>
          <w:p>
            <w:pPr/>
          </w:p>
        </w:tc>
        <w:tc>
          <w:tcPr>
            <w:tcW w:w="1717" w:type="dxa"/>
            <w:gridSpan w:val="3"/>
            <w:vMerge/>
            <w:tcBorders>
              <w:left w:val="single" w:sz="4" w:space="0" w:color="000000"/>
              <w:bottom w:val="single" w:sz="4" w:space="0" w:color="000000"/>
              <w:right w:val="single" w:sz="4" w:space="0" w:color="000000"/>
            </w:tcBorders>
            <w:shd w:val="clear" w:color="auto" w:fill="D2D2D2"/>
          </w:tcPr>
          <w:p>
            <w:pPr/>
          </w:p>
        </w:tc>
        <w:tc>
          <w:tcPr>
            <w:tcW w:w="6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9"/>
              <w:ind w:left="249" w:right="6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9"/>
              <w:ind w:left="249" w:right="22" w:hanging="226"/>
              <w:jc w:val="left"/>
              <w:rPr>
                <w:rFonts w:ascii="宋体" w:hAnsi="宋体" w:cs="宋体" w:eastAsia="宋体" w:hint="default"/>
                <w:sz w:val="18"/>
                <w:szCs w:val="18"/>
              </w:rPr>
            </w:pPr>
            <w:r>
              <w:rPr>
                <w:rFonts w:ascii="宋体" w:hAnsi="宋体" w:cs="宋体" w:eastAsia="宋体" w:hint="default"/>
                <w:spacing w:val="-23"/>
                <w:sz w:val="18"/>
                <w:szCs w:val="18"/>
              </w:rPr>
              <w:t>减：库存</w:t>
            </w:r>
            <w:r>
              <w:rPr>
                <w:rFonts w:ascii="宋体" w:hAnsi="宋体" w:cs="宋体" w:eastAsia="宋体" w:hint="default"/>
                <w:sz w:val="18"/>
                <w:szCs w:val="18"/>
              </w:rPr>
              <w:t> 股</w:t>
            </w:r>
          </w:p>
        </w:tc>
        <w:tc>
          <w:tcPr>
            <w:tcW w:w="68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9"/>
              <w:ind w:left="67" w:right="65"/>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82"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304" w:right="32" w:hanging="272"/>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97"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189" w:right="98"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88" w:hRule="exact"/>
        </w:trPr>
        <w:tc>
          <w:tcPr>
            <w:tcW w:w="1220" w:type="dxa"/>
            <w:vMerge/>
            <w:tcBorders>
              <w:left w:val="single" w:sz="4" w:space="0" w:color="000000"/>
              <w:bottom w:val="nil" w:sz="6" w:space="0" w:color="auto"/>
              <w:right w:val="single" w:sz="4" w:space="0" w:color="000000"/>
            </w:tcBorders>
            <w:shd w:val="clear" w:color="auto" w:fill="D2D2D2"/>
          </w:tcPr>
          <w:p>
            <w:pPr/>
          </w:p>
        </w:tc>
        <w:tc>
          <w:tcPr>
            <w:tcW w:w="5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1"/>
              <w:ind w:left="11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7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94" w:right="98"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57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91" w:right="99"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571"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4" w:type="dxa"/>
            <w:vMerge/>
            <w:tcBorders>
              <w:left w:val="single" w:sz="4" w:space="0" w:color="000000"/>
              <w:right w:val="single" w:sz="4" w:space="0" w:color="000000"/>
            </w:tcBorders>
            <w:shd w:val="clear" w:color="auto" w:fill="D2D2D2"/>
          </w:tcPr>
          <w:p>
            <w:pPr/>
          </w:p>
        </w:tc>
        <w:tc>
          <w:tcPr>
            <w:tcW w:w="78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26"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665"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1" w:type="dxa"/>
            <w:vMerge/>
            <w:tcBorders>
              <w:left w:val="single" w:sz="4" w:space="0" w:color="000000"/>
              <w:right w:val="single" w:sz="4" w:space="0" w:color="000000"/>
            </w:tcBorders>
            <w:shd w:val="clear" w:color="auto" w:fill="D2D2D2"/>
          </w:tcPr>
          <w:p>
            <w:pPr/>
          </w:p>
        </w:tc>
      </w:tr>
      <w:tr>
        <w:trPr>
          <w:trHeight w:val="197" w:hRule="exact"/>
        </w:trPr>
        <w:tc>
          <w:tcPr>
            <w:tcW w:w="1220" w:type="dxa"/>
            <w:vMerge w:val="restart"/>
            <w:tcBorders>
              <w:top w:val="nil" w:sz="6" w:space="0" w:color="auto"/>
              <w:left w:val="single" w:sz="4" w:space="0" w:color="000000"/>
              <w:right w:val="single" w:sz="4" w:space="0" w:color="000000"/>
            </w:tcBorders>
            <w:shd w:val="clear" w:color="auto" w:fill="D2D2D2"/>
          </w:tcPr>
          <w:p>
            <w:pPr/>
          </w:p>
        </w:tc>
        <w:tc>
          <w:tcPr>
            <w:tcW w:w="593"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4" w:space="0" w:color="000000"/>
              <w:right w:val="single" w:sz="4" w:space="0" w:color="000000"/>
            </w:tcBorders>
            <w:shd w:val="clear" w:color="auto" w:fill="D2D2D2"/>
          </w:tcPr>
          <w:p>
            <w:pPr/>
          </w:p>
        </w:tc>
        <w:tc>
          <w:tcPr>
            <w:tcW w:w="572" w:type="dxa"/>
            <w:vMerge/>
            <w:tcBorders>
              <w:left w:val="single" w:sz="4" w:space="0" w:color="000000"/>
              <w:right w:val="single" w:sz="4" w:space="0" w:color="000000"/>
            </w:tcBorders>
            <w:shd w:val="clear" w:color="auto" w:fill="D2D2D2"/>
          </w:tcPr>
          <w:p>
            <w:pPr/>
          </w:p>
        </w:tc>
        <w:tc>
          <w:tcPr>
            <w:tcW w:w="5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86" w:type="dxa"/>
            <w:vMerge/>
            <w:tcBorders>
              <w:left w:val="single" w:sz="4" w:space="0" w:color="000000"/>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4" w:type="dxa"/>
            <w:vMerge/>
            <w:tcBorders>
              <w:left w:val="single" w:sz="4" w:space="0" w:color="000000"/>
              <w:right w:val="single" w:sz="4" w:space="0" w:color="000000"/>
            </w:tcBorders>
            <w:shd w:val="clear" w:color="auto" w:fill="D2D2D2"/>
          </w:tcPr>
          <w:p>
            <w:pPr/>
          </w:p>
        </w:tc>
        <w:tc>
          <w:tcPr>
            <w:tcW w:w="782"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931" w:type="dxa"/>
            <w:vMerge/>
            <w:tcBorders>
              <w:left w:val="single" w:sz="4" w:space="0" w:color="000000"/>
              <w:right w:val="single" w:sz="4" w:space="0" w:color="000000"/>
            </w:tcBorders>
            <w:shd w:val="clear" w:color="auto" w:fill="D2D2D2"/>
          </w:tcPr>
          <w:p>
            <w:pPr/>
          </w:p>
        </w:tc>
      </w:tr>
      <w:tr>
        <w:trPr>
          <w:trHeight w:val="156" w:hRule="exact"/>
        </w:trPr>
        <w:tc>
          <w:tcPr>
            <w:tcW w:w="1220" w:type="dxa"/>
            <w:vMerge/>
            <w:tcBorders>
              <w:left w:val="single" w:sz="4" w:space="0" w:color="000000"/>
              <w:right w:val="single" w:sz="4" w:space="0" w:color="000000"/>
            </w:tcBorders>
            <w:shd w:val="clear" w:color="auto" w:fill="D2D2D2"/>
          </w:tcPr>
          <w:p>
            <w:pPr/>
          </w:p>
        </w:tc>
        <w:tc>
          <w:tcPr>
            <w:tcW w:w="593" w:type="dxa"/>
            <w:vMerge w:val="restart"/>
            <w:tcBorders>
              <w:top w:val="nil" w:sz="6" w:space="0" w:color="auto"/>
              <w:left w:val="single" w:sz="4" w:space="0" w:color="000000"/>
              <w:right w:val="single" w:sz="4" w:space="0" w:color="000000"/>
            </w:tcBorders>
            <w:shd w:val="clear" w:color="auto" w:fill="D2D2D2"/>
          </w:tcPr>
          <w:p>
            <w:pPr/>
          </w:p>
        </w:tc>
        <w:tc>
          <w:tcPr>
            <w:tcW w:w="574" w:type="dxa"/>
            <w:vMerge/>
            <w:tcBorders>
              <w:left w:val="single" w:sz="4" w:space="0" w:color="000000"/>
              <w:right w:val="single" w:sz="4" w:space="0" w:color="000000"/>
            </w:tcBorders>
            <w:shd w:val="clear" w:color="auto" w:fill="D2D2D2"/>
          </w:tcPr>
          <w:p>
            <w:pPr/>
          </w:p>
        </w:tc>
        <w:tc>
          <w:tcPr>
            <w:tcW w:w="572" w:type="dxa"/>
            <w:vMerge/>
            <w:tcBorders>
              <w:left w:val="single" w:sz="4" w:space="0" w:color="000000"/>
              <w:right w:val="single" w:sz="4" w:space="0" w:color="000000"/>
            </w:tcBorders>
            <w:shd w:val="clear" w:color="auto" w:fill="D2D2D2"/>
          </w:tcPr>
          <w:p>
            <w:pPr/>
          </w:p>
        </w:tc>
        <w:tc>
          <w:tcPr>
            <w:tcW w:w="571" w:type="dxa"/>
            <w:vMerge/>
            <w:tcBorders>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bottom w:val="nil" w:sz="6" w:space="0" w:color="auto"/>
              <w:right w:val="single" w:sz="4" w:space="0" w:color="000000"/>
            </w:tcBorders>
            <w:shd w:val="clear" w:color="auto" w:fill="D2D2D2"/>
          </w:tcPr>
          <w:p>
            <w:pPr/>
          </w:p>
        </w:tc>
        <w:tc>
          <w:tcPr>
            <w:tcW w:w="684" w:type="dxa"/>
            <w:vMerge/>
            <w:tcBorders>
              <w:left w:val="single" w:sz="4" w:space="0" w:color="000000"/>
              <w:bottom w:val="nil" w:sz="6" w:space="0" w:color="auto"/>
              <w:right w:val="single" w:sz="4" w:space="0" w:color="000000"/>
            </w:tcBorders>
            <w:shd w:val="clear" w:color="auto" w:fill="D2D2D2"/>
          </w:tcPr>
          <w:p>
            <w:pPr/>
          </w:p>
        </w:tc>
        <w:tc>
          <w:tcPr>
            <w:tcW w:w="782" w:type="dxa"/>
            <w:vMerge w:val="restart"/>
            <w:tcBorders>
              <w:top w:val="nil" w:sz="6" w:space="0" w:color="auto"/>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4" w:hRule="exact"/>
        </w:trPr>
        <w:tc>
          <w:tcPr>
            <w:tcW w:w="1220" w:type="dxa"/>
            <w:vMerge/>
            <w:tcBorders>
              <w:left w:val="single" w:sz="4" w:space="0" w:color="000000"/>
              <w:bottom w:val="single" w:sz="4" w:space="0" w:color="000000"/>
              <w:right w:val="single" w:sz="4" w:space="0" w:color="000000"/>
            </w:tcBorders>
            <w:shd w:val="clear" w:color="auto" w:fill="D2D2D2"/>
          </w:tcPr>
          <w:p>
            <w:pPr/>
          </w:p>
        </w:tc>
        <w:tc>
          <w:tcPr>
            <w:tcW w:w="593"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72" w:type="dxa"/>
            <w:vMerge/>
            <w:tcBorders>
              <w:left w:val="single" w:sz="4" w:space="0" w:color="000000"/>
              <w:bottom w:val="single" w:sz="4" w:space="0" w:color="000000"/>
              <w:right w:val="single" w:sz="4" w:space="0" w:color="000000"/>
            </w:tcBorders>
            <w:shd w:val="clear" w:color="auto" w:fill="D2D2D2"/>
          </w:tcPr>
          <w:p>
            <w:pPr/>
          </w:p>
        </w:tc>
        <w:tc>
          <w:tcPr>
            <w:tcW w:w="571"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782"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931"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3" w:hRule="exact"/>
        </w:trPr>
        <w:tc>
          <w:tcPr>
            <w:tcW w:w="122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9" w:space="0" w:color="D2D2D2"/>
              <w:right w:val="single" w:sz="4" w:space="0" w:color="000000"/>
            </w:tcBorders>
          </w:tcPr>
          <w:p>
            <w:pPr>
              <w:pStyle w:val="TableParagraph"/>
              <w:spacing w:line="240" w:lineRule="auto" w:before="93"/>
              <w:ind w:left="83" w:right="0"/>
              <w:jc w:val="center"/>
              <w:rPr>
                <w:rFonts w:ascii="Times New Roman" w:hAnsi="Times New Roman" w:cs="Times New Roman" w:eastAsia="Times New Roman" w:hint="default"/>
                <w:sz w:val="18"/>
                <w:szCs w:val="18"/>
              </w:rPr>
            </w:pPr>
            <w:r>
              <w:rPr>
                <w:rFonts w:ascii="Times New Roman"/>
                <w:sz w:val="18"/>
              </w:rPr>
              <w:t>1,031,</w:t>
            </w:r>
          </w:p>
          <w:p>
            <w:pPr>
              <w:pStyle w:val="TableParagraph"/>
              <w:spacing w:line="240" w:lineRule="auto" w:before="102"/>
              <w:ind w:left="40" w:right="0"/>
              <w:jc w:val="center"/>
              <w:rPr>
                <w:rFonts w:ascii="Times New Roman" w:hAnsi="Times New Roman" w:cs="Times New Roman" w:eastAsia="Times New Roman" w:hint="default"/>
                <w:sz w:val="18"/>
                <w:szCs w:val="18"/>
              </w:rPr>
            </w:pPr>
            <w:r>
              <w:rPr>
                <w:rFonts w:ascii="Times New Roman"/>
                <w:sz w:val="18"/>
              </w:rPr>
              <w:t>082,64</w:t>
            </w:r>
          </w:p>
          <w:p>
            <w:pPr>
              <w:pStyle w:val="TableParagraph"/>
              <w:spacing w:line="240" w:lineRule="auto" w:before="105"/>
              <w:ind w:left="220" w:right="0"/>
              <w:jc w:val="center"/>
              <w:rPr>
                <w:rFonts w:ascii="Times New Roman" w:hAnsi="Times New Roman" w:cs="Times New Roman" w:eastAsia="Times New Roman" w:hint="default"/>
                <w:sz w:val="18"/>
                <w:szCs w:val="18"/>
              </w:rPr>
            </w:pPr>
            <w:r>
              <w:rPr>
                <w:rFonts w:ascii="Times New Roman"/>
                <w:sz w:val="18"/>
              </w:rPr>
              <w:t>2.00</w:t>
            </w: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217,82</w:t>
            </w:r>
          </w:p>
          <w:p>
            <w:pPr>
              <w:pStyle w:val="TableParagraph"/>
              <w:spacing w:line="240" w:lineRule="auto" w:before="102"/>
              <w:ind w:left="88" w:right="0"/>
              <w:jc w:val="left"/>
              <w:rPr>
                <w:rFonts w:ascii="Times New Roman" w:hAnsi="Times New Roman" w:cs="Times New Roman" w:eastAsia="Times New Roman" w:hint="default"/>
                <w:sz w:val="18"/>
                <w:szCs w:val="18"/>
              </w:rPr>
            </w:pPr>
            <w:r>
              <w:rPr>
                <w:rFonts w:ascii="Times New Roman"/>
                <w:sz w:val="18"/>
              </w:rPr>
              <w:t>1,742.</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90</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390,636</w:t>
            </w:r>
          </w:p>
          <w:p>
            <w:pPr>
              <w:pStyle w:val="TableParagraph"/>
              <w:spacing w:line="240" w:lineRule="auto" w:before="102"/>
              <w:ind w:left="115" w:right="0"/>
              <w:jc w:val="left"/>
              <w:rPr>
                <w:rFonts w:ascii="Times New Roman" w:hAnsi="Times New Roman" w:cs="Times New Roman" w:eastAsia="Times New Roman" w:hint="default"/>
                <w:sz w:val="18"/>
                <w:szCs w:val="18"/>
              </w:rPr>
            </w:pPr>
            <w:r>
              <w:rPr>
                <w:rFonts w:ascii="Times New Roman"/>
                <w:sz w:val="18"/>
              </w:rPr>
              <w:t>,563.90</w:t>
            </w:r>
          </w:p>
        </w:tc>
        <w:tc>
          <w:tcPr>
            <w:tcW w:w="686" w:type="dxa"/>
            <w:vMerge w:val="restart"/>
            <w:tcBorders>
              <w:top w:val="single" w:sz="4" w:space="0" w:color="000000"/>
              <w:left w:val="single" w:sz="4" w:space="0" w:color="000000"/>
              <w:right w:val="single" w:sz="4" w:space="0" w:color="000000"/>
            </w:tcBorders>
          </w:tcPr>
          <w:p>
            <w:pP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2,363,5</w:t>
            </w:r>
          </w:p>
          <w:p>
            <w:pPr>
              <w:pStyle w:val="TableParagraph"/>
              <w:spacing w:line="240" w:lineRule="auto" w:before="102"/>
              <w:ind w:left="226" w:right="0"/>
              <w:jc w:val="center"/>
              <w:rPr>
                <w:rFonts w:ascii="Times New Roman" w:hAnsi="Times New Roman" w:cs="Times New Roman" w:eastAsia="Times New Roman" w:hint="default"/>
                <w:sz w:val="18"/>
                <w:szCs w:val="18"/>
              </w:rPr>
            </w:pPr>
            <w:r>
              <w:rPr>
                <w:rFonts w:ascii="Times New Roman"/>
                <w:sz w:val="18"/>
              </w:rPr>
              <w:t>26.48</w:t>
            </w: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123,154</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,105.48</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782,445,6</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48.76</w:t>
            </w: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2,547,504,2</w:t>
            </w:r>
          </w:p>
          <w:p>
            <w:pPr>
              <w:pStyle w:val="TableParagraph"/>
              <w:spacing w:line="240" w:lineRule="auto" w:before="102"/>
              <w:ind w:left="491" w:right="0"/>
              <w:jc w:val="left"/>
              <w:rPr>
                <w:rFonts w:ascii="Times New Roman" w:hAnsi="Times New Roman" w:cs="Times New Roman" w:eastAsia="Times New Roman" w:hint="default"/>
                <w:sz w:val="18"/>
                <w:szCs w:val="18"/>
              </w:rPr>
            </w:pPr>
            <w:r>
              <w:rPr>
                <w:rFonts w:ascii="Times New Roman"/>
                <w:sz w:val="18"/>
              </w:rPr>
              <w:t>29.52</w:t>
            </w:r>
          </w:p>
        </w:tc>
      </w:tr>
      <w:tr>
        <w:trPr>
          <w:trHeight w:val="703" w:hRule="exact"/>
        </w:trPr>
        <w:tc>
          <w:tcPr>
            <w:tcW w:w="12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20"/>
              <w:jc w:val="left"/>
              <w:rPr>
                <w:rFonts w:ascii="宋体" w:hAnsi="宋体" w:cs="宋体" w:eastAsia="宋体" w:hint="default"/>
                <w:sz w:val="18"/>
                <w:szCs w:val="18"/>
              </w:rPr>
            </w:pPr>
            <w:r>
              <w:rPr>
                <w:rFonts w:ascii="宋体" w:hAnsi="宋体" w:cs="宋体" w:eastAsia="宋体" w:hint="default"/>
                <w:spacing w:val="-13"/>
                <w:sz w:val="18"/>
                <w:szCs w:val="18"/>
              </w:rPr>
              <w:t>一、上年期末余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93"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20" w:type="dxa"/>
            <w:tcBorders>
              <w:top w:val="nil" w:sz="6" w:space="0" w:color="auto"/>
              <w:left w:val="single" w:sz="4" w:space="0" w:color="000000"/>
              <w:bottom w:val="single" w:sz="4" w:space="0" w:color="000000"/>
              <w:right w:val="single" w:sz="4" w:space="0" w:color="000000"/>
            </w:tcBorders>
            <w:shd w:val="clear" w:color="auto" w:fill="D2D2D2"/>
          </w:tcPr>
          <w:p>
            <w:pPr/>
          </w:p>
        </w:tc>
        <w:tc>
          <w:tcPr>
            <w:tcW w:w="593"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713"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9" w:firstLine="360"/>
              <w:jc w:val="left"/>
              <w:rPr>
                <w:rFonts w:ascii="宋体" w:hAnsi="宋体" w:cs="宋体" w:eastAsia="宋体" w:hint="default"/>
                <w:sz w:val="18"/>
                <w:szCs w:val="18"/>
              </w:rPr>
            </w:pPr>
            <w:r>
              <w:rPr>
                <w:rFonts w:ascii="宋体" w:hAnsi="宋体" w:cs="宋体" w:eastAsia="宋体" w:hint="default"/>
                <w:spacing w:val="-17"/>
                <w:sz w:val="18"/>
                <w:szCs w:val="18"/>
              </w:rPr>
              <w:t>加：会计政</w:t>
            </w:r>
            <w:r>
              <w:rPr>
                <w:rFonts w:ascii="宋体" w:hAnsi="宋体" w:cs="宋体" w:eastAsia="宋体" w:hint="default"/>
                <w:sz w:val="18"/>
                <w:szCs w:val="18"/>
              </w:rPr>
              <w:t> 策变更</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22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9" w:space="0" w:color="D2D2D2"/>
              <w:right w:val="single" w:sz="4" w:space="0" w:color="000000"/>
            </w:tcBorders>
          </w:tcPr>
          <w:p>
            <w:pPr>
              <w:pStyle w:val="TableParagraph"/>
              <w:spacing w:line="240" w:lineRule="auto" w:before="93"/>
              <w:ind w:left="83" w:right="0"/>
              <w:jc w:val="center"/>
              <w:rPr>
                <w:rFonts w:ascii="Times New Roman" w:hAnsi="Times New Roman" w:cs="Times New Roman" w:eastAsia="Times New Roman" w:hint="default"/>
                <w:sz w:val="18"/>
                <w:szCs w:val="18"/>
              </w:rPr>
            </w:pPr>
            <w:r>
              <w:rPr>
                <w:rFonts w:ascii="Times New Roman"/>
                <w:sz w:val="18"/>
              </w:rPr>
              <w:t>1,031,</w:t>
            </w:r>
          </w:p>
          <w:p>
            <w:pPr>
              <w:pStyle w:val="TableParagraph"/>
              <w:spacing w:line="240" w:lineRule="auto" w:before="102"/>
              <w:ind w:left="40" w:right="0"/>
              <w:jc w:val="center"/>
              <w:rPr>
                <w:rFonts w:ascii="Times New Roman" w:hAnsi="Times New Roman" w:cs="Times New Roman" w:eastAsia="Times New Roman" w:hint="default"/>
                <w:sz w:val="18"/>
                <w:szCs w:val="18"/>
              </w:rPr>
            </w:pPr>
            <w:r>
              <w:rPr>
                <w:rFonts w:ascii="Times New Roman"/>
                <w:sz w:val="18"/>
              </w:rPr>
              <w:t>082,64</w:t>
            </w:r>
          </w:p>
          <w:p>
            <w:pPr>
              <w:pStyle w:val="TableParagraph"/>
              <w:spacing w:line="240" w:lineRule="auto" w:before="105"/>
              <w:ind w:left="220" w:right="0"/>
              <w:jc w:val="center"/>
              <w:rPr>
                <w:rFonts w:ascii="Times New Roman" w:hAnsi="Times New Roman" w:cs="Times New Roman" w:eastAsia="Times New Roman" w:hint="default"/>
                <w:sz w:val="18"/>
                <w:szCs w:val="18"/>
              </w:rPr>
            </w:pPr>
            <w:r>
              <w:rPr>
                <w:rFonts w:ascii="Times New Roman"/>
                <w:sz w:val="18"/>
              </w:rPr>
              <w:t>2.00</w:t>
            </w: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217,82</w:t>
            </w:r>
          </w:p>
          <w:p>
            <w:pPr>
              <w:pStyle w:val="TableParagraph"/>
              <w:spacing w:line="240" w:lineRule="auto" w:before="102"/>
              <w:ind w:left="88" w:right="0"/>
              <w:jc w:val="left"/>
              <w:rPr>
                <w:rFonts w:ascii="Times New Roman" w:hAnsi="Times New Roman" w:cs="Times New Roman" w:eastAsia="Times New Roman" w:hint="default"/>
                <w:sz w:val="18"/>
                <w:szCs w:val="18"/>
              </w:rPr>
            </w:pPr>
            <w:r>
              <w:rPr>
                <w:rFonts w:ascii="Times New Roman"/>
                <w:sz w:val="18"/>
              </w:rPr>
              <w:t>1,742.</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90</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390,636</w:t>
            </w:r>
          </w:p>
          <w:p>
            <w:pPr>
              <w:pStyle w:val="TableParagraph"/>
              <w:spacing w:line="240" w:lineRule="auto" w:before="102"/>
              <w:ind w:left="115" w:right="0"/>
              <w:jc w:val="left"/>
              <w:rPr>
                <w:rFonts w:ascii="Times New Roman" w:hAnsi="Times New Roman" w:cs="Times New Roman" w:eastAsia="Times New Roman" w:hint="default"/>
                <w:sz w:val="18"/>
                <w:szCs w:val="18"/>
              </w:rPr>
            </w:pPr>
            <w:r>
              <w:rPr>
                <w:rFonts w:ascii="Times New Roman"/>
                <w:sz w:val="18"/>
              </w:rPr>
              <w:t>,563.90</w:t>
            </w:r>
          </w:p>
        </w:tc>
        <w:tc>
          <w:tcPr>
            <w:tcW w:w="686" w:type="dxa"/>
            <w:vMerge w:val="restart"/>
            <w:tcBorders>
              <w:top w:val="single" w:sz="4" w:space="0" w:color="000000"/>
              <w:left w:val="single" w:sz="4" w:space="0" w:color="000000"/>
              <w:right w:val="single" w:sz="4" w:space="0" w:color="000000"/>
            </w:tcBorders>
          </w:tcPr>
          <w:p>
            <w:pP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2,363,5</w:t>
            </w:r>
          </w:p>
          <w:p>
            <w:pPr>
              <w:pStyle w:val="TableParagraph"/>
              <w:spacing w:line="240" w:lineRule="auto" w:before="102"/>
              <w:ind w:left="226" w:right="0"/>
              <w:jc w:val="center"/>
              <w:rPr>
                <w:rFonts w:ascii="Times New Roman" w:hAnsi="Times New Roman" w:cs="Times New Roman" w:eastAsia="Times New Roman" w:hint="default"/>
                <w:sz w:val="18"/>
                <w:szCs w:val="18"/>
              </w:rPr>
            </w:pPr>
            <w:r>
              <w:rPr>
                <w:rFonts w:ascii="Times New Roman"/>
                <w:sz w:val="18"/>
              </w:rPr>
              <w:t>26.48</w:t>
            </w: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123,154</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,105.48</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782,445,6</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48.76</w:t>
            </w: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2,547,504,2</w:t>
            </w:r>
          </w:p>
          <w:p>
            <w:pPr>
              <w:pStyle w:val="TableParagraph"/>
              <w:spacing w:line="240" w:lineRule="auto" w:before="102"/>
              <w:ind w:left="491" w:right="0"/>
              <w:jc w:val="left"/>
              <w:rPr>
                <w:rFonts w:ascii="Times New Roman" w:hAnsi="Times New Roman" w:cs="Times New Roman" w:eastAsia="Times New Roman" w:hint="default"/>
                <w:sz w:val="18"/>
                <w:szCs w:val="18"/>
              </w:rPr>
            </w:pPr>
            <w:r>
              <w:rPr>
                <w:rFonts w:ascii="Times New Roman"/>
                <w:sz w:val="18"/>
              </w:rPr>
              <w:t>29.52</w:t>
            </w:r>
          </w:p>
        </w:tc>
      </w:tr>
      <w:tr>
        <w:trPr>
          <w:trHeight w:val="703" w:hRule="exact"/>
        </w:trPr>
        <w:tc>
          <w:tcPr>
            <w:tcW w:w="12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20"/>
              <w:jc w:val="left"/>
              <w:rPr>
                <w:rFonts w:ascii="宋体" w:hAnsi="宋体" w:cs="宋体" w:eastAsia="宋体" w:hint="default"/>
                <w:sz w:val="18"/>
                <w:szCs w:val="18"/>
              </w:rPr>
            </w:pPr>
            <w:r>
              <w:rPr>
                <w:rFonts w:ascii="宋体" w:hAnsi="宋体" w:cs="宋体" w:eastAsia="宋体" w:hint="default"/>
                <w:spacing w:val="-13"/>
                <w:sz w:val="18"/>
                <w:szCs w:val="18"/>
              </w:rPr>
              <w:t>二、本年期初余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93"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20" w:type="dxa"/>
            <w:tcBorders>
              <w:top w:val="nil" w:sz="6" w:space="0" w:color="auto"/>
              <w:left w:val="single" w:sz="4" w:space="0" w:color="000000"/>
              <w:bottom w:val="single" w:sz="4" w:space="0" w:color="000000"/>
              <w:right w:val="single" w:sz="4" w:space="0" w:color="000000"/>
            </w:tcBorders>
            <w:shd w:val="clear" w:color="auto" w:fill="D2D2D2"/>
          </w:tcPr>
          <w:p>
            <w:pPr/>
          </w:p>
        </w:tc>
        <w:tc>
          <w:tcPr>
            <w:tcW w:w="593"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1025"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0"/>
              <w:jc w:val="both"/>
              <w:rPr>
                <w:rFonts w:ascii="宋体" w:hAnsi="宋体" w:cs="宋体" w:eastAsia="宋体" w:hint="default"/>
                <w:sz w:val="18"/>
                <w:szCs w:val="18"/>
              </w:rPr>
            </w:pPr>
            <w:r>
              <w:rPr>
                <w:rFonts w:ascii="宋体" w:hAnsi="宋体" w:cs="宋体" w:eastAsia="宋体" w:hint="default"/>
                <w:spacing w:val="-13"/>
                <w:sz w:val="18"/>
                <w:szCs w:val="18"/>
              </w:rPr>
              <w:t>三、本期增减变</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3"/>
                <w:sz w:val="18"/>
                <w:szCs w:val="18"/>
              </w:rPr>
              <w:t>动金额（减少以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5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68,367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,046.0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-217,8</w:t>
            </w:r>
          </w:p>
          <w:p>
            <w:pPr>
              <w:pStyle w:val="TableParagraph"/>
              <w:spacing w:line="240" w:lineRule="auto" w:before="105"/>
              <w:ind w:left="45" w:right="0"/>
              <w:jc w:val="left"/>
              <w:rPr>
                <w:rFonts w:ascii="Times New Roman" w:hAnsi="Times New Roman" w:cs="Times New Roman" w:eastAsia="Times New Roman" w:hint="default"/>
                <w:sz w:val="18"/>
                <w:szCs w:val="18"/>
              </w:rPr>
            </w:pPr>
            <w:r>
              <w:rPr>
                <w:rFonts w:ascii="Times New Roman"/>
                <w:sz w:val="18"/>
              </w:rPr>
              <w:t>21,742</w:t>
            </w:r>
          </w:p>
          <w:p>
            <w:pPr>
              <w:pStyle w:val="TableParagraph"/>
              <w:spacing w:line="240" w:lineRule="auto" w:before="105"/>
              <w:ind w:left="314" w:right="0"/>
              <w:jc w:val="left"/>
              <w:rPr>
                <w:rFonts w:ascii="Times New Roman" w:hAnsi="Times New Roman" w:cs="Times New Roman" w:eastAsia="Times New Roman" w:hint="default"/>
                <w:sz w:val="18"/>
                <w:szCs w:val="18"/>
              </w:rPr>
            </w:pPr>
            <w:r>
              <w:rPr>
                <w:rFonts w:ascii="Times New Roman"/>
                <w:sz w:val="18"/>
              </w:rPr>
              <w:t>.90</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837,744</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,600.37</w:t>
            </w: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22,680,</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497.34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165,967,7</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57.67</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876,938,15</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8.48</w:t>
            </w:r>
          </w:p>
        </w:tc>
      </w:tr>
      <w:tr>
        <w:trPr>
          <w:trHeight w:val="715"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20"/>
              <w:jc w:val="left"/>
              <w:rPr>
                <w:rFonts w:ascii="宋体" w:hAnsi="宋体" w:cs="宋体" w:eastAsia="宋体" w:hint="default"/>
                <w:sz w:val="18"/>
                <w:szCs w:val="18"/>
              </w:rPr>
            </w:pPr>
            <w:r>
              <w:rPr>
                <w:rFonts w:ascii="宋体" w:hAnsi="宋体" w:cs="宋体" w:eastAsia="宋体" w:hint="default"/>
                <w:spacing w:val="-13"/>
                <w:sz w:val="18"/>
                <w:szCs w:val="18"/>
              </w:rPr>
              <w:t>（一）综合收益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总额</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226,804,9</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73.36</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6" w:right="0"/>
              <w:jc w:val="left"/>
              <w:rPr>
                <w:rFonts w:ascii="Times New Roman" w:hAnsi="Times New Roman" w:cs="Times New Roman" w:eastAsia="Times New Roman" w:hint="default"/>
                <w:sz w:val="18"/>
                <w:szCs w:val="18"/>
              </w:rPr>
            </w:pPr>
            <w:r>
              <w:rPr>
                <w:rFonts w:ascii="Times New Roman"/>
                <w:sz w:val="18"/>
              </w:rPr>
              <w:t>226,804,97</w:t>
            </w:r>
          </w:p>
          <w:p>
            <w:pPr>
              <w:pStyle w:val="TableParagraph"/>
              <w:spacing w:line="240" w:lineRule="auto" w:before="102"/>
              <w:ind w:left="583" w:right="0"/>
              <w:jc w:val="left"/>
              <w:rPr>
                <w:rFonts w:ascii="Times New Roman" w:hAnsi="Times New Roman" w:cs="Times New Roman" w:eastAsia="Times New Roman" w:hint="default"/>
                <w:sz w:val="18"/>
                <w:szCs w:val="18"/>
              </w:rPr>
            </w:pPr>
            <w:r>
              <w:rPr>
                <w:rFonts w:ascii="Times New Roman"/>
                <w:sz w:val="18"/>
              </w:rPr>
              <w:t>3.36</w:t>
            </w:r>
          </w:p>
        </w:tc>
      </w:tr>
      <w:tr>
        <w:trPr>
          <w:trHeight w:val="161" w:hRule="exact"/>
        </w:trPr>
        <w:tc>
          <w:tcPr>
            <w:tcW w:w="122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9" w:space="0" w:color="D2D2D2"/>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68,367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,046.0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-217,8</w:t>
            </w:r>
          </w:p>
          <w:p>
            <w:pPr>
              <w:pStyle w:val="TableParagraph"/>
              <w:spacing w:line="240" w:lineRule="auto" w:before="105"/>
              <w:ind w:left="45" w:right="0"/>
              <w:jc w:val="left"/>
              <w:rPr>
                <w:rFonts w:ascii="Times New Roman" w:hAnsi="Times New Roman" w:cs="Times New Roman" w:eastAsia="Times New Roman" w:hint="default"/>
                <w:sz w:val="18"/>
                <w:szCs w:val="18"/>
              </w:rPr>
            </w:pPr>
            <w:r>
              <w:rPr>
                <w:rFonts w:ascii="Times New Roman"/>
                <w:sz w:val="18"/>
              </w:rPr>
              <w:t>21,742</w:t>
            </w:r>
          </w:p>
          <w:p>
            <w:pPr>
              <w:pStyle w:val="TableParagraph"/>
              <w:spacing w:line="240" w:lineRule="auto" w:before="105"/>
              <w:ind w:left="314" w:right="0"/>
              <w:jc w:val="left"/>
              <w:rPr>
                <w:rFonts w:ascii="Times New Roman" w:hAnsi="Times New Roman" w:cs="Times New Roman" w:eastAsia="Times New Roman" w:hint="default"/>
                <w:sz w:val="18"/>
                <w:szCs w:val="18"/>
              </w:rPr>
            </w:pPr>
            <w:r>
              <w:rPr>
                <w:rFonts w:ascii="Times New Roman"/>
                <w:sz w:val="18"/>
              </w:rPr>
              <w:t>.90</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837,744</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,600.37</w:t>
            </w:r>
          </w:p>
        </w:tc>
        <w:tc>
          <w:tcPr>
            <w:tcW w:w="686" w:type="dxa"/>
            <w:vMerge w:val="restart"/>
            <w:tcBorders>
              <w:top w:val="single" w:sz="4" w:space="0" w:color="000000"/>
              <w:left w:val="single" w:sz="4" w:space="0" w:color="000000"/>
              <w:right w:val="single" w:sz="4" w:space="0" w:color="000000"/>
            </w:tcBorders>
          </w:tcPr>
          <w:p>
            <w:pPr/>
          </w:p>
        </w:tc>
        <w:tc>
          <w:tcPr>
            <w:tcW w:w="684" w:type="dxa"/>
            <w:vMerge w:val="restart"/>
            <w:tcBorders>
              <w:top w:val="single" w:sz="4" w:space="0" w:color="000000"/>
              <w:left w:val="single" w:sz="4" w:space="0" w:color="000000"/>
              <w:right w:val="single" w:sz="4" w:space="0" w:color="000000"/>
            </w:tcBorders>
          </w:tcPr>
          <w:p>
            <w:pP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688,289,90</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3.47</w:t>
            </w:r>
          </w:p>
        </w:tc>
      </w:tr>
      <w:tr>
        <w:trPr>
          <w:trHeight w:val="704" w:hRule="exact"/>
        </w:trPr>
        <w:tc>
          <w:tcPr>
            <w:tcW w:w="12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13"/>
                <w:sz w:val="18"/>
                <w:szCs w:val="18"/>
              </w:rPr>
              <w:t>（二）所有者投</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入和减少资本</w:t>
            </w:r>
          </w:p>
        </w:tc>
        <w:tc>
          <w:tcPr>
            <w:tcW w:w="593"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20" w:type="dxa"/>
            <w:tcBorders>
              <w:top w:val="nil" w:sz="6" w:space="0" w:color="auto"/>
              <w:left w:val="single" w:sz="4" w:space="0" w:color="000000"/>
              <w:bottom w:val="single" w:sz="4" w:space="0" w:color="000000"/>
              <w:right w:val="single" w:sz="4" w:space="0" w:color="000000"/>
            </w:tcBorders>
            <w:shd w:val="clear" w:color="auto" w:fill="D2D2D2"/>
          </w:tcPr>
          <w:p>
            <w:pPr/>
          </w:p>
        </w:tc>
        <w:tc>
          <w:tcPr>
            <w:tcW w:w="593"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715"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5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68,367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,046.0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-217,8</w:t>
            </w:r>
          </w:p>
          <w:p>
            <w:pPr>
              <w:pStyle w:val="TableParagraph"/>
              <w:spacing w:line="240" w:lineRule="auto" w:before="105"/>
              <w:ind w:left="45" w:right="0"/>
              <w:jc w:val="left"/>
              <w:rPr>
                <w:rFonts w:ascii="Times New Roman" w:hAnsi="Times New Roman" w:cs="Times New Roman" w:eastAsia="Times New Roman" w:hint="default"/>
                <w:sz w:val="18"/>
                <w:szCs w:val="18"/>
              </w:rPr>
            </w:pPr>
            <w:r>
              <w:rPr>
                <w:rFonts w:ascii="Times New Roman"/>
                <w:sz w:val="18"/>
              </w:rPr>
              <w:t>21,742</w:t>
            </w:r>
          </w:p>
          <w:p>
            <w:pPr>
              <w:pStyle w:val="TableParagraph"/>
              <w:spacing w:line="240" w:lineRule="auto" w:before="105"/>
              <w:ind w:left="314" w:right="0"/>
              <w:jc w:val="left"/>
              <w:rPr>
                <w:rFonts w:ascii="Times New Roman" w:hAnsi="Times New Roman" w:cs="Times New Roman" w:eastAsia="Times New Roman" w:hint="default"/>
                <w:sz w:val="18"/>
                <w:szCs w:val="18"/>
              </w:rPr>
            </w:pPr>
            <w:r>
              <w:rPr>
                <w:rFonts w:ascii="Times New Roman"/>
                <w:sz w:val="18"/>
              </w:rPr>
              <w:t>.90</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810,058</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,100.37</w:t>
            </w: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660,603,40</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3.47</w:t>
            </w:r>
          </w:p>
        </w:tc>
      </w:tr>
      <w:tr>
        <w:trPr>
          <w:trHeight w:val="1027"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27,686,</w:t>
            </w:r>
          </w:p>
          <w:p>
            <w:pPr>
              <w:pStyle w:val="TableParagraph"/>
              <w:spacing w:line="240" w:lineRule="auto" w:before="102"/>
              <w:ind w:left="160" w:right="0"/>
              <w:jc w:val="left"/>
              <w:rPr>
                <w:rFonts w:ascii="Times New Roman" w:hAnsi="Times New Roman" w:cs="Times New Roman" w:eastAsia="Times New Roman" w:hint="default"/>
                <w:sz w:val="18"/>
                <w:szCs w:val="18"/>
              </w:rPr>
            </w:pPr>
            <w:r>
              <w:rPr>
                <w:rFonts w:ascii="Times New Roman"/>
                <w:sz w:val="18"/>
              </w:rPr>
              <w:t>500.00</w:t>
            </w: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27,686,500.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r>
      <w:tr>
        <w:trPr>
          <w:trHeight w:val="401"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22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9" w:space="0" w:color="D2D2D2"/>
              <w:right w:val="single" w:sz="4" w:space="0" w:color="000000"/>
            </w:tcBorders>
          </w:tcPr>
          <w:p>
            <w:pP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
        </w:tc>
        <w:tc>
          <w:tcPr>
            <w:tcW w:w="684" w:type="dxa"/>
            <w:vMerge w:val="restart"/>
            <w:tcBorders>
              <w:top w:val="single" w:sz="4" w:space="0" w:color="000000"/>
              <w:left w:val="single" w:sz="4" w:space="0" w:color="000000"/>
              <w:right w:val="single" w:sz="4" w:space="0" w:color="000000"/>
            </w:tcBorders>
          </w:tcPr>
          <w:p>
            <w:pP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3"/>
              <w:ind w:left="93" w:right="0"/>
              <w:jc w:val="left"/>
              <w:rPr>
                <w:rFonts w:ascii="Times New Roman" w:hAnsi="Times New Roman" w:cs="Times New Roman" w:eastAsia="Times New Roman" w:hint="default"/>
                <w:sz w:val="18"/>
                <w:szCs w:val="18"/>
              </w:rPr>
            </w:pPr>
            <w:r>
              <w:rPr>
                <w:rFonts w:ascii="Times New Roman"/>
                <w:sz w:val="18"/>
              </w:rPr>
              <w:t>22,680,</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497.34</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76" w:right="0"/>
              <w:jc w:val="left"/>
              <w:rPr>
                <w:rFonts w:ascii="Times New Roman" w:hAnsi="Times New Roman" w:cs="Times New Roman" w:eastAsia="Times New Roman" w:hint="default"/>
                <w:sz w:val="18"/>
                <w:szCs w:val="18"/>
              </w:rPr>
            </w:pPr>
            <w:r>
              <w:rPr>
                <w:rFonts w:ascii="Times New Roman"/>
                <w:sz w:val="18"/>
              </w:rPr>
              <w:t>-60,837,2</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15.69</w:t>
            </w: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-38,156,718</w:t>
            </w:r>
            <w:r>
              <w:rPr>
                <w:rFonts w:ascii="Times New Roman"/>
                <w:sz w:val="18"/>
              </w:rPr>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.35</w:t>
            </w:r>
          </w:p>
        </w:tc>
      </w:tr>
      <w:tr>
        <w:trPr>
          <w:trHeight w:val="391" w:hRule="exact"/>
        </w:trPr>
        <w:tc>
          <w:tcPr>
            <w:tcW w:w="12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85"/>
                <w:sz w:val="18"/>
                <w:szCs w:val="18"/>
              </w:rPr>
              <w:t>）</w:t>
            </w:r>
            <w:r>
              <w:rPr>
                <w:rFonts w:ascii="宋体" w:hAnsi="宋体" w:cs="宋体" w:eastAsia="宋体" w:hint="default"/>
                <w:sz w:val="18"/>
                <w:szCs w:val="18"/>
              </w:rPr>
              <w:t>利润分配</w:t>
            </w:r>
          </w:p>
        </w:tc>
        <w:tc>
          <w:tcPr>
            <w:tcW w:w="593"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20" w:type="dxa"/>
            <w:tcBorders>
              <w:top w:val="nil" w:sz="6" w:space="0" w:color="auto"/>
              <w:left w:val="single" w:sz="4" w:space="0" w:color="000000"/>
              <w:bottom w:val="single" w:sz="4" w:space="0" w:color="000000"/>
              <w:right w:val="single" w:sz="4" w:space="0" w:color="000000"/>
            </w:tcBorders>
            <w:shd w:val="clear" w:color="auto" w:fill="D2D2D2"/>
          </w:tcPr>
          <w:p>
            <w:pPr/>
          </w:p>
        </w:tc>
        <w:tc>
          <w:tcPr>
            <w:tcW w:w="593"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713"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22,680,</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497.34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-22,680,4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97.34</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17"/>
              <w:jc w:val="left"/>
              <w:rPr>
                <w:rFonts w:ascii="宋体" w:hAnsi="宋体" w:cs="宋体" w:eastAsia="宋体" w:hint="default"/>
                <w:sz w:val="18"/>
                <w:szCs w:val="18"/>
              </w:rPr>
            </w:pPr>
            <w:r>
              <w:rPr>
                <w:rFonts w:ascii="Times New Roman" w:hAnsi="Times New Roman" w:cs="Times New Roman" w:eastAsia="Times New Roman" w:hint="default"/>
                <w:spacing w:val="-22"/>
                <w:sz w:val="18"/>
                <w:szCs w:val="18"/>
              </w:rPr>
              <w:t>2</w:t>
            </w:r>
            <w:r>
              <w:rPr>
                <w:rFonts w:ascii="宋体" w:hAnsi="宋体" w:cs="宋体" w:eastAsia="宋体" w:hint="default"/>
                <w:spacing w:val="-22"/>
                <w:sz w:val="18"/>
                <w:szCs w:val="18"/>
              </w:rPr>
              <w:t>．对所有者（或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股东）的分配</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6" w:right="0"/>
              <w:jc w:val="left"/>
              <w:rPr>
                <w:rFonts w:ascii="Times New Roman" w:hAnsi="Times New Roman" w:cs="Times New Roman" w:eastAsia="Times New Roman" w:hint="default"/>
                <w:sz w:val="18"/>
                <w:szCs w:val="18"/>
              </w:rPr>
            </w:pPr>
            <w:r>
              <w:rPr>
                <w:rFonts w:ascii="Times New Roman"/>
                <w:sz w:val="18"/>
              </w:rPr>
              <w:t>-38,156,7</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18.35</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-38,156,718</w:t>
            </w:r>
            <w:r>
              <w:rPr>
                <w:rFonts w:ascii="Times New Roman"/>
                <w:sz w:val="18"/>
              </w:rPr>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.35</w:t>
            </w:r>
          </w:p>
        </w:tc>
      </w:tr>
      <w:tr>
        <w:trPr>
          <w:trHeight w:val="403"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209"/>
        <w:gridCol w:w="604"/>
        <w:gridCol w:w="574"/>
        <w:gridCol w:w="572"/>
        <w:gridCol w:w="571"/>
        <w:gridCol w:w="686"/>
        <w:gridCol w:w="686"/>
        <w:gridCol w:w="684"/>
        <w:gridCol w:w="782"/>
        <w:gridCol w:w="665"/>
        <w:gridCol w:w="797"/>
        <w:gridCol w:w="797"/>
        <w:gridCol w:w="931"/>
      </w:tblGrid>
      <w:tr>
        <w:trPr>
          <w:trHeight w:val="402" w:hRule="exact"/>
        </w:trPr>
        <w:tc>
          <w:tcPr>
            <w:tcW w:w="1209" w:type="dxa"/>
            <w:vMerge w:val="restart"/>
            <w:tcBorders>
              <w:top w:val="single" w:sz="4" w:space="0" w:color="000000"/>
              <w:left w:val="single" w:sz="4" w:space="0" w:color="000000"/>
              <w:right w:val="single" w:sz="4" w:space="0" w:color="000000"/>
            </w:tcBorders>
            <w:shd w:val="clear" w:color="auto" w:fill="D2D2D2"/>
          </w:tcPr>
          <w:p>
            <w:pPr/>
          </w:p>
        </w:tc>
        <w:tc>
          <w:tcPr>
            <w:tcW w:w="8350"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w:t>
            </w:r>
          </w:p>
        </w:tc>
      </w:tr>
      <w:tr>
        <w:trPr>
          <w:trHeight w:val="184" w:hRule="exact"/>
        </w:trPr>
        <w:tc>
          <w:tcPr>
            <w:tcW w:w="1209" w:type="dxa"/>
            <w:vMerge/>
            <w:tcBorders>
              <w:left w:val="single" w:sz="4" w:space="0" w:color="000000"/>
              <w:bottom w:val="nil" w:sz="6" w:space="0" w:color="auto"/>
              <w:right w:val="single" w:sz="4" w:space="0" w:color="000000"/>
            </w:tcBorders>
            <w:shd w:val="clear" w:color="auto" w:fill="D2D2D2"/>
          </w:tcPr>
          <w:p>
            <w:pPr/>
          </w:p>
        </w:tc>
        <w:tc>
          <w:tcPr>
            <w:tcW w:w="604" w:type="dxa"/>
            <w:vMerge w:val="restart"/>
            <w:tcBorders>
              <w:top w:val="single" w:sz="4" w:space="0" w:color="000000"/>
              <w:left w:val="single" w:sz="4" w:space="0" w:color="000000"/>
              <w:right w:val="single" w:sz="4" w:space="0" w:color="000000"/>
            </w:tcBorders>
            <w:shd w:val="clear" w:color="auto" w:fill="D2D2D2"/>
          </w:tcPr>
          <w:p>
            <w:pPr/>
          </w:p>
        </w:tc>
        <w:tc>
          <w:tcPr>
            <w:tcW w:w="171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1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2" w:type="dxa"/>
            <w:vMerge w:val="restart"/>
            <w:tcBorders>
              <w:top w:val="single" w:sz="4" w:space="0" w:color="000000"/>
              <w:left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79" w:hRule="exact"/>
        </w:trPr>
        <w:tc>
          <w:tcPr>
            <w:tcW w:w="120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7"/>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04" w:type="dxa"/>
            <w:vMerge/>
            <w:tcBorders>
              <w:left w:val="single" w:sz="4" w:space="0" w:color="000000"/>
              <w:bottom w:val="nil" w:sz="6" w:space="0" w:color="auto"/>
              <w:right w:val="single" w:sz="4" w:space="0" w:color="000000"/>
            </w:tcBorders>
            <w:shd w:val="clear" w:color="auto" w:fill="D2D2D2"/>
          </w:tcPr>
          <w:p>
            <w:pPr/>
          </w:p>
        </w:tc>
        <w:tc>
          <w:tcPr>
            <w:tcW w:w="1717" w:type="dxa"/>
            <w:gridSpan w:val="3"/>
            <w:vMerge/>
            <w:tcBorders>
              <w:left w:val="single" w:sz="4" w:space="0" w:color="000000"/>
              <w:bottom w:val="single" w:sz="4" w:space="0" w:color="000000"/>
              <w:right w:val="single" w:sz="4" w:space="0" w:color="000000"/>
            </w:tcBorders>
            <w:shd w:val="clear" w:color="auto" w:fill="D2D2D2"/>
          </w:tcPr>
          <w:p>
            <w:pPr/>
          </w:p>
        </w:tc>
        <w:tc>
          <w:tcPr>
            <w:tcW w:w="6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9"/>
              <w:ind w:left="249" w:right="6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9"/>
              <w:ind w:left="249" w:right="22" w:hanging="226"/>
              <w:jc w:val="left"/>
              <w:rPr>
                <w:rFonts w:ascii="宋体" w:hAnsi="宋体" w:cs="宋体" w:eastAsia="宋体" w:hint="default"/>
                <w:sz w:val="18"/>
                <w:szCs w:val="18"/>
              </w:rPr>
            </w:pPr>
            <w:r>
              <w:rPr>
                <w:rFonts w:ascii="宋体" w:hAnsi="宋体" w:cs="宋体" w:eastAsia="宋体" w:hint="default"/>
                <w:spacing w:val="-23"/>
                <w:sz w:val="18"/>
                <w:szCs w:val="18"/>
              </w:rPr>
              <w:t>减：库存</w:t>
            </w:r>
            <w:r>
              <w:rPr>
                <w:rFonts w:ascii="宋体" w:hAnsi="宋体" w:cs="宋体" w:eastAsia="宋体" w:hint="default"/>
                <w:sz w:val="18"/>
                <w:szCs w:val="18"/>
              </w:rPr>
              <w:t> 股</w:t>
            </w:r>
          </w:p>
        </w:tc>
        <w:tc>
          <w:tcPr>
            <w:tcW w:w="68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9"/>
              <w:ind w:left="67" w:right="65"/>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82"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304" w:right="32" w:hanging="272"/>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97"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189" w:right="98"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88" w:hRule="exact"/>
        </w:trPr>
        <w:tc>
          <w:tcPr>
            <w:tcW w:w="1209" w:type="dxa"/>
            <w:vMerge/>
            <w:tcBorders>
              <w:left w:val="single" w:sz="4" w:space="0" w:color="000000"/>
              <w:bottom w:val="nil" w:sz="6" w:space="0" w:color="auto"/>
              <w:right w:val="single" w:sz="4" w:space="0" w:color="000000"/>
            </w:tcBorders>
            <w:shd w:val="clear" w:color="auto" w:fill="D2D2D2"/>
          </w:tcPr>
          <w:p>
            <w:pPr/>
          </w:p>
        </w:tc>
        <w:tc>
          <w:tcPr>
            <w:tcW w:w="60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1"/>
              <w:ind w:left="12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7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94" w:right="98"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57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91" w:right="99"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571"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4" w:type="dxa"/>
            <w:vMerge/>
            <w:tcBorders>
              <w:left w:val="single" w:sz="4" w:space="0" w:color="000000"/>
              <w:right w:val="single" w:sz="4" w:space="0" w:color="000000"/>
            </w:tcBorders>
            <w:shd w:val="clear" w:color="auto" w:fill="D2D2D2"/>
          </w:tcPr>
          <w:p>
            <w:pPr/>
          </w:p>
        </w:tc>
        <w:tc>
          <w:tcPr>
            <w:tcW w:w="78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26"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665"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1" w:type="dxa"/>
            <w:vMerge/>
            <w:tcBorders>
              <w:left w:val="single" w:sz="4" w:space="0" w:color="000000"/>
              <w:right w:val="single" w:sz="4" w:space="0" w:color="000000"/>
            </w:tcBorders>
            <w:shd w:val="clear" w:color="auto" w:fill="D2D2D2"/>
          </w:tcPr>
          <w:p>
            <w:pPr/>
          </w:p>
        </w:tc>
      </w:tr>
      <w:tr>
        <w:trPr>
          <w:trHeight w:val="197" w:hRule="exact"/>
        </w:trPr>
        <w:tc>
          <w:tcPr>
            <w:tcW w:w="1209" w:type="dxa"/>
            <w:vMerge w:val="restart"/>
            <w:tcBorders>
              <w:top w:val="nil" w:sz="6" w:space="0" w:color="auto"/>
              <w:left w:val="single" w:sz="4" w:space="0" w:color="000000"/>
              <w:right w:val="single" w:sz="4" w:space="0" w:color="000000"/>
            </w:tcBorders>
            <w:shd w:val="clear" w:color="auto" w:fill="D2D2D2"/>
          </w:tcPr>
          <w:p>
            <w:pPr/>
          </w:p>
        </w:tc>
        <w:tc>
          <w:tcPr>
            <w:tcW w:w="604"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4" w:space="0" w:color="000000"/>
              <w:right w:val="single" w:sz="4" w:space="0" w:color="000000"/>
            </w:tcBorders>
            <w:shd w:val="clear" w:color="auto" w:fill="D2D2D2"/>
          </w:tcPr>
          <w:p>
            <w:pPr/>
          </w:p>
        </w:tc>
        <w:tc>
          <w:tcPr>
            <w:tcW w:w="572" w:type="dxa"/>
            <w:vMerge/>
            <w:tcBorders>
              <w:left w:val="single" w:sz="4" w:space="0" w:color="000000"/>
              <w:right w:val="single" w:sz="4" w:space="0" w:color="000000"/>
            </w:tcBorders>
            <w:shd w:val="clear" w:color="auto" w:fill="D2D2D2"/>
          </w:tcPr>
          <w:p>
            <w:pPr/>
          </w:p>
        </w:tc>
        <w:tc>
          <w:tcPr>
            <w:tcW w:w="5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86" w:type="dxa"/>
            <w:vMerge/>
            <w:tcBorders>
              <w:left w:val="single" w:sz="4" w:space="0" w:color="000000"/>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4" w:type="dxa"/>
            <w:vMerge/>
            <w:tcBorders>
              <w:left w:val="single" w:sz="4" w:space="0" w:color="000000"/>
              <w:right w:val="single" w:sz="4" w:space="0" w:color="000000"/>
            </w:tcBorders>
            <w:shd w:val="clear" w:color="auto" w:fill="D2D2D2"/>
          </w:tcPr>
          <w:p>
            <w:pPr/>
          </w:p>
        </w:tc>
        <w:tc>
          <w:tcPr>
            <w:tcW w:w="782"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931" w:type="dxa"/>
            <w:vMerge/>
            <w:tcBorders>
              <w:left w:val="single" w:sz="4" w:space="0" w:color="000000"/>
              <w:right w:val="single" w:sz="4" w:space="0" w:color="000000"/>
            </w:tcBorders>
            <w:shd w:val="clear" w:color="auto" w:fill="D2D2D2"/>
          </w:tcPr>
          <w:p>
            <w:pPr/>
          </w:p>
        </w:tc>
      </w:tr>
      <w:tr>
        <w:trPr>
          <w:trHeight w:val="156" w:hRule="exact"/>
        </w:trPr>
        <w:tc>
          <w:tcPr>
            <w:tcW w:w="1209" w:type="dxa"/>
            <w:vMerge/>
            <w:tcBorders>
              <w:left w:val="single" w:sz="4" w:space="0" w:color="000000"/>
              <w:right w:val="single" w:sz="4" w:space="0" w:color="000000"/>
            </w:tcBorders>
            <w:shd w:val="clear" w:color="auto" w:fill="D2D2D2"/>
          </w:tcPr>
          <w:p>
            <w:pPr/>
          </w:p>
        </w:tc>
        <w:tc>
          <w:tcPr>
            <w:tcW w:w="604" w:type="dxa"/>
            <w:vMerge w:val="restart"/>
            <w:tcBorders>
              <w:top w:val="nil" w:sz="6" w:space="0" w:color="auto"/>
              <w:left w:val="single" w:sz="4" w:space="0" w:color="000000"/>
              <w:right w:val="single" w:sz="4" w:space="0" w:color="000000"/>
            </w:tcBorders>
            <w:shd w:val="clear" w:color="auto" w:fill="D2D2D2"/>
          </w:tcPr>
          <w:p>
            <w:pPr/>
          </w:p>
        </w:tc>
        <w:tc>
          <w:tcPr>
            <w:tcW w:w="574" w:type="dxa"/>
            <w:vMerge/>
            <w:tcBorders>
              <w:left w:val="single" w:sz="4" w:space="0" w:color="000000"/>
              <w:right w:val="single" w:sz="4" w:space="0" w:color="000000"/>
            </w:tcBorders>
            <w:shd w:val="clear" w:color="auto" w:fill="D2D2D2"/>
          </w:tcPr>
          <w:p>
            <w:pPr/>
          </w:p>
        </w:tc>
        <w:tc>
          <w:tcPr>
            <w:tcW w:w="572" w:type="dxa"/>
            <w:vMerge/>
            <w:tcBorders>
              <w:left w:val="single" w:sz="4" w:space="0" w:color="000000"/>
              <w:right w:val="single" w:sz="4" w:space="0" w:color="000000"/>
            </w:tcBorders>
            <w:shd w:val="clear" w:color="auto" w:fill="D2D2D2"/>
          </w:tcPr>
          <w:p>
            <w:pPr/>
          </w:p>
        </w:tc>
        <w:tc>
          <w:tcPr>
            <w:tcW w:w="571" w:type="dxa"/>
            <w:vMerge/>
            <w:tcBorders>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bottom w:val="nil" w:sz="6" w:space="0" w:color="auto"/>
              <w:right w:val="single" w:sz="4" w:space="0" w:color="000000"/>
            </w:tcBorders>
            <w:shd w:val="clear" w:color="auto" w:fill="D2D2D2"/>
          </w:tcPr>
          <w:p>
            <w:pPr/>
          </w:p>
        </w:tc>
        <w:tc>
          <w:tcPr>
            <w:tcW w:w="684" w:type="dxa"/>
            <w:vMerge/>
            <w:tcBorders>
              <w:left w:val="single" w:sz="4" w:space="0" w:color="000000"/>
              <w:bottom w:val="nil" w:sz="6" w:space="0" w:color="auto"/>
              <w:right w:val="single" w:sz="4" w:space="0" w:color="000000"/>
            </w:tcBorders>
            <w:shd w:val="clear" w:color="auto" w:fill="D2D2D2"/>
          </w:tcPr>
          <w:p>
            <w:pPr/>
          </w:p>
        </w:tc>
        <w:tc>
          <w:tcPr>
            <w:tcW w:w="782" w:type="dxa"/>
            <w:vMerge w:val="restart"/>
            <w:tcBorders>
              <w:top w:val="nil" w:sz="6" w:space="0" w:color="auto"/>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4" w:hRule="exact"/>
        </w:trPr>
        <w:tc>
          <w:tcPr>
            <w:tcW w:w="1209" w:type="dxa"/>
            <w:vMerge/>
            <w:tcBorders>
              <w:left w:val="single" w:sz="4" w:space="0" w:color="000000"/>
              <w:bottom w:val="single" w:sz="4" w:space="0" w:color="000000"/>
              <w:right w:val="single" w:sz="4" w:space="0" w:color="000000"/>
            </w:tcBorders>
            <w:shd w:val="clear" w:color="auto" w:fill="D2D2D2"/>
          </w:tcPr>
          <w:p>
            <w:pPr/>
          </w:p>
        </w:tc>
        <w:tc>
          <w:tcPr>
            <w:tcW w:w="604"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72" w:type="dxa"/>
            <w:vMerge/>
            <w:tcBorders>
              <w:left w:val="single" w:sz="4" w:space="0" w:color="000000"/>
              <w:bottom w:val="single" w:sz="4" w:space="0" w:color="000000"/>
              <w:right w:val="single" w:sz="4" w:space="0" w:color="000000"/>
            </w:tcBorders>
            <w:shd w:val="clear" w:color="auto" w:fill="D2D2D2"/>
          </w:tcPr>
          <w:p>
            <w:pPr/>
          </w:p>
        </w:tc>
        <w:tc>
          <w:tcPr>
            <w:tcW w:w="571"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782"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931"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5"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
              <w:jc w:val="left"/>
              <w:rPr>
                <w:rFonts w:ascii="宋体" w:hAnsi="宋体" w:cs="宋体" w:eastAsia="宋体" w:hint="default"/>
                <w:sz w:val="18"/>
                <w:szCs w:val="18"/>
              </w:rPr>
            </w:pPr>
            <w:r>
              <w:rPr>
                <w:rFonts w:ascii="宋体" w:hAnsi="宋体" w:cs="宋体" w:eastAsia="宋体" w:hint="default"/>
                <w:spacing w:val="-13"/>
                <w:sz w:val="18"/>
                <w:szCs w:val="18"/>
              </w:rPr>
              <w:t>（四）所有者权</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益内部结转</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1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1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15"/>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15"/>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15"/>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pacing w:val="-85"/>
                <w:sz w:val="18"/>
                <w:szCs w:val="18"/>
              </w:rPr>
              <w:t>）</w:t>
            </w:r>
            <w:r>
              <w:rPr>
                <w:rFonts w:ascii="宋体" w:hAnsi="宋体" w:cs="宋体" w:eastAsia="宋体" w:hint="default"/>
                <w:sz w:val="18"/>
                <w:szCs w:val="18"/>
              </w:rPr>
              <w:t>专项储备</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04"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209" w:type="dxa"/>
            <w:tcBorders>
              <w:top w:val="single" w:sz="4" w:space="0" w:color="000000"/>
              <w:left w:val="single" w:sz="4" w:space="0" w:color="000000"/>
              <w:bottom w:val="nil" w:sz="6" w:space="0" w:color="auto"/>
              <w:right w:val="single" w:sz="4" w:space="0" w:color="000000"/>
            </w:tcBorders>
            <w:shd w:val="clear" w:color="auto" w:fill="D2D2D2"/>
          </w:tcPr>
          <w:p>
            <w:pPr/>
          </w:p>
        </w:tc>
        <w:tc>
          <w:tcPr>
            <w:tcW w:w="604" w:type="dxa"/>
            <w:vMerge w:val="restart"/>
            <w:tcBorders>
              <w:top w:val="single" w:sz="4" w:space="0" w:color="000000"/>
              <w:left w:val="single" w:sz="9" w:space="0" w:color="D2D2D2"/>
              <w:right w:val="single" w:sz="4" w:space="0" w:color="000000"/>
            </w:tcBorders>
          </w:tcPr>
          <w:p>
            <w:pPr>
              <w:pStyle w:val="TableParagraph"/>
              <w:spacing w:line="240" w:lineRule="auto" w:before="91"/>
              <w:ind w:left="94" w:right="0"/>
              <w:jc w:val="center"/>
              <w:rPr>
                <w:rFonts w:ascii="Times New Roman" w:hAnsi="Times New Roman" w:cs="Times New Roman" w:eastAsia="Times New Roman" w:hint="default"/>
                <w:sz w:val="18"/>
                <w:szCs w:val="18"/>
              </w:rPr>
            </w:pPr>
            <w:r>
              <w:rPr>
                <w:rFonts w:ascii="Times New Roman"/>
                <w:sz w:val="18"/>
              </w:rPr>
              <w:t>1,099,</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449,68</w:t>
            </w:r>
          </w:p>
          <w:p>
            <w:pPr>
              <w:pStyle w:val="TableParagraph"/>
              <w:spacing w:line="240" w:lineRule="auto" w:before="105"/>
              <w:ind w:left="231" w:right="0"/>
              <w:jc w:val="center"/>
              <w:rPr>
                <w:rFonts w:ascii="Times New Roman" w:hAnsi="Times New Roman" w:cs="Times New Roman" w:eastAsia="Times New Roman" w:hint="default"/>
                <w:sz w:val="18"/>
                <w:szCs w:val="18"/>
              </w:rPr>
            </w:pPr>
            <w:r>
              <w:rPr>
                <w:rFonts w:ascii="Times New Roman"/>
                <w:sz w:val="18"/>
              </w:rPr>
              <w:t>8.00</w:t>
            </w: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1,228,3</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81,164.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27</w:t>
            </w:r>
          </w:p>
        </w:tc>
        <w:tc>
          <w:tcPr>
            <w:tcW w:w="686" w:type="dxa"/>
            <w:vMerge w:val="restart"/>
            <w:tcBorders>
              <w:top w:val="single" w:sz="4" w:space="0" w:color="000000"/>
              <w:left w:val="single" w:sz="4" w:space="0" w:color="000000"/>
              <w:right w:val="single" w:sz="4" w:space="0" w:color="000000"/>
            </w:tcBorders>
          </w:tcPr>
          <w:p>
            <w:pP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2,363,5</w:t>
            </w:r>
          </w:p>
          <w:p>
            <w:pPr>
              <w:pStyle w:val="TableParagraph"/>
              <w:spacing w:line="240" w:lineRule="auto" w:before="105"/>
              <w:ind w:left="226" w:right="0"/>
              <w:jc w:val="center"/>
              <w:rPr>
                <w:rFonts w:ascii="Times New Roman" w:hAnsi="Times New Roman" w:cs="Times New Roman" w:eastAsia="Times New Roman" w:hint="default"/>
                <w:sz w:val="18"/>
                <w:szCs w:val="18"/>
              </w:rPr>
            </w:pPr>
            <w:r>
              <w:rPr>
                <w:rFonts w:ascii="Times New Roman"/>
                <w:sz w:val="18"/>
              </w:rPr>
              <w:t>26.48</w:t>
            </w: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145,834</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,602.82</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948,413,4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06.43</w:t>
            </w: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3,424,442,3</w:t>
            </w:r>
          </w:p>
          <w:p>
            <w:pPr>
              <w:pStyle w:val="TableParagraph"/>
              <w:spacing w:line="240" w:lineRule="auto" w:before="105"/>
              <w:ind w:left="491" w:right="0"/>
              <w:jc w:val="left"/>
              <w:rPr>
                <w:rFonts w:ascii="Times New Roman" w:hAnsi="Times New Roman" w:cs="Times New Roman" w:eastAsia="Times New Roman" w:hint="default"/>
                <w:sz w:val="18"/>
                <w:szCs w:val="18"/>
              </w:rPr>
            </w:pPr>
            <w:r>
              <w:rPr>
                <w:rFonts w:ascii="Times New Roman"/>
                <w:sz w:val="18"/>
              </w:rPr>
              <w:t>88.00</w:t>
            </w:r>
          </w:p>
        </w:tc>
      </w:tr>
      <w:tr>
        <w:trPr>
          <w:trHeight w:val="703" w:hRule="exact"/>
        </w:trPr>
        <w:tc>
          <w:tcPr>
            <w:tcW w:w="12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13"/>
                <w:sz w:val="18"/>
                <w:szCs w:val="18"/>
              </w:rPr>
              <w:t>四、本期期末余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604"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3" w:hRule="exact"/>
        </w:trPr>
        <w:tc>
          <w:tcPr>
            <w:tcW w:w="1209" w:type="dxa"/>
            <w:tcBorders>
              <w:top w:val="nil" w:sz="6" w:space="0" w:color="auto"/>
              <w:left w:val="single" w:sz="4" w:space="0" w:color="000000"/>
              <w:bottom w:val="single" w:sz="4" w:space="0" w:color="000000"/>
              <w:right w:val="single" w:sz="4" w:space="0" w:color="000000"/>
            </w:tcBorders>
            <w:shd w:val="clear" w:color="auto" w:fill="D2D2D2"/>
          </w:tcPr>
          <w:p>
            <w:pPr/>
          </w:p>
        </w:tc>
        <w:tc>
          <w:tcPr>
            <w:tcW w:w="604"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2"/>
          <w:szCs w:val="22"/>
        </w:rPr>
      </w:pPr>
    </w:p>
    <w:p>
      <w:pPr>
        <w:pStyle w:val="BodyText"/>
        <w:tabs>
          <w:tab w:pos="3578" w:val="left" w:leader="none"/>
          <w:tab w:pos="7721" w:val="left" w:leader="none"/>
        </w:tabs>
        <w:spacing w:line="240" w:lineRule="auto" w:before="44"/>
        <w:ind w:right="0"/>
        <w:jc w:val="left"/>
      </w:pPr>
      <w:r>
        <w:rPr/>
        <w:t>法定代表人：胡宏伟</w:t>
        <w:tab/>
      </w:r>
      <w:r>
        <w:rPr>
          <w:spacing w:val="-1"/>
        </w:rPr>
        <w:t>主管会计工作负责人：陈丽娜</w:t>
        <w:tab/>
      </w:r>
      <w:r>
        <w:rPr/>
        <w:t>会计机构负责人：郭伟民</w:t>
      </w:r>
    </w:p>
    <w:p>
      <w:pPr>
        <w:spacing w:line="240" w:lineRule="auto" w:before="1"/>
        <w:rPr>
          <w:rFonts w:ascii="宋体" w:hAnsi="宋体" w:cs="宋体" w:eastAsia="宋体" w:hint="default"/>
          <w:sz w:val="25"/>
          <w:szCs w:val="25"/>
        </w:rPr>
      </w:pPr>
    </w:p>
    <w:p>
      <w:pPr>
        <w:pStyle w:val="Heading2"/>
        <w:spacing w:line="240" w:lineRule="auto"/>
        <w:ind w:right="2602"/>
        <w:jc w:val="left"/>
        <w:rPr>
          <w:b w:val="0"/>
          <w:bCs w:val="0"/>
        </w:rPr>
      </w:pPr>
      <w:bookmarkStart w:name="三、公司基本情况" w:id="173"/>
      <w:bookmarkEnd w:id="173"/>
      <w:r>
        <w:rPr>
          <w:b w:val="0"/>
          <w:bCs w:val="0"/>
        </w:rPr>
      </w:r>
      <w:r>
        <w:rPr/>
        <w:t>三、公司基本情况</w:t>
      </w:r>
      <w:r>
        <w:rPr>
          <w:b w:val="0"/>
          <w:bCs w:val="0"/>
        </w:rPr>
      </w:r>
    </w:p>
    <w:p>
      <w:pPr>
        <w:spacing w:line="240" w:lineRule="auto" w:before="12"/>
        <w:rPr>
          <w:rFonts w:ascii="宋体" w:hAnsi="宋体" w:cs="宋体" w:eastAsia="宋体" w:hint="default"/>
          <w:b/>
          <w:bCs/>
          <w:sz w:val="24"/>
          <w:szCs w:val="24"/>
        </w:rPr>
      </w:pPr>
    </w:p>
    <w:p>
      <w:pPr>
        <w:pStyle w:val="Heading4"/>
        <w:spacing w:line="256" w:lineRule="auto" w:before="0"/>
        <w:ind w:right="1126" w:firstLine="420"/>
        <w:jc w:val="both"/>
      </w:pPr>
      <w:r>
        <w:rPr>
          <w:spacing w:val="-2"/>
        </w:rPr>
        <w:t>万达信息股份有限公司前身系上海万达信息系统有限公司，</w:t>
      </w:r>
      <w:r>
        <w:rPr>
          <w:rFonts w:ascii="Times New Roman" w:hAnsi="Times New Roman" w:cs="Times New Roman" w:eastAsia="Times New Roman" w:hint="default"/>
          <w:spacing w:val="-2"/>
        </w:rPr>
        <w:t>1998</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19</w:t>
      </w:r>
      <w:r>
        <w:rPr>
          <w:spacing w:val="-2"/>
        </w:rPr>
        <w:t>日经上海市人民政府以沪府</w:t>
      </w:r>
      <w:r>
        <w:rPr>
          <w:w w:val="100"/>
        </w:rPr>
        <w:t> </w:t>
      </w:r>
      <w:r>
        <w:rPr>
          <w:spacing w:val="-4"/>
        </w:rPr>
        <w:t>体改审（</w:t>
      </w:r>
      <w:r>
        <w:rPr>
          <w:rFonts w:ascii="Times New Roman" w:hAnsi="Times New Roman" w:cs="Times New Roman" w:eastAsia="Times New Roman" w:hint="default"/>
          <w:spacing w:val="-4"/>
        </w:rPr>
        <w:t>1998</w:t>
      </w:r>
      <w:r>
        <w:rPr>
          <w:spacing w:val="-4"/>
        </w:rPr>
        <w:t>）</w:t>
      </w:r>
      <w:r>
        <w:rPr>
          <w:rFonts w:ascii="Times New Roman" w:hAnsi="Times New Roman" w:cs="Times New Roman" w:eastAsia="Times New Roman" w:hint="default"/>
          <w:spacing w:val="-4"/>
        </w:rPr>
        <w:t>073</w:t>
      </w:r>
      <w:r>
        <w:rPr>
          <w:spacing w:val="-4"/>
        </w:rPr>
        <w:t>号</w:t>
      </w:r>
      <w:r>
        <w:rPr>
          <w:rFonts w:ascii="Times New Roman" w:hAnsi="Times New Roman" w:cs="Times New Roman" w:eastAsia="Times New Roman" w:hint="default"/>
          <w:spacing w:val="-4"/>
        </w:rPr>
        <w:t>“</w:t>
      </w:r>
      <w:r>
        <w:rPr>
          <w:spacing w:val="-4"/>
        </w:rPr>
        <w:t>关于同意设立上海万达信息股份有限公司的批复</w:t>
      </w:r>
      <w:r>
        <w:rPr>
          <w:rFonts w:ascii="Times New Roman" w:hAnsi="Times New Roman" w:cs="Times New Roman" w:eastAsia="Times New Roman" w:hint="default"/>
          <w:spacing w:val="-4"/>
        </w:rPr>
        <w:t>”</w:t>
      </w:r>
      <w:r>
        <w:rPr>
          <w:spacing w:val="-4"/>
        </w:rPr>
        <w:t>批准，公司转制成为上海万达信息</w:t>
      </w:r>
      <w:r>
        <w:rPr>
          <w:spacing w:val="-15"/>
        </w:rPr>
        <w:t> </w:t>
      </w:r>
      <w:r>
        <w:rPr>
          <w:spacing w:val="-15"/>
        </w:rPr>
      </w:r>
      <w:r>
        <w:rPr>
          <w:spacing w:val="-2"/>
        </w:rPr>
        <w:t>股份有限公司。公司统一社会信用代码：</w:t>
      </w:r>
      <w:r>
        <w:rPr>
          <w:rFonts w:ascii="Times New Roman" w:hAnsi="Times New Roman" w:cs="Times New Roman" w:eastAsia="Times New Roman" w:hint="default"/>
          <w:spacing w:val="-2"/>
        </w:rPr>
        <w:t>91310000132653687M</w:t>
      </w:r>
      <w:r>
        <w:rPr>
          <w:spacing w:val="-2"/>
        </w:rPr>
        <w:t>。</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w:t>
      </w:r>
      <w:r>
        <w:rPr>
          <w:spacing w:val="-2"/>
        </w:rPr>
        <w:t>月在深圳证券交易所上市。所属</w:t>
      </w:r>
      <w:r>
        <w:rPr>
          <w:spacing w:val="1"/>
        </w:rPr>
        <w:t> </w:t>
      </w:r>
      <w:r>
        <w:rPr>
          <w:spacing w:val="1"/>
        </w:rPr>
      </w:r>
      <w:r>
        <w:rPr/>
        <w:t>行业为信息服务业类。</w:t>
      </w:r>
    </w:p>
    <w:p>
      <w:pPr>
        <w:pStyle w:val="Heading4"/>
        <w:spacing w:line="256" w:lineRule="auto" w:before="22"/>
        <w:ind w:right="1126" w:firstLine="420"/>
        <w:jc w:val="both"/>
      </w:pP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日止，本公司累计发行股本总数</w:t>
      </w:r>
      <w:r>
        <w:rPr>
          <w:rFonts w:ascii="Times New Roman" w:hAnsi="Times New Roman" w:cs="Times New Roman" w:eastAsia="Times New Roman" w:hint="default"/>
        </w:rPr>
        <w:t>1,139,854,021</w:t>
      </w:r>
      <w:r>
        <w:rPr/>
        <w:t>股，注册地：上海市桂平路</w:t>
      </w:r>
      <w:r>
        <w:rPr>
          <w:rFonts w:ascii="Times New Roman" w:hAnsi="Times New Roman" w:cs="Times New Roman" w:eastAsia="Times New Roman" w:hint="default"/>
        </w:rPr>
        <w:t>481</w:t>
      </w:r>
      <w:r>
        <w:rPr/>
        <w:t>号</w:t>
      </w:r>
      <w:r>
        <w:rPr>
          <w:rFonts w:ascii="Times New Roman" w:hAnsi="Times New Roman" w:cs="Times New Roman" w:eastAsia="Times New Roman" w:hint="default"/>
        </w:rPr>
        <w:t>20</w:t>
      </w:r>
      <w:r>
        <w:rPr>
          <w:rFonts w:ascii="Times New Roman" w:hAnsi="Times New Roman" w:cs="Times New Roman" w:eastAsia="Times New Roman" w:hint="default"/>
          <w:w w:val="100"/>
        </w:rPr>
        <w:t> </w:t>
      </w:r>
      <w:r>
        <w:rPr/>
        <w:t>号楼</w:t>
      </w:r>
      <w:r>
        <w:rPr>
          <w:rFonts w:ascii="Times New Roman" w:hAnsi="Times New Roman" w:cs="Times New Roman" w:eastAsia="Times New Roman" w:hint="default"/>
        </w:rPr>
        <w:t>5</w:t>
      </w:r>
      <w:r>
        <w:rPr/>
        <w:t>层，总部地址：上海市闵行区联航路</w:t>
      </w:r>
      <w:r>
        <w:rPr>
          <w:rFonts w:ascii="Times New Roman" w:hAnsi="Times New Roman" w:cs="Times New Roman" w:eastAsia="Times New Roman" w:hint="default"/>
        </w:rPr>
        <w:t>1518</w:t>
      </w:r>
      <w:r>
        <w:rPr/>
        <w:t>号。本公司经营范围为：计算机专业领域内的技术咨询、</w:t>
      </w:r>
      <w:r>
        <w:rPr>
          <w:spacing w:val="-27"/>
        </w:rPr>
        <w:t> </w:t>
      </w:r>
      <w:r>
        <w:rPr>
          <w:spacing w:val="-27"/>
        </w:rPr>
      </w:r>
      <w:r>
        <w:rPr>
          <w:spacing w:val="-8"/>
        </w:rPr>
        <w:t>开发、转让、培训、承包、中介、入股及新产品的研制、试销，计算机及配件</w:t>
      </w:r>
      <w:r>
        <w:rPr>
          <w:rFonts w:ascii="Times New Roman" w:hAnsi="Times New Roman" w:cs="Times New Roman" w:eastAsia="Times New Roman" w:hint="default"/>
          <w:spacing w:val="-8"/>
        </w:rPr>
        <w:t>,</w:t>
      </w:r>
      <w:r>
        <w:rPr>
          <w:spacing w:val="-8"/>
        </w:rPr>
        <w:t>普通机械及电器机械与器材，</w:t>
      </w:r>
    </w:p>
    <w:p>
      <w:pPr>
        <w:spacing w:after="0" w:line="256" w:lineRule="auto"/>
        <w:jc w:val="both"/>
        <w:sectPr>
          <w:footerReference w:type="default" r:id="rId34"/>
          <w:pgSz w:w="11910" w:h="16840"/>
          <w:pgMar w:footer="980" w:header="745" w:top="1060" w:bottom="1160" w:left="980" w:right="0"/>
          <w:pgNumType w:start="120"/>
        </w:sectPr>
      </w:pPr>
    </w:p>
    <w:p>
      <w:pPr>
        <w:spacing w:line="240" w:lineRule="auto" w:before="10"/>
        <w:rPr>
          <w:rFonts w:ascii="宋体" w:hAnsi="宋体" w:cs="宋体" w:eastAsia="宋体" w:hint="default"/>
          <w:sz w:val="24"/>
          <w:szCs w:val="24"/>
        </w:rPr>
      </w:pPr>
    </w:p>
    <w:p>
      <w:pPr>
        <w:pStyle w:val="Heading4"/>
        <w:spacing w:line="256" w:lineRule="auto" w:before="36"/>
        <w:ind w:right="1128"/>
        <w:jc w:val="both"/>
      </w:pPr>
      <w:r>
        <w:rPr>
          <w:spacing w:val="-4"/>
        </w:rPr>
        <w:t>经济信息咨询服务，机械电器设备租赁</w:t>
      </w:r>
      <w:r>
        <w:rPr>
          <w:rFonts w:ascii="Times New Roman" w:hAnsi="Times New Roman" w:cs="Times New Roman" w:eastAsia="Times New Roman" w:hint="default"/>
          <w:spacing w:val="-4"/>
        </w:rPr>
        <w:t>,</w:t>
      </w:r>
      <w:r>
        <w:rPr>
          <w:spacing w:val="-4"/>
        </w:rPr>
        <w:t>电子产品及通信设备销售，计算机信息系统集成，建筑智能化系统</w:t>
      </w:r>
      <w:r>
        <w:rPr>
          <w:spacing w:val="-8"/>
        </w:rPr>
        <w:t> </w:t>
      </w:r>
      <w:r>
        <w:rPr>
          <w:spacing w:val="-8"/>
        </w:rPr>
        <w:t>集成，</w:t>
      </w:r>
      <w:r>
        <w:rPr>
          <w:rFonts w:ascii="Times New Roman" w:hAnsi="Times New Roman" w:cs="Times New Roman" w:eastAsia="Times New Roman" w:hint="default"/>
          <w:spacing w:val="-8"/>
        </w:rPr>
        <w:t>(</w:t>
      </w:r>
      <w:r>
        <w:rPr>
          <w:spacing w:val="-8"/>
        </w:rPr>
        <w:t>设计、施工</w:t>
      </w:r>
      <w:r>
        <w:rPr>
          <w:rFonts w:ascii="Times New Roman" w:hAnsi="Times New Roman" w:cs="Times New Roman" w:eastAsia="Times New Roman" w:hint="default"/>
          <w:spacing w:val="-8"/>
        </w:rPr>
        <w:t>)</w:t>
      </w:r>
      <w:r>
        <w:rPr>
          <w:spacing w:val="-8"/>
        </w:rPr>
        <w:t>，机场空管工程及航站楼弱电系统工程，医疗器械经营</w:t>
      </w:r>
      <w:r>
        <w:rPr>
          <w:rFonts w:ascii="Times New Roman" w:hAnsi="Times New Roman" w:cs="Times New Roman" w:eastAsia="Times New Roman" w:hint="default"/>
          <w:spacing w:val="-8"/>
        </w:rPr>
        <w:t>(</w:t>
      </w:r>
      <w:r>
        <w:rPr>
          <w:spacing w:val="-8"/>
        </w:rPr>
        <w:t>详见医疗器械经营企业许可证</w:t>
      </w:r>
      <w:r>
        <w:rPr>
          <w:rFonts w:ascii="Times New Roman" w:hAnsi="Times New Roman" w:cs="Times New Roman" w:eastAsia="Times New Roman" w:hint="default"/>
          <w:spacing w:val="-8"/>
        </w:rPr>
        <w:t>)</w:t>
      </w:r>
      <w:r>
        <w:rPr>
          <w:spacing w:val="-8"/>
        </w:rPr>
        <w:t>，</w:t>
      </w:r>
      <w:r>
        <w:rPr>
          <w:spacing w:val="-20"/>
        </w:rPr>
        <w:t> </w:t>
      </w:r>
      <w:r>
        <w:rPr/>
        <w:t>自营进出口</w:t>
      </w:r>
      <w:r>
        <w:rPr>
          <w:rFonts w:ascii="Times New Roman" w:hAnsi="Times New Roman" w:cs="Times New Roman" w:eastAsia="Times New Roman" w:hint="default"/>
        </w:rPr>
        <w:t>,</w:t>
      </w:r>
      <w:r>
        <w:rPr/>
        <w:t>电信业务。【依法须经批准的项目，经相关部门批准后方可开展经营活动】。</w:t>
      </w:r>
    </w:p>
    <w:p>
      <w:pPr>
        <w:pStyle w:val="Heading4"/>
        <w:spacing w:line="261" w:lineRule="auto" w:before="5"/>
        <w:ind w:right="1126" w:firstLine="420"/>
        <w:jc w:val="both"/>
      </w:pPr>
      <w:r>
        <w:rPr>
          <w:spacing w:val="-4"/>
        </w:rPr>
        <w:t>本公司原第一大股东为上海万豪投资有限公司，本公司原实际控制人为史一兵。截至</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11</w:t>
      </w:r>
      <w:r>
        <w:rPr>
          <w:spacing w:val="-4"/>
        </w:rPr>
        <w:t>月</w:t>
      </w:r>
      <w:r>
        <w:rPr>
          <w:rFonts w:ascii="Times New Roman" w:hAnsi="Times New Roman" w:cs="Times New Roman" w:eastAsia="Times New Roman" w:hint="default"/>
          <w:spacing w:val="-4"/>
        </w:rPr>
        <w:t>7</w:t>
      </w:r>
      <w:r>
        <w:rPr>
          <w:spacing w:val="-4"/>
        </w:rPr>
        <w:t>日，</w:t>
      </w:r>
      <w:r>
        <w:rPr>
          <w:w w:val="100"/>
        </w:rPr>
        <w:t> </w:t>
      </w:r>
      <w:r>
        <w:rPr>
          <w:spacing w:val="-2"/>
        </w:rPr>
        <w:t>中国人寿保险股份有限公司及其一致行动人中国人寿保险（集团）公司、中国人寿资产管理有限公司合计</w:t>
      </w:r>
      <w:r>
        <w:rPr>
          <w:spacing w:val="-43"/>
        </w:rPr>
        <w:t> </w:t>
      </w:r>
      <w:r>
        <w:rPr>
          <w:spacing w:val="-43"/>
        </w:rPr>
      </w:r>
      <w:r>
        <w:rPr>
          <w:spacing w:val="-2"/>
        </w:rPr>
        <w:t>持有公司</w:t>
      </w:r>
      <w:r>
        <w:rPr>
          <w:rFonts w:ascii="Times New Roman" w:hAnsi="Times New Roman" w:cs="Times New Roman" w:eastAsia="Times New Roman" w:hint="default"/>
          <w:spacing w:val="-2"/>
        </w:rPr>
        <w:t>206,323,682</w:t>
      </w:r>
      <w:r>
        <w:rPr>
          <w:spacing w:val="-2"/>
        </w:rPr>
        <w:t>股股份，已超过公司原第一大股东上海万豪投资有限公司及其实际控制人史一兵合计</w:t>
      </w:r>
      <w:r>
        <w:rPr>
          <w:spacing w:val="-31"/>
        </w:rPr>
        <w:t> </w:t>
      </w:r>
      <w:r>
        <w:rPr>
          <w:spacing w:val="-31"/>
        </w:rPr>
      </w:r>
      <w:r>
        <w:rPr>
          <w:spacing w:val="-2"/>
        </w:rPr>
        <w:t>持有的</w:t>
      </w:r>
      <w:r>
        <w:rPr>
          <w:rFonts w:ascii="Times New Roman" w:hAnsi="Times New Roman" w:cs="Times New Roman" w:eastAsia="Times New Roman" w:hint="default"/>
          <w:spacing w:val="-2"/>
        </w:rPr>
        <w:t>206,097,400</w:t>
      </w:r>
      <w:r>
        <w:rPr>
          <w:spacing w:val="-2"/>
        </w:rPr>
        <w:t>股股份，成为公司第一大股东，本公司变更为无控股股东、无实际控制人。截至</w:t>
      </w:r>
      <w:r>
        <w:rPr>
          <w:rFonts w:ascii="Times New Roman" w:hAnsi="Times New Roman" w:cs="Times New Roman" w:eastAsia="Times New Roman" w:hint="default"/>
          <w:spacing w:val="-2"/>
        </w:rPr>
        <w:t>2019</w:t>
      </w:r>
      <w:r>
        <w:rPr>
          <w:spacing w:val="-2"/>
        </w:rPr>
        <w:t>年</w:t>
      </w:r>
      <w:r>
        <w:rPr>
          <w:spacing w:val="-29"/>
        </w:rPr>
        <w:t> </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日，本公司无控股股东、无实际控制人。</w:t>
      </w:r>
    </w:p>
    <w:p>
      <w:pPr>
        <w:pStyle w:val="Heading4"/>
        <w:spacing w:line="516" w:lineRule="auto" w:before="0"/>
        <w:ind w:left="573" w:right="2602"/>
        <w:jc w:val="left"/>
      </w:pPr>
      <w:r>
        <w:rPr/>
        <w:pict>
          <v:shape style="position:absolute;margin-left:87.024002pt;margin-top:47.423695pt;width:390.7pt;height:513.8pt;mso-position-horizontal-relative:page;mso-position-vertical-relative:paragraph;z-index:21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813"/>
                  </w:tblGrid>
                  <w:tr>
                    <w:trPr>
                      <w:trHeight w:val="346" w:hRule="exact"/>
                    </w:trPr>
                    <w:tc>
                      <w:tcPr>
                        <w:tcW w:w="7813" w:type="dxa"/>
                        <w:tcBorders>
                          <w:top w:val="single" w:sz="6" w:space="0" w:color="000000"/>
                          <w:left w:val="nil" w:sz="6" w:space="0" w:color="auto"/>
                          <w:bottom w:val="single" w:sz="4" w:space="0" w:color="000000"/>
                          <w:right w:val="nil" w:sz="6" w:space="0" w:color="auto"/>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子公司名称</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3" w:lineRule="exact"/>
                          <w:ind w:left="9" w:right="0"/>
                          <w:jc w:val="left"/>
                          <w:rPr>
                            <w:rFonts w:ascii="宋体" w:hAnsi="宋体" w:cs="宋体" w:eastAsia="宋体" w:hint="default"/>
                            <w:sz w:val="21"/>
                            <w:szCs w:val="21"/>
                          </w:rPr>
                        </w:pPr>
                        <w:r>
                          <w:rPr>
                            <w:rFonts w:ascii="宋体" w:hAnsi="宋体" w:cs="宋体" w:eastAsia="宋体" w:hint="default"/>
                            <w:sz w:val="21"/>
                            <w:szCs w:val="21"/>
                          </w:rPr>
                          <w:t>宁波万达信息系统有限公司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杭州万达信息系统有限公司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88" w:lineRule="exact"/>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Wonders Info</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Corp.</w:t>
                        </w:r>
                        <w:r>
                          <w:rPr>
                            <w:rFonts w:ascii="宋体" w:hAnsi="宋体" w:cs="宋体" w:eastAsia="宋体" w:hint="default"/>
                            <w:sz w:val="21"/>
                            <w:szCs w:val="21"/>
                          </w:rPr>
                          <w:t>美国万达信息有限公司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上海万达信息系统有限公司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深圳市万达信息有限公司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上海爱递吉供应链管理服务有限公司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南京爱递吉供应链管理服务有限公司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上海万达信息服务有限公司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上海卫生信息工程技术研究中心有限公司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天津万达信息技术有限责任公司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北京万达全城信息系统有限公司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上海格言管理有限公司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四川浩特通信有限公司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四川万达智能安防数据有限公司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上海华奕医疗信息技术有限公司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宁波金唐软件有限公司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杭州莱域科技有限公司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上海复高计算机科技有限公司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上海易可思信息技术有限公司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上海格金信息技术有限公司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克拉玛依市复高计算机科技有限公司</w:t>
                        </w:r>
                      </w:p>
                    </w:tc>
                  </w:tr>
                  <w:tr>
                    <w:trPr>
                      <w:trHeight w:val="344"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3" w:lineRule="exact"/>
                          <w:ind w:left="9" w:right="0"/>
                          <w:jc w:val="left"/>
                          <w:rPr>
                            <w:rFonts w:ascii="宋体" w:hAnsi="宋体" w:cs="宋体" w:eastAsia="宋体" w:hint="default"/>
                            <w:sz w:val="21"/>
                            <w:szCs w:val="21"/>
                          </w:rPr>
                        </w:pPr>
                        <w:r>
                          <w:rPr>
                            <w:rFonts w:ascii="宋体" w:hAnsi="宋体" w:cs="宋体" w:eastAsia="宋体" w:hint="default"/>
                            <w:sz w:val="21"/>
                            <w:szCs w:val="21"/>
                          </w:rPr>
                          <w:t>湖南凯歌医疗信息技术有限公司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上海市民信箱信息服务有限公司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湖南万达智慧城市信息技术有限公司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永州潇湘云技术有限公司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万达云医疗科技健康产业（上海）有限公司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四川万达智城云数据有限公司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四川万达健康数据有限公司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宁波市万达数据应用服务有限公司</w:t>
                        </w:r>
                      </w:p>
                    </w:tc>
                  </w:tr>
                </w:tbl>
                <w:p>
                  <w:pPr/>
                </w:p>
              </w:txbxContent>
            </v:textbox>
            <w10:wrap type="none"/>
          </v:shape>
        </w:pict>
      </w:r>
      <w:r>
        <w:rPr/>
        <w:t>本财务报表业经公司董事会于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27</w:t>
      </w:r>
      <w:r>
        <w:rPr/>
        <w:t>日批准报出。</w:t>
      </w:r>
      <w:r>
        <w:rPr>
          <w:w w:val="100"/>
        </w:rPr>
        <w:t> </w:t>
      </w:r>
      <w:r>
        <w:rPr>
          <w:spacing w:val="-2"/>
        </w:rPr>
        <w:t>截至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日止，本公司合并财务报表范围内子公司如下：</w:t>
      </w:r>
    </w:p>
    <w:p>
      <w:pPr>
        <w:spacing w:after="0" w:line="516" w:lineRule="auto"/>
        <w:jc w:val="left"/>
        <w:sectPr>
          <w:pgSz w:w="11910" w:h="16840"/>
          <w:pgMar w:header="745" w:footer="980" w:top="1060" w:bottom="1160" w:left="980" w:right="0"/>
        </w:sectPr>
      </w:pPr>
    </w:p>
    <w:p>
      <w:pPr>
        <w:spacing w:line="240" w:lineRule="auto" w:before="11"/>
        <w:rPr>
          <w:rFonts w:ascii="宋体" w:hAnsi="宋体" w:cs="宋体" w:eastAsia="宋体" w:hint="default"/>
          <w:sz w:val="2"/>
          <w:szCs w:val="2"/>
        </w:rPr>
      </w:pPr>
      <w:r>
        <w:rPr/>
        <w:pict>
          <v:group style="position:absolute;margin-left:55.200001pt;margin-top:55.559982pt;width:484.9pt;height:.1pt;mso-position-horizontal-relative:page;mso-position-vertical-relative:page;z-index:-1333408" coordorigin="1104,1111" coordsize="9698,2">
            <v:shape style="position:absolute;left:1104;top:1111;width:9698;height:2" coordorigin="1104,1111" coordsize="9698,0" path="m1104,1111l10802,1111e" filled="false" stroked="true" strokeweight=".72pt" strokecolor="#000000">
              <v:path arrowok="t"/>
            </v:shape>
            <w10:wrap type="none"/>
          </v:group>
        </w:pict>
      </w:r>
    </w:p>
    <w:tbl>
      <w:tblPr>
        <w:tblW w:w="0" w:type="auto"/>
        <w:jc w:val="left"/>
        <w:tblInd w:w="760" w:type="dxa"/>
        <w:tblLayout w:type="fixed"/>
        <w:tblCellMar>
          <w:top w:w="0" w:type="dxa"/>
          <w:left w:w="0" w:type="dxa"/>
          <w:bottom w:w="0" w:type="dxa"/>
          <w:right w:w="0" w:type="dxa"/>
        </w:tblCellMar>
        <w:tblLook w:val="01E0"/>
      </w:tblPr>
      <w:tblGrid>
        <w:gridCol w:w="7813"/>
      </w:tblGrid>
      <w:tr>
        <w:trPr>
          <w:trHeight w:val="682" w:hRule="exact"/>
        </w:trPr>
        <w:tc>
          <w:tcPr>
            <w:tcW w:w="7813" w:type="dxa"/>
            <w:tcBorders>
              <w:top w:val="single" w:sz="6" w:space="0" w:color="000000"/>
              <w:left w:val="nil" w:sz="6" w:space="0" w:color="auto"/>
              <w:bottom w:val="single" w:sz="4" w:space="0" w:color="000000"/>
              <w:right w:val="nil" w:sz="6" w:space="0" w:color="auto"/>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子公司名称</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万达志翔医疗科技（北京）有限责任公司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上海耀学信息科技有限公司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上海慈铭智能网络科技有限责任公司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上海大亿精诚智能网络科技有限责任公司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上海振民智能网络科技有限责任公司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上海爱可及医疗科技有限公司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上海资哲企业管理有限责任公司</w:t>
            </w:r>
          </w:p>
        </w:tc>
      </w:tr>
      <w:tr>
        <w:trPr>
          <w:trHeight w:val="343"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蛮牛健康管理服务有限公司</w:t>
            </w:r>
          </w:p>
        </w:tc>
      </w:tr>
      <w:tr>
        <w:trPr>
          <w:trHeight w:val="341" w:hRule="exact"/>
        </w:trPr>
        <w:tc>
          <w:tcPr>
            <w:tcW w:w="7813" w:type="dxa"/>
            <w:tcBorders>
              <w:top w:val="single" w:sz="4" w:space="0" w:color="000000"/>
              <w:left w:val="nil" w:sz="6" w:space="0" w:color="auto"/>
              <w:bottom w:val="single" w:sz="4" w:space="0" w:color="000000"/>
              <w:right w:val="nil" w:sz="6" w:space="0" w:color="auto"/>
            </w:tcBorders>
          </w:tcPr>
          <w:p>
            <w:pPr>
              <w:pStyle w:val="TableParagraph"/>
              <w:spacing w:line="272" w:lineRule="exact"/>
              <w:ind w:left="9" w:right="0"/>
              <w:jc w:val="left"/>
              <w:rPr>
                <w:rFonts w:ascii="宋体" w:hAnsi="宋体" w:cs="宋体" w:eastAsia="宋体" w:hint="default"/>
                <w:sz w:val="21"/>
                <w:szCs w:val="21"/>
              </w:rPr>
            </w:pPr>
            <w:r>
              <w:rPr>
                <w:rFonts w:ascii="宋体" w:hAnsi="宋体" w:cs="宋体" w:eastAsia="宋体" w:hint="default"/>
                <w:sz w:val="21"/>
                <w:szCs w:val="21"/>
              </w:rPr>
              <w:t>上海蛮牛健康管理有限公司</w:t>
            </w:r>
          </w:p>
        </w:tc>
      </w:tr>
    </w:tbl>
    <w:p>
      <w:pPr>
        <w:spacing w:line="240" w:lineRule="auto" w:before="1"/>
        <w:rPr>
          <w:rFonts w:ascii="宋体" w:hAnsi="宋体" w:cs="宋体" w:eastAsia="宋体" w:hint="default"/>
          <w:sz w:val="18"/>
          <w:szCs w:val="18"/>
        </w:rPr>
      </w:pPr>
    </w:p>
    <w:p>
      <w:pPr>
        <w:pStyle w:val="Heading2"/>
        <w:spacing w:line="240" w:lineRule="auto" w:before="26"/>
        <w:ind w:right="2602"/>
        <w:jc w:val="left"/>
        <w:rPr>
          <w:b w:val="0"/>
          <w:bCs w:val="0"/>
        </w:rPr>
      </w:pPr>
      <w:bookmarkStart w:name="四、财务报表的编制基础" w:id="174"/>
      <w:bookmarkEnd w:id="174"/>
      <w:r>
        <w:rPr>
          <w:b w:val="0"/>
          <w:bCs w:val="0"/>
        </w:rPr>
      </w:r>
      <w:r>
        <w:rPr/>
        <w:t>四、财务报表的编制基础</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编制基础" w:id="175"/>
      <w:bookmarkEnd w:id="175"/>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7"/>
        <w:rPr>
          <w:rFonts w:ascii="宋体" w:hAnsi="宋体" w:cs="宋体" w:eastAsia="宋体" w:hint="default"/>
          <w:b/>
          <w:bCs/>
          <w:sz w:val="24"/>
          <w:szCs w:val="24"/>
        </w:rPr>
      </w:pPr>
    </w:p>
    <w:p>
      <w:pPr>
        <w:pStyle w:val="Heading4"/>
        <w:spacing w:line="256" w:lineRule="auto" w:before="0"/>
        <w:ind w:right="1126" w:firstLine="420"/>
        <w:jc w:val="both"/>
      </w:pPr>
      <w:r>
        <w:rPr>
          <w:spacing w:val="-2"/>
        </w:rPr>
        <w:t>公司以持续经营为基础，根据实际发生的交易和事项，按照财政部颁布的《企业会计准则</w:t>
      </w:r>
      <w:r>
        <w:rPr>
          <w:rFonts w:ascii="Times New Roman" w:hAnsi="Times New Roman" w:cs="Times New Roman" w:eastAsia="Times New Roman" w:hint="default"/>
          <w:spacing w:val="-2"/>
        </w:rPr>
        <w:t>——</w:t>
      </w:r>
      <w:r>
        <w:rPr>
          <w:spacing w:val="-2"/>
        </w:rPr>
        <w:t>基本准</w:t>
      </w:r>
      <w:r>
        <w:rPr>
          <w:w w:val="100"/>
        </w:rPr>
        <w:t> </w:t>
      </w:r>
      <w:r>
        <w:rPr/>
        <w:t>则》和各项具体会计准则、企业会计准则应用指南、企业会计准则解释及其他相关规定（以下合称</w:t>
      </w:r>
      <w:r>
        <w:rPr>
          <w:rFonts w:ascii="Times New Roman" w:hAnsi="Times New Roman" w:cs="Times New Roman" w:eastAsia="Times New Roman" w:hint="default"/>
        </w:rPr>
        <w:t>“</w:t>
      </w:r>
      <w:r>
        <w:rPr/>
        <w:t>企业</w:t>
      </w:r>
      <w:r>
        <w:rPr>
          <w:spacing w:val="-11"/>
        </w:rPr>
        <w:t> </w:t>
      </w:r>
      <w:r>
        <w:rPr/>
        <w:t>会计准则</w:t>
      </w:r>
      <w:r>
        <w:rPr>
          <w:rFonts w:ascii="Times New Roman" w:hAnsi="Times New Roman" w:cs="Times New Roman" w:eastAsia="Times New Roman" w:hint="default"/>
        </w:rPr>
        <w:t>”</w:t>
      </w:r>
      <w:r>
        <w:rPr/>
        <w:t>），以及中国证券监督管理委员会《公开发行证券的公司信息披露编报规则第</w:t>
      </w:r>
      <w:r>
        <w:rPr>
          <w:rFonts w:ascii="Times New Roman" w:hAnsi="Times New Roman" w:cs="Times New Roman" w:eastAsia="Times New Roman" w:hint="default"/>
        </w:rPr>
        <w:t>15</w:t>
      </w:r>
      <w:r>
        <w:rPr>
          <w:rFonts w:ascii="Times New Roman" w:hAnsi="Times New Roman" w:cs="Times New Roman" w:eastAsia="Times New Roman" w:hint="default"/>
          <w:spacing w:val="30"/>
        </w:rPr>
        <w:t> </w:t>
      </w:r>
      <w:r>
        <w:rPr/>
        <w:t>号</w:t>
      </w:r>
      <w:r>
        <w:rPr>
          <w:rFonts w:ascii="Times New Roman" w:hAnsi="Times New Roman" w:cs="Times New Roman" w:eastAsia="Times New Roman" w:hint="default"/>
        </w:rPr>
        <w:t>——</w:t>
      </w:r>
      <w:r>
        <w:rPr/>
        <w:t>财务报</w:t>
      </w:r>
      <w:r>
        <w:rPr>
          <w:spacing w:val="-3"/>
          <w:w w:val="100"/>
        </w:rPr>
        <w:t> </w:t>
      </w:r>
      <w:r>
        <w:rPr/>
        <w:t>告的一般规定》的披露规定编制财务报表。</w:t>
      </w:r>
    </w:p>
    <w:p>
      <w:pPr>
        <w:spacing w:line="240" w:lineRule="auto" w:before="8"/>
        <w:rPr>
          <w:rFonts w:ascii="宋体" w:hAnsi="宋体" w:cs="宋体" w:eastAsia="宋体" w:hint="default"/>
          <w:sz w:val="24"/>
          <w:szCs w:val="24"/>
        </w:rPr>
      </w:pPr>
    </w:p>
    <w:p>
      <w:pPr>
        <w:pStyle w:val="Heading3"/>
        <w:spacing w:line="240" w:lineRule="auto"/>
        <w:ind w:right="2602"/>
        <w:jc w:val="left"/>
        <w:rPr>
          <w:b w:val="0"/>
          <w:bCs w:val="0"/>
        </w:rPr>
      </w:pPr>
      <w:bookmarkStart w:name="2、持续经营" w:id="176"/>
      <w:bookmarkEnd w:id="176"/>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0"/>
        <w:jc w:val="left"/>
      </w:pPr>
      <w:r>
        <w:rPr/>
        <w:t>本公司自本报告期末至少</w:t>
      </w:r>
      <w:r>
        <w:rPr>
          <w:rFonts w:ascii="Times New Roman" w:hAnsi="Times New Roman" w:cs="Times New Roman" w:eastAsia="Times New Roman" w:hint="default"/>
        </w:rPr>
        <w:t>12</w:t>
      </w:r>
      <w:r>
        <w:rPr/>
        <w:t>个月内具备持续经营能力，无影响持续经营能力的重大事项。</w:t>
      </w:r>
    </w:p>
    <w:p>
      <w:pPr>
        <w:spacing w:line="240" w:lineRule="auto" w:before="8"/>
        <w:rPr>
          <w:rFonts w:ascii="宋体" w:hAnsi="宋体" w:cs="宋体" w:eastAsia="宋体" w:hint="default"/>
          <w:sz w:val="22"/>
          <w:szCs w:val="22"/>
        </w:rPr>
      </w:pPr>
    </w:p>
    <w:p>
      <w:pPr>
        <w:pStyle w:val="Heading2"/>
        <w:spacing w:line="240" w:lineRule="auto"/>
        <w:ind w:right="2602"/>
        <w:jc w:val="left"/>
        <w:rPr>
          <w:b w:val="0"/>
          <w:bCs w:val="0"/>
        </w:rPr>
      </w:pPr>
      <w:bookmarkStart w:name="五、重要会计政策及会计估计" w:id="177"/>
      <w:bookmarkEnd w:id="177"/>
      <w:r>
        <w:rPr>
          <w:b w:val="0"/>
          <w:bCs w:val="0"/>
        </w:rPr>
      </w:r>
      <w:r>
        <w:rPr/>
        <w:t>五、重要会计政策及会计估计</w:t>
      </w:r>
      <w:r>
        <w:rPr>
          <w:b w:val="0"/>
          <w:bCs w:val="0"/>
        </w:rPr>
      </w:r>
    </w:p>
    <w:p>
      <w:pPr>
        <w:spacing w:line="240" w:lineRule="auto" w:before="9"/>
        <w:rPr>
          <w:rFonts w:ascii="宋体" w:hAnsi="宋体" w:cs="宋体" w:eastAsia="宋体" w:hint="default"/>
          <w:b/>
          <w:bCs/>
          <w:sz w:val="24"/>
          <w:szCs w:val="24"/>
        </w:rPr>
      </w:pPr>
    </w:p>
    <w:p>
      <w:pPr>
        <w:pStyle w:val="Heading4"/>
        <w:spacing w:line="273" w:lineRule="auto" w:before="0"/>
        <w:ind w:left="573" w:right="0"/>
        <w:jc w:val="left"/>
      </w:pPr>
      <w:r>
        <w:rPr/>
        <w:t>具体会计政策和会计估计提示：</w:t>
      </w:r>
      <w:r>
        <w:rPr>
          <w:w w:val="100"/>
        </w:rPr>
        <w:t> </w:t>
      </w:r>
      <w:r>
        <w:rPr>
          <w:spacing w:val="2"/>
        </w:rPr>
        <w:t>以下披露内容已涵盖了本公司根据实际生产经营特点制定的具体会计政策和会计估计。详见本章节</w:t>
      </w:r>
      <w:r>
        <w:rPr/>
      </w:r>
    </w:p>
    <w:p>
      <w:pPr>
        <w:pStyle w:val="Heading4"/>
        <w:spacing w:line="240" w:lineRule="auto"/>
        <w:ind w:right="2602"/>
        <w:jc w:val="left"/>
      </w:pPr>
      <w:r>
        <w:rPr/>
        <w:t>“五、</w:t>
      </w:r>
      <w:r>
        <w:rPr>
          <w:rFonts w:ascii="宋体" w:hAnsi="宋体" w:cs="宋体" w:eastAsia="宋体" w:hint="default"/>
        </w:rPr>
        <w:t>30</w:t>
      </w:r>
      <w:r>
        <w:rPr/>
        <w:t>、无形资产”和“五、</w:t>
      </w:r>
      <w:r>
        <w:rPr>
          <w:rFonts w:ascii="宋体" w:hAnsi="宋体" w:cs="宋体" w:eastAsia="宋体" w:hint="default"/>
        </w:rPr>
        <w:t>39</w:t>
      </w:r>
      <w:r>
        <w:rPr/>
        <w:t>、收入”。</w:t>
      </w:r>
    </w:p>
    <w:p>
      <w:pPr>
        <w:spacing w:line="610" w:lineRule="atLeast" w:before="18"/>
        <w:ind w:left="573" w:right="0" w:hanging="421"/>
        <w:jc w:val="left"/>
        <w:rPr>
          <w:rFonts w:ascii="宋体" w:hAnsi="宋体" w:cs="宋体" w:eastAsia="宋体" w:hint="default"/>
          <w:sz w:val="21"/>
          <w:szCs w:val="21"/>
        </w:rPr>
      </w:pPr>
      <w:bookmarkStart w:name="1、遵循企业会计准则的声明" w:id="178"/>
      <w:bookmarkEnd w:id="178"/>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、遵循企业会计准则的声明</w:t>
      </w:r>
      <w:r>
        <w:rPr>
          <w:rFonts w:ascii="宋体" w:hAnsi="宋体" w:cs="宋体" w:eastAsia="宋体" w:hint="default"/>
          <w:b/>
          <w:bCs/>
          <w:w w:val="100"/>
          <w:sz w:val="21"/>
          <w:szCs w:val="21"/>
        </w:rPr>
        <w:t> </w:t>
      </w:r>
      <w:r>
        <w:rPr>
          <w:rFonts w:ascii="宋体" w:hAnsi="宋体" w:cs="宋体" w:eastAsia="宋体" w:hint="default"/>
          <w:spacing w:val="-2"/>
          <w:sz w:val="21"/>
          <w:szCs w:val="21"/>
        </w:rPr>
        <w:t>本财务报表符合财政部颁布的企业会计准则的要求，真实、完整地反映了本公司</w:t>
      </w:r>
      <w:r>
        <w:rPr>
          <w:rFonts w:ascii="Times New Roman" w:hAnsi="Times New Roman" w:cs="Times New Roman" w:eastAsia="Times New Roman" w:hint="default"/>
          <w:spacing w:val="-2"/>
          <w:sz w:val="21"/>
          <w:szCs w:val="21"/>
        </w:rPr>
        <w:t>2019</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31</w:t>
      </w:r>
      <w:r>
        <w:rPr>
          <w:rFonts w:ascii="宋体" w:hAnsi="宋体" w:cs="宋体" w:eastAsia="宋体" w:hint="default"/>
          <w:spacing w:val="-2"/>
          <w:sz w:val="21"/>
          <w:szCs w:val="21"/>
        </w:rPr>
        <w:t>日的合</w:t>
      </w:r>
    </w:p>
    <w:p>
      <w:pPr>
        <w:pStyle w:val="Heading4"/>
        <w:spacing w:line="240" w:lineRule="auto" w:before="21"/>
        <w:ind w:right="2602"/>
        <w:jc w:val="left"/>
      </w:pPr>
      <w:r>
        <w:rPr/>
        <w:t>并及母公财务状况以及</w:t>
      </w:r>
      <w:r>
        <w:rPr>
          <w:rFonts w:ascii="Times New Roman" w:hAnsi="Times New Roman" w:cs="Times New Roman" w:eastAsia="Times New Roman" w:hint="default"/>
        </w:rPr>
        <w:t>2019</w:t>
      </w:r>
      <w:r>
        <w:rPr/>
        <w:t>年度的合并及母公司经营成果和现金流量。</w:t>
      </w:r>
    </w:p>
    <w:p>
      <w:pPr>
        <w:spacing w:line="240" w:lineRule="auto" w:before="8"/>
        <w:rPr>
          <w:rFonts w:ascii="宋体" w:hAnsi="宋体" w:cs="宋体" w:eastAsia="宋体" w:hint="default"/>
          <w:sz w:val="24"/>
          <w:szCs w:val="24"/>
        </w:rPr>
      </w:pPr>
    </w:p>
    <w:p>
      <w:pPr>
        <w:pStyle w:val="Heading3"/>
        <w:spacing w:line="240" w:lineRule="auto"/>
        <w:ind w:right="2602"/>
        <w:jc w:val="left"/>
        <w:rPr>
          <w:b w:val="0"/>
          <w:bCs w:val="0"/>
        </w:rPr>
      </w:pPr>
      <w:bookmarkStart w:name="2、会计期间" w:id="179"/>
      <w:bookmarkEnd w:id="179"/>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7"/>
        <w:rPr>
          <w:rFonts w:ascii="宋体" w:hAnsi="宋体" w:cs="宋体" w:eastAsia="宋体" w:hint="default"/>
          <w:b/>
          <w:bCs/>
          <w:sz w:val="24"/>
          <w:szCs w:val="24"/>
        </w:rPr>
      </w:pPr>
    </w:p>
    <w:p>
      <w:pPr>
        <w:pStyle w:val="Heading4"/>
        <w:spacing w:line="240" w:lineRule="auto" w:before="0"/>
        <w:ind w:left="573" w:right="2602"/>
        <w:jc w:val="left"/>
      </w:pPr>
      <w:r>
        <w:rPr/>
        <w:t>自公历</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日止为一个会计年度。</w:t>
      </w:r>
    </w:p>
    <w:p>
      <w:pPr>
        <w:spacing w:line="240" w:lineRule="auto" w:before="7"/>
        <w:rPr>
          <w:rFonts w:ascii="宋体" w:hAnsi="宋体" w:cs="宋体" w:eastAsia="宋体" w:hint="default"/>
          <w:sz w:val="24"/>
          <w:szCs w:val="24"/>
        </w:rPr>
      </w:pPr>
    </w:p>
    <w:p>
      <w:pPr>
        <w:pStyle w:val="Heading3"/>
        <w:spacing w:line="240" w:lineRule="auto"/>
        <w:ind w:right="2602"/>
        <w:jc w:val="left"/>
        <w:rPr>
          <w:b w:val="0"/>
          <w:bCs w:val="0"/>
        </w:rPr>
      </w:pPr>
      <w:bookmarkStart w:name="3、营业周期" w:id="180"/>
      <w:bookmarkEnd w:id="180"/>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t>本公司营业周期为</w:t>
      </w:r>
      <w:r>
        <w:rPr>
          <w:rFonts w:ascii="Times New Roman" w:hAnsi="Times New Roman" w:cs="Times New Roman" w:eastAsia="Times New Roman" w:hint="default"/>
        </w:rPr>
        <w:t>12</w:t>
      </w:r>
      <w:r>
        <w:rPr/>
        <w:t>个月。</w:t>
      </w:r>
    </w:p>
    <w:p>
      <w:pPr>
        <w:spacing w:after="0" w:line="240" w:lineRule="auto"/>
        <w:jc w:val="left"/>
        <w:sectPr>
          <w:pgSz w:w="11910" w:h="16840"/>
          <w:pgMar w:header="745" w:footer="980" w:top="106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0"/>
          <w:szCs w:val="20"/>
        </w:rPr>
      </w:pPr>
    </w:p>
    <w:p>
      <w:pPr>
        <w:pStyle w:val="Heading3"/>
        <w:spacing w:line="240" w:lineRule="auto" w:before="36"/>
        <w:ind w:right="0"/>
        <w:jc w:val="both"/>
        <w:rPr>
          <w:b w:val="0"/>
          <w:bCs w:val="0"/>
        </w:rPr>
      </w:pPr>
      <w:bookmarkStart w:name="4、记账本位币" w:id="181"/>
      <w:bookmarkEnd w:id="181"/>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t>本公司采用人民币为记账本位币。</w:t>
      </w:r>
    </w:p>
    <w:p>
      <w:pPr>
        <w:spacing w:line="590" w:lineRule="atLeast" w:before="38"/>
        <w:ind w:left="573" w:right="0" w:hanging="421"/>
        <w:jc w:val="left"/>
        <w:rPr>
          <w:rFonts w:ascii="宋体" w:hAnsi="宋体" w:cs="宋体" w:eastAsia="宋体" w:hint="default"/>
          <w:sz w:val="21"/>
          <w:szCs w:val="21"/>
        </w:rPr>
      </w:pPr>
      <w:bookmarkStart w:name="5、同一控制下和非同一控制下企业合并的会计处理方法" w:id="182"/>
      <w:bookmarkEnd w:id="182"/>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同一控制下企业合并：合并方在企业合并中取得的资产和负债，按照合并日被合并方资产、负债（包</w:t>
      </w:r>
    </w:p>
    <w:p>
      <w:pPr>
        <w:pStyle w:val="Heading4"/>
        <w:spacing w:line="273" w:lineRule="auto" w:before="37"/>
        <w:ind w:right="1126"/>
        <w:jc w:val="both"/>
      </w:pPr>
      <w:r>
        <w:rPr>
          <w:spacing w:val="-2"/>
        </w:rPr>
        <w:t>括最终控制方收购被合并方而形成的商誉）在最终控制方合并财务报表中的账面价值计量。在合并中取得</w:t>
      </w:r>
      <w:r>
        <w:rPr>
          <w:spacing w:val="-43"/>
        </w:rPr>
        <w:t> </w:t>
      </w:r>
      <w:r>
        <w:rPr>
          <w:spacing w:val="-43"/>
        </w:rPr>
      </w:r>
      <w:r>
        <w:rPr>
          <w:spacing w:val="-2"/>
        </w:rPr>
        <w:t>的净资产账面价值与支付的合并对价账面价值（或发行股份面值总额）的差额，调整资本公积中的股本溢</w:t>
      </w:r>
      <w:r>
        <w:rPr>
          <w:spacing w:val="-42"/>
        </w:rPr>
        <w:t> </w:t>
      </w:r>
      <w:r>
        <w:rPr>
          <w:spacing w:val="-42"/>
        </w:rPr>
      </w:r>
      <w:r>
        <w:rPr/>
        <w:t>价，资本公积中的股本溢价不足冲减的，调整留存收益。</w:t>
      </w:r>
    </w:p>
    <w:p>
      <w:pPr>
        <w:pStyle w:val="Heading4"/>
        <w:spacing w:line="273" w:lineRule="auto"/>
        <w:ind w:right="1126" w:firstLine="420"/>
        <w:jc w:val="both"/>
      </w:pPr>
      <w:r>
        <w:rPr>
          <w:spacing w:val="-2"/>
        </w:rPr>
        <w:t>非同一控制下企业合并：购买方在购买日对作为企业合并对价付出的资产、发生或承担的负债按照公</w:t>
      </w:r>
      <w:r>
        <w:rPr>
          <w:w w:val="100"/>
        </w:rPr>
        <w:t> </w:t>
      </w:r>
      <w:r>
        <w:rPr>
          <w:spacing w:val="-2"/>
        </w:rPr>
        <w:t>允价值计量，公允价值与其账面价值的差额，计入当期损益。合并成本大于合并中取得的被购买方可辨认</w:t>
      </w:r>
      <w:r>
        <w:rPr>
          <w:spacing w:val="-43"/>
        </w:rPr>
        <w:t> </w:t>
      </w:r>
      <w:r>
        <w:rPr>
          <w:spacing w:val="-43"/>
        </w:rPr>
      </w:r>
      <w:r>
        <w:rPr>
          <w:spacing w:val="-2"/>
        </w:rPr>
        <w:t>净资产公允价值份额的差额，确认为商誉；合并成本小于合并中取得的被购买方可辨认净资产公允价值份</w:t>
      </w:r>
      <w:r>
        <w:rPr>
          <w:spacing w:val="-43"/>
        </w:rPr>
        <w:t> </w:t>
      </w:r>
      <w:r>
        <w:rPr>
          <w:spacing w:val="-43"/>
        </w:rPr>
      </w:r>
      <w:r>
        <w:rPr/>
        <w:t>额的差额，计入当期损益。</w:t>
      </w:r>
    </w:p>
    <w:p>
      <w:pPr>
        <w:pStyle w:val="Heading4"/>
        <w:spacing w:line="273" w:lineRule="auto"/>
        <w:ind w:right="1126" w:firstLine="420"/>
        <w:jc w:val="both"/>
      </w:pPr>
      <w:r>
        <w:rPr>
          <w:spacing w:val="-2"/>
        </w:rPr>
        <w:t>为企业合并发生的直接相关费用于发生时计入当期损益；为企业合并而发行权益性证券或债务性证券</w:t>
      </w:r>
      <w:r>
        <w:rPr>
          <w:w w:val="100"/>
        </w:rPr>
        <w:t> </w:t>
      </w:r>
      <w:r>
        <w:rPr/>
        <w:t>的交易费用，计入权益性证券或债务性证券的初始确认金额。</w:t>
      </w:r>
    </w:p>
    <w:p>
      <w:pPr>
        <w:spacing w:line="240" w:lineRule="auto" w:before="7"/>
        <w:rPr>
          <w:rFonts w:ascii="宋体" w:hAnsi="宋体" w:cs="宋体" w:eastAsia="宋体" w:hint="default"/>
          <w:sz w:val="23"/>
          <w:szCs w:val="23"/>
        </w:rPr>
      </w:pPr>
    </w:p>
    <w:p>
      <w:pPr>
        <w:pStyle w:val="Heading3"/>
        <w:spacing w:line="240" w:lineRule="auto"/>
        <w:ind w:right="0"/>
        <w:jc w:val="both"/>
        <w:rPr>
          <w:b w:val="0"/>
          <w:bCs w:val="0"/>
        </w:rPr>
      </w:pPr>
      <w:bookmarkStart w:name="6、合并财务报表的编制方法" w:id="183"/>
      <w:bookmarkEnd w:id="183"/>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10"/>
        <w:rPr>
          <w:rFonts w:ascii="宋体" w:hAnsi="宋体" w:cs="宋体" w:eastAsia="宋体" w:hint="default"/>
          <w:b/>
          <w:bCs/>
          <w:sz w:val="24"/>
          <w:szCs w:val="24"/>
        </w:rPr>
      </w:pPr>
    </w:p>
    <w:p>
      <w:pPr>
        <w:spacing w:line="264" w:lineRule="auto" w:before="0"/>
        <w:ind w:left="573" w:right="2602"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b/>
          <w:bCs/>
          <w:sz w:val="21"/>
          <w:szCs w:val="21"/>
        </w:rPr>
        <w:t>合并范围</w:t>
      </w:r>
      <w:r>
        <w:rPr>
          <w:rFonts w:ascii="宋体" w:hAnsi="宋体" w:cs="宋体" w:eastAsia="宋体" w:hint="default"/>
          <w:b/>
          <w:bCs/>
          <w:w w:val="100"/>
          <w:sz w:val="21"/>
          <w:szCs w:val="21"/>
        </w:rPr>
        <w:t> </w:t>
      </w:r>
      <w:r>
        <w:rPr>
          <w:rFonts w:ascii="宋体" w:hAnsi="宋体" w:cs="宋体" w:eastAsia="宋体" w:hint="default"/>
          <w:spacing w:val="-2"/>
          <w:sz w:val="21"/>
          <w:szCs w:val="21"/>
        </w:rPr>
        <w:t>合并财务报表的合并范围以控制为基础确定，合并范围包括本公司及全部子公司。</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r>
      <w:r>
        <w:rPr>
          <w:rFonts w:ascii="宋体" w:hAnsi="宋体" w:cs="宋体" w:eastAsia="宋体" w:hint="default"/>
          <w:b/>
          <w:bCs/>
          <w:sz w:val="21"/>
          <w:szCs w:val="21"/>
        </w:rPr>
        <w:t>合并程序</w:t>
      </w:r>
      <w:r>
        <w:rPr>
          <w:rFonts w:ascii="宋体" w:hAnsi="宋体" w:cs="宋体" w:eastAsia="宋体" w:hint="default"/>
          <w:sz w:val="21"/>
          <w:szCs w:val="21"/>
        </w:rPr>
      </w:r>
    </w:p>
    <w:p>
      <w:pPr>
        <w:pStyle w:val="Heading4"/>
        <w:spacing w:line="273" w:lineRule="auto" w:before="0"/>
        <w:ind w:right="1126" w:firstLine="420"/>
        <w:jc w:val="both"/>
      </w:pPr>
      <w:r>
        <w:rPr>
          <w:spacing w:val="-2"/>
        </w:rPr>
        <w:t>本公司以自身和各子公司的财务报表为基础，根据其他有关资料，编制合并财务报表。本公司编制合</w:t>
      </w:r>
      <w:r>
        <w:rPr>
          <w:w w:val="100"/>
        </w:rPr>
        <w:t> </w:t>
      </w:r>
      <w:r>
        <w:rPr>
          <w:spacing w:val="-2"/>
        </w:rPr>
        <w:t>并财务报表，将整个企业集团视为一个会计主体，依据相关企业会计准则的确认、计量和列报要求，按照</w:t>
      </w:r>
      <w:r>
        <w:rPr>
          <w:spacing w:val="-47"/>
        </w:rPr>
        <w:t> </w:t>
      </w:r>
      <w:r>
        <w:rPr>
          <w:spacing w:val="-47"/>
        </w:rPr>
      </w:r>
      <w:r>
        <w:rPr/>
        <w:t>统一的会计政策，反映本企业集团整体财务状况、经营成果和现金流量。</w:t>
      </w:r>
    </w:p>
    <w:p>
      <w:pPr>
        <w:pStyle w:val="Heading4"/>
        <w:spacing w:line="273" w:lineRule="auto"/>
        <w:ind w:right="1126" w:firstLine="420"/>
        <w:jc w:val="both"/>
      </w:pPr>
      <w:r>
        <w:rPr>
          <w:spacing w:val="-2"/>
        </w:rPr>
        <w:t>所有纳入合并财务报表合并范围的子公司所采用的会计政策、会计期间与本公司一致，如子公司采用</w:t>
      </w:r>
      <w:r>
        <w:rPr>
          <w:w w:val="100"/>
        </w:rPr>
        <w:t> </w:t>
      </w:r>
      <w:r>
        <w:rPr>
          <w:spacing w:val="-2"/>
        </w:rPr>
        <w:t>的会计政策、会计期间与本公司不一致的，在编制合并财务报表时，按本公司的会计政策、会计期间进行</w:t>
      </w:r>
      <w:r>
        <w:rPr>
          <w:spacing w:val="-50"/>
        </w:rPr>
        <w:t> </w:t>
      </w:r>
      <w:r>
        <w:rPr>
          <w:spacing w:val="-50"/>
        </w:rPr>
      </w:r>
      <w:r>
        <w:rPr>
          <w:spacing w:val="-2"/>
        </w:rPr>
        <w:t>必要的调整。对于非同一控制下企业合并取得的子公司，以购买日可辨认净资产公允价值为基础对其财务</w:t>
      </w:r>
      <w:r>
        <w:rPr>
          <w:spacing w:val="-43"/>
        </w:rPr>
        <w:t> </w:t>
      </w:r>
      <w:r>
        <w:rPr>
          <w:spacing w:val="-43"/>
        </w:rPr>
      </w:r>
      <w:r>
        <w:rPr>
          <w:spacing w:val="-2"/>
        </w:rPr>
        <w:t>报表进行调整。对于同一控制下企业合并取得的子公司，以其资产、负债（包括最终控制方收购该子公司</w:t>
      </w:r>
      <w:r>
        <w:rPr>
          <w:spacing w:val="-44"/>
        </w:rPr>
        <w:t> </w:t>
      </w:r>
      <w:r>
        <w:rPr>
          <w:spacing w:val="-44"/>
        </w:rPr>
      </w:r>
      <w:r>
        <w:rPr/>
        <w:t>而形成的商誉）在最终控制方财务报表中的账面价值为基础对其财务报表进行调整。</w:t>
      </w:r>
    </w:p>
    <w:p>
      <w:pPr>
        <w:pStyle w:val="Heading4"/>
        <w:spacing w:line="273" w:lineRule="auto"/>
        <w:ind w:right="1126" w:firstLine="420"/>
        <w:jc w:val="both"/>
      </w:pPr>
      <w:r>
        <w:rPr>
          <w:spacing w:val="-2"/>
        </w:rPr>
        <w:t>子公司所有者权益、当期净损益和当期综合收益中属于少数股东的份额分别在合并资产负债表中所有</w:t>
      </w:r>
      <w:r>
        <w:rPr>
          <w:w w:val="100"/>
        </w:rPr>
        <w:t> </w:t>
      </w:r>
      <w:r>
        <w:rPr>
          <w:spacing w:val="-2"/>
        </w:rPr>
        <w:t>者权益项目下、合并利润表中净利润项目下和综合收益总额项目下单独列示。子公司少数股东分担的当期</w:t>
      </w:r>
      <w:r>
        <w:rPr>
          <w:spacing w:val="-43"/>
        </w:rPr>
        <w:t> </w:t>
      </w:r>
      <w:r>
        <w:rPr>
          <w:spacing w:val="-43"/>
        </w:rPr>
      </w:r>
      <w:r>
        <w:rPr/>
        <w:t>亏损超过了少数股东在该子公司期初所有者权益中所享有份额而形成的余额，冲减少数股东权益。</w:t>
      </w:r>
    </w:p>
    <w:p>
      <w:pPr>
        <w:pStyle w:val="Heading4"/>
        <w:spacing w:line="256" w:lineRule="auto"/>
        <w:ind w:left="573" w:right="0"/>
        <w:jc w:val="left"/>
      </w:pPr>
      <w:r>
        <w:rPr/>
        <w:t>（</w:t>
      </w:r>
      <w:r>
        <w:rPr>
          <w:rFonts w:ascii="Times New Roman" w:hAnsi="Times New Roman" w:cs="Times New Roman" w:eastAsia="Times New Roman" w:hint="default"/>
        </w:rPr>
        <w:t>1</w:t>
      </w:r>
      <w:r>
        <w:rPr/>
        <w:t>）增加子公司或业务</w:t>
      </w:r>
      <w:r>
        <w:rPr>
          <w:w w:val="100"/>
        </w:rPr>
        <w:t> </w:t>
      </w:r>
      <w:r>
        <w:rPr>
          <w:spacing w:val="-2"/>
        </w:rPr>
        <w:t>在报告期内，若因同一控制下企业合并增加子公司或业务的，则调整合并资产负债表的期初数；将子</w:t>
      </w:r>
    </w:p>
    <w:p>
      <w:pPr>
        <w:pStyle w:val="Heading4"/>
        <w:spacing w:line="273" w:lineRule="auto" w:before="23"/>
        <w:ind w:right="1126"/>
        <w:jc w:val="both"/>
      </w:pPr>
      <w:r>
        <w:rPr>
          <w:spacing w:val="-2"/>
        </w:rPr>
        <w:t>公司或业务合并当期期初至报告期末的收入、费用、利润纳入合并利润表；将子公司或业务合并当期期初</w:t>
      </w:r>
      <w:r>
        <w:rPr>
          <w:spacing w:val="-43"/>
        </w:rPr>
        <w:t> </w:t>
      </w:r>
      <w:r>
        <w:rPr>
          <w:spacing w:val="-43"/>
        </w:rPr>
      </w:r>
      <w:r>
        <w:rPr>
          <w:spacing w:val="-2"/>
        </w:rPr>
        <w:t>至报告期末的现金流量纳入合并现金流量表，同时对比较报表的相关项目进行调整，视同合并后的报告主</w:t>
      </w:r>
      <w:r>
        <w:rPr>
          <w:spacing w:val="-43"/>
        </w:rPr>
        <w:t> </w:t>
      </w:r>
      <w:r>
        <w:rPr>
          <w:spacing w:val="-43"/>
        </w:rPr>
      </w:r>
      <w:r>
        <w:rPr/>
        <w:t>体自最终控制方开始控制时点起一直存在。</w:t>
      </w:r>
    </w:p>
    <w:p>
      <w:pPr>
        <w:pStyle w:val="Heading4"/>
        <w:spacing w:line="273" w:lineRule="auto"/>
        <w:ind w:right="1126" w:firstLine="420"/>
        <w:jc w:val="both"/>
      </w:pPr>
      <w:r>
        <w:rPr>
          <w:spacing w:val="-2"/>
        </w:rPr>
        <w:t>因追加投资等原因能够对同一控制下的被投资方实施控制的，视同参与合并的各方在最终控制方开始</w:t>
      </w:r>
      <w:r>
        <w:rPr>
          <w:w w:val="100"/>
        </w:rPr>
        <w:t> </w:t>
      </w:r>
      <w:r>
        <w:rPr>
          <w:spacing w:val="-2"/>
        </w:rPr>
        <w:t>控制时即以目前的状态存在进行调整。在取得被合并方控制权之前持有的股权投资，在取得原股权之日与</w:t>
      </w:r>
      <w:r>
        <w:rPr>
          <w:spacing w:val="-44"/>
        </w:rPr>
        <w:t> </w:t>
      </w:r>
      <w:r>
        <w:rPr>
          <w:spacing w:val="-44"/>
        </w:rPr>
      </w:r>
      <w:r>
        <w:rPr>
          <w:spacing w:val="-2"/>
        </w:rPr>
        <w:t>合并方和被合并方同处于同一控制之日孰晚日起至合并日之间已确认有关损益、其他综合收益以及其他净</w:t>
      </w:r>
      <w:r>
        <w:rPr>
          <w:spacing w:val="-43"/>
        </w:rPr>
        <w:t> </w:t>
      </w:r>
      <w:r>
        <w:rPr>
          <w:spacing w:val="-43"/>
        </w:rPr>
      </w:r>
      <w:r>
        <w:rPr/>
        <w:t>资产变动，分别冲减比较报表期间的期初留存收益或当期损益。</w:t>
      </w:r>
    </w:p>
    <w:p>
      <w:pPr>
        <w:pStyle w:val="Heading4"/>
        <w:spacing w:line="273" w:lineRule="auto"/>
        <w:ind w:right="1126" w:firstLine="420"/>
        <w:jc w:val="both"/>
      </w:pPr>
      <w:r>
        <w:rPr>
          <w:spacing w:val="-2"/>
        </w:rPr>
        <w:t>在报告期内，若因非同一控制下企业合并增加子公司或业务的，则不调整合并资产负债表期初数；将</w:t>
      </w:r>
      <w:r>
        <w:rPr>
          <w:w w:val="100"/>
        </w:rPr>
        <w:t> </w:t>
      </w:r>
      <w:r>
        <w:rPr>
          <w:spacing w:val="-2"/>
        </w:rPr>
        <w:t>该子公司或业务自购买日至报告期末的收入、费用、利润纳入合并利润表；该子公司或业务自购买日至报</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73" w:lineRule="auto" w:before="36"/>
        <w:ind w:left="573" w:right="0" w:hanging="421"/>
        <w:jc w:val="left"/>
      </w:pPr>
      <w:r>
        <w:rPr/>
        <w:t>告期末的现金流量纳入合并现金流量表。</w:t>
      </w:r>
      <w:r>
        <w:rPr>
          <w:w w:val="100"/>
        </w:rPr>
        <w:t> </w:t>
      </w:r>
      <w:r>
        <w:rPr>
          <w:spacing w:val="-2"/>
        </w:rPr>
        <w:t>因追加投资等原因能够对非同一控制下的被投资方实施控制的，对于购买日之前持有的被购买方的股</w:t>
      </w:r>
    </w:p>
    <w:p>
      <w:pPr>
        <w:pStyle w:val="Heading4"/>
        <w:spacing w:line="273" w:lineRule="auto"/>
        <w:ind w:right="1126"/>
        <w:jc w:val="both"/>
      </w:pPr>
      <w:r>
        <w:rPr>
          <w:spacing w:val="-2"/>
        </w:rPr>
        <w:t>权，本公司按照该股权在购买日的公允价值进行重新计量，公允价值与其账面价值的差额计入当期投资收</w:t>
      </w:r>
      <w:r>
        <w:rPr>
          <w:spacing w:val="-43"/>
        </w:rPr>
        <w:t> </w:t>
      </w:r>
      <w:r>
        <w:rPr>
          <w:spacing w:val="-43"/>
        </w:rPr>
      </w:r>
      <w:r>
        <w:rPr>
          <w:spacing w:val="-2"/>
        </w:rPr>
        <w:t>益。购买日之前持有的被购买方的股权涉及权益法核算下的其他综合收益以及除净损益、其他综合收益和</w:t>
      </w:r>
      <w:r>
        <w:rPr>
          <w:spacing w:val="-44"/>
        </w:rPr>
        <w:t> </w:t>
      </w:r>
      <w:r>
        <w:rPr>
          <w:spacing w:val="-44"/>
        </w:rPr>
      </w:r>
      <w:r>
        <w:rPr>
          <w:spacing w:val="-2"/>
        </w:rPr>
        <w:t>利润分配之外的其他所有者权益变动的，与其相关的其他综合收益、其他所有者权益变动转为购买日所属</w:t>
      </w:r>
      <w:r>
        <w:rPr>
          <w:spacing w:val="-43"/>
        </w:rPr>
        <w:t> </w:t>
      </w:r>
      <w:r>
        <w:rPr>
          <w:spacing w:val="-43"/>
        </w:rPr>
      </w:r>
      <w:r>
        <w:rPr/>
        <w:t>当期投资收益，由于被投资方重新计量设定受益计划净负债或净资产变动而产生的其他综合收益除外。</w:t>
      </w:r>
    </w:p>
    <w:p>
      <w:pPr>
        <w:pStyle w:val="Heading4"/>
        <w:spacing w:line="240" w:lineRule="auto"/>
        <w:ind w:left="573" w:right="2602"/>
        <w:jc w:val="left"/>
      </w:pPr>
      <w:r>
        <w:rPr/>
        <w:t>（</w:t>
      </w:r>
      <w:r>
        <w:rPr>
          <w:rFonts w:ascii="Times New Roman" w:hAnsi="Times New Roman" w:cs="Times New Roman" w:eastAsia="Times New Roman" w:hint="default"/>
        </w:rPr>
        <w:t>2</w:t>
      </w:r>
      <w:r>
        <w:rPr/>
        <w:t>）处置子公司或业务</w:t>
      </w:r>
    </w:p>
    <w:p>
      <w:pPr>
        <w:pStyle w:val="Heading4"/>
        <w:spacing w:line="273" w:lineRule="auto" w:before="21"/>
        <w:ind w:left="573" w:right="0"/>
        <w:jc w:val="left"/>
      </w:pPr>
      <w:r>
        <w:rPr/>
        <w:t>①一般处理方法</w:t>
      </w:r>
      <w:r>
        <w:rPr>
          <w:spacing w:val="-103"/>
        </w:rPr>
        <w:t> </w:t>
      </w:r>
      <w:r>
        <w:rPr>
          <w:spacing w:val="-103"/>
        </w:rPr>
      </w:r>
      <w:r>
        <w:rPr>
          <w:spacing w:val="-2"/>
        </w:rPr>
        <w:t>在报告期内，本公司处置子公司或业务，则该子公司或业务期初至处置日的收入、费用、利润纳入合</w:t>
      </w:r>
    </w:p>
    <w:p>
      <w:pPr>
        <w:pStyle w:val="Heading4"/>
        <w:spacing w:line="273" w:lineRule="auto"/>
        <w:ind w:left="573" w:right="0" w:hanging="421"/>
        <w:jc w:val="left"/>
      </w:pPr>
      <w:r>
        <w:rPr/>
        <w:t>并利润表；该子公司或业务期初至处置日的现金流量纳入合并现金流量表。</w:t>
      </w:r>
      <w:r>
        <w:rPr>
          <w:w w:val="100"/>
        </w:rPr>
        <w:t> </w:t>
      </w:r>
      <w:r>
        <w:rPr>
          <w:spacing w:val="-2"/>
        </w:rPr>
        <w:t>因处置部分股权投资或其他原因丧失了对被投资方控制权时，对于处置后的剩余股权投资，本公司按</w:t>
      </w:r>
    </w:p>
    <w:p>
      <w:pPr>
        <w:pStyle w:val="Heading4"/>
        <w:spacing w:line="273" w:lineRule="auto"/>
        <w:ind w:right="1126"/>
        <w:jc w:val="both"/>
      </w:pPr>
      <w:r>
        <w:rPr>
          <w:spacing w:val="-2"/>
        </w:rPr>
        <w:t>照其在丧失控制权日的公允价值进行重新计量。处置股权取得的对价与剩余股权公允价值之和，减去按原</w:t>
      </w:r>
      <w:r>
        <w:rPr>
          <w:spacing w:val="-43"/>
        </w:rPr>
        <w:t> </w:t>
      </w:r>
      <w:r>
        <w:rPr>
          <w:spacing w:val="-43"/>
        </w:rPr>
      </w:r>
      <w:r>
        <w:rPr>
          <w:spacing w:val="-2"/>
        </w:rPr>
        <w:t>持股比例计算应享有原有子公司自购买日或合并日开始持续计算的净资产的份额与商誉之和的差额，计入</w:t>
      </w:r>
      <w:r>
        <w:rPr>
          <w:spacing w:val="-43"/>
        </w:rPr>
        <w:t> </w:t>
      </w:r>
      <w:r>
        <w:rPr>
          <w:spacing w:val="-43"/>
        </w:rPr>
      </w:r>
      <w:r>
        <w:rPr>
          <w:spacing w:val="-2"/>
        </w:rPr>
        <w:t>丧失控制权当期的投资收益。与原有子公司股权投资相关的其他综合收益或除净损益、其他综合收益及利</w:t>
      </w:r>
      <w:r>
        <w:rPr>
          <w:spacing w:val="-43"/>
        </w:rPr>
        <w:t> </w:t>
      </w:r>
      <w:r>
        <w:rPr>
          <w:spacing w:val="-43"/>
        </w:rPr>
      </w:r>
      <w:r>
        <w:rPr>
          <w:spacing w:val="-2"/>
        </w:rPr>
        <w:t>润分配之外的其他所有者权益变动，在丧失控制权时转为当期投资收益，由于被投资方重新计量设定受益</w:t>
      </w:r>
      <w:r>
        <w:rPr>
          <w:spacing w:val="-43"/>
        </w:rPr>
        <w:t> </w:t>
      </w:r>
      <w:r>
        <w:rPr>
          <w:spacing w:val="-43"/>
        </w:rPr>
      </w:r>
      <w:r>
        <w:rPr/>
        <w:t>计划净负债或净资产变动而产生的其他综合收益除外。</w:t>
      </w:r>
    </w:p>
    <w:p>
      <w:pPr>
        <w:pStyle w:val="Heading4"/>
        <w:spacing w:line="273" w:lineRule="auto"/>
        <w:ind w:right="1126" w:firstLine="420"/>
        <w:jc w:val="both"/>
      </w:pPr>
      <w:r>
        <w:rPr>
          <w:spacing w:val="-2"/>
        </w:rPr>
        <w:t>因其他投资方对子公司增资而导致本公司持股比例下降从而丧失控制权的，按照上述原则进行会计处</w:t>
      </w:r>
      <w:r>
        <w:rPr>
          <w:w w:val="100"/>
        </w:rPr>
        <w:t> </w:t>
      </w:r>
      <w:r>
        <w:rPr/>
        <w:t>理。</w:t>
      </w:r>
    </w:p>
    <w:p>
      <w:pPr>
        <w:pStyle w:val="Heading4"/>
        <w:spacing w:line="273" w:lineRule="auto"/>
        <w:ind w:left="573" w:right="0"/>
        <w:jc w:val="left"/>
      </w:pPr>
      <w:r>
        <w:rPr/>
        <w:t>②分步处置子公司</w:t>
      </w:r>
      <w:r>
        <w:rPr>
          <w:w w:val="100"/>
        </w:rPr>
        <w:t> </w:t>
      </w:r>
      <w:r>
        <w:rPr>
          <w:spacing w:val="-2"/>
        </w:rPr>
        <w:t>通过多次交易分步处置对子公司股权投资直至丧失控制权的，处置对子公司股权投资的各项交易的条</w:t>
      </w:r>
    </w:p>
    <w:p>
      <w:pPr>
        <w:pStyle w:val="Heading4"/>
        <w:spacing w:line="273" w:lineRule="auto"/>
        <w:ind w:right="1126"/>
        <w:jc w:val="both"/>
      </w:pPr>
      <w:r>
        <w:rPr>
          <w:spacing w:val="-2"/>
        </w:rPr>
        <w:t>款、条件以及经济影响符合以下一种或多种情况，通常表明应将多次交易事项作为一揽子交易进行会计处</w:t>
      </w:r>
      <w:r>
        <w:rPr>
          <w:spacing w:val="-43"/>
        </w:rPr>
        <w:t> </w:t>
      </w:r>
      <w:r>
        <w:rPr>
          <w:spacing w:val="-43"/>
        </w:rPr>
      </w:r>
      <w:r>
        <w:rPr/>
        <w:t>理：</w:t>
      </w:r>
    </w:p>
    <w:p>
      <w:pPr>
        <w:pStyle w:val="Heading4"/>
        <w:spacing w:line="273" w:lineRule="auto"/>
        <w:ind w:left="573" w:right="1119"/>
        <w:jc w:val="left"/>
      </w:pPr>
      <w:r>
        <w:rPr/>
        <w:t>ⅰ．这些交易是同时或者在考虑了彼此影响的情况下订立的；</w:t>
      </w:r>
      <w:r>
        <w:rPr>
          <w:w w:val="100"/>
        </w:rPr>
        <w:t> </w:t>
      </w:r>
      <w:r>
        <w:rPr/>
        <w:t>ⅱ．这些交易整体才能达成一项完整的商业结果；</w:t>
      </w:r>
      <w:r>
        <w:rPr>
          <w:w w:val="100"/>
        </w:rPr>
        <w:t> </w:t>
      </w:r>
      <w:r>
        <w:rPr/>
        <w:t>ⅲ．一项交易的发生取决于其他至少一项交易的发生；</w:t>
      </w:r>
      <w:r>
        <w:rPr>
          <w:w w:val="100"/>
        </w:rPr>
        <w:t> </w:t>
      </w:r>
      <w:r>
        <w:rPr/>
        <w:t>ⅳ．一项交易单独看是不经济的，但是和其他交易一并考虑时是经济的。</w:t>
      </w:r>
      <w:r>
        <w:rPr>
          <w:w w:val="100"/>
        </w:rPr>
        <w:t> </w:t>
      </w:r>
      <w:r>
        <w:rPr>
          <w:spacing w:val="-2"/>
        </w:rPr>
        <w:t>处置对子公司股权投资直至丧失控制权的各项交易属于一揽子交易的，本公司将各项交易作为一项处</w:t>
      </w:r>
    </w:p>
    <w:p>
      <w:pPr>
        <w:pStyle w:val="Heading4"/>
        <w:spacing w:line="273" w:lineRule="auto"/>
        <w:ind w:right="1126"/>
        <w:jc w:val="both"/>
      </w:pPr>
      <w:r>
        <w:rPr>
          <w:spacing w:val="-2"/>
        </w:rPr>
        <w:t>置子公司并丧失控制权的交易进行会计处理；但是，在丧失控制权之前每一次处置价款与处置投资对应的</w:t>
      </w:r>
      <w:r>
        <w:rPr>
          <w:spacing w:val="-43"/>
        </w:rPr>
        <w:t> </w:t>
      </w:r>
      <w:r>
        <w:rPr>
          <w:spacing w:val="-43"/>
        </w:rPr>
      </w:r>
      <w:r>
        <w:rPr>
          <w:spacing w:val="-2"/>
        </w:rPr>
        <w:t>享有该子公司净资产份额的差额，在合并财务报表中确认为其他综合收益，在丧失控制权时一并转入丧失</w:t>
      </w:r>
      <w:r>
        <w:rPr>
          <w:spacing w:val="-43"/>
        </w:rPr>
        <w:t> </w:t>
      </w:r>
      <w:r>
        <w:rPr>
          <w:spacing w:val="-43"/>
        </w:rPr>
      </w:r>
      <w:r>
        <w:rPr/>
        <w:t>控制权当期的损益。</w:t>
      </w:r>
    </w:p>
    <w:p>
      <w:pPr>
        <w:pStyle w:val="Heading4"/>
        <w:spacing w:line="273" w:lineRule="auto"/>
        <w:ind w:right="1126" w:firstLine="420"/>
        <w:jc w:val="both"/>
      </w:pPr>
      <w:r>
        <w:rPr>
          <w:spacing w:val="-2"/>
        </w:rPr>
        <w:t>处置对子公司股权投资直至丧失控制权的各项交易不属于一揽子交易的，在丧失控制权之前，按不丧</w:t>
      </w:r>
      <w:r>
        <w:rPr>
          <w:w w:val="100"/>
        </w:rPr>
        <w:t> </w:t>
      </w:r>
      <w:r>
        <w:rPr>
          <w:spacing w:val="-2"/>
        </w:rPr>
        <w:t>失控制权的情况下部分处置对子公司的股权投资的相关政策进行会计处理；在丧失控制权时，按处置子公</w:t>
      </w:r>
      <w:r>
        <w:rPr>
          <w:spacing w:val="-43"/>
        </w:rPr>
        <w:t> </w:t>
      </w:r>
      <w:r>
        <w:rPr>
          <w:spacing w:val="-43"/>
        </w:rPr>
      </w:r>
      <w:r>
        <w:rPr/>
        <w:t>司一般处理方法进行会计处理。</w:t>
      </w:r>
    </w:p>
    <w:p>
      <w:pPr>
        <w:pStyle w:val="Heading4"/>
        <w:spacing w:line="256" w:lineRule="auto"/>
        <w:ind w:left="573" w:right="0"/>
        <w:jc w:val="left"/>
      </w:pPr>
      <w:r>
        <w:rPr/>
        <w:t>（</w:t>
      </w:r>
      <w:r>
        <w:rPr>
          <w:rFonts w:ascii="Times New Roman" w:hAnsi="Times New Roman" w:cs="Times New Roman" w:eastAsia="Times New Roman" w:hint="default"/>
        </w:rPr>
        <w:t>3</w:t>
      </w:r>
      <w:r>
        <w:rPr/>
        <w:t>）购买子公司少数股权</w:t>
      </w:r>
      <w:r>
        <w:rPr>
          <w:w w:val="100"/>
        </w:rPr>
        <w:t> </w:t>
      </w:r>
      <w:r>
        <w:rPr>
          <w:spacing w:val="-2"/>
        </w:rPr>
        <w:t>本公司因购买少数股权新取得的长期股权投资与按照新增持股比例计算应享有子公司自购买日（或合</w:t>
      </w:r>
    </w:p>
    <w:p>
      <w:pPr>
        <w:pStyle w:val="Heading4"/>
        <w:spacing w:line="273" w:lineRule="auto" w:before="23"/>
        <w:ind w:right="1126"/>
        <w:jc w:val="both"/>
      </w:pPr>
      <w:r>
        <w:rPr>
          <w:spacing w:val="-2"/>
        </w:rPr>
        <w:t>并日）开始持续计算的净资产份额之间的差额，调整合并资产负债表中的资本公积中的股本溢价，资本公</w:t>
      </w:r>
      <w:r>
        <w:rPr>
          <w:spacing w:val="-45"/>
        </w:rPr>
        <w:t> </w:t>
      </w:r>
      <w:r>
        <w:rPr>
          <w:spacing w:val="-45"/>
        </w:rPr>
      </w:r>
      <w:r>
        <w:rPr/>
        <w:t>积中的股本溢价不足冲减的，调整留存收益。</w:t>
      </w:r>
    </w:p>
    <w:p>
      <w:pPr>
        <w:pStyle w:val="Heading4"/>
        <w:spacing w:line="256" w:lineRule="auto"/>
        <w:ind w:left="573" w:right="0"/>
        <w:jc w:val="left"/>
      </w:pPr>
      <w:r>
        <w:rPr/>
        <w:t>（</w:t>
      </w:r>
      <w:r>
        <w:rPr>
          <w:rFonts w:ascii="Times New Roman" w:hAnsi="Times New Roman" w:cs="Times New Roman" w:eastAsia="Times New Roman" w:hint="default"/>
        </w:rPr>
        <w:t>4</w:t>
      </w:r>
      <w:r>
        <w:rPr/>
        <w:t>）不丧失控制权的情况下部分处置对子公司的股权投资</w:t>
      </w:r>
      <w:r>
        <w:rPr>
          <w:w w:val="100"/>
        </w:rPr>
        <w:t> </w:t>
      </w:r>
      <w:r>
        <w:rPr>
          <w:spacing w:val="2"/>
        </w:rPr>
        <w:t>在不丧失控制权的情况下因部分处置对子公司的长期股权投资而取得的处置价款与处置长期股权投</w:t>
      </w:r>
    </w:p>
    <w:p>
      <w:pPr>
        <w:pStyle w:val="Heading4"/>
        <w:spacing w:line="273" w:lineRule="auto" w:before="22"/>
        <w:ind w:right="1126"/>
        <w:jc w:val="both"/>
      </w:pPr>
      <w:r>
        <w:rPr>
          <w:spacing w:val="-2"/>
        </w:rPr>
        <w:t>资相对应享有子公司自购买日或合并日开始持续计算的净资产份额之间的差额，调整合并资产负债表中的</w:t>
      </w:r>
      <w:r>
        <w:rPr>
          <w:spacing w:val="-43"/>
        </w:rPr>
        <w:t> </w:t>
      </w:r>
      <w:r>
        <w:rPr>
          <w:spacing w:val="-43"/>
        </w:rPr>
      </w:r>
      <w:r>
        <w:rPr/>
        <w:t>资本公积中的股本溢价，资本公积中的股本溢价不足冲减的，调整留存收益。</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0"/>
        <w:jc w:val="both"/>
        <w:rPr>
          <w:b w:val="0"/>
          <w:bCs w:val="0"/>
        </w:rPr>
      </w:pPr>
      <w:bookmarkStart w:name="7、合营安排分类及共同经营会计处理方法" w:id="184"/>
      <w:bookmarkEnd w:id="184"/>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10"/>
        <w:rPr>
          <w:rFonts w:ascii="宋体" w:hAnsi="宋体" w:cs="宋体" w:eastAsia="宋体" w:hint="default"/>
          <w:b/>
          <w:bCs/>
          <w:sz w:val="24"/>
          <w:szCs w:val="24"/>
        </w:rPr>
      </w:pPr>
    </w:p>
    <w:p>
      <w:pPr>
        <w:pStyle w:val="Heading4"/>
        <w:spacing w:line="273" w:lineRule="auto" w:before="0"/>
        <w:ind w:left="573" w:right="0"/>
        <w:jc w:val="left"/>
      </w:pPr>
      <w:r>
        <w:rPr/>
        <w:t>合营安排分为共同经营和合营企业。</w:t>
      </w:r>
      <w:r>
        <w:rPr>
          <w:w w:val="100"/>
        </w:rPr>
        <w:t> </w:t>
      </w:r>
      <w:r>
        <w:rPr/>
        <w:t>当本公司是合营安排的合营方，享有该安排相关资产且承担该安排相关负债时，为共同经营。</w:t>
      </w:r>
      <w:r>
        <w:rPr>
          <w:w w:val="100"/>
        </w:rPr>
        <w:t> </w:t>
      </w:r>
      <w:r>
        <w:rPr/>
        <w:t>本公司确认与共同经营中利益份额相关的下列项目，并按照相关企业会计准则的规定进行会计处理：</w:t>
      </w:r>
    </w:p>
    <w:p>
      <w:pPr>
        <w:pStyle w:val="Heading4"/>
        <w:spacing w:line="240" w:lineRule="auto"/>
        <w:ind w:left="573" w:right="2602"/>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pStyle w:val="Heading4"/>
        <w:spacing w:line="240" w:lineRule="auto" w:before="21"/>
        <w:ind w:left="573" w:right="2602"/>
        <w:jc w:val="left"/>
      </w:pPr>
      <w:r>
        <w:rPr/>
        <w:t>（</w:t>
      </w:r>
      <w:r>
        <w:rPr>
          <w:rFonts w:ascii="Times New Roman" w:hAnsi="Times New Roman" w:cs="Times New Roman" w:eastAsia="Times New Roman" w:hint="default"/>
        </w:rPr>
        <w:t>2</w:t>
      </w:r>
      <w:r>
        <w:rPr/>
        <w:t>）确认本公司单独所承担的负债，以及本公司份额确认共同承担的负债；</w:t>
      </w:r>
    </w:p>
    <w:p>
      <w:pPr>
        <w:pStyle w:val="Heading4"/>
        <w:spacing w:line="240" w:lineRule="auto" w:before="21"/>
        <w:ind w:left="573" w:right="2602"/>
        <w:jc w:val="left"/>
      </w:pPr>
      <w:r>
        <w:rPr/>
        <w:t>（</w:t>
      </w:r>
      <w:r>
        <w:rPr>
          <w:rFonts w:ascii="Times New Roman" w:hAnsi="Times New Roman" w:cs="Times New Roman" w:eastAsia="Times New Roman" w:hint="default"/>
        </w:rPr>
        <w:t>3</w:t>
      </w:r>
      <w:r>
        <w:rPr/>
        <w:t>）确认出售本公司享有的共同经营产出份额所产生的收入；</w:t>
      </w:r>
    </w:p>
    <w:p>
      <w:pPr>
        <w:pStyle w:val="Heading4"/>
        <w:spacing w:line="240" w:lineRule="auto" w:before="21"/>
        <w:ind w:left="573" w:right="2602"/>
        <w:jc w:val="left"/>
      </w:pPr>
      <w:r>
        <w:rPr/>
        <w:t>（</w:t>
      </w:r>
      <w:r>
        <w:rPr>
          <w:rFonts w:ascii="Times New Roman" w:hAnsi="Times New Roman" w:cs="Times New Roman" w:eastAsia="Times New Roman" w:hint="default"/>
        </w:rPr>
        <w:t>4</w:t>
      </w:r>
      <w:r>
        <w:rPr/>
        <w:t>）按本公司份额确认共同经营因出售产出所产生的收入；</w:t>
      </w:r>
    </w:p>
    <w:p>
      <w:pPr>
        <w:pStyle w:val="Heading4"/>
        <w:spacing w:line="240" w:lineRule="auto" w:before="21"/>
        <w:ind w:left="573" w:right="2602"/>
        <w:jc w:val="left"/>
      </w:pPr>
      <w:r>
        <w:rPr/>
        <w:t>（</w:t>
      </w:r>
      <w:r>
        <w:rPr>
          <w:rFonts w:ascii="Times New Roman" w:hAnsi="Times New Roman" w:cs="Times New Roman" w:eastAsia="Times New Roman" w:hint="default"/>
        </w:rPr>
        <w:t>5</w:t>
      </w:r>
      <w:r>
        <w:rPr/>
        <w:t>）确认单独所发生的费用，以及按本公司份额确认共同经营发生的费用。</w:t>
      </w:r>
    </w:p>
    <w:p>
      <w:pPr>
        <w:spacing w:line="590" w:lineRule="atLeast" w:before="22"/>
        <w:ind w:left="573" w:right="0" w:hanging="421"/>
        <w:jc w:val="left"/>
        <w:rPr>
          <w:rFonts w:ascii="宋体" w:hAnsi="宋体" w:cs="宋体" w:eastAsia="宋体" w:hint="default"/>
          <w:sz w:val="21"/>
          <w:szCs w:val="21"/>
        </w:rPr>
      </w:pPr>
      <w:bookmarkStart w:name="8、现金及现金等价物的确定标准" w:id="185"/>
      <w:bookmarkEnd w:id="185"/>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2"/>
          <w:sz w:val="21"/>
          <w:szCs w:val="21"/>
        </w:rPr>
        <w:t>在编制现金流量表时，将本公司库存现金以及可以随时用于支付的存款确认为现金。将同时具备期限</w:t>
      </w:r>
    </w:p>
    <w:p>
      <w:pPr>
        <w:pStyle w:val="Heading4"/>
        <w:spacing w:line="273" w:lineRule="auto" w:before="37"/>
        <w:ind w:right="0"/>
        <w:jc w:val="left"/>
      </w:pPr>
      <w:r>
        <w:rPr/>
        <w:t>短（从购买日起三个月内到期）、流动性强、易于转换为已知现金、价值变动风险很小四个条件的投资，</w:t>
      </w:r>
      <w:r>
        <w:rPr>
          <w:spacing w:val="-24"/>
        </w:rPr>
        <w:t> </w:t>
      </w:r>
      <w:r>
        <w:rPr>
          <w:spacing w:val="-24"/>
        </w:rPr>
      </w:r>
      <w:r>
        <w:rPr/>
        <w:t>确定为现金等价物。</w:t>
      </w:r>
    </w:p>
    <w:p>
      <w:pPr>
        <w:spacing w:line="240" w:lineRule="auto" w:before="7"/>
        <w:rPr>
          <w:rFonts w:ascii="宋体" w:hAnsi="宋体" w:cs="宋体" w:eastAsia="宋体" w:hint="default"/>
          <w:sz w:val="23"/>
          <w:szCs w:val="23"/>
        </w:rPr>
      </w:pPr>
    </w:p>
    <w:p>
      <w:pPr>
        <w:pStyle w:val="Heading3"/>
        <w:spacing w:line="240" w:lineRule="auto"/>
        <w:ind w:right="0"/>
        <w:jc w:val="both"/>
        <w:rPr>
          <w:b w:val="0"/>
          <w:bCs w:val="0"/>
        </w:rPr>
      </w:pPr>
      <w:bookmarkStart w:name="9、外币业务和外币报表折算" w:id="186"/>
      <w:bookmarkEnd w:id="186"/>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10"/>
        <w:rPr>
          <w:rFonts w:ascii="宋体" w:hAnsi="宋体" w:cs="宋体" w:eastAsia="宋体" w:hint="default"/>
          <w:b/>
          <w:bCs/>
          <w:sz w:val="24"/>
          <w:szCs w:val="24"/>
        </w:rPr>
      </w:pPr>
    </w:p>
    <w:p>
      <w:pPr>
        <w:pStyle w:val="Heading4"/>
        <w:spacing w:line="256" w:lineRule="auto" w:before="0"/>
        <w:ind w:left="573" w:right="2602" w:firstLine="2"/>
        <w:jc w:val="left"/>
      </w:pPr>
      <w:r>
        <w:rPr>
          <w:rFonts w:ascii="Times New Roman" w:hAnsi="Times New Roman" w:cs="Times New Roman" w:eastAsia="Times New Roman" w:hint="default"/>
          <w:b/>
          <w:bCs/>
        </w:rPr>
        <w:t>1</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外币业务</w:t>
      </w:r>
      <w:r>
        <w:rPr>
          <w:rFonts w:ascii="宋体" w:hAnsi="宋体" w:cs="宋体" w:eastAsia="宋体" w:hint="default"/>
          <w:b/>
          <w:bCs/>
          <w:w w:val="100"/>
        </w:rPr>
        <w:t> </w:t>
      </w:r>
      <w:r>
        <w:rPr>
          <w:spacing w:val="-2"/>
        </w:rPr>
        <w:t>外币业务采用交易发生日的即期汇率作为折算汇率将外币金额折合成人民币记账。</w:t>
      </w:r>
    </w:p>
    <w:p>
      <w:pPr>
        <w:pStyle w:val="Heading4"/>
        <w:spacing w:line="273" w:lineRule="auto" w:before="22"/>
        <w:ind w:right="1126"/>
        <w:jc w:val="both"/>
      </w:pPr>
      <w:r>
        <w:rPr>
          <w:spacing w:val="-2"/>
        </w:rPr>
        <w:t>资产负债表日外币货币性项目余额按资产负债表日即期汇率折算，由此产生的汇兑差额，除属于与购建符</w:t>
      </w:r>
      <w:r>
        <w:rPr>
          <w:spacing w:val="-43"/>
        </w:rPr>
        <w:t> </w:t>
      </w:r>
      <w:r>
        <w:rPr>
          <w:spacing w:val="-43"/>
        </w:rPr>
      </w:r>
      <w:r>
        <w:rPr>
          <w:spacing w:val="-2"/>
        </w:rPr>
        <w:t>合资本化条件的资产相关的外币专门借款产生的汇兑差额按照借款费用资本化的原则处理外，均计入当期</w:t>
      </w:r>
      <w:r>
        <w:rPr>
          <w:spacing w:val="-43"/>
        </w:rPr>
        <w:t> </w:t>
      </w:r>
      <w:r>
        <w:rPr>
          <w:spacing w:val="-43"/>
        </w:rPr>
      </w:r>
      <w:r>
        <w:rPr/>
        <w:t>损益。</w:t>
      </w:r>
    </w:p>
    <w:p>
      <w:pPr>
        <w:spacing w:line="256" w:lineRule="auto" w:before="8"/>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外币财务报表的折算</w:t>
      </w:r>
      <w:r>
        <w:rPr>
          <w:rFonts w:ascii="宋体" w:hAnsi="宋体" w:cs="宋体" w:eastAsia="宋体" w:hint="default"/>
          <w:b/>
          <w:bCs/>
          <w:w w:val="100"/>
          <w:sz w:val="21"/>
          <w:szCs w:val="21"/>
        </w:rPr>
        <w:t> </w:t>
      </w:r>
      <w:r>
        <w:rPr>
          <w:rFonts w:ascii="宋体" w:hAnsi="宋体" w:cs="宋体" w:eastAsia="宋体" w:hint="default"/>
          <w:sz w:val="21"/>
          <w:szCs w:val="21"/>
        </w:rPr>
        <w:t>资产负债表中的资产和负债项目，采用资产负债表日的即期汇率折算；所有者权益项目除</w:t>
      </w:r>
      <w:r>
        <w:rPr>
          <w:rFonts w:ascii="Times New Roman" w:hAnsi="Times New Roman" w:cs="Times New Roman" w:eastAsia="Times New Roman" w:hint="default"/>
          <w:sz w:val="21"/>
          <w:szCs w:val="21"/>
        </w:rPr>
        <w:t>“</w:t>
      </w:r>
      <w:r>
        <w:rPr>
          <w:rFonts w:ascii="宋体" w:hAnsi="宋体" w:cs="宋体" w:eastAsia="宋体" w:hint="default"/>
          <w:sz w:val="21"/>
          <w:szCs w:val="21"/>
        </w:rPr>
        <w:t>未分配利</w:t>
      </w:r>
    </w:p>
    <w:p>
      <w:pPr>
        <w:pStyle w:val="Heading4"/>
        <w:spacing w:line="256" w:lineRule="auto" w:before="5"/>
        <w:ind w:right="1119"/>
        <w:jc w:val="left"/>
      </w:pPr>
      <w:r>
        <w:rPr/>
        <w:t>润</w:t>
      </w:r>
      <w:r>
        <w:rPr>
          <w:rFonts w:ascii="Times New Roman" w:hAnsi="Times New Roman" w:cs="Times New Roman" w:eastAsia="Times New Roman" w:hint="default"/>
        </w:rPr>
        <w:t>”</w:t>
      </w:r>
      <w:r>
        <w:rPr/>
        <w:t>项目外，其他项目采用发生时的即期汇率折算。利润表中的收入和费用项目，采用交易发生日的即期</w:t>
      </w:r>
      <w:r>
        <w:rPr>
          <w:spacing w:val="-18"/>
        </w:rPr>
        <w:t> </w:t>
      </w:r>
      <w:r>
        <w:rPr>
          <w:spacing w:val="-18"/>
        </w:rPr>
      </w:r>
      <w:r>
        <w:rPr/>
        <w:t>汇率折算。</w:t>
      </w:r>
    </w:p>
    <w:p>
      <w:pPr>
        <w:pStyle w:val="Heading4"/>
        <w:spacing w:line="273" w:lineRule="auto" w:before="22"/>
        <w:ind w:right="1119" w:firstLine="420"/>
        <w:jc w:val="left"/>
      </w:pPr>
      <w:r>
        <w:rPr>
          <w:spacing w:val="-2"/>
        </w:rPr>
        <w:t>处置境外经营时，将与该境外经营相关的外币财务报表折算差额，自所有者权益项目转入处置当期损</w:t>
      </w:r>
      <w:r>
        <w:rPr>
          <w:w w:val="100"/>
        </w:rPr>
        <w:t> </w:t>
      </w:r>
      <w:r>
        <w:rPr/>
        <w:t>益。</w:t>
      </w:r>
    </w:p>
    <w:p>
      <w:pPr>
        <w:spacing w:line="240" w:lineRule="auto" w:before="7"/>
        <w:rPr>
          <w:rFonts w:ascii="宋体" w:hAnsi="宋体" w:cs="宋体" w:eastAsia="宋体" w:hint="default"/>
          <w:sz w:val="23"/>
          <w:szCs w:val="23"/>
        </w:rPr>
      </w:pPr>
    </w:p>
    <w:p>
      <w:pPr>
        <w:pStyle w:val="Heading3"/>
        <w:spacing w:line="240" w:lineRule="auto"/>
        <w:ind w:right="0"/>
        <w:jc w:val="both"/>
        <w:rPr>
          <w:b w:val="0"/>
          <w:bCs w:val="0"/>
        </w:rPr>
      </w:pPr>
      <w:bookmarkStart w:name="10、金融工具" w:id="187"/>
      <w:bookmarkEnd w:id="187"/>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7"/>
        <w:rPr>
          <w:rFonts w:ascii="宋体" w:hAnsi="宋体" w:cs="宋体" w:eastAsia="宋体" w:hint="default"/>
          <w:b/>
          <w:bCs/>
          <w:sz w:val="24"/>
          <w:szCs w:val="24"/>
        </w:rPr>
      </w:pPr>
    </w:p>
    <w:p>
      <w:pPr>
        <w:pStyle w:val="Heading3"/>
        <w:spacing w:line="256" w:lineRule="auto"/>
        <w:ind w:left="575" w:right="6793"/>
        <w:jc w:val="left"/>
        <w:rPr>
          <w:b w:val="0"/>
          <w:bCs w:val="0"/>
        </w:rPr>
      </w:pPr>
      <w:r>
        <w:rPr>
          <w:rFonts w:ascii="Times New Roman" w:hAnsi="Times New Roman" w:cs="Times New Roman" w:eastAsia="Times New Roman" w:hint="default"/>
        </w:rPr>
        <w:t>1. </w:t>
      </w:r>
      <w:r>
        <w:rPr/>
        <w:t>金融工具的分类</w:t>
      </w:r>
      <w:r>
        <w:rPr>
          <w:spacing w:val="-105"/>
        </w:rPr>
        <w:t> </w:t>
      </w:r>
      <w:r>
        <w:rPr>
          <w:spacing w:val="-1"/>
        </w:rPr>
        <w:t>自</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w:t>
      </w:r>
      <w:r>
        <w:rPr>
          <w:spacing w:val="-1"/>
        </w:rPr>
        <w:t>日起适用的会计政策</w:t>
      </w:r>
      <w:r>
        <w:rPr>
          <w:b w:val="0"/>
          <w:bCs w:val="0"/>
          <w:spacing w:val="-1"/>
        </w:rPr>
      </w:r>
    </w:p>
    <w:p>
      <w:pPr>
        <w:pStyle w:val="Heading4"/>
        <w:spacing w:line="273" w:lineRule="auto" w:before="5"/>
        <w:ind w:right="0" w:firstLine="420"/>
        <w:jc w:val="left"/>
      </w:pPr>
      <w:r>
        <w:rPr>
          <w:spacing w:val="-2"/>
        </w:rPr>
        <w:t>根据本公司管理金融资产的业务模式和金融资产的合同现金流量特征，金融资产于初始确认时分类为：</w:t>
      </w:r>
      <w:r>
        <w:rPr>
          <w:w w:val="100"/>
        </w:rPr>
        <w:t> </w:t>
      </w:r>
      <w:r>
        <w:rPr/>
        <w:t>以摊余成本计量的金融资产、以公允价值计量且其变动计入其他综合收益的金融资产（债务工具）和以公</w:t>
      </w:r>
      <w:r>
        <w:rPr>
          <w:w w:val="100"/>
        </w:rPr>
        <w:t> </w:t>
      </w:r>
      <w:r>
        <w:rPr/>
        <w:t>允价值计量且其变动计入当期损益的金融资产。</w:t>
      </w:r>
    </w:p>
    <w:p>
      <w:pPr>
        <w:pStyle w:val="Heading4"/>
        <w:spacing w:line="273" w:lineRule="auto"/>
        <w:ind w:right="1126" w:firstLine="420"/>
        <w:jc w:val="both"/>
      </w:pPr>
      <w:r>
        <w:rPr>
          <w:spacing w:val="2"/>
        </w:rPr>
        <w:t>业务模式是以收取合同现金流量为目标且合同现金流量仅为对本金和以未偿付本金金额为基础的利</w:t>
      </w:r>
      <w:r>
        <w:rPr>
          <w:w w:val="100"/>
        </w:rPr>
        <w:t> </w:t>
      </w:r>
      <w:r>
        <w:rPr>
          <w:spacing w:val="-2"/>
        </w:rPr>
        <w:t>息的支付的，分类为以摊余成本计量的金融资产；业务模式既以收取合同现金流量又以出售该金融资产为</w:t>
      </w:r>
      <w:r>
        <w:rPr>
          <w:spacing w:val="-43"/>
        </w:rPr>
        <w:t> </w:t>
      </w:r>
      <w:r>
        <w:rPr>
          <w:spacing w:val="-43"/>
        </w:rPr>
      </w:r>
      <w:r>
        <w:rPr>
          <w:spacing w:val="-2"/>
        </w:rPr>
        <w:t>目标且合同现金流量仅为对本金和以未偿付本金金额为基础的利息的支付的，分类为以公允价值计量且其</w:t>
      </w:r>
      <w:r>
        <w:rPr>
          <w:spacing w:val="-43"/>
        </w:rPr>
        <w:t> </w:t>
      </w:r>
      <w:r>
        <w:rPr>
          <w:spacing w:val="-43"/>
        </w:rPr>
      </w:r>
      <w:r>
        <w:rPr>
          <w:spacing w:val="-2"/>
        </w:rPr>
        <w:t>变动计入其他综合收益的金融资产（债务工具）；除此之外的其他金融资产，分类为以公允价值计量且其</w:t>
      </w:r>
      <w:r>
        <w:rPr>
          <w:spacing w:val="-44"/>
        </w:rPr>
        <w:t> </w:t>
      </w:r>
      <w:r>
        <w:rPr>
          <w:spacing w:val="-44"/>
        </w:rPr>
      </w:r>
      <w:r>
        <w:rPr/>
        <w:t>变动计入当期损益的金融资产。</w:t>
      </w:r>
    </w:p>
    <w:p>
      <w:pPr>
        <w:pStyle w:val="Heading4"/>
        <w:spacing w:line="273" w:lineRule="auto"/>
        <w:ind w:right="0" w:firstLine="420"/>
        <w:jc w:val="left"/>
      </w:pPr>
      <w:r>
        <w:rPr>
          <w:spacing w:val="-2"/>
        </w:rPr>
        <w:t>对于非交易性权益工具投资，本公司在初始确认时确定是否将其指定为以公允价值计量且其变动计入</w:t>
      </w:r>
      <w:r>
        <w:rPr>
          <w:w w:val="100"/>
        </w:rPr>
        <w:t> </w:t>
      </w:r>
      <w:r>
        <w:rPr>
          <w:spacing w:val="-2"/>
        </w:rPr>
        <w:t>其他综合收益的金融资产（权益工具）。在初始确认时，为了能够消除或显著减少会计错配，可以将金融</w:t>
      </w:r>
    </w:p>
    <w:p>
      <w:pPr>
        <w:spacing w:after="0" w:line="273"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73" w:lineRule="auto" w:before="36"/>
        <w:ind w:left="573" w:right="0" w:hanging="421"/>
        <w:jc w:val="left"/>
      </w:pPr>
      <w:r>
        <w:rPr/>
        <w:t>资产指定为以公允价值计量且其变动计入当期损益的金融资产。</w:t>
      </w:r>
      <w:r>
        <w:rPr>
          <w:w w:val="100"/>
        </w:rPr>
        <w:t> </w:t>
      </w:r>
      <w:r>
        <w:rPr>
          <w:spacing w:val="-2"/>
        </w:rPr>
        <w:t>金融负债于初始确认时分类为：以公允价值计量且其变动计入当期损益的金融负债和以摊余成本计量</w:t>
      </w:r>
    </w:p>
    <w:p>
      <w:pPr>
        <w:pStyle w:val="Heading4"/>
        <w:spacing w:line="240" w:lineRule="auto"/>
        <w:ind w:right="2602"/>
        <w:jc w:val="left"/>
      </w:pPr>
      <w:r>
        <w:rPr/>
        <w:t>的金融负债。</w:t>
      </w:r>
    </w:p>
    <w:p>
      <w:pPr>
        <w:pStyle w:val="Heading4"/>
        <w:spacing w:line="273" w:lineRule="auto" w:before="37"/>
        <w:ind w:right="1119" w:firstLine="420"/>
        <w:jc w:val="left"/>
      </w:pPr>
      <w:r>
        <w:rPr>
          <w:spacing w:val="2"/>
        </w:rPr>
        <w:t>符合以下条件之一的金融负债可在初始计量时指定为以公允价值计量且其变动计入当期损益的金融</w:t>
      </w:r>
      <w:r>
        <w:rPr>
          <w:w w:val="100"/>
        </w:rPr>
        <w:t> </w:t>
      </w:r>
      <w:r>
        <w:rPr/>
        <w:t>负债：</w:t>
      </w:r>
    </w:p>
    <w:p>
      <w:pPr>
        <w:pStyle w:val="Heading4"/>
        <w:spacing w:line="240" w:lineRule="auto"/>
        <w:ind w:left="573" w:right="2602"/>
        <w:jc w:val="left"/>
      </w:pPr>
      <w:r>
        <w:rPr>
          <w:rFonts w:ascii="Times New Roman" w:hAnsi="Times New Roman" w:cs="Times New Roman" w:eastAsia="Times New Roman" w:hint="default"/>
        </w:rPr>
        <w:t>1</w:t>
      </w:r>
      <w:r>
        <w:rPr/>
        <w:t>）该项指定能够消除或显著减少会计错配。</w:t>
      </w:r>
    </w:p>
    <w:p>
      <w:pPr>
        <w:pStyle w:val="Heading4"/>
        <w:spacing w:line="256" w:lineRule="auto" w:before="21"/>
        <w:ind w:right="0" w:firstLine="420"/>
        <w:jc w:val="left"/>
      </w:pPr>
      <w:r>
        <w:rPr>
          <w:rFonts w:ascii="Times New Roman" w:hAnsi="Times New Roman" w:cs="Times New Roman" w:eastAsia="Times New Roman" w:hint="default"/>
        </w:rPr>
        <w:t>2</w:t>
      </w:r>
      <w:r>
        <w:rPr/>
        <w:t>）根据正式书面文件载明的企业风险管理或投资策略，以公允价值为基础对金融负债组合或金融资</w:t>
      </w:r>
      <w:r>
        <w:rPr>
          <w:w w:val="100"/>
        </w:rPr>
        <w:t> </w:t>
      </w:r>
      <w:r>
        <w:rPr/>
        <w:t>产和金融负债组合进行管理和业绩评价，并在企业内部以此为基础向关键管理人员报告。</w:t>
      </w:r>
    </w:p>
    <w:p>
      <w:pPr>
        <w:pStyle w:val="Heading4"/>
        <w:spacing w:line="240" w:lineRule="auto" w:before="22"/>
        <w:ind w:left="573" w:right="2602"/>
        <w:jc w:val="left"/>
      </w:pPr>
      <w:r>
        <w:rPr>
          <w:rFonts w:ascii="Times New Roman" w:hAnsi="Times New Roman" w:cs="Times New Roman" w:eastAsia="Times New Roman" w:hint="default"/>
        </w:rPr>
        <w:t>3</w:t>
      </w:r>
      <w:r>
        <w:rPr/>
        <w:t>）该金融负债包含需单独分拆的嵌入衍生工具。</w:t>
      </w:r>
    </w:p>
    <w:p>
      <w:pPr>
        <w:spacing w:line="256" w:lineRule="auto" w:before="21"/>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2019</w:t>
      </w:r>
      <w:r>
        <w:rPr>
          <w:rFonts w:ascii="宋体" w:hAnsi="宋体" w:cs="宋体" w:eastAsia="宋体" w:hint="default"/>
          <w:b/>
          <w:bCs/>
          <w:sz w:val="21"/>
          <w:szCs w:val="21"/>
        </w:rPr>
        <w:t>年</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月</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日前适用的会计政策</w:t>
      </w:r>
      <w:r>
        <w:rPr>
          <w:rFonts w:ascii="宋体" w:hAnsi="宋体" w:cs="宋体" w:eastAsia="宋体" w:hint="default"/>
          <w:b/>
          <w:bCs/>
          <w:w w:val="100"/>
          <w:sz w:val="21"/>
          <w:szCs w:val="21"/>
        </w:rPr>
        <w:t> </w:t>
      </w:r>
      <w:r>
        <w:rPr>
          <w:rFonts w:ascii="宋体" w:hAnsi="宋体" w:cs="宋体" w:eastAsia="宋体" w:hint="default"/>
          <w:spacing w:val="-2"/>
          <w:sz w:val="21"/>
          <w:szCs w:val="21"/>
        </w:rPr>
        <w:t>金融资产和金融负债于初始确认时分类为：以公允价值计量且其变动计入当期损益的金融资产或金融</w:t>
      </w:r>
    </w:p>
    <w:p>
      <w:pPr>
        <w:pStyle w:val="Heading4"/>
        <w:spacing w:line="273" w:lineRule="auto" w:before="22"/>
        <w:ind w:right="0"/>
        <w:jc w:val="left"/>
      </w:pPr>
      <w:r>
        <w:rPr>
          <w:spacing w:val="-2"/>
        </w:rPr>
        <w:t>负债，包括交易性金融资产或金融负债和直接指定为以公允价值计量且其变动计入当期损益的金融资产或</w:t>
      </w:r>
      <w:r>
        <w:rPr>
          <w:spacing w:val="-43"/>
        </w:rPr>
        <w:t> </w:t>
      </w:r>
      <w:r>
        <w:rPr>
          <w:spacing w:val="-43"/>
        </w:rPr>
      </w:r>
      <w:r>
        <w:rPr/>
        <w:t>金融负债；持有至到期投资；应收款项；可供出售金融资产；其他金融负债等。</w:t>
      </w:r>
    </w:p>
    <w:p>
      <w:pPr>
        <w:pStyle w:val="Heading3"/>
        <w:spacing w:line="256" w:lineRule="auto" w:before="7"/>
        <w:ind w:left="575" w:right="6793"/>
        <w:jc w:val="left"/>
        <w:rPr>
          <w:b w:val="0"/>
          <w:bCs w:val="0"/>
        </w:rPr>
      </w:pP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金融工具的确认依据和计量方法</w:t>
      </w:r>
      <w:r>
        <w:rPr>
          <w:w w:val="100"/>
        </w:rPr>
        <w:t> </w:t>
      </w:r>
      <w:r>
        <w:rPr/>
        <w:t>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日起适用的会计政策</w:t>
      </w:r>
      <w:r>
        <w:rPr>
          <w:b w:val="0"/>
          <w:bCs w:val="0"/>
        </w:rPr>
      </w:r>
    </w:p>
    <w:p>
      <w:pPr>
        <w:pStyle w:val="Heading4"/>
        <w:spacing w:line="256" w:lineRule="auto" w:before="5"/>
        <w:ind w:left="573" w:right="0"/>
        <w:jc w:val="left"/>
      </w:pPr>
      <w:r>
        <w:rPr/>
        <w:t>（</w:t>
      </w:r>
      <w:r>
        <w:rPr>
          <w:rFonts w:ascii="Times New Roman" w:hAnsi="Times New Roman" w:cs="Times New Roman" w:eastAsia="Times New Roman" w:hint="default"/>
        </w:rPr>
        <w:t>1</w:t>
      </w:r>
      <w:r>
        <w:rPr/>
        <w:t>）以摊余成本计量的金融资产</w:t>
      </w:r>
      <w:r>
        <w:rPr>
          <w:w w:val="100"/>
        </w:rPr>
        <w:t> </w:t>
      </w:r>
      <w:r>
        <w:rPr>
          <w:spacing w:val="-2"/>
        </w:rPr>
        <w:t>以摊余成本计量的金融资产包括应收票据、应收账款、其他应收款、长期应收款、债权投资等，按公</w:t>
      </w:r>
    </w:p>
    <w:p>
      <w:pPr>
        <w:pStyle w:val="Heading4"/>
        <w:spacing w:line="273" w:lineRule="auto" w:before="22"/>
        <w:ind w:right="0"/>
        <w:jc w:val="left"/>
      </w:pPr>
      <w:r>
        <w:rPr>
          <w:spacing w:val="-2"/>
        </w:rPr>
        <w:t>允价值进行初始计量，相关交易费用计入初始确认金额；不包含重大融资成分的应收账款以及本公司决定</w:t>
      </w:r>
      <w:r>
        <w:rPr>
          <w:spacing w:val="-43"/>
        </w:rPr>
        <w:t> </w:t>
      </w:r>
      <w:r>
        <w:rPr>
          <w:spacing w:val="-43"/>
        </w:rPr>
      </w:r>
      <w:r>
        <w:rPr/>
        <w:t>不考虑不超过一年的融资成分的应收账款，以合同交易价格进行初始计量。</w:t>
      </w:r>
    </w:p>
    <w:p>
      <w:pPr>
        <w:pStyle w:val="Heading4"/>
        <w:spacing w:line="273" w:lineRule="auto"/>
        <w:ind w:left="573" w:right="2602"/>
        <w:jc w:val="left"/>
      </w:pPr>
      <w:r>
        <w:rPr/>
        <w:t>持有期间采用实际利率法计算的利息计入当期损益。</w:t>
      </w:r>
      <w:r>
        <w:rPr>
          <w:w w:val="100"/>
        </w:rPr>
        <w:t> </w:t>
      </w:r>
      <w:r>
        <w:rPr>
          <w:spacing w:val="-2"/>
        </w:rPr>
        <w:t>收回或处置时，将取得的价款与该金融资产账面价值之间的差额计入当期损益。</w:t>
      </w:r>
    </w:p>
    <w:p>
      <w:pPr>
        <w:pStyle w:val="Heading4"/>
        <w:spacing w:line="256" w:lineRule="auto"/>
        <w:ind w:left="573" w:right="0"/>
        <w:jc w:val="left"/>
      </w:pPr>
      <w:r>
        <w:rPr/>
        <w:t>（</w:t>
      </w:r>
      <w:r>
        <w:rPr>
          <w:rFonts w:ascii="Times New Roman" w:hAnsi="Times New Roman" w:cs="Times New Roman" w:eastAsia="Times New Roman" w:hint="default"/>
        </w:rPr>
        <w:t>2</w:t>
      </w:r>
      <w:r>
        <w:rPr/>
        <w:t>）以公允价值计量且其变动计入其他综合收益的金融资产（债务工具）</w:t>
      </w:r>
      <w:r>
        <w:rPr>
          <w:w w:val="100"/>
        </w:rPr>
        <w:t> </w:t>
      </w:r>
      <w:r>
        <w:rPr>
          <w:spacing w:val="-2"/>
        </w:rPr>
        <w:t>以公允价值计量且其变动计入其他综合收益的金融资产（债务工具）包括应收款项融资、其他债权投</w:t>
      </w:r>
    </w:p>
    <w:p>
      <w:pPr>
        <w:pStyle w:val="Heading4"/>
        <w:spacing w:line="273" w:lineRule="auto" w:before="22"/>
        <w:ind w:right="0"/>
        <w:jc w:val="left"/>
      </w:pPr>
      <w:r>
        <w:rPr>
          <w:spacing w:val="-7"/>
        </w:rPr>
        <w:t>资等，按公允价值进行初始计量，相关交易费用计入初始确认金额。该金融资产按公允价值进行后续计量，</w:t>
      </w:r>
      <w:r>
        <w:rPr>
          <w:spacing w:val="-17"/>
        </w:rPr>
        <w:t> </w:t>
      </w:r>
      <w:r>
        <w:rPr>
          <w:spacing w:val="-17"/>
        </w:rPr>
      </w:r>
      <w:r>
        <w:rPr/>
        <w:t>公允价值变动除采用实际利率法计算的利息、减值损失或利得和汇兑损益之外，均计入其他综合收益。</w:t>
      </w:r>
    </w:p>
    <w:p>
      <w:pPr>
        <w:pStyle w:val="Heading4"/>
        <w:spacing w:line="240" w:lineRule="auto"/>
        <w:ind w:left="573" w:right="0"/>
        <w:jc w:val="left"/>
      </w:pPr>
      <w:r>
        <w:rPr/>
        <w:t>终止确认时，之前计入其他综合收益的累计利得或损失从其他综合收益中转出，计入当期损益。</w:t>
      </w:r>
    </w:p>
    <w:p>
      <w:pPr>
        <w:pStyle w:val="Heading4"/>
        <w:spacing w:line="256" w:lineRule="auto" w:before="37"/>
        <w:ind w:left="573" w:right="0"/>
        <w:jc w:val="left"/>
      </w:pPr>
      <w:r>
        <w:rPr/>
        <w:t>（</w:t>
      </w:r>
      <w:r>
        <w:rPr>
          <w:rFonts w:ascii="Times New Roman" w:hAnsi="Times New Roman" w:cs="Times New Roman" w:eastAsia="Times New Roman" w:hint="default"/>
        </w:rPr>
        <w:t>3</w:t>
      </w:r>
      <w:r>
        <w:rPr/>
        <w:t>）以公允价值计量且其变动计入其他综合收益的金融资产（权益工具）</w:t>
      </w:r>
      <w:r>
        <w:rPr>
          <w:w w:val="100"/>
        </w:rPr>
        <w:t> </w:t>
      </w:r>
      <w:r>
        <w:rPr>
          <w:spacing w:val="-2"/>
        </w:rPr>
        <w:t>以公允价值计量且其变动计入其他综合收益的金融资产（权益工具）包括其他权益工具投资等，按公</w:t>
      </w:r>
    </w:p>
    <w:p>
      <w:pPr>
        <w:pStyle w:val="Heading4"/>
        <w:spacing w:line="273" w:lineRule="auto" w:before="22"/>
        <w:ind w:right="0"/>
        <w:jc w:val="left"/>
      </w:pPr>
      <w:r>
        <w:rPr>
          <w:spacing w:val="-2"/>
        </w:rPr>
        <w:t>允价值进行初始计量，相关交易费用计入初始确认金额。该金融资产按公允价值进行后续计量，公允价值</w:t>
      </w:r>
      <w:r>
        <w:rPr>
          <w:spacing w:val="-44"/>
        </w:rPr>
        <w:t> </w:t>
      </w:r>
      <w:r>
        <w:rPr>
          <w:spacing w:val="-44"/>
        </w:rPr>
      </w:r>
      <w:r>
        <w:rPr/>
        <w:t>变动计入其他综合收益。取得的股利计入当期损益。</w:t>
      </w:r>
    </w:p>
    <w:p>
      <w:pPr>
        <w:pStyle w:val="Heading4"/>
        <w:spacing w:line="240" w:lineRule="auto"/>
        <w:ind w:left="573" w:right="0"/>
        <w:jc w:val="left"/>
      </w:pPr>
      <w:r>
        <w:rPr/>
        <w:t>终止确认时，之前计入其他综合收益的累计利得或损失从其他综合收益中转出，计入留存收益。</w:t>
      </w:r>
    </w:p>
    <w:p>
      <w:pPr>
        <w:pStyle w:val="Heading4"/>
        <w:spacing w:line="256" w:lineRule="auto" w:before="37"/>
        <w:ind w:left="573" w:right="0"/>
        <w:jc w:val="left"/>
      </w:pPr>
      <w:r>
        <w:rPr/>
        <w:t>（</w:t>
      </w:r>
      <w:r>
        <w:rPr>
          <w:rFonts w:ascii="Times New Roman" w:hAnsi="Times New Roman" w:cs="Times New Roman" w:eastAsia="Times New Roman" w:hint="default"/>
        </w:rPr>
        <w:t>4</w:t>
      </w:r>
      <w:r>
        <w:rPr/>
        <w:t>）以公允价值计量且其变动计入当期损益的金融资产</w:t>
      </w:r>
      <w:r>
        <w:rPr>
          <w:w w:val="100"/>
        </w:rPr>
        <w:t> </w:t>
      </w:r>
      <w:r>
        <w:rPr>
          <w:spacing w:val="-2"/>
        </w:rPr>
        <w:t>以公允价值计量且其变动计入当期损益的金融资产包括交易性金融资产、衍生金融资产、其他非流动</w:t>
      </w:r>
    </w:p>
    <w:p>
      <w:pPr>
        <w:pStyle w:val="Heading4"/>
        <w:spacing w:line="273" w:lineRule="auto" w:before="22"/>
        <w:ind w:right="0"/>
        <w:jc w:val="left"/>
      </w:pPr>
      <w:r>
        <w:rPr>
          <w:spacing w:val="-2"/>
        </w:rPr>
        <w:t>金融资产等，按公允价值进行初始计量，相关交易费用计入当期损益。该金融资产按公允价值进行后续计</w:t>
      </w:r>
      <w:r>
        <w:rPr>
          <w:spacing w:val="-43"/>
        </w:rPr>
        <w:t> </w:t>
      </w:r>
      <w:r>
        <w:rPr>
          <w:spacing w:val="-43"/>
        </w:rPr>
      </w:r>
      <w:r>
        <w:rPr/>
        <w:t>量，公允价值变动计入当期损益。</w:t>
      </w:r>
    </w:p>
    <w:p>
      <w:pPr>
        <w:pStyle w:val="Heading4"/>
        <w:spacing w:line="256" w:lineRule="auto" w:before="8"/>
        <w:ind w:left="573" w:right="0"/>
        <w:jc w:val="left"/>
      </w:pPr>
      <w:r>
        <w:rPr/>
        <w:t>（</w:t>
      </w:r>
      <w:r>
        <w:rPr>
          <w:rFonts w:ascii="Times New Roman" w:hAnsi="Times New Roman" w:cs="Times New Roman" w:eastAsia="Times New Roman" w:hint="default"/>
        </w:rPr>
        <w:t>5</w:t>
      </w:r>
      <w:r>
        <w:rPr/>
        <w:t>）以公允价值计量且其变动计入当期损益的金融负债</w:t>
      </w:r>
      <w:r>
        <w:rPr>
          <w:w w:val="100"/>
        </w:rPr>
        <w:t> </w:t>
      </w:r>
      <w:r>
        <w:rPr>
          <w:spacing w:val="-2"/>
        </w:rPr>
        <w:t>以公允价值计量且其变动计入当期损益的金融负债包括交易性金融负债、衍生金融负债等，按公允价</w:t>
      </w:r>
    </w:p>
    <w:p>
      <w:pPr>
        <w:pStyle w:val="Heading4"/>
        <w:spacing w:line="273" w:lineRule="auto" w:before="22"/>
        <w:ind w:right="1119"/>
        <w:jc w:val="left"/>
      </w:pPr>
      <w:r>
        <w:rPr>
          <w:spacing w:val="-2"/>
        </w:rPr>
        <w:t>值进行初始计量，相关交易费用计入当期损益。该金融负债按公允价值进行后续计量，公允价值变动计入</w:t>
      </w:r>
      <w:r>
        <w:rPr>
          <w:spacing w:val="-45"/>
        </w:rPr>
        <w:t> </w:t>
      </w:r>
      <w:r>
        <w:rPr>
          <w:spacing w:val="-45"/>
        </w:rPr>
      </w:r>
      <w:r>
        <w:rPr/>
        <w:t>当期损益。</w:t>
      </w:r>
    </w:p>
    <w:p>
      <w:pPr>
        <w:pStyle w:val="Heading4"/>
        <w:spacing w:line="240" w:lineRule="auto"/>
        <w:ind w:left="573" w:right="2602"/>
        <w:jc w:val="left"/>
      </w:pPr>
      <w:r>
        <w:rPr/>
        <w:t>终止确认时，其账面价值与支付的对价之间的差额计入当期损益。</w:t>
      </w:r>
    </w:p>
    <w:p>
      <w:pPr>
        <w:pStyle w:val="Heading4"/>
        <w:spacing w:line="256" w:lineRule="auto" w:before="37"/>
        <w:ind w:left="573" w:right="0"/>
        <w:jc w:val="left"/>
      </w:pPr>
      <w:r>
        <w:rPr/>
        <w:t>（</w:t>
      </w:r>
      <w:r>
        <w:rPr>
          <w:rFonts w:ascii="Times New Roman" w:hAnsi="Times New Roman" w:cs="Times New Roman" w:eastAsia="Times New Roman" w:hint="default"/>
        </w:rPr>
        <w:t>6</w:t>
      </w:r>
      <w:r>
        <w:rPr/>
        <w:t>）以摊余成本计量的金融负债</w:t>
      </w:r>
      <w:r>
        <w:rPr>
          <w:w w:val="100"/>
        </w:rPr>
        <w:t> </w:t>
      </w:r>
      <w:r>
        <w:rPr>
          <w:spacing w:val="-7"/>
        </w:rPr>
        <w:t>以摊余成本计量的金融负债包括短期借款、应付票据、应付账款、其他应付款、长期借款、应付债券、</w:t>
      </w:r>
    </w:p>
    <w:p>
      <w:pPr>
        <w:pStyle w:val="Heading4"/>
        <w:spacing w:line="273" w:lineRule="auto" w:before="22"/>
        <w:ind w:left="573" w:right="2602" w:hanging="421"/>
        <w:jc w:val="left"/>
      </w:pPr>
      <w:r>
        <w:rPr>
          <w:spacing w:val="-2"/>
        </w:rPr>
        <w:t>长期应付款，按公允价值进行初始计量，相关交易费用计入初始确认金额。</w:t>
      </w:r>
      <w:r>
        <w:rPr>
          <w:spacing w:val="-42"/>
        </w:rPr>
        <w:t> </w:t>
      </w:r>
      <w:r>
        <w:rPr>
          <w:spacing w:val="-42"/>
        </w:rPr>
      </w:r>
      <w:r>
        <w:rPr/>
        <w:t>持有期间采用实际利率法计算的利息计入当期损益。</w:t>
      </w:r>
    </w:p>
    <w:p>
      <w:pPr>
        <w:spacing w:after="0" w:line="273"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left="573" w:right="2602"/>
        <w:jc w:val="left"/>
      </w:pPr>
      <w:r>
        <w:rPr/>
        <w:t>终止确认时，将支付的对价与该金融负债账面价值之间的差额计入当期损益。</w:t>
      </w:r>
    </w:p>
    <w:p>
      <w:pPr>
        <w:pStyle w:val="Heading3"/>
        <w:spacing w:line="240" w:lineRule="auto" w:before="37"/>
        <w:ind w:left="575" w:right="2602"/>
        <w:jc w:val="left"/>
        <w:rPr>
          <w:b w:val="0"/>
          <w:bCs w:val="0"/>
        </w:rPr>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日前适用的会计政策</w:t>
      </w:r>
      <w:r>
        <w:rPr>
          <w:b w:val="0"/>
          <w:bCs w:val="0"/>
        </w:rPr>
      </w:r>
    </w:p>
    <w:p>
      <w:pPr>
        <w:pStyle w:val="Heading4"/>
        <w:spacing w:line="256" w:lineRule="auto" w:before="21"/>
        <w:ind w:left="573" w:right="0"/>
        <w:jc w:val="left"/>
      </w:pPr>
      <w:r>
        <w:rPr/>
        <w:t>（</w:t>
      </w:r>
      <w:r>
        <w:rPr>
          <w:rFonts w:ascii="Times New Roman" w:hAnsi="Times New Roman" w:cs="Times New Roman" w:eastAsia="Times New Roman" w:hint="default"/>
        </w:rPr>
        <w:t>1</w:t>
      </w:r>
      <w:r>
        <w:rPr/>
        <w:t>）以公允价值计量且其变动计入当期损益的金融资产（金融负债）</w:t>
      </w:r>
      <w:r>
        <w:rPr>
          <w:w w:val="100"/>
        </w:rPr>
        <w:t> </w:t>
      </w:r>
      <w:r>
        <w:rPr>
          <w:spacing w:val="-2"/>
        </w:rPr>
        <w:t>取得时以公允价值（扣除已宣告但尚未发放的现金股利或已到付息期但尚未领取的债券利息）作为初</w:t>
      </w:r>
    </w:p>
    <w:p>
      <w:pPr>
        <w:pStyle w:val="Heading4"/>
        <w:spacing w:line="273" w:lineRule="auto" w:before="22"/>
        <w:ind w:left="573" w:right="0" w:hanging="421"/>
        <w:jc w:val="left"/>
      </w:pPr>
      <w:r>
        <w:rPr/>
        <w:t>始确认金额，相关的交易费用计入当期损益。</w:t>
      </w:r>
      <w:r>
        <w:rPr>
          <w:w w:val="100"/>
        </w:rPr>
        <w:t> </w:t>
      </w:r>
      <w:r>
        <w:rPr/>
        <w:t>持有期间将取得的利息或现金股利确认为投资收益，期末将公允价值变动计入当期损益。</w:t>
      </w:r>
      <w:r>
        <w:rPr>
          <w:w w:val="100"/>
        </w:rPr>
        <w:t> </w:t>
      </w:r>
      <w:r>
        <w:rPr>
          <w:spacing w:val="-2"/>
        </w:rPr>
        <w:t>处置时，其公允价值与初始入账金额之间的差额确认为投资收益，同时调整公允价值变动损益。</w:t>
      </w:r>
    </w:p>
    <w:p>
      <w:pPr>
        <w:pStyle w:val="Heading4"/>
        <w:spacing w:line="264" w:lineRule="auto"/>
        <w:ind w:left="573" w:right="0"/>
        <w:jc w:val="left"/>
      </w:pPr>
      <w:r>
        <w:rPr/>
        <w:t>（</w:t>
      </w:r>
      <w:r>
        <w:rPr>
          <w:rFonts w:ascii="Times New Roman" w:hAnsi="Times New Roman" w:cs="Times New Roman" w:eastAsia="Times New Roman" w:hint="default"/>
        </w:rPr>
        <w:t>2</w:t>
      </w:r>
      <w:r>
        <w:rPr/>
        <w:t>）持有至到期投资</w:t>
      </w:r>
      <w:r>
        <w:rPr>
          <w:w w:val="100"/>
        </w:rPr>
        <w:t> </w:t>
      </w:r>
      <w:r>
        <w:rPr>
          <w:spacing w:val="-5"/>
        </w:rPr>
        <w:t>取得时按公允价值（扣除已到付息期但尚未领取的债券利息）和相关交易费用之和作为初始确认金额。</w:t>
      </w:r>
      <w:r>
        <w:rPr>
          <w:spacing w:val="-17"/>
        </w:rPr>
        <w:t> </w:t>
      </w:r>
      <w:r>
        <w:rPr>
          <w:spacing w:val="-17"/>
        </w:rPr>
      </w:r>
      <w:r>
        <w:rPr/>
        <w:t>持有期间按照摊余成本和实际利率计算确认利息收入，计入投资收益。实际利率在取得时确定，在该</w:t>
      </w:r>
    </w:p>
    <w:p>
      <w:pPr>
        <w:pStyle w:val="Heading4"/>
        <w:spacing w:line="273" w:lineRule="auto" w:before="16"/>
        <w:ind w:left="573" w:right="2602" w:hanging="421"/>
        <w:jc w:val="left"/>
      </w:pPr>
      <w:r>
        <w:rPr/>
        <w:t>预期存续期间或适用的更短期间内保持不变。</w:t>
      </w:r>
      <w:r>
        <w:rPr>
          <w:w w:val="100"/>
        </w:rPr>
        <w:t> </w:t>
      </w:r>
      <w:r>
        <w:rPr>
          <w:spacing w:val="-2"/>
        </w:rPr>
        <w:t>处置时，将所取得价款与该投资账面价值之间的差额计入投资收益。</w:t>
      </w:r>
    </w:p>
    <w:p>
      <w:pPr>
        <w:pStyle w:val="Heading4"/>
        <w:spacing w:line="256" w:lineRule="auto" w:before="8"/>
        <w:ind w:left="573" w:right="0"/>
        <w:jc w:val="left"/>
      </w:pPr>
      <w:r>
        <w:rPr/>
        <w:t>（</w:t>
      </w:r>
      <w:r>
        <w:rPr>
          <w:rFonts w:ascii="Times New Roman" w:hAnsi="Times New Roman" w:cs="Times New Roman" w:eastAsia="Times New Roman" w:hint="default"/>
        </w:rPr>
        <w:t>3</w:t>
      </w:r>
      <w:r>
        <w:rPr/>
        <w:t>）应收款项</w:t>
      </w:r>
      <w:r>
        <w:rPr>
          <w:w w:val="100"/>
        </w:rPr>
        <w:t> </w:t>
      </w:r>
      <w:r>
        <w:rPr>
          <w:spacing w:val="-2"/>
        </w:rPr>
        <w:t>公司对外销售商品或提供劳务形成的应收债权，以及公司持有的其他企业的不包括在活跃市场上有报</w:t>
      </w:r>
    </w:p>
    <w:p>
      <w:pPr>
        <w:pStyle w:val="Heading4"/>
        <w:spacing w:line="273" w:lineRule="auto" w:before="22"/>
        <w:ind w:right="0"/>
        <w:jc w:val="left"/>
      </w:pPr>
      <w:r>
        <w:rPr>
          <w:spacing w:val="-2"/>
        </w:rPr>
        <w:t>价的债务工具的债权，包括应收账款、其他应收款等，以向购货方应收的合同或协议价款作为初始确认金</w:t>
      </w:r>
      <w:r>
        <w:rPr>
          <w:spacing w:val="-43"/>
        </w:rPr>
        <w:t> </w:t>
      </w:r>
      <w:r>
        <w:rPr>
          <w:spacing w:val="-43"/>
        </w:rPr>
      </w:r>
      <w:r>
        <w:rPr/>
        <w:t>额；具有融资性质的，按其现值进行初始确认。</w:t>
      </w:r>
    </w:p>
    <w:p>
      <w:pPr>
        <w:pStyle w:val="Heading4"/>
        <w:spacing w:line="240" w:lineRule="auto"/>
        <w:ind w:left="573" w:right="2602"/>
        <w:jc w:val="left"/>
      </w:pPr>
      <w:r>
        <w:rPr/>
        <w:t>收回或处置时，将取得的价款与该应收款项账面价值之间的差额计入当期损益。</w:t>
      </w:r>
    </w:p>
    <w:p>
      <w:pPr>
        <w:pStyle w:val="Heading4"/>
        <w:spacing w:line="256" w:lineRule="auto" w:before="37"/>
        <w:ind w:left="573" w:right="0"/>
        <w:jc w:val="left"/>
      </w:pPr>
      <w:r>
        <w:rPr/>
        <w:t>（</w:t>
      </w:r>
      <w:r>
        <w:rPr>
          <w:rFonts w:ascii="Times New Roman" w:hAnsi="Times New Roman" w:cs="Times New Roman" w:eastAsia="Times New Roman" w:hint="default"/>
        </w:rPr>
        <w:t>4</w:t>
      </w:r>
      <w:r>
        <w:rPr/>
        <w:t>）可供出售金融资产</w:t>
      </w:r>
      <w:r>
        <w:rPr>
          <w:w w:val="100"/>
        </w:rPr>
        <w:t> </w:t>
      </w:r>
      <w:r>
        <w:rPr>
          <w:spacing w:val="-2"/>
        </w:rPr>
        <w:t>取得时按公允价值（扣除已宣告但尚未发放的现金股利或已到付息期但尚未领取的债券利息）和相关</w:t>
      </w:r>
    </w:p>
    <w:p>
      <w:pPr>
        <w:pStyle w:val="Heading4"/>
        <w:spacing w:line="273" w:lineRule="auto" w:before="22"/>
        <w:ind w:left="573" w:right="0" w:hanging="421"/>
        <w:jc w:val="left"/>
      </w:pPr>
      <w:r>
        <w:rPr/>
        <w:t>交易费用之和作为初始确认金额。</w:t>
      </w:r>
      <w:r>
        <w:rPr>
          <w:w w:val="100"/>
        </w:rPr>
        <w:t> </w:t>
      </w:r>
      <w:r>
        <w:rPr>
          <w:spacing w:val="-2"/>
        </w:rPr>
        <w:t>持有期间将取得的利息或现金股利确认为投资收益。期末以公允价值计量且将公允价值变动计入其他</w:t>
      </w:r>
    </w:p>
    <w:p>
      <w:pPr>
        <w:pStyle w:val="Heading4"/>
        <w:spacing w:line="273" w:lineRule="auto"/>
        <w:ind w:right="0"/>
        <w:jc w:val="left"/>
      </w:pPr>
      <w:r>
        <w:rPr>
          <w:spacing w:val="-2"/>
        </w:rPr>
        <w:t>综合收益。但是，在活跃市场中没有报价且其公允价值不能可靠计量的权益工具投资，以及与该权益工具</w:t>
      </w:r>
      <w:r>
        <w:rPr>
          <w:spacing w:val="-44"/>
        </w:rPr>
        <w:t> </w:t>
      </w:r>
      <w:r>
        <w:rPr>
          <w:spacing w:val="-44"/>
        </w:rPr>
      </w:r>
      <w:r>
        <w:rPr/>
        <w:t>挂钩并须通过交付该权益工具结算的衍生金融资产，按照成本计量。</w:t>
      </w:r>
    </w:p>
    <w:p>
      <w:pPr>
        <w:pStyle w:val="Heading4"/>
        <w:spacing w:line="273" w:lineRule="auto"/>
        <w:ind w:right="0" w:firstLine="420"/>
        <w:jc w:val="left"/>
      </w:pPr>
      <w:r>
        <w:rPr>
          <w:spacing w:val="-2"/>
        </w:rPr>
        <w:t>处置时，将取得的价款与该金融资产账面价值之间的差额，计入投资损益；同时，将原直接计入其他</w:t>
      </w:r>
      <w:r>
        <w:rPr>
          <w:w w:val="100"/>
        </w:rPr>
        <w:t> </w:t>
      </w:r>
      <w:r>
        <w:rPr/>
        <w:t>综合收益的公允价值变动累计额对应处置部分的金额转出，计入当期损益。</w:t>
      </w:r>
    </w:p>
    <w:p>
      <w:pPr>
        <w:spacing w:line="264" w:lineRule="auto" w:before="7"/>
        <w:ind w:left="573" w:right="260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w:t>
      </w:r>
      <w:r>
        <w:rPr>
          <w:rFonts w:ascii="宋体" w:hAnsi="宋体" w:cs="宋体" w:eastAsia="宋体" w:hint="default"/>
          <w:w w:val="100"/>
          <w:sz w:val="21"/>
          <w:szCs w:val="21"/>
        </w:rPr>
        <w:t> </w:t>
      </w:r>
      <w:r>
        <w:rPr>
          <w:rFonts w:ascii="宋体" w:hAnsi="宋体" w:cs="宋体" w:eastAsia="宋体" w:hint="default"/>
          <w:spacing w:val="-2"/>
          <w:sz w:val="21"/>
          <w:szCs w:val="21"/>
        </w:rPr>
        <w:t>按其公允价值和相关交易费用之和作为初始确认金额。采用摊余成本进行后续计量。</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Times New Roman" w:hAnsi="Times New Roman" w:cs="Times New Roman" w:eastAsia="Times New Roman" w:hint="default"/>
          <w:b/>
          <w:bCs/>
          <w:sz w:val="21"/>
          <w:szCs w:val="21"/>
        </w:rPr>
        <w:t>3. </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金融资产转移的确认依据和计量方法</w:t>
      </w:r>
      <w:r>
        <w:rPr>
          <w:rFonts w:ascii="宋体" w:hAnsi="宋体" w:cs="宋体" w:eastAsia="宋体" w:hint="default"/>
          <w:sz w:val="21"/>
          <w:szCs w:val="21"/>
        </w:rPr>
      </w:r>
    </w:p>
    <w:p>
      <w:pPr>
        <w:pStyle w:val="Heading4"/>
        <w:spacing w:line="273" w:lineRule="auto" w:before="0"/>
        <w:ind w:right="0" w:firstLine="420"/>
        <w:jc w:val="left"/>
      </w:pPr>
      <w:r>
        <w:rPr>
          <w:spacing w:val="-2"/>
        </w:rPr>
        <w:t>公司发生金融资产转移时，如已将金融资产所有权上几乎所有的风险和报酬转移给转入方，则终止确</w:t>
      </w:r>
      <w:r>
        <w:rPr>
          <w:w w:val="100"/>
        </w:rPr>
        <w:t> </w:t>
      </w:r>
      <w:r>
        <w:rPr/>
        <w:t>认该金融资产；如保留了金融资产所有权上几乎所有的风险和报酬的，则不终止确认该金融资产。</w:t>
      </w:r>
    </w:p>
    <w:p>
      <w:pPr>
        <w:pStyle w:val="Heading4"/>
        <w:spacing w:line="273" w:lineRule="auto"/>
        <w:ind w:left="573" w:right="0"/>
        <w:jc w:val="left"/>
      </w:pPr>
      <w:r>
        <w:rPr/>
        <w:t>在判断金融资产转移是否满足上述金融资产终止确认条件时，采用实质重于形式的原则。</w:t>
      </w:r>
      <w:r>
        <w:rPr>
          <w:w w:val="100"/>
        </w:rPr>
        <w:t> </w:t>
      </w:r>
      <w:r>
        <w:rPr/>
        <w:t>公司将金融资产转移区分为金融资产整体转移和部分转移。金融资产整体转移满足终止确认条件的，</w:t>
      </w:r>
    </w:p>
    <w:p>
      <w:pPr>
        <w:pStyle w:val="Heading4"/>
        <w:spacing w:line="240" w:lineRule="auto"/>
        <w:ind w:right="2602"/>
        <w:jc w:val="left"/>
      </w:pPr>
      <w:r>
        <w:rPr/>
        <w:t>将下列两项金额的差额计入当期损益：</w:t>
      </w:r>
    </w:p>
    <w:p>
      <w:pPr>
        <w:pStyle w:val="Heading4"/>
        <w:spacing w:line="240" w:lineRule="auto" w:before="37"/>
        <w:ind w:left="573" w:right="2602"/>
        <w:jc w:val="left"/>
      </w:pPr>
      <w:r>
        <w:rPr/>
        <w:t>（</w:t>
      </w:r>
      <w:r>
        <w:rPr>
          <w:rFonts w:ascii="Times New Roman" w:hAnsi="Times New Roman" w:cs="Times New Roman" w:eastAsia="Times New Roman" w:hint="default"/>
        </w:rPr>
        <w:t>1</w:t>
      </w:r>
      <w:r>
        <w:rPr/>
        <w:t>）所转移金融资产的账面价值；</w:t>
      </w:r>
    </w:p>
    <w:p>
      <w:pPr>
        <w:pStyle w:val="Heading4"/>
        <w:spacing w:line="266" w:lineRule="auto" w:before="21"/>
        <w:ind w:right="1126" w:firstLine="420"/>
        <w:jc w:val="right"/>
      </w:pPr>
      <w:r>
        <w:rPr/>
        <w:t>（</w:t>
      </w:r>
      <w:r>
        <w:rPr>
          <w:rFonts w:ascii="Times New Roman" w:hAnsi="Times New Roman" w:cs="Times New Roman" w:eastAsia="Times New Roman" w:hint="default"/>
        </w:rPr>
        <w:t>2</w:t>
      </w:r>
      <w:r>
        <w:rPr/>
        <w:t>）因转移而收到的对价，与原直接计入所有者权益的公允价值变动累计额（涉及转移的金融资产</w:t>
      </w:r>
      <w:r>
        <w:rPr>
          <w:w w:val="100"/>
        </w:rPr>
        <w:t> </w:t>
      </w:r>
      <w:r>
        <w:rPr>
          <w:spacing w:val="-7"/>
        </w:rPr>
        <w:t>为以公允价值计量且其变动计入其他综合收益的金融资产（债务工具）、可供出售金融资产的情形）之和。</w:t>
      </w:r>
      <w:r>
        <w:rPr>
          <w:spacing w:val="-41"/>
        </w:rPr>
        <w:t> </w:t>
      </w:r>
      <w:r>
        <w:rPr>
          <w:spacing w:val="-41"/>
        </w:rPr>
      </w:r>
      <w:r>
        <w:rPr>
          <w:spacing w:val="-2"/>
        </w:rPr>
        <w:t>金融资产部分转移满足终止确认条件的，将所转移金融资产整体的账面价值，在终止确认部分和未终</w:t>
      </w:r>
    </w:p>
    <w:p>
      <w:pPr>
        <w:pStyle w:val="Heading4"/>
        <w:spacing w:line="240" w:lineRule="auto" w:before="14"/>
        <w:ind w:right="0"/>
        <w:jc w:val="left"/>
      </w:pPr>
      <w:r>
        <w:rPr/>
        <w:t>止确认部分之间，按照各自的相对公允价值进行分摊，并将下列两项金额的差额计入当期损益：</w:t>
      </w:r>
    </w:p>
    <w:p>
      <w:pPr>
        <w:pStyle w:val="Heading4"/>
        <w:spacing w:line="240" w:lineRule="auto" w:before="37"/>
        <w:ind w:left="573" w:right="2602"/>
        <w:jc w:val="left"/>
      </w:pPr>
      <w:r>
        <w:rPr/>
        <w:t>（</w:t>
      </w:r>
      <w:r>
        <w:rPr>
          <w:rFonts w:ascii="Times New Roman" w:hAnsi="Times New Roman" w:cs="Times New Roman" w:eastAsia="Times New Roman" w:hint="default"/>
        </w:rPr>
        <w:t>1</w:t>
      </w:r>
      <w:r>
        <w:rPr/>
        <w:t>）终止确认部分的账面价值；</w:t>
      </w:r>
    </w:p>
    <w:p>
      <w:pPr>
        <w:pStyle w:val="Heading4"/>
        <w:spacing w:line="264" w:lineRule="auto" w:before="21"/>
        <w:ind w:right="1126" w:firstLine="420"/>
        <w:jc w:val="both"/>
      </w:pPr>
      <w:r>
        <w:rPr/>
        <w:t>（</w:t>
      </w:r>
      <w:r>
        <w:rPr>
          <w:rFonts w:ascii="Times New Roman" w:hAnsi="Times New Roman" w:cs="Times New Roman" w:eastAsia="Times New Roman" w:hint="default"/>
        </w:rPr>
        <w:t>2</w:t>
      </w:r>
      <w:r>
        <w:rPr/>
        <w:t>）终止确认部分的对价，与原直接计入所有者权益的公允价值变动累计额中对应终止确认部分的</w:t>
      </w:r>
      <w:r>
        <w:rPr>
          <w:w w:val="100"/>
        </w:rPr>
        <w:t> </w:t>
      </w:r>
      <w:r>
        <w:rPr>
          <w:spacing w:val="-2"/>
        </w:rPr>
        <w:t>金额（涉及转移的金融资产为以公允价值计量且其变动计入其他综合收益的金融资产（债务工具）、可供</w:t>
      </w:r>
      <w:r>
        <w:rPr>
          <w:spacing w:val="-44"/>
        </w:rPr>
        <w:t> </w:t>
      </w:r>
      <w:r>
        <w:rPr>
          <w:spacing w:val="-44"/>
        </w:rPr>
      </w:r>
      <w:r>
        <w:rPr/>
        <w:t>出售金融资产的情形）之和。</w:t>
      </w:r>
    </w:p>
    <w:p>
      <w:pPr>
        <w:pStyle w:val="Heading4"/>
        <w:spacing w:line="240" w:lineRule="auto" w:before="16"/>
        <w:ind w:left="573" w:right="0"/>
        <w:jc w:val="left"/>
      </w:pPr>
      <w:r>
        <w:rPr/>
        <w:t>金融资产转移不满足终止确认条件的，继续确认该金融资产，所收到的对价确认为一项金融负债。</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spacing w:line="256" w:lineRule="auto" w:before="36"/>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金融负债终止确认条件</w:t>
      </w:r>
      <w:r>
        <w:rPr>
          <w:rFonts w:ascii="宋体" w:hAnsi="宋体" w:cs="宋体" w:eastAsia="宋体" w:hint="default"/>
          <w:b/>
          <w:bCs/>
          <w:w w:val="100"/>
          <w:sz w:val="21"/>
          <w:szCs w:val="21"/>
        </w:rPr>
        <w:t> </w:t>
      </w:r>
      <w:r>
        <w:rPr>
          <w:rFonts w:ascii="宋体" w:hAnsi="宋体" w:cs="宋体" w:eastAsia="宋体" w:hint="default"/>
          <w:spacing w:val="-2"/>
          <w:sz w:val="21"/>
          <w:szCs w:val="21"/>
        </w:rPr>
        <w:t>金融负债的现时义务全部或部分已经解除的，则终止确认该金融负债或其一部分；本公司若与债权人</w:t>
      </w:r>
    </w:p>
    <w:p>
      <w:pPr>
        <w:pStyle w:val="Heading4"/>
        <w:spacing w:line="273" w:lineRule="auto" w:before="22"/>
        <w:ind w:right="0"/>
        <w:jc w:val="left"/>
      </w:pPr>
      <w:r>
        <w:rPr>
          <w:spacing w:val="-2"/>
        </w:rPr>
        <w:t>签定协议，以承担新金融负债方式替换现存金融负债，且新金融负债与现存金融负债的合同条款实质上不</w:t>
      </w:r>
      <w:r>
        <w:rPr>
          <w:spacing w:val="-43"/>
        </w:rPr>
        <w:t> </w:t>
      </w:r>
      <w:r>
        <w:rPr>
          <w:spacing w:val="-43"/>
        </w:rPr>
      </w:r>
      <w:r>
        <w:rPr/>
        <w:t>同的，则终止确认现存金融负债，并同时确认新金融负债。</w:t>
      </w:r>
    </w:p>
    <w:p>
      <w:pPr>
        <w:pStyle w:val="Heading4"/>
        <w:spacing w:line="273" w:lineRule="auto"/>
        <w:ind w:right="1126" w:firstLine="420"/>
        <w:jc w:val="both"/>
      </w:pPr>
      <w:r>
        <w:rPr>
          <w:spacing w:val="-2"/>
        </w:rPr>
        <w:t>对现存金融负债全部或部分合同条款作出实质性修改的，则终止确认现存金融负债或其一部分，同时</w:t>
      </w:r>
      <w:r>
        <w:rPr>
          <w:w w:val="100"/>
        </w:rPr>
        <w:t> </w:t>
      </w:r>
      <w:r>
        <w:rPr/>
        <w:t>将修改条款后的金融负债确认为一项新金融负债。</w:t>
      </w:r>
    </w:p>
    <w:p>
      <w:pPr>
        <w:pStyle w:val="Heading4"/>
        <w:spacing w:line="273" w:lineRule="auto"/>
        <w:ind w:right="1126" w:firstLine="420"/>
        <w:jc w:val="both"/>
      </w:pPr>
      <w:r>
        <w:rPr>
          <w:spacing w:val="-2"/>
        </w:rPr>
        <w:t>金融负债全部或部分终止确认时，终止确认的金融负债账面价值与支付对价（包括转出的非现金资产</w:t>
      </w:r>
      <w:r>
        <w:rPr>
          <w:w w:val="100"/>
        </w:rPr>
        <w:t> </w:t>
      </w:r>
      <w:r>
        <w:rPr/>
        <w:t>或承担的新金融负债）之间的差额，计入当期损益。</w:t>
      </w:r>
    </w:p>
    <w:p>
      <w:pPr>
        <w:pStyle w:val="Heading4"/>
        <w:spacing w:line="273" w:lineRule="auto"/>
        <w:ind w:right="1126" w:firstLine="420"/>
        <w:jc w:val="both"/>
      </w:pPr>
      <w:r>
        <w:rPr>
          <w:spacing w:val="-2"/>
        </w:rPr>
        <w:t>本公司若回购部分金融负债的，在回购日按照继续确认部分与终止确认部分的相对公允价值，将该金</w:t>
      </w:r>
      <w:r>
        <w:rPr>
          <w:w w:val="100"/>
        </w:rPr>
        <w:t> </w:t>
      </w:r>
      <w:r>
        <w:rPr>
          <w:spacing w:val="-2"/>
        </w:rPr>
        <w:t>融负债整体的账面价值进行分配。分配给终止确认部分的账面价值与支付的对价（包括转出的非现金资产</w:t>
      </w:r>
      <w:r>
        <w:rPr>
          <w:spacing w:val="-44"/>
        </w:rPr>
        <w:t> </w:t>
      </w:r>
      <w:r>
        <w:rPr>
          <w:spacing w:val="-44"/>
        </w:rPr>
      </w:r>
      <w:r>
        <w:rPr/>
        <w:t>或承担的新金融负债）之间的差额，计入当期损益。</w:t>
      </w:r>
    </w:p>
    <w:p>
      <w:pPr>
        <w:spacing w:line="259" w:lineRule="auto" w:before="7"/>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金融资产和金融负债的公允价值的确定方法</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存在活跃市场的金融工具，以活跃市场中的报价确定其公允价值。不存在活跃市场的金融工具，采用</w:t>
      </w:r>
    </w:p>
    <w:p>
      <w:pPr>
        <w:pStyle w:val="Heading4"/>
        <w:spacing w:line="273" w:lineRule="auto" w:before="20"/>
        <w:ind w:right="0"/>
        <w:jc w:val="left"/>
      </w:pPr>
      <w:r>
        <w:rPr>
          <w:spacing w:val="-2"/>
        </w:rPr>
        <w:t>估值技术确定其公允价值。在估值时，本公司采用在当前情况下适用并且有足够可利用数据和其他信息支</w:t>
      </w:r>
      <w:r>
        <w:rPr>
          <w:spacing w:val="-43"/>
        </w:rPr>
        <w:t> </w:t>
      </w:r>
      <w:r>
        <w:rPr>
          <w:spacing w:val="-43"/>
        </w:rPr>
      </w:r>
      <w:r>
        <w:rPr/>
        <w:t>持的估值技术，选择与市场参与者在相关资产或负债的交易中所考虑的资产或负债特征相一致的输入值，</w:t>
      </w:r>
      <w:r>
        <w:rPr>
          <w:spacing w:val="-24"/>
        </w:rPr>
        <w:t> </w:t>
      </w:r>
      <w:r>
        <w:rPr>
          <w:spacing w:val="-24"/>
        </w:rPr>
      </w:r>
      <w:r>
        <w:rPr>
          <w:spacing w:val="-2"/>
        </w:rPr>
        <w:t>并优先使用相关可观察输入值。只有在相关可观察输入值无法取得或取得不切实可行的情况下，才使用不</w:t>
      </w:r>
      <w:r>
        <w:rPr>
          <w:spacing w:val="-42"/>
        </w:rPr>
        <w:t> </w:t>
      </w:r>
      <w:r>
        <w:rPr>
          <w:spacing w:val="-42"/>
        </w:rPr>
      </w:r>
      <w:r>
        <w:rPr/>
        <w:t>可观察输入值。</w:t>
      </w:r>
    </w:p>
    <w:p>
      <w:pPr>
        <w:pStyle w:val="Heading3"/>
        <w:spacing w:line="256" w:lineRule="auto" w:before="7"/>
        <w:ind w:left="575" w:right="4814"/>
        <w:jc w:val="left"/>
        <w:rPr>
          <w:b w:val="0"/>
          <w:bCs w:val="0"/>
        </w:rPr>
      </w:pP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金融资产减值的测试方法及会计处理方法</w:t>
      </w:r>
      <w:r>
        <w:rPr>
          <w:w w:val="100"/>
        </w:rPr>
        <w:t> </w:t>
      </w:r>
      <w:r>
        <w:rPr/>
        <w:t>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日起适用的会计政策</w:t>
      </w:r>
      <w:r>
        <w:rPr>
          <w:b w:val="0"/>
          <w:bCs w:val="0"/>
        </w:rPr>
      </w:r>
    </w:p>
    <w:p>
      <w:pPr>
        <w:pStyle w:val="Heading4"/>
        <w:spacing w:line="273" w:lineRule="auto" w:before="5"/>
        <w:ind w:right="0" w:firstLine="420"/>
        <w:jc w:val="left"/>
      </w:pPr>
      <w:r>
        <w:rPr>
          <w:spacing w:val="-2"/>
        </w:rPr>
        <w:t>本公司考虑所有合理且有依据的信息，包括前瞻性信息，以单项或组合的方式对以摊余成本计量的金</w:t>
      </w:r>
      <w:r>
        <w:rPr>
          <w:w w:val="100"/>
        </w:rPr>
        <w:t> </w:t>
      </w:r>
      <w:r>
        <w:rPr/>
        <w:t>融资产和以公允价值计量且其变动计入其他综合收益的金融资产（债务工具）的预期信用损失进行估计。</w:t>
      </w:r>
      <w:r>
        <w:rPr>
          <w:spacing w:val="-24"/>
        </w:rPr>
        <w:t> </w:t>
      </w:r>
      <w:r>
        <w:rPr>
          <w:spacing w:val="-24"/>
        </w:rPr>
      </w:r>
      <w:r>
        <w:rPr/>
        <w:t>预期信用损失的计量取决于金融资产自初始确认后是否发生信用风险显著增加。</w:t>
      </w:r>
    </w:p>
    <w:p>
      <w:pPr>
        <w:pStyle w:val="Heading4"/>
        <w:spacing w:line="268" w:lineRule="auto"/>
        <w:ind w:right="1126" w:firstLine="420"/>
        <w:jc w:val="both"/>
      </w:pPr>
      <w:r>
        <w:rPr>
          <w:spacing w:val="-2"/>
        </w:rPr>
        <w:t>如果该金融工具的信用风险自初始确认后已显著增加，本公司按照相当于该金融工具整个存续期内预</w:t>
      </w:r>
      <w:r>
        <w:rPr>
          <w:w w:val="100"/>
        </w:rPr>
        <w:t> </w:t>
      </w:r>
      <w:r>
        <w:rPr>
          <w:spacing w:val="-2"/>
        </w:rPr>
        <w:t>期信用损失的金额计量其损失准备；如果该金融工具的信用风险自初始确认后并未显著增加，本公司按照</w:t>
      </w:r>
      <w:r>
        <w:rPr>
          <w:spacing w:val="-43"/>
        </w:rPr>
        <w:t> </w:t>
      </w:r>
      <w:r>
        <w:rPr>
          <w:spacing w:val="-43"/>
        </w:rPr>
      </w:r>
      <w:r>
        <w:rPr>
          <w:spacing w:val="-2"/>
        </w:rPr>
        <w:t>相当于该金融工具未来</w:t>
      </w:r>
      <w:r>
        <w:rPr>
          <w:rFonts w:ascii="Times New Roman" w:hAnsi="Times New Roman" w:cs="Times New Roman" w:eastAsia="Times New Roman" w:hint="default"/>
          <w:spacing w:val="-2"/>
        </w:rPr>
        <w:t>12</w:t>
      </w:r>
      <w:r>
        <w:rPr>
          <w:spacing w:val="-2"/>
        </w:rPr>
        <w:t>个月内预期信用损失的金额计量其损失准备。由此形成的损失准备的增加或转回</w:t>
      </w:r>
      <w:r>
        <w:rPr>
          <w:spacing w:val="-41"/>
        </w:rPr>
        <w:t> </w:t>
      </w:r>
      <w:r>
        <w:rPr>
          <w:spacing w:val="-41"/>
        </w:rPr>
      </w:r>
      <w:r>
        <w:rPr/>
        <w:t>金额，作为减值损失或利得计入当期损益。</w:t>
      </w:r>
    </w:p>
    <w:p>
      <w:pPr>
        <w:pStyle w:val="Heading4"/>
        <w:spacing w:line="256" w:lineRule="auto" w:before="12"/>
        <w:ind w:right="1126" w:firstLine="420"/>
        <w:jc w:val="both"/>
      </w:pPr>
      <w:r>
        <w:rPr>
          <w:spacing w:val="-2"/>
        </w:rPr>
        <w:t>通常逾期超过</w:t>
      </w:r>
      <w:r>
        <w:rPr>
          <w:rFonts w:ascii="Times New Roman" w:hAnsi="Times New Roman" w:cs="Times New Roman" w:eastAsia="Times New Roman" w:hint="default"/>
          <w:spacing w:val="-2"/>
        </w:rPr>
        <w:t>30</w:t>
      </w:r>
      <w:r>
        <w:rPr>
          <w:spacing w:val="-2"/>
        </w:rPr>
        <w:t>日，本公司即认为该金融工具的信用风险已显著增加，除非有确凿证据证明该金融工</w:t>
      </w:r>
      <w:r>
        <w:rPr>
          <w:w w:val="100"/>
        </w:rPr>
        <w:t> </w:t>
      </w:r>
      <w:r>
        <w:rPr/>
        <w:t>具的信用风险自初始确认后并未显著增加。</w:t>
      </w:r>
    </w:p>
    <w:p>
      <w:pPr>
        <w:pStyle w:val="Heading4"/>
        <w:spacing w:line="273" w:lineRule="auto" w:before="22"/>
        <w:ind w:right="1126" w:firstLine="420"/>
        <w:jc w:val="both"/>
      </w:pPr>
      <w:r>
        <w:rPr>
          <w:spacing w:val="-2"/>
        </w:rPr>
        <w:t>如果金融工具于资产负债表日的信用风险较低，本公司即认为该金融工具的信用风险自初始确认后并</w:t>
      </w:r>
      <w:r>
        <w:rPr>
          <w:w w:val="100"/>
        </w:rPr>
        <w:t> </w:t>
      </w:r>
      <w:r>
        <w:rPr/>
        <w:t>未显著增加。</w:t>
      </w:r>
    </w:p>
    <w:p>
      <w:pPr>
        <w:pStyle w:val="Heading4"/>
        <w:spacing w:line="273" w:lineRule="auto"/>
        <w:ind w:right="1126" w:firstLine="420"/>
        <w:jc w:val="both"/>
      </w:pPr>
      <w:r>
        <w:rPr>
          <w:spacing w:val="-2"/>
        </w:rPr>
        <w:t>如果有客观证据表明某项金融资产已经发生信用减值，则本公司在单项基础上对该金融资产计提减值</w:t>
      </w:r>
      <w:r>
        <w:rPr>
          <w:w w:val="100"/>
        </w:rPr>
        <w:t> </w:t>
      </w:r>
      <w:r>
        <w:rPr/>
        <w:t>准备。</w:t>
      </w:r>
    </w:p>
    <w:p>
      <w:pPr>
        <w:pStyle w:val="Heading4"/>
        <w:spacing w:line="273" w:lineRule="auto"/>
        <w:ind w:right="1126" w:firstLine="420"/>
        <w:jc w:val="both"/>
      </w:pPr>
      <w:r>
        <w:rPr>
          <w:spacing w:val="-2"/>
        </w:rPr>
        <w:t>对于应收账款，无论是否包含重大融资成分，本公司始终按照相当于整个存续期内预期信用损失的金</w:t>
      </w:r>
      <w:r>
        <w:rPr>
          <w:w w:val="100"/>
        </w:rPr>
        <w:t> </w:t>
      </w:r>
      <w:r>
        <w:rPr/>
        <w:t>额计量其损失准备。</w:t>
      </w:r>
    </w:p>
    <w:p>
      <w:pPr>
        <w:pStyle w:val="Heading4"/>
        <w:spacing w:line="273" w:lineRule="auto"/>
        <w:ind w:right="1032" w:firstLine="420"/>
        <w:jc w:val="both"/>
      </w:pPr>
      <w:r>
        <w:rPr>
          <w:spacing w:val="-2"/>
        </w:rPr>
        <w:t>当单项应收账款和其他应收款无法以合理成本评估预期信用损失的信息时，本公司依据信用风险特征</w:t>
      </w:r>
      <w:r>
        <w:rPr>
          <w:w w:val="100"/>
        </w:rPr>
        <w:t> </w:t>
      </w:r>
      <w:r>
        <w:rPr/>
        <w:t>将应收账款和其他应收款以划分为了若干组合，在组合基础上计算预期信用损失，确定组合的依据如下：</w:t>
      </w:r>
    </w:p>
    <w:p>
      <w:pPr>
        <w:pStyle w:val="Heading4"/>
        <w:spacing w:line="240" w:lineRule="auto"/>
        <w:ind w:left="573" w:right="2602"/>
        <w:jc w:val="left"/>
      </w:pPr>
      <w:r>
        <w:rPr/>
        <w:t>应收账款组合，根据信用风险特征作为确定组合的依据；</w:t>
      </w:r>
    </w:p>
    <w:p>
      <w:pPr>
        <w:spacing w:line="240" w:lineRule="auto" w:before="10"/>
        <w:rPr>
          <w:rFonts w:ascii="宋体" w:hAnsi="宋体" w:cs="宋体" w:eastAsia="宋体" w:hint="default"/>
          <w:sz w:val="3"/>
          <w:szCs w:val="3"/>
        </w:rPr>
      </w:pPr>
    </w:p>
    <w:tbl>
      <w:tblPr>
        <w:tblW w:w="0" w:type="auto"/>
        <w:jc w:val="left"/>
        <w:tblInd w:w="1302" w:type="dxa"/>
        <w:tblLayout w:type="fixed"/>
        <w:tblCellMar>
          <w:top w:w="0" w:type="dxa"/>
          <w:left w:w="0" w:type="dxa"/>
          <w:bottom w:w="0" w:type="dxa"/>
          <w:right w:w="0" w:type="dxa"/>
        </w:tblCellMar>
        <w:tblLook w:val="01E0"/>
      </w:tblPr>
      <w:tblGrid>
        <w:gridCol w:w="3101"/>
        <w:gridCol w:w="4165"/>
      </w:tblGrid>
      <w:tr>
        <w:trPr>
          <w:trHeight w:val="341"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72" w:lineRule="exact"/>
              <w:ind w:left="1346" w:right="0"/>
              <w:jc w:val="left"/>
              <w:rPr>
                <w:rFonts w:ascii="宋体" w:hAnsi="宋体" w:cs="宋体" w:eastAsia="宋体" w:hint="default"/>
                <w:sz w:val="21"/>
                <w:szCs w:val="21"/>
              </w:rPr>
            </w:pPr>
            <w:r>
              <w:rPr>
                <w:rFonts w:ascii="宋体" w:hAnsi="宋体" w:cs="宋体" w:eastAsia="宋体" w:hint="default"/>
                <w:sz w:val="21"/>
                <w:szCs w:val="21"/>
              </w:rPr>
              <w:t>组合名称</w:t>
            </w:r>
          </w:p>
        </w:tc>
        <w:tc>
          <w:tcPr>
            <w:tcW w:w="4165" w:type="dxa"/>
            <w:tcBorders>
              <w:top w:val="single" w:sz="4" w:space="0" w:color="000000"/>
              <w:left w:val="single" w:sz="4" w:space="0" w:color="000000"/>
              <w:bottom w:val="single" w:sz="4" w:space="0" w:color="000000"/>
              <w:right w:val="nil" w:sz="6" w:space="0" w:color="auto"/>
            </w:tcBorders>
          </w:tcPr>
          <w:p>
            <w:pPr>
              <w:pStyle w:val="TableParagraph"/>
              <w:spacing w:line="272" w:lineRule="exact"/>
              <w:ind w:left="1550"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343"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74" w:lineRule="exact"/>
              <w:ind w:left="444" w:right="0"/>
              <w:jc w:val="left"/>
              <w:rPr>
                <w:rFonts w:ascii="宋体" w:hAnsi="宋体" w:cs="宋体" w:eastAsia="宋体" w:hint="default"/>
                <w:sz w:val="21"/>
                <w:szCs w:val="21"/>
              </w:rPr>
            </w:pPr>
            <w:r>
              <w:rPr>
                <w:rFonts w:ascii="宋体" w:hAnsi="宋体" w:cs="宋体" w:eastAsia="宋体" w:hint="default"/>
                <w:sz w:val="21"/>
                <w:szCs w:val="21"/>
              </w:rPr>
              <w:t>合并范围内关联方组合</w:t>
            </w:r>
          </w:p>
        </w:tc>
        <w:tc>
          <w:tcPr>
            <w:tcW w:w="4165" w:type="dxa"/>
            <w:tcBorders>
              <w:top w:val="single" w:sz="4" w:space="0" w:color="000000"/>
              <w:left w:val="single" w:sz="4" w:space="0" w:color="000000"/>
              <w:bottom w:val="single" w:sz="4" w:space="0" w:color="000000"/>
              <w:right w:val="nil" w:sz="6" w:space="0" w:color="auto"/>
            </w:tcBorders>
          </w:tcPr>
          <w:p>
            <w:pPr>
              <w:pStyle w:val="TableParagraph"/>
              <w:spacing w:line="274" w:lineRule="exact"/>
              <w:ind w:left="424" w:right="0"/>
              <w:jc w:val="left"/>
              <w:rPr>
                <w:rFonts w:ascii="宋体" w:hAnsi="宋体" w:cs="宋体" w:eastAsia="宋体" w:hint="default"/>
                <w:sz w:val="21"/>
                <w:szCs w:val="21"/>
              </w:rPr>
            </w:pPr>
            <w:r>
              <w:rPr>
                <w:rFonts w:ascii="宋体" w:hAnsi="宋体" w:cs="宋体" w:eastAsia="宋体" w:hint="default"/>
                <w:sz w:val="21"/>
                <w:szCs w:val="21"/>
              </w:rPr>
              <w:t>合并范围内关联方的应收账款</w:t>
            </w:r>
          </w:p>
        </w:tc>
      </w:tr>
      <w:tr>
        <w:trPr>
          <w:trHeight w:val="343"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72" w:lineRule="exact"/>
              <w:ind w:left="444"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4165" w:type="dxa"/>
            <w:tcBorders>
              <w:top w:val="single" w:sz="4" w:space="0" w:color="000000"/>
              <w:left w:val="single" w:sz="4" w:space="0" w:color="000000"/>
              <w:bottom w:val="single" w:sz="4" w:space="0" w:color="000000"/>
              <w:right w:val="nil" w:sz="6" w:space="0" w:color="auto"/>
            </w:tcBorders>
          </w:tcPr>
          <w:p>
            <w:pPr>
              <w:pStyle w:val="TableParagraph"/>
              <w:spacing w:line="272" w:lineRule="exact"/>
              <w:ind w:left="424" w:right="0"/>
              <w:jc w:val="left"/>
              <w:rPr>
                <w:rFonts w:ascii="宋体" w:hAnsi="宋体" w:cs="宋体" w:eastAsia="宋体" w:hint="default"/>
                <w:sz w:val="21"/>
                <w:szCs w:val="21"/>
              </w:rPr>
            </w:pPr>
            <w:r>
              <w:rPr>
                <w:rFonts w:ascii="宋体" w:hAnsi="宋体" w:cs="宋体" w:eastAsia="宋体" w:hint="default"/>
                <w:sz w:val="21"/>
                <w:szCs w:val="21"/>
              </w:rPr>
              <w:t>除关联方组合之外的应收账款</w:t>
            </w:r>
          </w:p>
        </w:tc>
      </w:tr>
    </w:tbl>
    <w:p>
      <w:pPr>
        <w:pStyle w:val="Heading4"/>
        <w:spacing w:line="273" w:lineRule="auto" w:before="0"/>
        <w:ind w:right="0" w:firstLine="420"/>
        <w:jc w:val="left"/>
      </w:pPr>
      <w:r>
        <w:rPr/>
        <w:t>对于划分为合并范围内关联方组合的应收账款，本公司参考历史信用损失经验，判断收回风险极低，</w:t>
      </w:r>
      <w:r>
        <w:rPr>
          <w:w w:val="100"/>
        </w:rPr>
        <w:t> </w:t>
      </w:r>
      <w:r>
        <w:rPr/>
        <w:t>不计提预期信用损失。</w:t>
      </w:r>
    </w:p>
    <w:p>
      <w:pPr>
        <w:pStyle w:val="Heading4"/>
        <w:spacing w:line="273" w:lineRule="auto"/>
        <w:ind w:right="0" w:firstLine="420"/>
        <w:jc w:val="left"/>
      </w:pPr>
      <w:r>
        <w:rPr>
          <w:spacing w:val="-5"/>
        </w:rPr>
        <w:t>对于划分为账龄组合的应收账款，参考历史信用损失经验，结合当前状况以及对未来经济状况的预测，</w:t>
      </w:r>
      <w:r>
        <w:rPr>
          <w:w w:val="100"/>
        </w:rPr>
        <w:t> </w:t>
      </w:r>
      <w:r>
        <w:rPr/>
        <w:t>编制应收账款账龄与整个存续期预期信用损失率对照表，计算预期信用损失：</w:t>
      </w:r>
    </w:p>
    <w:p>
      <w:pPr>
        <w:spacing w:after="0" w:line="273" w:lineRule="auto"/>
        <w:jc w:val="lef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302" w:type="dxa"/>
        <w:tblLayout w:type="fixed"/>
        <w:tblCellMar>
          <w:top w:w="0" w:type="dxa"/>
          <w:left w:w="0" w:type="dxa"/>
          <w:bottom w:w="0" w:type="dxa"/>
          <w:right w:w="0" w:type="dxa"/>
        </w:tblCellMar>
        <w:tblLook w:val="01E0"/>
      </w:tblPr>
      <w:tblGrid>
        <w:gridCol w:w="3833"/>
        <w:gridCol w:w="3433"/>
      </w:tblGrid>
      <w:tr>
        <w:trPr>
          <w:trHeight w:val="341" w:hRule="exact"/>
        </w:trPr>
        <w:tc>
          <w:tcPr>
            <w:tcW w:w="3833" w:type="dxa"/>
            <w:tcBorders>
              <w:top w:val="single" w:sz="4" w:space="0" w:color="000000"/>
              <w:left w:val="nil" w:sz="6" w:space="0" w:color="auto"/>
              <w:bottom w:val="single" w:sz="4" w:space="0" w:color="000000"/>
              <w:right w:val="single" w:sz="4" w:space="0" w:color="000000"/>
            </w:tcBorders>
          </w:tcPr>
          <w:p>
            <w:pPr>
              <w:pStyle w:val="TableParagraph"/>
              <w:spacing w:line="272" w:lineRule="exact"/>
              <w:ind w:left="17"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433" w:type="dxa"/>
            <w:tcBorders>
              <w:top w:val="single" w:sz="4" w:space="0" w:color="000000"/>
              <w:left w:val="single" w:sz="4" w:space="0" w:color="000000"/>
              <w:bottom w:val="single" w:sz="4" w:space="0" w:color="000000"/>
              <w:right w:val="nil" w:sz="6" w:space="0" w:color="auto"/>
            </w:tcBorders>
          </w:tcPr>
          <w:p>
            <w:pPr>
              <w:pStyle w:val="TableParagraph"/>
              <w:spacing w:line="288" w:lineRule="exact"/>
              <w:ind w:left="81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预期信用损失率</w:t>
            </w:r>
            <w:r>
              <w:rPr>
                <w:rFonts w:ascii="Times New Roman" w:hAnsi="Times New Roman" w:cs="Times New Roman" w:eastAsia="Times New Roman" w:hint="default"/>
                <w:sz w:val="21"/>
                <w:szCs w:val="21"/>
              </w:rPr>
              <w:t>(%)</w:t>
            </w:r>
          </w:p>
        </w:tc>
      </w:tr>
      <w:tr>
        <w:trPr>
          <w:trHeight w:val="343" w:hRule="exact"/>
        </w:trPr>
        <w:tc>
          <w:tcPr>
            <w:tcW w:w="3833" w:type="dxa"/>
            <w:tcBorders>
              <w:top w:val="single" w:sz="4" w:space="0" w:color="000000"/>
              <w:left w:val="nil" w:sz="6" w:space="0" w:color="auto"/>
              <w:bottom w:val="single" w:sz="4" w:space="0" w:color="000000"/>
              <w:right w:val="single" w:sz="4" w:space="0" w:color="000000"/>
            </w:tcBorders>
          </w:tcPr>
          <w:p>
            <w:pPr>
              <w:pStyle w:val="TableParagraph"/>
              <w:spacing w:line="290" w:lineRule="exact"/>
              <w:ind w:left="4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个月以内</w:t>
            </w:r>
          </w:p>
        </w:tc>
        <w:tc>
          <w:tcPr>
            <w:tcW w:w="3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6"/>
              <w:ind w:left="561" w:right="0"/>
              <w:jc w:val="center"/>
              <w:rPr>
                <w:rFonts w:ascii="Times New Roman" w:hAnsi="Times New Roman" w:cs="Times New Roman" w:eastAsia="Times New Roman" w:hint="default"/>
                <w:sz w:val="21"/>
                <w:szCs w:val="21"/>
              </w:rPr>
            </w:pPr>
            <w:r>
              <w:rPr>
                <w:rFonts w:ascii="Times New Roman"/>
                <w:sz w:val="21"/>
              </w:rPr>
              <w:t>0.00</w:t>
            </w:r>
          </w:p>
        </w:tc>
      </w:tr>
      <w:tr>
        <w:trPr>
          <w:trHeight w:val="341" w:hRule="exact"/>
        </w:trPr>
        <w:tc>
          <w:tcPr>
            <w:tcW w:w="3833"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4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个月</w:t>
            </w:r>
            <w:r>
              <w:rPr>
                <w:rFonts w:ascii="Times New Roman" w:hAnsi="Times New Roman" w:cs="Times New Roman" w:eastAsia="Times New Roman" w:hint="default"/>
                <w:sz w:val="21"/>
                <w:szCs w:val="21"/>
              </w:rPr>
              <w:t>-1</w:t>
            </w:r>
            <w:r>
              <w:rPr>
                <w:rFonts w:ascii="宋体" w:hAnsi="宋体" w:cs="宋体" w:eastAsia="宋体" w:hint="default"/>
                <w:sz w:val="21"/>
                <w:szCs w:val="21"/>
              </w:rPr>
              <w:t>年（含</w:t>
            </w:r>
            <w:r>
              <w:rPr>
                <w:rFonts w:ascii="Times New Roman" w:hAnsi="Times New Roman" w:cs="Times New Roman" w:eastAsia="Times New Roman" w:hint="default"/>
                <w:sz w:val="21"/>
                <w:szCs w:val="21"/>
              </w:rPr>
              <w:t>1</w:t>
            </w:r>
            <w:r>
              <w:rPr>
                <w:rFonts w:ascii="宋体" w:hAnsi="宋体" w:cs="宋体" w:eastAsia="宋体" w:hint="default"/>
                <w:sz w:val="21"/>
                <w:szCs w:val="21"/>
              </w:rPr>
              <w:t>年）</w:t>
            </w:r>
          </w:p>
        </w:tc>
        <w:tc>
          <w:tcPr>
            <w:tcW w:w="3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left="561" w:right="0"/>
              <w:jc w:val="center"/>
              <w:rPr>
                <w:rFonts w:ascii="Times New Roman" w:hAnsi="Times New Roman" w:cs="Times New Roman" w:eastAsia="Times New Roman" w:hint="default"/>
                <w:sz w:val="21"/>
                <w:szCs w:val="21"/>
              </w:rPr>
            </w:pPr>
            <w:r>
              <w:rPr>
                <w:rFonts w:ascii="Times New Roman"/>
                <w:sz w:val="21"/>
              </w:rPr>
              <w:t>3.00</w:t>
            </w:r>
          </w:p>
        </w:tc>
      </w:tr>
      <w:tr>
        <w:trPr>
          <w:trHeight w:val="343" w:hRule="exact"/>
        </w:trPr>
        <w:tc>
          <w:tcPr>
            <w:tcW w:w="3833" w:type="dxa"/>
            <w:tcBorders>
              <w:top w:val="single" w:sz="4" w:space="0" w:color="000000"/>
              <w:left w:val="nil" w:sz="6" w:space="0" w:color="auto"/>
              <w:bottom w:val="single" w:sz="4" w:space="0" w:color="000000"/>
              <w:right w:val="single" w:sz="4" w:space="0" w:color="000000"/>
            </w:tcBorders>
          </w:tcPr>
          <w:p>
            <w:pPr>
              <w:pStyle w:val="TableParagraph"/>
              <w:spacing w:line="290" w:lineRule="exact"/>
              <w:ind w:left="4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年（含</w:t>
            </w:r>
            <w:r>
              <w:rPr>
                <w:rFonts w:ascii="Times New Roman" w:hAnsi="Times New Roman" w:cs="Times New Roman" w:eastAsia="Times New Roman" w:hint="default"/>
                <w:sz w:val="21"/>
                <w:szCs w:val="21"/>
              </w:rPr>
              <w:t>2</w:t>
            </w:r>
            <w:r>
              <w:rPr>
                <w:rFonts w:ascii="宋体" w:hAnsi="宋体" w:cs="宋体" w:eastAsia="宋体" w:hint="default"/>
                <w:sz w:val="21"/>
                <w:szCs w:val="21"/>
              </w:rPr>
              <w:t>年）</w:t>
            </w:r>
          </w:p>
        </w:tc>
        <w:tc>
          <w:tcPr>
            <w:tcW w:w="3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6"/>
              <w:ind w:left="561" w:right="0"/>
              <w:jc w:val="center"/>
              <w:rPr>
                <w:rFonts w:ascii="Times New Roman" w:hAnsi="Times New Roman" w:cs="Times New Roman" w:eastAsia="Times New Roman" w:hint="default"/>
                <w:sz w:val="21"/>
                <w:szCs w:val="21"/>
              </w:rPr>
            </w:pPr>
            <w:r>
              <w:rPr>
                <w:rFonts w:ascii="Times New Roman"/>
                <w:sz w:val="21"/>
              </w:rPr>
              <w:t>5.00</w:t>
            </w:r>
          </w:p>
        </w:tc>
      </w:tr>
      <w:tr>
        <w:trPr>
          <w:trHeight w:val="341" w:hRule="exact"/>
        </w:trPr>
        <w:tc>
          <w:tcPr>
            <w:tcW w:w="3833"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4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宋体" w:hAnsi="宋体" w:cs="宋体" w:eastAsia="宋体" w:hint="default"/>
                <w:sz w:val="21"/>
                <w:szCs w:val="21"/>
              </w:rPr>
              <w:t>年（含</w:t>
            </w:r>
            <w:r>
              <w:rPr>
                <w:rFonts w:ascii="Times New Roman" w:hAnsi="Times New Roman" w:cs="Times New Roman" w:eastAsia="Times New Roman" w:hint="default"/>
                <w:sz w:val="21"/>
                <w:szCs w:val="21"/>
              </w:rPr>
              <w:t>3</w:t>
            </w:r>
            <w:r>
              <w:rPr>
                <w:rFonts w:ascii="宋体" w:hAnsi="宋体" w:cs="宋体" w:eastAsia="宋体" w:hint="default"/>
                <w:sz w:val="21"/>
                <w:szCs w:val="21"/>
              </w:rPr>
              <w:t>年）</w:t>
            </w:r>
          </w:p>
        </w:tc>
        <w:tc>
          <w:tcPr>
            <w:tcW w:w="3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left="561" w:right="0"/>
              <w:jc w:val="center"/>
              <w:rPr>
                <w:rFonts w:ascii="Times New Roman" w:hAnsi="Times New Roman" w:cs="Times New Roman" w:eastAsia="Times New Roman" w:hint="default"/>
                <w:sz w:val="21"/>
                <w:szCs w:val="21"/>
              </w:rPr>
            </w:pPr>
            <w:r>
              <w:rPr>
                <w:rFonts w:ascii="Times New Roman"/>
                <w:sz w:val="21"/>
              </w:rPr>
              <w:t>10.00</w:t>
            </w:r>
          </w:p>
        </w:tc>
      </w:tr>
      <w:tr>
        <w:trPr>
          <w:trHeight w:val="343" w:hRule="exact"/>
        </w:trPr>
        <w:tc>
          <w:tcPr>
            <w:tcW w:w="3833" w:type="dxa"/>
            <w:tcBorders>
              <w:top w:val="single" w:sz="4" w:space="0" w:color="000000"/>
              <w:left w:val="nil" w:sz="6" w:space="0" w:color="auto"/>
              <w:bottom w:val="single" w:sz="4" w:space="0" w:color="000000"/>
              <w:right w:val="single" w:sz="4" w:space="0" w:color="000000"/>
            </w:tcBorders>
          </w:tcPr>
          <w:p>
            <w:pPr>
              <w:pStyle w:val="TableParagraph"/>
              <w:spacing w:line="290" w:lineRule="exact"/>
              <w:ind w:left="4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3-4</w:t>
            </w:r>
            <w:r>
              <w:rPr>
                <w:rFonts w:ascii="宋体" w:hAnsi="宋体" w:cs="宋体" w:eastAsia="宋体" w:hint="default"/>
                <w:sz w:val="21"/>
                <w:szCs w:val="21"/>
              </w:rPr>
              <w:t>年（含</w:t>
            </w:r>
            <w:r>
              <w:rPr>
                <w:rFonts w:ascii="Times New Roman" w:hAnsi="Times New Roman" w:cs="Times New Roman" w:eastAsia="Times New Roman" w:hint="default"/>
                <w:sz w:val="21"/>
                <w:szCs w:val="21"/>
              </w:rPr>
              <w:t>4</w:t>
            </w:r>
            <w:r>
              <w:rPr>
                <w:rFonts w:ascii="宋体" w:hAnsi="宋体" w:cs="宋体" w:eastAsia="宋体" w:hint="default"/>
                <w:sz w:val="21"/>
                <w:szCs w:val="21"/>
              </w:rPr>
              <w:t>年）</w:t>
            </w:r>
          </w:p>
        </w:tc>
        <w:tc>
          <w:tcPr>
            <w:tcW w:w="3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6"/>
              <w:ind w:left="561" w:right="0"/>
              <w:jc w:val="center"/>
              <w:rPr>
                <w:rFonts w:ascii="Times New Roman" w:hAnsi="Times New Roman" w:cs="Times New Roman" w:eastAsia="Times New Roman" w:hint="default"/>
                <w:sz w:val="21"/>
                <w:szCs w:val="21"/>
              </w:rPr>
            </w:pPr>
            <w:r>
              <w:rPr>
                <w:rFonts w:ascii="Times New Roman"/>
                <w:sz w:val="21"/>
              </w:rPr>
              <w:t>20.00</w:t>
            </w:r>
          </w:p>
        </w:tc>
      </w:tr>
      <w:tr>
        <w:trPr>
          <w:trHeight w:val="341" w:hRule="exact"/>
        </w:trPr>
        <w:tc>
          <w:tcPr>
            <w:tcW w:w="3833"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4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4-5</w:t>
            </w:r>
            <w:r>
              <w:rPr>
                <w:rFonts w:ascii="宋体" w:hAnsi="宋体" w:cs="宋体" w:eastAsia="宋体" w:hint="default"/>
                <w:sz w:val="21"/>
                <w:szCs w:val="21"/>
              </w:rPr>
              <w:t>年（含</w:t>
            </w:r>
            <w:r>
              <w:rPr>
                <w:rFonts w:ascii="Times New Roman" w:hAnsi="Times New Roman" w:cs="Times New Roman" w:eastAsia="Times New Roman" w:hint="default"/>
                <w:sz w:val="21"/>
                <w:szCs w:val="21"/>
              </w:rPr>
              <w:t>5</w:t>
            </w:r>
            <w:r>
              <w:rPr>
                <w:rFonts w:ascii="宋体" w:hAnsi="宋体" w:cs="宋体" w:eastAsia="宋体" w:hint="default"/>
                <w:sz w:val="21"/>
                <w:szCs w:val="21"/>
              </w:rPr>
              <w:t>年）</w:t>
            </w:r>
          </w:p>
        </w:tc>
        <w:tc>
          <w:tcPr>
            <w:tcW w:w="3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left="561" w:right="0"/>
              <w:jc w:val="center"/>
              <w:rPr>
                <w:rFonts w:ascii="Times New Roman" w:hAnsi="Times New Roman" w:cs="Times New Roman" w:eastAsia="Times New Roman" w:hint="default"/>
                <w:sz w:val="21"/>
                <w:szCs w:val="21"/>
              </w:rPr>
            </w:pPr>
            <w:r>
              <w:rPr>
                <w:rFonts w:ascii="Times New Roman"/>
                <w:sz w:val="21"/>
              </w:rPr>
              <w:t>50.00</w:t>
            </w:r>
          </w:p>
        </w:tc>
      </w:tr>
      <w:tr>
        <w:trPr>
          <w:trHeight w:val="343" w:hRule="exact"/>
        </w:trPr>
        <w:tc>
          <w:tcPr>
            <w:tcW w:w="3833" w:type="dxa"/>
            <w:tcBorders>
              <w:top w:val="single" w:sz="4" w:space="0" w:color="000000"/>
              <w:left w:val="nil" w:sz="6" w:space="0" w:color="auto"/>
              <w:bottom w:val="single" w:sz="4" w:space="0" w:color="000000"/>
              <w:right w:val="single" w:sz="4" w:space="0" w:color="000000"/>
            </w:tcBorders>
          </w:tcPr>
          <w:p>
            <w:pPr>
              <w:pStyle w:val="TableParagraph"/>
              <w:spacing w:line="290" w:lineRule="exact"/>
              <w:ind w:left="4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年以上</w:t>
            </w:r>
          </w:p>
        </w:tc>
        <w:tc>
          <w:tcPr>
            <w:tcW w:w="3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6"/>
              <w:ind w:left="561" w:right="0"/>
              <w:jc w:val="center"/>
              <w:rPr>
                <w:rFonts w:ascii="Times New Roman" w:hAnsi="Times New Roman" w:cs="Times New Roman" w:eastAsia="Times New Roman" w:hint="default"/>
                <w:sz w:val="21"/>
                <w:szCs w:val="21"/>
              </w:rPr>
            </w:pPr>
            <w:r>
              <w:rPr>
                <w:rFonts w:ascii="Times New Roman"/>
                <w:sz w:val="21"/>
              </w:rPr>
              <w:t>100.00</w:t>
            </w:r>
          </w:p>
        </w:tc>
      </w:tr>
    </w:tbl>
    <w:p>
      <w:pPr>
        <w:pStyle w:val="Heading4"/>
        <w:spacing w:line="273" w:lineRule="auto" w:before="0"/>
        <w:ind w:left="573" w:right="0"/>
        <w:jc w:val="left"/>
      </w:pPr>
      <w:r>
        <w:rPr/>
        <w:t>其他应收款组合</w:t>
      </w:r>
      <w:r>
        <w:rPr>
          <w:spacing w:val="-24"/>
        </w:rPr>
        <w:t> </w:t>
      </w:r>
      <w:r>
        <w:rPr/>
        <w:t>，根据信用风险作为确定组合的依据：</w:t>
      </w:r>
      <w:r>
        <w:rPr>
          <w:w w:val="100"/>
        </w:rPr>
        <w:t> </w:t>
      </w:r>
      <w:r>
        <w:rPr>
          <w:spacing w:val="-2"/>
        </w:rPr>
        <w:t>对于划分为组合的其他应收款，本公司参考历史信用损失经验，结合当前状况以及对未来经济状况的</w:t>
      </w:r>
    </w:p>
    <w:p>
      <w:pPr>
        <w:pStyle w:val="Heading4"/>
        <w:spacing w:line="240" w:lineRule="auto"/>
        <w:ind w:right="0"/>
        <w:jc w:val="left"/>
      </w:pPr>
      <w:r>
        <w:rPr/>
        <w:t>预测，通过违约风险敞口和未来</w:t>
      </w:r>
      <w:r>
        <w:rPr>
          <w:rFonts w:ascii="Times New Roman" w:hAnsi="Times New Roman" w:cs="Times New Roman" w:eastAsia="Times New Roman" w:hint="default"/>
        </w:rPr>
        <w:t>12</w:t>
      </w:r>
      <w:r>
        <w:rPr/>
        <w:t>个月内或整个存续期预期信用损失率，计算预期信用损失。</w:t>
      </w:r>
    </w:p>
    <w:p>
      <w:pPr>
        <w:spacing w:line="240" w:lineRule="auto" w:before="8"/>
        <w:rPr>
          <w:rFonts w:ascii="宋体" w:hAnsi="宋体" w:cs="宋体" w:eastAsia="宋体" w:hint="default"/>
          <w:sz w:val="2"/>
          <w:szCs w:val="2"/>
        </w:rPr>
      </w:pPr>
    </w:p>
    <w:tbl>
      <w:tblPr>
        <w:tblW w:w="0" w:type="auto"/>
        <w:jc w:val="left"/>
        <w:tblInd w:w="1300" w:type="dxa"/>
        <w:tblLayout w:type="fixed"/>
        <w:tblCellMar>
          <w:top w:w="0" w:type="dxa"/>
          <w:left w:w="0" w:type="dxa"/>
          <w:bottom w:w="0" w:type="dxa"/>
          <w:right w:w="0" w:type="dxa"/>
        </w:tblCellMar>
        <w:tblLook w:val="01E0"/>
      </w:tblPr>
      <w:tblGrid>
        <w:gridCol w:w="2391"/>
        <w:gridCol w:w="4875"/>
      </w:tblGrid>
      <w:tr>
        <w:trPr>
          <w:trHeight w:val="346" w:hRule="exact"/>
        </w:trPr>
        <w:tc>
          <w:tcPr>
            <w:tcW w:w="2391" w:type="dxa"/>
            <w:tcBorders>
              <w:top w:val="single" w:sz="6" w:space="0" w:color="000000"/>
              <w:left w:val="nil" w:sz="6" w:space="0" w:color="auto"/>
              <w:bottom w:val="single" w:sz="4" w:space="0" w:color="000000"/>
              <w:right w:val="single" w:sz="4" w:space="0" w:color="000000"/>
            </w:tcBorders>
          </w:tcPr>
          <w:p>
            <w:pPr>
              <w:pStyle w:val="TableParagraph"/>
              <w:spacing w:line="240" w:lineRule="auto"/>
              <w:ind w:left="830" w:right="0"/>
              <w:jc w:val="left"/>
              <w:rPr>
                <w:rFonts w:ascii="宋体" w:hAnsi="宋体" w:cs="宋体" w:eastAsia="宋体" w:hint="default"/>
                <w:sz w:val="21"/>
                <w:szCs w:val="21"/>
              </w:rPr>
            </w:pPr>
            <w:r>
              <w:rPr>
                <w:rFonts w:ascii="宋体" w:hAnsi="宋体" w:cs="宋体" w:eastAsia="宋体" w:hint="default"/>
                <w:sz w:val="21"/>
                <w:szCs w:val="21"/>
              </w:rPr>
              <w:t>组合名称</w:t>
            </w:r>
          </w:p>
        </w:tc>
        <w:tc>
          <w:tcPr>
            <w:tcW w:w="4875" w:type="dxa"/>
            <w:tcBorders>
              <w:top w:val="single" w:sz="6" w:space="0" w:color="000000"/>
              <w:left w:val="single" w:sz="4" w:space="0" w:color="000000"/>
              <w:bottom w:val="single" w:sz="4" w:space="0" w:color="000000"/>
              <w:right w:val="nil" w:sz="6" w:space="0" w:color="auto"/>
            </w:tcBorders>
          </w:tcPr>
          <w:p>
            <w:pPr>
              <w:pStyle w:val="TableParagraph"/>
              <w:spacing w:line="240" w:lineRule="auto"/>
              <w:ind w:left="1906"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341" w:hRule="exact"/>
        </w:trPr>
        <w:tc>
          <w:tcPr>
            <w:tcW w:w="2391" w:type="dxa"/>
            <w:tcBorders>
              <w:top w:val="single" w:sz="4" w:space="0" w:color="000000"/>
              <w:left w:val="nil" w:sz="6" w:space="0" w:color="auto"/>
              <w:bottom w:val="single" w:sz="4" w:space="0" w:color="000000"/>
              <w:right w:val="single" w:sz="4" w:space="0" w:color="000000"/>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z w:val="21"/>
                <w:szCs w:val="21"/>
              </w:rPr>
              <w:t>合并范围内关联方组合</w:t>
            </w:r>
          </w:p>
        </w:tc>
        <w:tc>
          <w:tcPr>
            <w:tcW w:w="4875" w:type="dxa"/>
            <w:tcBorders>
              <w:top w:val="single" w:sz="4" w:space="0" w:color="000000"/>
              <w:left w:val="single" w:sz="4" w:space="0" w:color="000000"/>
              <w:bottom w:val="single" w:sz="4" w:space="0" w:color="000000"/>
              <w:right w:val="nil" w:sz="6" w:space="0" w:color="auto"/>
            </w:tcBorders>
          </w:tcPr>
          <w:p>
            <w:pPr>
              <w:pStyle w:val="TableParagraph"/>
              <w:spacing w:line="272" w:lineRule="exact"/>
              <w:ind w:left="424" w:right="0"/>
              <w:jc w:val="left"/>
              <w:rPr>
                <w:rFonts w:ascii="宋体" w:hAnsi="宋体" w:cs="宋体" w:eastAsia="宋体" w:hint="default"/>
                <w:sz w:val="21"/>
                <w:szCs w:val="21"/>
              </w:rPr>
            </w:pPr>
            <w:r>
              <w:rPr>
                <w:rFonts w:ascii="宋体" w:hAnsi="宋体" w:cs="宋体" w:eastAsia="宋体" w:hint="default"/>
                <w:sz w:val="21"/>
                <w:szCs w:val="21"/>
              </w:rPr>
              <w:t>合并范围内关联方的其他应收款</w:t>
            </w:r>
          </w:p>
        </w:tc>
      </w:tr>
      <w:tr>
        <w:trPr>
          <w:trHeight w:val="343" w:hRule="exact"/>
        </w:trPr>
        <w:tc>
          <w:tcPr>
            <w:tcW w:w="2391" w:type="dxa"/>
            <w:tcBorders>
              <w:top w:val="single" w:sz="4" w:space="0" w:color="000000"/>
              <w:left w:val="nil" w:sz="6" w:space="0" w:color="auto"/>
              <w:bottom w:val="single" w:sz="4" w:space="0" w:color="000000"/>
              <w:right w:val="single" w:sz="4" w:space="0" w:color="000000"/>
            </w:tcBorders>
          </w:tcPr>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银行保函组合</w:t>
            </w:r>
          </w:p>
        </w:tc>
        <w:tc>
          <w:tcPr>
            <w:tcW w:w="4875" w:type="dxa"/>
            <w:tcBorders>
              <w:top w:val="single" w:sz="4" w:space="0" w:color="000000"/>
              <w:left w:val="single" w:sz="4" w:space="0" w:color="000000"/>
              <w:bottom w:val="single" w:sz="4" w:space="0" w:color="000000"/>
              <w:right w:val="nil" w:sz="6" w:space="0" w:color="auto"/>
            </w:tcBorders>
          </w:tcPr>
          <w:p>
            <w:pPr>
              <w:pStyle w:val="TableParagraph"/>
              <w:spacing w:line="274" w:lineRule="exact"/>
              <w:ind w:left="424" w:right="0"/>
              <w:jc w:val="left"/>
              <w:rPr>
                <w:rFonts w:ascii="宋体" w:hAnsi="宋体" w:cs="宋体" w:eastAsia="宋体" w:hint="default"/>
                <w:sz w:val="21"/>
                <w:szCs w:val="21"/>
              </w:rPr>
            </w:pPr>
            <w:r>
              <w:rPr>
                <w:rFonts w:ascii="宋体" w:hAnsi="宋体" w:cs="宋体" w:eastAsia="宋体" w:hint="default"/>
                <w:sz w:val="21"/>
                <w:szCs w:val="21"/>
              </w:rPr>
              <w:t>银行保函保证金</w:t>
            </w:r>
          </w:p>
        </w:tc>
      </w:tr>
      <w:tr>
        <w:trPr>
          <w:trHeight w:val="341" w:hRule="exact"/>
        </w:trPr>
        <w:tc>
          <w:tcPr>
            <w:tcW w:w="2391" w:type="dxa"/>
            <w:tcBorders>
              <w:top w:val="single" w:sz="4" w:space="0" w:color="000000"/>
              <w:left w:val="nil" w:sz="6" w:space="0" w:color="auto"/>
              <w:bottom w:val="single" w:sz="4" w:space="0" w:color="000000"/>
              <w:right w:val="single" w:sz="4" w:space="0" w:color="000000"/>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z w:val="21"/>
                <w:szCs w:val="21"/>
              </w:rPr>
              <w:t>其他组合</w:t>
            </w:r>
          </w:p>
        </w:tc>
        <w:tc>
          <w:tcPr>
            <w:tcW w:w="4875" w:type="dxa"/>
            <w:tcBorders>
              <w:top w:val="single" w:sz="4" w:space="0" w:color="000000"/>
              <w:left w:val="single" w:sz="4" w:space="0" w:color="000000"/>
              <w:bottom w:val="single" w:sz="4" w:space="0" w:color="000000"/>
              <w:right w:val="nil" w:sz="6" w:space="0" w:color="auto"/>
            </w:tcBorders>
          </w:tcPr>
          <w:p>
            <w:pPr>
              <w:pStyle w:val="TableParagraph"/>
              <w:spacing w:line="272" w:lineRule="exact"/>
              <w:ind w:left="424" w:right="0"/>
              <w:jc w:val="left"/>
              <w:rPr>
                <w:rFonts w:ascii="宋体" w:hAnsi="宋体" w:cs="宋体" w:eastAsia="宋体" w:hint="default"/>
                <w:sz w:val="21"/>
                <w:szCs w:val="21"/>
              </w:rPr>
            </w:pPr>
            <w:r>
              <w:rPr>
                <w:rFonts w:ascii="宋体" w:hAnsi="宋体" w:cs="宋体" w:eastAsia="宋体" w:hint="default"/>
                <w:sz w:val="21"/>
                <w:szCs w:val="21"/>
              </w:rPr>
              <w:t>除关联方组合和银行保函组合之外的其他应收款</w:t>
            </w:r>
          </w:p>
        </w:tc>
      </w:tr>
    </w:tbl>
    <w:p>
      <w:pPr>
        <w:pStyle w:val="Heading4"/>
        <w:spacing w:line="273" w:lineRule="auto" w:before="0"/>
        <w:ind w:right="0" w:firstLine="420"/>
        <w:jc w:val="left"/>
      </w:pPr>
      <w:r>
        <w:rPr>
          <w:spacing w:val="-2"/>
        </w:rPr>
        <w:t>对于划分为合并范围内关联方组合和银行保函组合的其他应收款，本公司参考历史信用损失经验，判</w:t>
      </w:r>
      <w:r>
        <w:rPr>
          <w:w w:val="100"/>
        </w:rPr>
        <w:t> </w:t>
      </w:r>
      <w:r>
        <w:rPr/>
        <w:t>断收回风险极低，不计提预期信用损失。</w:t>
      </w:r>
    </w:p>
    <w:p>
      <w:pPr>
        <w:pStyle w:val="Heading4"/>
        <w:spacing w:line="273" w:lineRule="auto"/>
        <w:ind w:right="0" w:firstLine="420"/>
        <w:jc w:val="left"/>
      </w:pPr>
      <w:r>
        <w:rPr>
          <w:spacing w:val="-2"/>
        </w:rPr>
        <w:t>对于划分为其他组合的其他应收款，本公司参考历史信用损失经验，结合当前状况以及对未来经济状</w:t>
      </w:r>
      <w:r>
        <w:rPr>
          <w:w w:val="100"/>
        </w:rPr>
        <w:t> </w:t>
      </w:r>
      <w:r>
        <w:rPr/>
        <w:t>况的预测，通过违约风险敞口和未来</w:t>
      </w:r>
      <w:r>
        <w:rPr>
          <w:rFonts w:ascii="Times New Roman" w:hAnsi="Times New Roman" w:cs="Times New Roman" w:eastAsia="Times New Roman" w:hint="default"/>
        </w:rPr>
        <w:t>12</w:t>
      </w:r>
      <w:r>
        <w:rPr/>
        <w:t>个月内或整个存续期预期信用损失率，计算预期信用损失。</w:t>
      </w:r>
    </w:p>
    <w:p>
      <w:pPr>
        <w:pStyle w:val="Heading4"/>
        <w:spacing w:line="273" w:lineRule="auto" w:before="0"/>
        <w:ind w:right="0" w:firstLine="420"/>
        <w:jc w:val="left"/>
      </w:pPr>
      <w:r>
        <w:rPr>
          <w:spacing w:val="-2"/>
        </w:rPr>
        <w:t>对于公司通过销售商品或提供劳务形成的长期应收款，本公司选择始终按照相当于整个存续期内预期</w:t>
      </w:r>
      <w:r>
        <w:rPr>
          <w:w w:val="100"/>
        </w:rPr>
        <w:t> </w:t>
      </w:r>
      <w:r>
        <w:rPr/>
        <w:t>信用损失的金额计量其损失准备。</w:t>
      </w:r>
    </w:p>
    <w:p>
      <w:pPr>
        <w:spacing w:line="256" w:lineRule="auto" w:before="7"/>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2019</w:t>
      </w:r>
      <w:r>
        <w:rPr>
          <w:rFonts w:ascii="宋体" w:hAnsi="宋体" w:cs="宋体" w:eastAsia="宋体" w:hint="default"/>
          <w:b/>
          <w:bCs/>
          <w:sz w:val="21"/>
          <w:szCs w:val="21"/>
        </w:rPr>
        <w:t>年</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月</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日前适用的会计政策</w:t>
      </w:r>
      <w:r>
        <w:rPr>
          <w:rFonts w:ascii="宋体" w:hAnsi="宋体" w:cs="宋体" w:eastAsia="宋体" w:hint="default"/>
          <w:b/>
          <w:bCs/>
          <w:w w:val="100"/>
          <w:sz w:val="21"/>
          <w:szCs w:val="21"/>
        </w:rPr>
        <w:t> </w:t>
      </w:r>
      <w:r>
        <w:rPr>
          <w:rFonts w:ascii="宋体" w:hAnsi="宋体" w:cs="宋体" w:eastAsia="宋体" w:hint="default"/>
          <w:spacing w:val="-2"/>
          <w:sz w:val="21"/>
          <w:szCs w:val="21"/>
        </w:rPr>
        <w:t>除以公允价值计量且其变动计入当期损益的金融资产外，本公司于资产负债表日对金融资产的账面价</w:t>
      </w:r>
    </w:p>
    <w:p>
      <w:pPr>
        <w:pStyle w:val="Heading4"/>
        <w:spacing w:line="240" w:lineRule="auto" w:before="22"/>
        <w:ind w:right="2602"/>
        <w:jc w:val="left"/>
      </w:pPr>
      <w:r>
        <w:rPr/>
        <w:t>值进行检查，如果有客观证据表明某项金融资产发生减值的，计提减值准备。</w:t>
      </w:r>
    </w:p>
    <w:p>
      <w:pPr>
        <w:pStyle w:val="Heading4"/>
        <w:spacing w:line="256" w:lineRule="auto" w:before="37"/>
        <w:ind w:left="573" w:right="0"/>
        <w:jc w:val="left"/>
      </w:pPr>
      <w:r>
        <w:rPr/>
        <w:t>（</w:t>
      </w:r>
      <w:r>
        <w:rPr>
          <w:rFonts w:ascii="Times New Roman" w:hAnsi="Times New Roman" w:cs="Times New Roman" w:eastAsia="Times New Roman" w:hint="default"/>
        </w:rPr>
        <w:t>1</w:t>
      </w:r>
      <w:r>
        <w:rPr/>
        <w:t>）可供出售金融资产的减值准备：</w:t>
      </w:r>
      <w:r>
        <w:rPr>
          <w:w w:val="100"/>
        </w:rPr>
        <w:t> </w:t>
      </w:r>
      <w:r>
        <w:rPr>
          <w:spacing w:val="-2"/>
        </w:rPr>
        <w:t>期末如果可供出售权益工具投资的公允价值发生严重下降，或在综合考虑各种相关因素后，预期这种</w:t>
      </w:r>
    </w:p>
    <w:p>
      <w:pPr>
        <w:pStyle w:val="Heading4"/>
        <w:spacing w:line="273" w:lineRule="auto" w:before="22"/>
        <w:ind w:right="0"/>
        <w:jc w:val="left"/>
      </w:pPr>
      <w:r>
        <w:rPr>
          <w:spacing w:val="-2"/>
        </w:rPr>
        <w:t>下降趋势属于非暂时性的，就认定其已发生减值，将原直接计入所有者权益的公允价值下降形成的累计损</w:t>
      </w:r>
      <w:r>
        <w:rPr>
          <w:spacing w:val="-43"/>
        </w:rPr>
        <w:t> </w:t>
      </w:r>
      <w:r>
        <w:rPr>
          <w:spacing w:val="-43"/>
        </w:rPr>
      </w:r>
      <w:r>
        <w:rPr/>
        <w:t>失一并转出，确认减值损失。</w:t>
      </w:r>
    </w:p>
    <w:p>
      <w:pPr>
        <w:pStyle w:val="Heading4"/>
        <w:spacing w:line="273" w:lineRule="auto"/>
        <w:ind w:right="0" w:firstLine="420"/>
        <w:jc w:val="left"/>
      </w:pPr>
      <w:r>
        <w:rPr>
          <w:spacing w:val="-2"/>
        </w:rPr>
        <w:t>对于已确认减值损失的可供出售债务工具，在随后的会计期间公允价值已上升且客观上与确认原减值</w:t>
      </w:r>
      <w:r>
        <w:rPr>
          <w:w w:val="100"/>
        </w:rPr>
        <w:t> </w:t>
      </w:r>
      <w:r>
        <w:rPr/>
        <w:t>损失确认后发生的事项有关的，原确认的减值损失予以转回，计入当期损益。</w:t>
      </w:r>
    </w:p>
    <w:p>
      <w:pPr>
        <w:pStyle w:val="Heading4"/>
        <w:spacing w:line="240" w:lineRule="auto"/>
        <w:ind w:left="573" w:right="2602"/>
        <w:jc w:val="left"/>
      </w:pPr>
      <w:r>
        <w:rPr/>
        <w:t>可供出售权益工具投资发生的减值损失，不通过损益转回。</w:t>
      </w:r>
    </w:p>
    <w:p>
      <w:pPr>
        <w:pStyle w:val="Heading4"/>
        <w:spacing w:line="240" w:lineRule="auto" w:before="37"/>
        <w:ind w:left="573" w:right="2602"/>
        <w:jc w:val="left"/>
      </w:pPr>
      <w:r>
        <w:rPr/>
        <w:t>（</w:t>
      </w:r>
      <w:r>
        <w:rPr>
          <w:rFonts w:ascii="Times New Roman" w:hAnsi="Times New Roman" w:cs="Times New Roman" w:eastAsia="Times New Roman" w:hint="default"/>
        </w:rPr>
        <w:t>2</w:t>
      </w:r>
      <w:r>
        <w:rPr/>
        <w:t>）应收款项坏账准备：</w:t>
      </w:r>
    </w:p>
    <w:p>
      <w:pPr>
        <w:pStyle w:val="Heading4"/>
        <w:spacing w:line="273" w:lineRule="auto" w:before="21"/>
        <w:ind w:left="573" w:right="4814"/>
        <w:jc w:val="left"/>
      </w:pPr>
      <w:r>
        <w:rPr>
          <w:spacing w:val="-2"/>
        </w:rPr>
        <w:t>①单项金额重大并单独计提坏账准备的应收款项：</w:t>
      </w:r>
      <w:r>
        <w:rPr>
          <w:spacing w:val="-62"/>
        </w:rPr>
        <w:t> </w:t>
      </w:r>
      <w:r>
        <w:rPr>
          <w:spacing w:val="-62"/>
        </w:rPr>
      </w:r>
      <w:r>
        <w:rPr/>
        <w:t>单项金额重大的判断依据或金额标准：</w:t>
      </w:r>
      <w:r>
        <w:rPr>
          <w:w w:val="100"/>
        </w:rPr>
        <w:t> </w:t>
      </w:r>
      <w:r>
        <w:rPr/>
        <w:t>应收款项余额前五名；</w:t>
      </w:r>
      <w:r>
        <w:rPr>
          <w:w w:val="100"/>
        </w:rPr>
        <w:t> </w:t>
      </w:r>
      <w:r>
        <w:rPr/>
        <w:t>单项金额重大并单独计提坏账准备的计提方法：</w:t>
      </w:r>
    </w:p>
    <w:p>
      <w:pPr>
        <w:pStyle w:val="Heading4"/>
        <w:spacing w:line="240" w:lineRule="auto"/>
        <w:ind w:left="573" w:right="0"/>
        <w:jc w:val="left"/>
      </w:pPr>
      <w:r>
        <w:rPr/>
        <w:t>单独进行减值测试，根据其未来现金流量现值低于其账面价值的差额计提坏账准备。</w:t>
      </w:r>
    </w:p>
    <w:p>
      <w:pPr>
        <w:pStyle w:val="Heading4"/>
        <w:spacing w:line="295" w:lineRule="auto" w:before="37"/>
        <w:ind w:left="789" w:right="4814" w:hanging="216"/>
        <w:jc w:val="left"/>
      </w:pPr>
      <w:r>
        <w:rPr/>
        <w:pict>
          <v:group style="position:absolute;margin-left:87.143997pt;margin-top:18.433685pt;width:388.15pt;height:.1pt;mso-position-horizontal-relative:page;mso-position-vertical-relative:paragraph;z-index:-1333360" coordorigin="1743,369" coordsize="7763,2">
            <v:shape style="position:absolute;left:1743;top:369;width:7763;height:2" coordorigin="1743,369" coordsize="7763,0" path="m1743,369l9506,369e" filled="false" stroked="true" strokeweight=".71997pt" strokecolor="#000000">
              <v:path arrowok="t"/>
            </v:shape>
            <w10:wrap type="none"/>
          </v:group>
        </w:pict>
      </w:r>
      <w:r>
        <w:rPr>
          <w:spacing w:val="-2"/>
        </w:rPr>
        <w:t>②按信用风险特征组合计提坏账准备应收款项：</w:t>
      </w:r>
      <w:r>
        <w:rPr>
          <w:spacing w:val="-65"/>
        </w:rPr>
        <w:t> </w:t>
      </w:r>
      <w:r>
        <w:rPr>
          <w:spacing w:val="-65"/>
        </w:rPr>
      </w:r>
      <w:r>
        <w:rPr/>
        <w:t>确定组合的依据</w:t>
      </w:r>
    </w:p>
    <w:tbl>
      <w:tblPr>
        <w:tblW w:w="0" w:type="auto"/>
        <w:jc w:val="left"/>
        <w:tblInd w:w="748" w:type="dxa"/>
        <w:tblLayout w:type="fixed"/>
        <w:tblCellMar>
          <w:top w:w="0" w:type="dxa"/>
          <w:left w:w="0" w:type="dxa"/>
          <w:bottom w:w="0" w:type="dxa"/>
          <w:right w:w="0" w:type="dxa"/>
        </w:tblCellMar>
        <w:tblLook w:val="01E0"/>
      </w:tblPr>
      <w:tblGrid>
        <w:gridCol w:w="2516"/>
        <w:gridCol w:w="5262"/>
      </w:tblGrid>
      <w:tr>
        <w:trPr>
          <w:trHeight w:val="348" w:hRule="exact"/>
        </w:trPr>
        <w:tc>
          <w:tcPr>
            <w:tcW w:w="2516" w:type="dxa"/>
            <w:tcBorders>
              <w:top w:val="single" w:sz="6" w:space="0" w:color="000000"/>
              <w:left w:val="nil" w:sz="6" w:space="0" w:color="auto"/>
              <w:bottom w:val="single" w:sz="6" w:space="0" w:color="000000"/>
              <w:right w:val="single" w:sz="6" w:space="0" w:color="000000"/>
            </w:tcBorders>
          </w:tcPr>
          <w:p>
            <w:pPr>
              <w:pStyle w:val="TableParagraph"/>
              <w:spacing w:line="288" w:lineRule="exact"/>
              <w:ind w:left="4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Times New Roman" w:hAnsi="Times New Roman" w:cs="Times New Roman" w:eastAsia="Times New Roman" w:hint="default"/>
                <w:sz w:val="21"/>
                <w:szCs w:val="21"/>
              </w:rPr>
              <w:t>1</w:t>
            </w:r>
          </w:p>
        </w:tc>
        <w:tc>
          <w:tcPr>
            <w:tcW w:w="5262" w:type="dxa"/>
            <w:tcBorders>
              <w:top w:val="single" w:sz="6" w:space="0" w:color="000000"/>
              <w:left w:val="single" w:sz="6" w:space="0" w:color="000000"/>
              <w:bottom w:val="single" w:sz="6" w:space="0" w:color="000000"/>
              <w:right w:val="nil" w:sz="6" w:space="0" w:color="auto"/>
            </w:tcBorders>
          </w:tcPr>
          <w:p>
            <w:pPr>
              <w:pStyle w:val="TableParagraph"/>
              <w:spacing w:line="272" w:lineRule="exact"/>
              <w:ind w:left="45" w:right="0"/>
              <w:jc w:val="left"/>
              <w:rPr>
                <w:rFonts w:ascii="宋体" w:hAnsi="宋体" w:cs="宋体" w:eastAsia="宋体" w:hint="default"/>
                <w:sz w:val="21"/>
                <w:szCs w:val="21"/>
              </w:rPr>
            </w:pPr>
            <w:r>
              <w:rPr>
                <w:rFonts w:ascii="宋体" w:hAnsi="宋体" w:cs="宋体" w:eastAsia="宋体" w:hint="default"/>
                <w:sz w:val="21"/>
                <w:szCs w:val="21"/>
              </w:rPr>
              <w:t>相同账龄的应收款项具有类似的信用风险特征</w:t>
            </w:r>
          </w:p>
        </w:tc>
      </w:tr>
      <w:tr>
        <w:trPr>
          <w:trHeight w:val="346" w:hRule="exact"/>
        </w:trPr>
        <w:tc>
          <w:tcPr>
            <w:tcW w:w="2516" w:type="dxa"/>
            <w:tcBorders>
              <w:top w:val="single" w:sz="6" w:space="0" w:color="000000"/>
              <w:left w:val="nil" w:sz="6" w:space="0" w:color="auto"/>
              <w:bottom w:val="single" w:sz="6" w:space="0" w:color="000000"/>
              <w:right w:val="single" w:sz="6" w:space="0" w:color="000000"/>
            </w:tcBorders>
          </w:tcPr>
          <w:p>
            <w:pPr>
              <w:pStyle w:val="TableParagraph"/>
              <w:spacing w:line="288" w:lineRule="exact"/>
              <w:ind w:left="4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Times New Roman" w:hAnsi="Times New Roman" w:cs="Times New Roman" w:eastAsia="Times New Roman" w:hint="default"/>
                <w:sz w:val="21"/>
                <w:szCs w:val="21"/>
              </w:rPr>
              <w:t>2</w:t>
            </w:r>
          </w:p>
        </w:tc>
        <w:tc>
          <w:tcPr>
            <w:tcW w:w="5262" w:type="dxa"/>
            <w:tcBorders>
              <w:top w:val="single" w:sz="6" w:space="0" w:color="000000"/>
              <w:left w:val="single" w:sz="6" w:space="0" w:color="000000"/>
              <w:bottom w:val="single" w:sz="6" w:space="0" w:color="000000"/>
              <w:right w:val="nil" w:sz="6" w:space="0" w:color="auto"/>
            </w:tcBorders>
          </w:tcPr>
          <w:p>
            <w:pPr>
              <w:pStyle w:val="TableParagraph"/>
              <w:spacing w:line="272" w:lineRule="exact"/>
              <w:ind w:left="45" w:right="0"/>
              <w:jc w:val="left"/>
              <w:rPr>
                <w:rFonts w:ascii="宋体" w:hAnsi="宋体" w:cs="宋体" w:eastAsia="宋体" w:hint="default"/>
                <w:sz w:val="21"/>
                <w:szCs w:val="21"/>
              </w:rPr>
            </w:pPr>
            <w:r>
              <w:rPr>
                <w:rFonts w:ascii="宋体" w:hAnsi="宋体" w:cs="宋体" w:eastAsia="宋体" w:hint="default"/>
                <w:sz w:val="21"/>
                <w:szCs w:val="21"/>
              </w:rPr>
              <w:t>其他应收款中开立的银行保函</w:t>
            </w:r>
          </w:p>
        </w:tc>
      </w:tr>
      <w:tr>
        <w:trPr>
          <w:trHeight w:val="348" w:hRule="exact"/>
        </w:trPr>
        <w:tc>
          <w:tcPr>
            <w:tcW w:w="2516" w:type="dxa"/>
            <w:tcBorders>
              <w:top w:val="single" w:sz="6" w:space="0" w:color="000000"/>
              <w:left w:val="nil" w:sz="6" w:space="0" w:color="auto"/>
              <w:bottom w:val="single" w:sz="6" w:space="0" w:color="000000"/>
              <w:right w:val="single" w:sz="6" w:space="0" w:color="000000"/>
            </w:tcBorders>
          </w:tcPr>
          <w:p>
            <w:pPr>
              <w:pStyle w:val="TableParagraph"/>
              <w:spacing w:line="290" w:lineRule="exact"/>
              <w:ind w:left="4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Times New Roman" w:hAnsi="Times New Roman" w:cs="Times New Roman" w:eastAsia="Times New Roman" w:hint="default"/>
                <w:sz w:val="21"/>
                <w:szCs w:val="21"/>
              </w:rPr>
              <w:t>3</w:t>
            </w:r>
          </w:p>
        </w:tc>
        <w:tc>
          <w:tcPr>
            <w:tcW w:w="5262" w:type="dxa"/>
            <w:tcBorders>
              <w:top w:val="single" w:sz="6" w:space="0" w:color="000000"/>
              <w:left w:val="single" w:sz="6" w:space="0" w:color="000000"/>
              <w:bottom w:val="single" w:sz="6" w:space="0" w:color="000000"/>
              <w:right w:val="nil" w:sz="6" w:space="0" w:color="auto"/>
            </w:tcBorders>
          </w:tcPr>
          <w:p>
            <w:pPr>
              <w:pStyle w:val="TableParagraph"/>
              <w:spacing w:line="290" w:lineRule="exact"/>
              <w:ind w:left="4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子公司往来款</w:t>
            </w:r>
            <w:r>
              <w:rPr>
                <w:rFonts w:ascii="Times New Roman" w:hAnsi="Times New Roman" w:cs="Times New Roman" w:eastAsia="Times New Roman" w:hint="default"/>
                <w:sz w:val="21"/>
                <w:szCs w:val="21"/>
              </w:rPr>
              <w:t>(</w:t>
            </w:r>
            <w:r>
              <w:rPr>
                <w:rFonts w:ascii="宋体" w:hAnsi="宋体" w:cs="宋体" w:eastAsia="宋体" w:hint="default"/>
                <w:sz w:val="21"/>
                <w:szCs w:val="21"/>
              </w:rPr>
              <w:t>合并报表范围内</w:t>
            </w:r>
            <w:r>
              <w:rPr>
                <w:rFonts w:ascii="Times New Roman" w:hAnsi="Times New Roman" w:cs="Times New Roman" w:eastAsia="Times New Roman" w:hint="default"/>
                <w:sz w:val="21"/>
                <w:szCs w:val="21"/>
              </w:rPr>
              <w:t>)</w:t>
            </w:r>
          </w:p>
        </w:tc>
      </w:tr>
    </w:tbl>
    <w:p>
      <w:pPr>
        <w:spacing w:after="0" w:line="290" w:lineRule="exact"/>
        <w:jc w:val="left"/>
        <w:rPr>
          <w:rFonts w:ascii="Times New Roman" w:hAnsi="Times New Roman" w:cs="Times New Roman" w:eastAsia="Times New Roman" w:hint="default"/>
          <w:sz w:val="21"/>
          <w:szCs w:val="21"/>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p>
      <w:pPr>
        <w:spacing w:line="20" w:lineRule="exact"/>
        <w:ind w:left="755" w:right="0" w:firstLine="0"/>
        <w:rPr>
          <w:rFonts w:ascii="宋体" w:hAnsi="宋体" w:cs="宋体" w:eastAsia="宋体" w:hint="default"/>
          <w:sz w:val="2"/>
          <w:szCs w:val="2"/>
        </w:rPr>
      </w:pPr>
      <w:r>
        <w:rPr>
          <w:rFonts w:ascii="宋体" w:hAnsi="宋体" w:cs="宋体" w:eastAsia="宋体" w:hint="default"/>
          <w:sz w:val="2"/>
          <w:szCs w:val="2"/>
        </w:rPr>
        <w:pict>
          <v:group style="width:388.9pt;height:.75pt;mso-position-horizontal-relative:char;mso-position-vertical-relative:line" coordorigin="0,0" coordsize="7778,15">
            <v:group style="position:absolute;left:7;top:7;width:7763;height:2" coordorigin="7,7" coordsize="7763,2">
              <v:shape style="position:absolute;left:7;top:7;width:7763;height:2" coordorigin="7,7" coordsize="7763,0" path="m7,7l7770,7e" filled="false" stroked="true" strokeweight=".72pt" strokecolor="#000000">
                <v:path arrowok="t"/>
              </v:shape>
            </v:group>
          </v:group>
        </w:pict>
      </w:r>
      <w:r>
        <w:rPr>
          <w:rFonts w:ascii="宋体" w:hAnsi="宋体" w:cs="宋体" w:eastAsia="宋体" w:hint="default"/>
          <w:sz w:val="2"/>
          <w:szCs w:val="2"/>
        </w:rPr>
      </w:r>
    </w:p>
    <w:p>
      <w:pPr>
        <w:pStyle w:val="Heading4"/>
        <w:spacing w:line="266" w:lineRule="exact" w:before="0"/>
        <w:ind w:left="818" w:right="2602"/>
        <w:jc w:val="left"/>
      </w:pPr>
      <w:r>
        <w:rPr/>
        <w:t>按组合计提坏账准备的计提方法</w:t>
      </w:r>
    </w:p>
    <w:p>
      <w:pPr>
        <w:spacing w:line="240" w:lineRule="auto" w:before="10"/>
        <w:rPr>
          <w:rFonts w:ascii="宋体" w:hAnsi="宋体" w:cs="宋体" w:eastAsia="宋体" w:hint="default"/>
          <w:sz w:val="4"/>
          <w:szCs w:val="4"/>
        </w:rPr>
      </w:pPr>
    </w:p>
    <w:tbl>
      <w:tblPr>
        <w:tblW w:w="0" w:type="auto"/>
        <w:jc w:val="left"/>
        <w:tblInd w:w="748" w:type="dxa"/>
        <w:tblLayout w:type="fixed"/>
        <w:tblCellMar>
          <w:top w:w="0" w:type="dxa"/>
          <w:left w:w="0" w:type="dxa"/>
          <w:bottom w:w="0" w:type="dxa"/>
          <w:right w:w="0" w:type="dxa"/>
        </w:tblCellMar>
        <w:tblLook w:val="01E0"/>
      </w:tblPr>
      <w:tblGrid>
        <w:gridCol w:w="2516"/>
        <w:gridCol w:w="5262"/>
      </w:tblGrid>
      <w:tr>
        <w:trPr>
          <w:trHeight w:val="346" w:hRule="exact"/>
        </w:trPr>
        <w:tc>
          <w:tcPr>
            <w:tcW w:w="2516" w:type="dxa"/>
            <w:tcBorders>
              <w:top w:val="single" w:sz="6" w:space="0" w:color="000000"/>
              <w:left w:val="nil" w:sz="6" w:space="0" w:color="auto"/>
              <w:bottom w:val="single" w:sz="6" w:space="0" w:color="000000"/>
              <w:right w:val="single" w:sz="6" w:space="0" w:color="000000"/>
            </w:tcBorders>
          </w:tcPr>
          <w:p>
            <w:pPr>
              <w:pStyle w:val="TableParagraph"/>
              <w:spacing w:line="288" w:lineRule="exact"/>
              <w:ind w:left="4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Times New Roman" w:hAnsi="Times New Roman" w:cs="Times New Roman" w:eastAsia="Times New Roman" w:hint="default"/>
                <w:sz w:val="21"/>
                <w:szCs w:val="21"/>
              </w:rPr>
              <w:t>1</w:t>
            </w:r>
          </w:p>
        </w:tc>
        <w:tc>
          <w:tcPr>
            <w:tcW w:w="5262" w:type="dxa"/>
            <w:tcBorders>
              <w:top w:val="single" w:sz="6" w:space="0" w:color="000000"/>
              <w:left w:val="single" w:sz="6" w:space="0" w:color="000000"/>
              <w:bottom w:val="single" w:sz="6" w:space="0" w:color="000000"/>
              <w:right w:val="nil" w:sz="6" w:space="0" w:color="auto"/>
            </w:tcBorders>
          </w:tcPr>
          <w:p>
            <w:pPr>
              <w:pStyle w:val="TableParagraph"/>
              <w:spacing w:line="272" w:lineRule="exact"/>
              <w:ind w:left="45"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r>
        <w:trPr>
          <w:trHeight w:val="348" w:hRule="exact"/>
        </w:trPr>
        <w:tc>
          <w:tcPr>
            <w:tcW w:w="2516" w:type="dxa"/>
            <w:tcBorders>
              <w:top w:val="single" w:sz="6" w:space="0" w:color="000000"/>
              <w:left w:val="nil" w:sz="6" w:space="0" w:color="auto"/>
              <w:bottom w:val="single" w:sz="6" w:space="0" w:color="000000"/>
              <w:right w:val="single" w:sz="6" w:space="0" w:color="000000"/>
            </w:tcBorders>
          </w:tcPr>
          <w:p>
            <w:pPr>
              <w:pStyle w:val="TableParagraph"/>
              <w:spacing w:line="290" w:lineRule="exact"/>
              <w:ind w:left="4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Times New Roman" w:hAnsi="Times New Roman" w:cs="Times New Roman" w:eastAsia="Times New Roman" w:hint="default"/>
                <w:sz w:val="21"/>
                <w:szCs w:val="21"/>
              </w:rPr>
              <w:t>2</w:t>
            </w:r>
          </w:p>
        </w:tc>
        <w:tc>
          <w:tcPr>
            <w:tcW w:w="5262" w:type="dxa"/>
            <w:tcBorders>
              <w:top w:val="single" w:sz="6" w:space="0" w:color="000000"/>
              <w:left w:val="single" w:sz="6" w:space="0" w:color="000000"/>
              <w:bottom w:val="single" w:sz="6" w:space="0" w:color="000000"/>
              <w:right w:val="nil" w:sz="6" w:space="0" w:color="auto"/>
            </w:tcBorders>
          </w:tcPr>
          <w:p>
            <w:pPr>
              <w:pStyle w:val="TableParagraph"/>
              <w:spacing w:line="274" w:lineRule="exact"/>
              <w:ind w:left="45" w:right="0"/>
              <w:jc w:val="left"/>
              <w:rPr>
                <w:rFonts w:ascii="宋体" w:hAnsi="宋体" w:cs="宋体" w:eastAsia="宋体" w:hint="default"/>
                <w:sz w:val="21"/>
                <w:szCs w:val="21"/>
              </w:rPr>
            </w:pPr>
            <w:r>
              <w:rPr>
                <w:rFonts w:ascii="宋体" w:hAnsi="宋体" w:cs="宋体" w:eastAsia="宋体" w:hint="default"/>
                <w:sz w:val="21"/>
                <w:szCs w:val="21"/>
              </w:rPr>
              <w:t>不计提坏账准备</w:t>
            </w:r>
          </w:p>
        </w:tc>
      </w:tr>
      <w:tr>
        <w:trPr>
          <w:trHeight w:val="348" w:hRule="exact"/>
        </w:trPr>
        <w:tc>
          <w:tcPr>
            <w:tcW w:w="2516" w:type="dxa"/>
            <w:tcBorders>
              <w:top w:val="single" w:sz="6" w:space="0" w:color="000000"/>
              <w:left w:val="nil" w:sz="6" w:space="0" w:color="auto"/>
              <w:bottom w:val="single" w:sz="6" w:space="0" w:color="000000"/>
              <w:right w:val="single" w:sz="6" w:space="0" w:color="000000"/>
            </w:tcBorders>
          </w:tcPr>
          <w:p>
            <w:pPr>
              <w:pStyle w:val="TableParagraph"/>
              <w:spacing w:line="288" w:lineRule="exact"/>
              <w:ind w:left="4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Times New Roman" w:hAnsi="Times New Roman" w:cs="Times New Roman" w:eastAsia="Times New Roman" w:hint="default"/>
                <w:sz w:val="21"/>
                <w:szCs w:val="21"/>
              </w:rPr>
              <w:t>3</w:t>
            </w:r>
          </w:p>
        </w:tc>
        <w:tc>
          <w:tcPr>
            <w:tcW w:w="5262" w:type="dxa"/>
            <w:tcBorders>
              <w:top w:val="single" w:sz="6" w:space="0" w:color="000000"/>
              <w:left w:val="single" w:sz="6" w:space="0" w:color="000000"/>
              <w:bottom w:val="single" w:sz="6" w:space="0" w:color="000000"/>
              <w:right w:val="nil" w:sz="6" w:space="0" w:color="auto"/>
            </w:tcBorders>
          </w:tcPr>
          <w:p>
            <w:pPr>
              <w:pStyle w:val="TableParagraph"/>
              <w:spacing w:line="272" w:lineRule="exact"/>
              <w:ind w:left="45" w:right="0"/>
              <w:jc w:val="left"/>
              <w:rPr>
                <w:rFonts w:ascii="宋体" w:hAnsi="宋体" w:cs="宋体" w:eastAsia="宋体" w:hint="default"/>
                <w:sz w:val="21"/>
                <w:szCs w:val="21"/>
              </w:rPr>
            </w:pPr>
            <w:r>
              <w:rPr>
                <w:rFonts w:ascii="宋体" w:hAnsi="宋体" w:cs="宋体" w:eastAsia="宋体" w:hint="default"/>
                <w:sz w:val="21"/>
                <w:szCs w:val="21"/>
              </w:rPr>
              <w:t>不计提坏账准备</w:t>
            </w:r>
          </w:p>
        </w:tc>
      </w:tr>
    </w:tbl>
    <w:p>
      <w:pPr>
        <w:pStyle w:val="Heading4"/>
        <w:spacing w:line="278" w:lineRule="exact" w:before="0"/>
        <w:ind w:left="573" w:right="2602"/>
        <w:jc w:val="left"/>
      </w:pPr>
      <w:r>
        <w:rPr/>
        <w:t>组合</w:t>
      </w:r>
      <w:r>
        <w:rPr>
          <w:rFonts w:ascii="Times New Roman" w:hAnsi="Times New Roman" w:cs="Times New Roman" w:eastAsia="Times New Roman" w:hint="default"/>
        </w:rPr>
        <w:t>1</w:t>
      </w:r>
      <w:r>
        <w:rPr/>
        <w:t>中，采用账龄分析法计提坏账准备的：</w:t>
      </w:r>
    </w:p>
    <w:p>
      <w:pPr>
        <w:spacing w:line="240" w:lineRule="auto" w:before="8"/>
        <w:rPr>
          <w:rFonts w:ascii="宋体" w:hAnsi="宋体" w:cs="宋体" w:eastAsia="宋体" w:hint="default"/>
          <w:sz w:val="2"/>
          <w:szCs w:val="2"/>
        </w:rPr>
      </w:pPr>
    </w:p>
    <w:tbl>
      <w:tblPr>
        <w:tblW w:w="0" w:type="auto"/>
        <w:jc w:val="left"/>
        <w:tblInd w:w="738" w:type="dxa"/>
        <w:tblLayout w:type="fixed"/>
        <w:tblCellMar>
          <w:top w:w="0" w:type="dxa"/>
          <w:left w:w="0" w:type="dxa"/>
          <w:bottom w:w="0" w:type="dxa"/>
          <w:right w:w="0" w:type="dxa"/>
        </w:tblCellMar>
        <w:tblLook w:val="01E0"/>
      </w:tblPr>
      <w:tblGrid>
        <w:gridCol w:w="2828"/>
        <w:gridCol w:w="2528"/>
        <w:gridCol w:w="2472"/>
      </w:tblGrid>
      <w:tr>
        <w:trPr>
          <w:trHeight w:val="343" w:hRule="exact"/>
        </w:trPr>
        <w:tc>
          <w:tcPr>
            <w:tcW w:w="2828" w:type="dxa"/>
            <w:tcBorders>
              <w:top w:val="single" w:sz="6" w:space="0" w:color="000000"/>
              <w:left w:val="nil" w:sz="6" w:space="0" w:color="auto"/>
              <w:bottom w:val="single" w:sz="4" w:space="0" w:color="000000"/>
              <w:right w:val="single" w:sz="4" w:space="0" w:color="000000"/>
            </w:tcBorders>
          </w:tcPr>
          <w:p>
            <w:pPr>
              <w:pStyle w:val="TableParagraph"/>
              <w:spacing w:line="272" w:lineRule="exact"/>
              <w:ind w:left="18"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528" w:type="dxa"/>
            <w:tcBorders>
              <w:top w:val="single" w:sz="6" w:space="0" w:color="000000"/>
              <w:left w:val="single" w:sz="4" w:space="0" w:color="000000"/>
              <w:bottom w:val="single" w:sz="4" w:space="0" w:color="000000"/>
              <w:right w:val="single" w:sz="4" w:space="0" w:color="000000"/>
            </w:tcBorders>
          </w:tcPr>
          <w:p>
            <w:pPr>
              <w:pStyle w:val="TableParagraph"/>
              <w:spacing w:line="288" w:lineRule="exact"/>
              <w:ind w:left="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p>
        </w:tc>
        <w:tc>
          <w:tcPr>
            <w:tcW w:w="2472" w:type="dxa"/>
            <w:tcBorders>
              <w:top w:val="single" w:sz="6" w:space="0" w:color="000000"/>
              <w:left w:val="single" w:sz="4" w:space="0" w:color="000000"/>
              <w:bottom w:val="single" w:sz="4" w:space="0" w:color="000000"/>
              <w:right w:val="nil" w:sz="6" w:space="0" w:color="auto"/>
            </w:tcBorders>
          </w:tcPr>
          <w:p>
            <w:pPr>
              <w:pStyle w:val="TableParagraph"/>
              <w:spacing w:line="288"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其他应收款计提比例</w:t>
            </w:r>
            <w:r>
              <w:rPr>
                <w:rFonts w:ascii="Times New Roman" w:hAnsi="Times New Roman" w:cs="Times New Roman" w:eastAsia="Times New Roman" w:hint="default"/>
                <w:sz w:val="21"/>
                <w:szCs w:val="21"/>
              </w:rPr>
              <w:t>(%)</w:t>
            </w:r>
          </w:p>
        </w:tc>
      </w:tr>
      <w:tr>
        <w:trPr>
          <w:trHeight w:val="343" w:hRule="exact"/>
        </w:trPr>
        <w:tc>
          <w:tcPr>
            <w:tcW w:w="2828"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个月以内</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0.00</w:t>
            </w:r>
          </w:p>
        </w:tc>
        <w:tc>
          <w:tcPr>
            <w:tcW w:w="24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right="3"/>
              <w:jc w:val="center"/>
              <w:rPr>
                <w:rFonts w:ascii="Times New Roman" w:hAnsi="Times New Roman" w:cs="Times New Roman" w:eastAsia="Times New Roman" w:hint="default"/>
                <w:sz w:val="21"/>
                <w:szCs w:val="21"/>
              </w:rPr>
            </w:pPr>
            <w:r>
              <w:rPr>
                <w:rFonts w:ascii="Times New Roman"/>
                <w:sz w:val="21"/>
              </w:rPr>
              <w:t>0.00</w:t>
            </w:r>
          </w:p>
        </w:tc>
      </w:tr>
      <w:tr>
        <w:trPr>
          <w:trHeight w:val="341" w:hRule="exact"/>
        </w:trPr>
        <w:tc>
          <w:tcPr>
            <w:tcW w:w="2828"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个月</w:t>
            </w:r>
            <w:r>
              <w:rPr>
                <w:rFonts w:ascii="Times New Roman" w:hAnsi="Times New Roman" w:cs="Times New Roman" w:eastAsia="Times New Roman" w:hint="default"/>
                <w:sz w:val="21"/>
                <w:szCs w:val="21"/>
              </w:rPr>
              <w:t>-1</w:t>
            </w:r>
            <w:r>
              <w:rPr>
                <w:rFonts w:ascii="宋体" w:hAnsi="宋体" w:cs="宋体" w:eastAsia="宋体" w:hint="default"/>
                <w:sz w:val="21"/>
                <w:szCs w:val="21"/>
              </w:rPr>
              <w:t>年（含</w:t>
            </w:r>
            <w:r>
              <w:rPr>
                <w:rFonts w:ascii="Times New Roman" w:hAnsi="Times New Roman" w:cs="Times New Roman" w:eastAsia="Times New Roman" w:hint="default"/>
                <w:sz w:val="21"/>
                <w:szCs w:val="21"/>
              </w:rPr>
              <w:t>1</w:t>
            </w:r>
            <w:r>
              <w:rPr>
                <w:rFonts w:ascii="宋体" w:hAnsi="宋体" w:cs="宋体" w:eastAsia="宋体" w:hint="default"/>
                <w:sz w:val="21"/>
                <w:szCs w:val="21"/>
              </w:rPr>
              <w:t>年）</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3.00</w:t>
            </w:r>
          </w:p>
        </w:tc>
        <w:tc>
          <w:tcPr>
            <w:tcW w:w="24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right="3"/>
              <w:jc w:val="center"/>
              <w:rPr>
                <w:rFonts w:ascii="Times New Roman" w:hAnsi="Times New Roman" w:cs="Times New Roman" w:eastAsia="Times New Roman" w:hint="default"/>
                <w:sz w:val="21"/>
                <w:szCs w:val="21"/>
              </w:rPr>
            </w:pPr>
            <w:r>
              <w:rPr>
                <w:rFonts w:ascii="Times New Roman"/>
                <w:sz w:val="21"/>
              </w:rPr>
              <w:t>3.00</w:t>
            </w:r>
          </w:p>
        </w:tc>
      </w:tr>
      <w:tr>
        <w:trPr>
          <w:trHeight w:val="343" w:hRule="exact"/>
        </w:trPr>
        <w:tc>
          <w:tcPr>
            <w:tcW w:w="2828"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年（含</w:t>
            </w:r>
            <w:r>
              <w:rPr>
                <w:rFonts w:ascii="Times New Roman" w:hAnsi="Times New Roman" w:cs="Times New Roman" w:eastAsia="Times New Roman" w:hint="default"/>
                <w:sz w:val="21"/>
                <w:szCs w:val="21"/>
              </w:rPr>
              <w:t>2</w:t>
            </w:r>
            <w:r>
              <w:rPr>
                <w:rFonts w:ascii="宋体" w:hAnsi="宋体" w:cs="宋体" w:eastAsia="宋体" w:hint="default"/>
                <w:sz w:val="21"/>
                <w:szCs w:val="21"/>
              </w:rPr>
              <w:t>年）</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5.00</w:t>
            </w:r>
          </w:p>
        </w:tc>
        <w:tc>
          <w:tcPr>
            <w:tcW w:w="24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right="3"/>
              <w:jc w:val="center"/>
              <w:rPr>
                <w:rFonts w:ascii="Times New Roman" w:hAnsi="Times New Roman" w:cs="Times New Roman" w:eastAsia="Times New Roman" w:hint="default"/>
                <w:sz w:val="21"/>
                <w:szCs w:val="21"/>
              </w:rPr>
            </w:pPr>
            <w:r>
              <w:rPr>
                <w:rFonts w:ascii="Times New Roman"/>
                <w:sz w:val="21"/>
              </w:rPr>
              <w:t>5.00</w:t>
            </w:r>
          </w:p>
        </w:tc>
      </w:tr>
      <w:tr>
        <w:trPr>
          <w:trHeight w:val="341" w:hRule="exact"/>
        </w:trPr>
        <w:tc>
          <w:tcPr>
            <w:tcW w:w="2828"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宋体" w:hAnsi="宋体" w:cs="宋体" w:eastAsia="宋体" w:hint="default"/>
                <w:sz w:val="21"/>
                <w:szCs w:val="21"/>
              </w:rPr>
              <w:t>年（含</w:t>
            </w:r>
            <w:r>
              <w:rPr>
                <w:rFonts w:ascii="Times New Roman" w:hAnsi="Times New Roman" w:cs="Times New Roman" w:eastAsia="Times New Roman" w:hint="default"/>
                <w:sz w:val="21"/>
                <w:szCs w:val="21"/>
              </w:rPr>
              <w:t>3</w:t>
            </w:r>
            <w:r>
              <w:rPr>
                <w:rFonts w:ascii="宋体" w:hAnsi="宋体" w:cs="宋体" w:eastAsia="宋体" w:hint="default"/>
                <w:sz w:val="21"/>
                <w:szCs w:val="21"/>
              </w:rPr>
              <w:t>年）</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10.00</w:t>
            </w:r>
          </w:p>
        </w:tc>
        <w:tc>
          <w:tcPr>
            <w:tcW w:w="24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right="3"/>
              <w:jc w:val="center"/>
              <w:rPr>
                <w:rFonts w:ascii="Times New Roman" w:hAnsi="Times New Roman" w:cs="Times New Roman" w:eastAsia="Times New Roman" w:hint="default"/>
                <w:sz w:val="21"/>
                <w:szCs w:val="21"/>
              </w:rPr>
            </w:pPr>
            <w:r>
              <w:rPr>
                <w:rFonts w:ascii="Times New Roman"/>
                <w:sz w:val="21"/>
              </w:rPr>
              <w:t>10.00</w:t>
            </w:r>
          </w:p>
        </w:tc>
      </w:tr>
      <w:tr>
        <w:trPr>
          <w:trHeight w:val="343" w:hRule="exact"/>
        </w:trPr>
        <w:tc>
          <w:tcPr>
            <w:tcW w:w="2828"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3-4</w:t>
            </w:r>
            <w:r>
              <w:rPr>
                <w:rFonts w:ascii="宋体" w:hAnsi="宋体" w:cs="宋体" w:eastAsia="宋体" w:hint="default"/>
                <w:sz w:val="21"/>
                <w:szCs w:val="21"/>
              </w:rPr>
              <w:t>年（含</w:t>
            </w:r>
            <w:r>
              <w:rPr>
                <w:rFonts w:ascii="Times New Roman" w:hAnsi="Times New Roman" w:cs="Times New Roman" w:eastAsia="Times New Roman" w:hint="default"/>
                <w:sz w:val="21"/>
                <w:szCs w:val="21"/>
              </w:rPr>
              <w:t>4</w:t>
            </w:r>
            <w:r>
              <w:rPr>
                <w:rFonts w:ascii="宋体" w:hAnsi="宋体" w:cs="宋体" w:eastAsia="宋体" w:hint="default"/>
                <w:sz w:val="21"/>
                <w:szCs w:val="21"/>
              </w:rPr>
              <w:t>年）</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20.00</w:t>
            </w:r>
          </w:p>
        </w:tc>
        <w:tc>
          <w:tcPr>
            <w:tcW w:w="24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right="3"/>
              <w:jc w:val="center"/>
              <w:rPr>
                <w:rFonts w:ascii="Times New Roman" w:hAnsi="Times New Roman" w:cs="Times New Roman" w:eastAsia="Times New Roman" w:hint="default"/>
                <w:sz w:val="21"/>
                <w:szCs w:val="21"/>
              </w:rPr>
            </w:pPr>
            <w:r>
              <w:rPr>
                <w:rFonts w:ascii="Times New Roman"/>
                <w:sz w:val="21"/>
              </w:rPr>
              <w:t>20.00</w:t>
            </w:r>
          </w:p>
        </w:tc>
      </w:tr>
      <w:tr>
        <w:trPr>
          <w:trHeight w:val="341" w:hRule="exact"/>
        </w:trPr>
        <w:tc>
          <w:tcPr>
            <w:tcW w:w="2828"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4-5</w:t>
            </w:r>
            <w:r>
              <w:rPr>
                <w:rFonts w:ascii="宋体" w:hAnsi="宋体" w:cs="宋体" w:eastAsia="宋体" w:hint="default"/>
                <w:sz w:val="21"/>
                <w:szCs w:val="21"/>
              </w:rPr>
              <w:t>年（含</w:t>
            </w:r>
            <w:r>
              <w:rPr>
                <w:rFonts w:ascii="Times New Roman" w:hAnsi="Times New Roman" w:cs="Times New Roman" w:eastAsia="Times New Roman" w:hint="default"/>
                <w:sz w:val="21"/>
                <w:szCs w:val="21"/>
              </w:rPr>
              <w:t>5</w:t>
            </w:r>
            <w:r>
              <w:rPr>
                <w:rFonts w:ascii="宋体" w:hAnsi="宋体" w:cs="宋体" w:eastAsia="宋体" w:hint="default"/>
                <w:sz w:val="21"/>
                <w:szCs w:val="21"/>
              </w:rPr>
              <w:t>年）</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50.00</w:t>
            </w:r>
          </w:p>
        </w:tc>
        <w:tc>
          <w:tcPr>
            <w:tcW w:w="24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right="3"/>
              <w:jc w:val="center"/>
              <w:rPr>
                <w:rFonts w:ascii="Times New Roman" w:hAnsi="Times New Roman" w:cs="Times New Roman" w:eastAsia="Times New Roman" w:hint="default"/>
                <w:sz w:val="21"/>
                <w:szCs w:val="21"/>
              </w:rPr>
            </w:pPr>
            <w:r>
              <w:rPr>
                <w:rFonts w:ascii="Times New Roman"/>
                <w:sz w:val="21"/>
              </w:rPr>
              <w:t>50.00</w:t>
            </w:r>
          </w:p>
        </w:tc>
      </w:tr>
      <w:tr>
        <w:trPr>
          <w:trHeight w:val="343" w:hRule="exact"/>
        </w:trPr>
        <w:tc>
          <w:tcPr>
            <w:tcW w:w="2828" w:type="dxa"/>
            <w:tcBorders>
              <w:top w:val="single" w:sz="4" w:space="0" w:color="000000"/>
              <w:left w:val="nil" w:sz="6" w:space="0" w:color="auto"/>
              <w:bottom w:val="single" w:sz="4" w:space="0" w:color="000000"/>
              <w:right w:val="single" w:sz="4" w:space="0" w:color="000000"/>
            </w:tcBorders>
          </w:tcPr>
          <w:p>
            <w:pPr>
              <w:pStyle w:val="TableParagraph"/>
              <w:spacing w:line="28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年以上</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100.00</w:t>
            </w:r>
          </w:p>
        </w:tc>
        <w:tc>
          <w:tcPr>
            <w:tcW w:w="24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4"/>
              <w:ind w:right="3"/>
              <w:jc w:val="center"/>
              <w:rPr>
                <w:rFonts w:ascii="Times New Roman" w:hAnsi="Times New Roman" w:cs="Times New Roman" w:eastAsia="Times New Roman" w:hint="default"/>
                <w:sz w:val="21"/>
                <w:szCs w:val="21"/>
              </w:rPr>
            </w:pPr>
            <w:r>
              <w:rPr>
                <w:rFonts w:ascii="Times New Roman"/>
                <w:sz w:val="21"/>
              </w:rPr>
              <w:t>100.00</w:t>
            </w:r>
          </w:p>
        </w:tc>
      </w:tr>
    </w:tbl>
    <w:p>
      <w:pPr>
        <w:pStyle w:val="Heading4"/>
        <w:spacing w:line="273" w:lineRule="auto" w:before="0"/>
        <w:ind w:left="573" w:right="4814"/>
        <w:jc w:val="left"/>
      </w:pPr>
      <w:r>
        <w:rPr>
          <w:spacing w:val="-2"/>
        </w:rPr>
        <w:t>③单项金额不重大但单独计提坏账准备的应收款项：</w:t>
      </w:r>
      <w:r>
        <w:rPr>
          <w:spacing w:val="-62"/>
        </w:rPr>
        <w:t> </w:t>
      </w:r>
      <w:r>
        <w:rPr>
          <w:spacing w:val="-62"/>
        </w:rPr>
      </w:r>
      <w:r>
        <w:rPr/>
        <w:t>单独计提坏账准备的理由</w:t>
      </w:r>
    </w:p>
    <w:p>
      <w:pPr>
        <w:pStyle w:val="Heading4"/>
        <w:spacing w:line="273" w:lineRule="auto"/>
        <w:ind w:right="1119" w:firstLine="420"/>
        <w:jc w:val="left"/>
      </w:pPr>
      <w:r>
        <w:rPr>
          <w:spacing w:val="2"/>
        </w:rPr>
        <w:t>应收款项的未来现金流量现值与以账龄为信用风险特征的应收款项组合的未来现金流量现值存在显</w:t>
      </w:r>
      <w:r>
        <w:rPr>
          <w:w w:val="100"/>
        </w:rPr>
        <w:t> </w:t>
      </w:r>
      <w:r>
        <w:rPr/>
        <w:t>著差异。</w:t>
      </w:r>
    </w:p>
    <w:p>
      <w:pPr>
        <w:pStyle w:val="Heading4"/>
        <w:spacing w:line="273" w:lineRule="auto"/>
        <w:ind w:left="573" w:right="2602"/>
        <w:jc w:val="left"/>
      </w:pPr>
      <w:r>
        <w:rPr/>
        <w:t>坏账准备的计提方法</w:t>
      </w:r>
      <w:r>
        <w:rPr>
          <w:w w:val="100"/>
        </w:rPr>
        <w:t> </w:t>
      </w:r>
      <w:r>
        <w:rPr>
          <w:spacing w:val="-2"/>
        </w:rPr>
        <w:t>单独进行减值测试，根据其未来现金流量现值低于其账面价值的差额计提坏账准备。</w:t>
      </w:r>
      <w:r>
        <w:rPr>
          <w:spacing w:val="-35"/>
        </w:rPr>
        <w:t> </w:t>
      </w:r>
      <w:r>
        <w:rPr>
          <w:spacing w:val="-35"/>
        </w:rPr>
      </w:r>
      <w:r>
        <w:rPr/>
        <w:t>其他说明</w:t>
      </w:r>
    </w:p>
    <w:p>
      <w:pPr>
        <w:pStyle w:val="Heading4"/>
        <w:spacing w:line="273" w:lineRule="auto"/>
        <w:ind w:right="0" w:firstLine="420"/>
        <w:jc w:val="left"/>
      </w:pPr>
      <w:r>
        <w:rPr>
          <w:spacing w:val="-2"/>
        </w:rPr>
        <w:t>对应收票据、预付款项、应收利息、长期应收款等其他应收款项，根据其未来现金流量现值低于其账</w:t>
      </w:r>
      <w:r>
        <w:rPr>
          <w:w w:val="100"/>
        </w:rPr>
        <w:t> </w:t>
      </w:r>
      <w:r>
        <w:rPr/>
        <w:t>面价值的差额计提坏账准备。</w:t>
      </w:r>
    </w:p>
    <w:p>
      <w:pPr>
        <w:pStyle w:val="Heading4"/>
        <w:spacing w:line="256" w:lineRule="auto" w:before="8"/>
        <w:ind w:left="573" w:right="2602"/>
        <w:jc w:val="left"/>
      </w:pPr>
      <w:r>
        <w:rPr/>
        <w:t>（</w:t>
      </w:r>
      <w:r>
        <w:rPr>
          <w:rFonts w:ascii="Times New Roman" w:hAnsi="Times New Roman" w:cs="Times New Roman" w:eastAsia="Times New Roman" w:hint="default"/>
        </w:rPr>
        <w:t>3</w:t>
      </w:r>
      <w:r>
        <w:rPr/>
        <w:t>）持有至到期投资的减值准备：</w:t>
      </w:r>
      <w:r>
        <w:rPr>
          <w:w w:val="100"/>
        </w:rPr>
        <w:t> </w:t>
      </w:r>
      <w:r>
        <w:rPr>
          <w:spacing w:val="-2"/>
        </w:rPr>
        <w:t>持有至到期投资减值损失的计量比照应收款项减值损失计量方法处理。</w:t>
      </w:r>
    </w:p>
    <w:p>
      <w:pPr>
        <w:spacing w:line="240" w:lineRule="auto" w:before="8"/>
        <w:rPr>
          <w:rFonts w:ascii="宋体" w:hAnsi="宋体" w:cs="宋体" w:eastAsia="宋体" w:hint="default"/>
          <w:sz w:val="24"/>
          <w:szCs w:val="24"/>
        </w:rPr>
      </w:pPr>
    </w:p>
    <w:p>
      <w:pPr>
        <w:pStyle w:val="Heading3"/>
        <w:spacing w:line="240" w:lineRule="auto"/>
        <w:ind w:right="2602"/>
        <w:jc w:val="left"/>
        <w:rPr>
          <w:b w:val="0"/>
          <w:bCs w:val="0"/>
        </w:rPr>
      </w:pPr>
      <w:bookmarkStart w:name="11、应收票据" w:id="188"/>
      <w:bookmarkEnd w:id="188"/>
      <w:r>
        <w:rPr>
          <w:b w:val="0"/>
          <w:bCs w:val="0"/>
        </w:rPr>
      </w:r>
      <w:r>
        <w:rPr>
          <w:rFonts w:ascii="Times New Roman" w:hAnsi="Times New Roman" w:cs="Times New Roman" w:eastAsia="Times New Roman" w:hint="default"/>
        </w:rPr>
        <w:t>11</w:t>
      </w:r>
      <w:r>
        <w:rPr/>
        <w:t>、应收票据</w:t>
      </w:r>
      <w:r>
        <w:rPr>
          <w:b w:val="0"/>
          <w:bCs w:val="0"/>
        </w:rPr>
      </w:r>
    </w:p>
    <w:p>
      <w:pPr>
        <w:spacing w:line="240" w:lineRule="auto" w:before="7"/>
        <w:rPr>
          <w:rFonts w:ascii="宋体" w:hAnsi="宋体" w:cs="宋体" w:eastAsia="宋体" w:hint="default"/>
          <w:b/>
          <w:bCs/>
          <w:sz w:val="24"/>
          <w:szCs w:val="24"/>
        </w:rPr>
      </w:pPr>
    </w:p>
    <w:p>
      <w:pPr>
        <w:pStyle w:val="Heading4"/>
        <w:spacing w:line="240" w:lineRule="auto" w:before="0"/>
        <w:ind w:left="573" w:right="0"/>
        <w:jc w:val="left"/>
      </w:pPr>
      <w:r>
        <w:rPr/>
        <w:t>本公司对应收票据的预期信用损失的确定方法及会计处理方法详见本章节五、</w:t>
      </w:r>
      <w:r>
        <w:rPr>
          <w:rFonts w:ascii="Times New Roman" w:hAnsi="Times New Roman" w:cs="Times New Roman" w:eastAsia="Times New Roman" w:hint="default"/>
        </w:rPr>
        <w:t>10“</w:t>
      </w:r>
      <w:r>
        <w:rPr/>
        <w:t>金融工具</w:t>
      </w:r>
      <w:r>
        <w:rPr>
          <w:rFonts w:ascii="Times New Roman" w:hAnsi="Times New Roman" w:cs="Times New Roman" w:eastAsia="Times New Roman" w:hint="default"/>
        </w:rPr>
        <w:t>”</w:t>
      </w:r>
      <w:r>
        <w:rPr/>
        <w:t>。</w:t>
      </w:r>
    </w:p>
    <w:p>
      <w:pPr>
        <w:spacing w:line="240" w:lineRule="auto" w:before="7"/>
        <w:rPr>
          <w:rFonts w:ascii="宋体" w:hAnsi="宋体" w:cs="宋体" w:eastAsia="宋体" w:hint="default"/>
          <w:sz w:val="24"/>
          <w:szCs w:val="24"/>
        </w:rPr>
      </w:pPr>
    </w:p>
    <w:p>
      <w:pPr>
        <w:pStyle w:val="Heading3"/>
        <w:spacing w:line="240" w:lineRule="auto"/>
        <w:ind w:right="2602"/>
        <w:jc w:val="left"/>
        <w:rPr>
          <w:b w:val="0"/>
          <w:bCs w:val="0"/>
        </w:rPr>
      </w:pPr>
      <w:bookmarkStart w:name="12、应收账款" w:id="189"/>
      <w:bookmarkEnd w:id="189"/>
      <w:r>
        <w:rPr>
          <w:b w:val="0"/>
          <w:bCs w:val="0"/>
        </w:rPr>
      </w:r>
      <w:r>
        <w:rPr>
          <w:rFonts w:ascii="Times New Roman" w:hAnsi="Times New Roman" w:cs="Times New Roman" w:eastAsia="Times New Roman" w:hint="default"/>
        </w:rPr>
        <w:t>12</w:t>
      </w:r>
      <w:r>
        <w:rPr/>
        <w:t>、应收账款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0"/>
        <w:jc w:val="left"/>
      </w:pPr>
      <w:r>
        <w:rPr/>
        <w:t>本公司对应收票据的预期信用损失的确定方法及会计处理方法详见本章节五、</w:t>
      </w:r>
      <w:r>
        <w:rPr>
          <w:rFonts w:ascii="Times New Roman" w:hAnsi="Times New Roman" w:cs="Times New Roman" w:eastAsia="Times New Roman" w:hint="default"/>
        </w:rPr>
        <w:t>10“</w:t>
      </w:r>
      <w:r>
        <w:rPr/>
        <w:t>金融工具</w:t>
      </w:r>
      <w:r>
        <w:rPr>
          <w:rFonts w:ascii="Times New Roman" w:hAnsi="Times New Roman" w:cs="Times New Roman" w:eastAsia="Times New Roman" w:hint="default"/>
        </w:rPr>
        <w:t>”</w:t>
      </w:r>
      <w:r>
        <w:rPr/>
        <w:t>。</w:t>
      </w:r>
    </w:p>
    <w:p>
      <w:pPr>
        <w:spacing w:line="240" w:lineRule="auto" w:before="7"/>
        <w:rPr>
          <w:rFonts w:ascii="宋体" w:hAnsi="宋体" w:cs="宋体" w:eastAsia="宋体" w:hint="default"/>
          <w:sz w:val="24"/>
          <w:szCs w:val="24"/>
        </w:rPr>
      </w:pPr>
    </w:p>
    <w:p>
      <w:pPr>
        <w:pStyle w:val="Heading3"/>
        <w:spacing w:line="506" w:lineRule="auto"/>
        <w:ind w:left="573" w:right="9068" w:hanging="421"/>
        <w:jc w:val="left"/>
        <w:rPr>
          <w:rFonts w:ascii="宋体" w:hAnsi="宋体" w:cs="宋体" w:eastAsia="宋体" w:hint="default"/>
          <w:b w:val="0"/>
          <w:bCs w:val="0"/>
        </w:rPr>
      </w:pPr>
      <w:bookmarkStart w:name="13、应收款项融资" w:id="190"/>
      <w:bookmarkEnd w:id="190"/>
      <w:r>
        <w:rPr>
          <w:b w:val="0"/>
          <w:bCs w:val="0"/>
        </w:rPr>
      </w:r>
      <w:r>
        <w:rPr>
          <w:rFonts w:ascii="Times New Roman" w:hAnsi="Times New Roman" w:cs="Times New Roman" w:eastAsia="Times New Roman" w:hint="default"/>
        </w:rPr>
        <w:t>13</w:t>
      </w:r>
      <w:r>
        <w:rPr/>
        <w:t>、应收款项融资</w:t>
      </w:r>
      <w:r>
        <w:rPr>
          <w:w w:val="100"/>
        </w:rPr>
        <w:t> </w:t>
      </w:r>
      <w:r>
        <w:rPr>
          <w:rFonts w:ascii="宋体" w:hAnsi="宋体" w:cs="宋体" w:eastAsia="宋体" w:hint="default"/>
          <w:b w:val="0"/>
          <w:bCs w:val="0"/>
        </w:rPr>
        <w:t>无</w:t>
      </w:r>
    </w:p>
    <w:p>
      <w:pPr>
        <w:pStyle w:val="Heading4"/>
        <w:spacing w:line="506" w:lineRule="auto" w:before="104"/>
        <w:ind w:left="573" w:right="1119" w:hanging="421"/>
        <w:jc w:val="left"/>
      </w:pPr>
      <w:bookmarkStart w:name="14、其他应收款" w:id="191"/>
      <w:bookmarkEnd w:id="191"/>
      <w:r>
        <w:rPr/>
      </w:r>
      <w:r>
        <w:rPr>
          <w:rFonts w:ascii="Times New Roman" w:hAnsi="Times New Roman" w:cs="Times New Roman" w:eastAsia="Times New Roman" w:hint="default"/>
          <w:b/>
          <w:bCs/>
        </w:rPr>
        <w:t>14</w:t>
      </w:r>
      <w:r>
        <w:rPr>
          <w:rFonts w:ascii="宋体" w:hAnsi="宋体" w:cs="宋体" w:eastAsia="宋体" w:hint="default"/>
          <w:b/>
          <w:bCs/>
        </w:rPr>
        <w:t>、其他应收款</w:t>
      </w:r>
      <w:r>
        <w:rPr>
          <w:rFonts w:ascii="宋体" w:hAnsi="宋体" w:cs="宋体" w:eastAsia="宋体" w:hint="default"/>
          <w:b/>
          <w:bCs/>
          <w:w w:val="100"/>
        </w:rPr>
        <w:t> </w:t>
      </w:r>
      <w:r>
        <w:rPr>
          <w:spacing w:val="-2"/>
        </w:rPr>
        <w:t>本公司对应收票据的预期信用损失的确定方法及会计处理方法详见本章节五、</w:t>
      </w:r>
      <w:r>
        <w:rPr>
          <w:rFonts w:ascii="Times New Roman" w:hAnsi="Times New Roman" w:cs="Times New Roman" w:eastAsia="Times New Roman" w:hint="default"/>
          <w:spacing w:val="-2"/>
        </w:rPr>
        <w:t>10“</w:t>
      </w:r>
      <w:r>
        <w:rPr>
          <w:spacing w:val="-2"/>
        </w:rPr>
        <w:t>金融工具</w:t>
      </w:r>
      <w:r>
        <w:rPr>
          <w:rFonts w:ascii="Times New Roman" w:hAnsi="Times New Roman" w:cs="Times New Roman" w:eastAsia="Times New Roman" w:hint="default"/>
          <w:spacing w:val="-2"/>
        </w:rPr>
        <w:t>”</w:t>
      </w:r>
      <w:r>
        <w:rPr>
          <w:spacing w:val="-2"/>
        </w:rPr>
        <w:t>。</w:t>
      </w:r>
    </w:p>
    <w:p>
      <w:pPr>
        <w:spacing w:after="0" w:line="506"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0"/>
        <w:jc w:val="both"/>
        <w:rPr>
          <w:b w:val="0"/>
          <w:bCs w:val="0"/>
        </w:rPr>
      </w:pPr>
      <w:bookmarkStart w:name="15、存货" w:id="192"/>
      <w:bookmarkEnd w:id="192"/>
      <w:r>
        <w:rPr>
          <w:b w:val="0"/>
          <w:bCs w:val="0"/>
        </w:rPr>
      </w:r>
      <w:r>
        <w:rPr>
          <w:rFonts w:ascii="Times New Roman" w:hAnsi="Times New Roman" w:cs="Times New Roman" w:eastAsia="Times New Roman" w:hint="default"/>
        </w:rPr>
        <w:t>15</w:t>
      </w:r>
      <w:r>
        <w:rPr/>
        <w:t>、存货</w:t>
      </w:r>
      <w:r>
        <w:rPr>
          <w:b w:val="0"/>
          <w:bCs w:val="0"/>
        </w:rPr>
      </w:r>
    </w:p>
    <w:p>
      <w:pPr>
        <w:spacing w:line="240" w:lineRule="auto" w:before="10"/>
        <w:rPr>
          <w:rFonts w:ascii="宋体" w:hAnsi="宋体" w:cs="宋体" w:eastAsia="宋体" w:hint="default"/>
          <w:b/>
          <w:bCs/>
          <w:sz w:val="24"/>
          <w:szCs w:val="24"/>
        </w:rPr>
      </w:pPr>
    </w:p>
    <w:p>
      <w:pPr>
        <w:pStyle w:val="Heading4"/>
        <w:spacing w:line="256" w:lineRule="auto" w:before="0"/>
        <w:ind w:left="573" w:right="0" w:firstLine="2"/>
        <w:jc w:val="left"/>
      </w:pPr>
      <w:r>
        <w:rPr>
          <w:rFonts w:ascii="Times New Roman" w:hAnsi="Times New Roman" w:cs="Times New Roman" w:eastAsia="Times New Roman" w:hint="default"/>
          <w:b/>
          <w:bCs/>
        </w:rPr>
        <w:t>1.</w:t>
      </w:r>
      <w:r>
        <w:rPr>
          <w:rFonts w:ascii="Times New Roman" w:hAnsi="Times New Roman" w:cs="Times New Roman" w:eastAsia="Times New Roman" w:hint="default"/>
          <w:b/>
          <w:bCs/>
          <w:spacing w:val="50"/>
        </w:rPr>
        <w:t> </w:t>
      </w:r>
      <w:r>
        <w:rPr>
          <w:rFonts w:ascii="宋体" w:hAnsi="宋体" w:cs="宋体" w:eastAsia="宋体" w:hint="default"/>
          <w:b/>
          <w:bCs/>
        </w:rPr>
        <w:t>存货的分类</w:t>
      </w:r>
      <w:r>
        <w:rPr>
          <w:rFonts w:ascii="宋体" w:hAnsi="宋体" w:cs="宋体" w:eastAsia="宋体" w:hint="default"/>
          <w:b/>
          <w:bCs/>
          <w:w w:val="100"/>
        </w:rPr>
        <w:t> </w:t>
      </w:r>
      <w:r>
        <w:rPr>
          <w:spacing w:val="-2"/>
        </w:rPr>
        <w:t>存货包括在日常活动中持有以备出售的产成品或商品、处在生产过程中的在产品、在生产过程或提供</w:t>
      </w:r>
    </w:p>
    <w:p>
      <w:pPr>
        <w:pStyle w:val="Heading4"/>
        <w:spacing w:line="273" w:lineRule="auto" w:before="22"/>
        <w:ind w:right="0"/>
        <w:jc w:val="left"/>
      </w:pPr>
      <w:r>
        <w:rPr/>
        <w:t>劳务过程中耗用的材料和物料等。具体分类为：原材料、低值易耗品、库存商品（包括库存的外购商品、</w:t>
      </w:r>
      <w:r>
        <w:rPr>
          <w:spacing w:val="-24"/>
        </w:rPr>
        <w:t> </w:t>
      </w:r>
      <w:r>
        <w:rPr>
          <w:spacing w:val="-24"/>
        </w:rPr>
      </w:r>
      <w:r>
        <w:rPr/>
        <w:t>自制商品产品、自制半成品等）、开发成本、建造合同形成的已完工未结算资产等。</w:t>
      </w:r>
    </w:p>
    <w:p>
      <w:pPr>
        <w:spacing w:line="256" w:lineRule="auto" w:before="7"/>
        <w:ind w:left="573" w:right="746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Times New Roman" w:hAnsi="Times New Roman" w:cs="Times New Roman" w:eastAsia="Times New Roman" w:hint="default"/>
          <w:b/>
          <w:bCs/>
          <w:spacing w:val="51"/>
          <w:sz w:val="21"/>
          <w:szCs w:val="21"/>
        </w:rPr>
        <w:t> </w:t>
      </w:r>
      <w:r>
        <w:rPr>
          <w:rFonts w:ascii="宋体" w:hAnsi="宋体" w:cs="宋体" w:eastAsia="宋体" w:hint="default"/>
          <w:b/>
          <w:bCs/>
          <w:sz w:val="21"/>
          <w:szCs w:val="21"/>
        </w:rPr>
        <w:t>发出存货的计价方法</w:t>
      </w:r>
      <w:r>
        <w:rPr>
          <w:rFonts w:ascii="宋体" w:hAnsi="宋体" w:cs="宋体" w:eastAsia="宋体" w:hint="default"/>
          <w:b/>
          <w:bCs/>
          <w:w w:val="100"/>
          <w:sz w:val="21"/>
          <w:szCs w:val="21"/>
        </w:rPr>
        <w:t> </w:t>
      </w:r>
      <w:r>
        <w:rPr>
          <w:rFonts w:ascii="宋体" w:hAnsi="宋体" w:cs="宋体" w:eastAsia="宋体" w:hint="default"/>
          <w:spacing w:val="-2"/>
          <w:sz w:val="21"/>
          <w:szCs w:val="21"/>
        </w:rPr>
        <w:t>存货发出时按实际成本核算。</w:t>
      </w:r>
    </w:p>
    <w:p>
      <w:pPr>
        <w:spacing w:line="256" w:lineRule="auto" w:before="22"/>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不同类别存货可变现净值的确定依据</w:t>
      </w:r>
      <w:r>
        <w:rPr>
          <w:rFonts w:ascii="宋体" w:hAnsi="宋体" w:cs="宋体" w:eastAsia="宋体" w:hint="default"/>
          <w:b/>
          <w:bCs/>
          <w:w w:val="100"/>
          <w:sz w:val="21"/>
          <w:szCs w:val="21"/>
        </w:rPr>
        <w:t> </w:t>
      </w:r>
      <w:r>
        <w:rPr>
          <w:rFonts w:ascii="宋体" w:hAnsi="宋体" w:cs="宋体" w:eastAsia="宋体" w:hint="default"/>
          <w:spacing w:val="-2"/>
          <w:sz w:val="21"/>
          <w:szCs w:val="21"/>
        </w:rPr>
        <w:t>产成品、库存商品和用于出售的材料等直接用于出售的商品存货，在正常生产经营过程中，以该存货</w:t>
      </w:r>
    </w:p>
    <w:p>
      <w:pPr>
        <w:pStyle w:val="Heading4"/>
        <w:spacing w:line="273" w:lineRule="auto" w:before="22"/>
        <w:ind w:right="1126"/>
        <w:jc w:val="both"/>
      </w:pPr>
      <w:r>
        <w:rPr>
          <w:spacing w:val="-2"/>
        </w:rPr>
        <w:t>的估计售价减去估计的销售费用和相关税费后的金额，确定其可变现净值；需要经过加工的材料存货，在</w:t>
      </w:r>
      <w:r>
        <w:rPr>
          <w:spacing w:val="-43"/>
        </w:rPr>
        <w:t> </w:t>
      </w:r>
      <w:r>
        <w:rPr>
          <w:spacing w:val="-43"/>
        </w:rPr>
      </w:r>
      <w:r>
        <w:rPr>
          <w:spacing w:val="-2"/>
        </w:rPr>
        <w:t>正常生产经营过程中，以所生产的产成品的估计售价减去至完工时估计将要发生的成本、估计的销售费用</w:t>
      </w:r>
      <w:r>
        <w:rPr>
          <w:spacing w:val="-44"/>
        </w:rPr>
        <w:t> </w:t>
      </w:r>
      <w:r>
        <w:rPr>
          <w:spacing w:val="-44"/>
        </w:rPr>
      </w:r>
      <w:r>
        <w:rPr>
          <w:spacing w:val="-2"/>
        </w:rPr>
        <w:t>和相关税费后的金额，确定其可变现净值；为执行销售合同或者劳务合同而持有的存货，其可变现净值以</w:t>
      </w:r>
      <w:r>
        <w:rPr>
          <w:spacing w:val="-44"/>
        </w:rPr>
        <w:t> </w:t>
      </w:r>
      <w:r>
        <w:rPr>
          <w:spacing w:val="-44"/>
        </w:rPr>
      </w:r>
      <w:r>
        <w:rPr>
          <w:spacing w:val="-2"/>
        </w:rPr>
        <w:t>合同价格为基础计算，若持有存货的数量多于销售合同订购数量的，超出部分的存货的可变现净值以一般</w:t>
      </w:r>
      <w:r>
        <w:rPr>
          <w:spacing w:val="-44"/>
        </w:rPr>
        <w:t> </w:t>
      </w:r>
      <w:r>
        <w:rPr>
          <w:spacing w:val="-44"/>
        </w:rPr>
      </w:r>
      <w:r>
        <w:rPr/>
        <w:t>销售价格为基础计算。</w:t>
      </w:r>
    </w:p>
    <w:p>
      <w:pPr>
        <w:pStyle w:val="Heading4"/>
        <w:spacing w:line="273" w:lineRule="auto"/>
        <w:ind w:right="1126" w:firstLine="420"/>
        <w:jc w:val="both"/>
      </w:pPr>
      <w:r>
        <w:rPr>
          <w:spacing w:val="-2"/>
        </w:rPr>
        <w:t>期末按照单个存货项目计提存货跌价准备；但对于数量繁多、单价较低的存货，按照存货类别计提存</w:t>
      </w:r>
      <w:r>
        <w:rPr>
          <w:w w:val="100"/>
        </w:rPr>
        <w:t> </w:t>
      </w:r>
      <w:r>
        <w:rPr>
          <w:spacing w:val="-2"/>
        </w:rPr>
        <w:t>货跌价准备；与在同一地区生产和销售的产品系列相关、具有相同或类似最终用途或目的，且难以与其他</w:t>
      </w:r>
      <w:r>
        <w:rPr>
          <w:spacing w:val="-44"/>
        </w:rPr>
        <w:t> </w:t>
      </w:r>
      <w:r>
        <w:rPr>
          <w:spacing w:val="-44"/>
        </w:rPr>
      </w:r>
      <w:r>
        <w:rPr/>
        <w:t>项目分开计量的存货，则合并计提存货跌价准备。</w:t>
      </w:r>
    </w:p>
    <w:p>
      <w:pPr>
        <w:pStyle w:val="Heading4"/>
        <w:spacing w:line="273" w:lineRule="auto"/>
        <w:ind w:right="1119" w:firstLine="420"/>
        <w:jc w:val="left"/>
      </w:pPr>
      <w:r>
        <w:rPr>
          <w:spacing w:val="-2"/>
        </w:rPr>
        <w:t>除有明确证据表明资产负债表日市场价格异常外，存货项目的可变现净值以资产负债表日市场价格为</w:t>
      </w:r>
      <w:r>
        <w:rPr>
          <w:w w:val="100"/>
        </w:rPr>
        <w:t> </w:t>
      </w:r>
      <w:r>
        <w:rPr/>
        <w:t>基础确定。</w:t>
      </w:r>
    </w:p>
    <w:p>
      <w:pPr>
        <w:pStyle w:val="Heading4"/>
        <w:spacing w:line="240" w:lineRule="auto"/>
        <w:ind w:left="573" w:right="2602"/>
        <w:jc w:val="left"/>
      </w:pPr>
      <w:r>
        <w:rPr/>
        <w:t>本期期末存货项目的可变现净值以资产负债表日市场价格为基础确定。</w:t>
      </w:r>
    </w:p>
    <w:p>
      <w:pPr>
        <w:spacing w:line="256" w:lineRule="auto" w:before="37"/>
        <w:ind w:left="573" w:right="746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存货的盘存制度</w:t>
      </w:r>
      <w:r>
        <w:rPr>
          <w:rFonts w:ascii="宋体" w:hAnsi="宋体" w:cs="宋体" w:eastAsia="宋体" w:hint="default"/>
          <w:b/>
          <w:bCs/>
          <w:w w:val="100"/>
          <w:sz w:val="21"/>
          <w:szCs w:val="21"/>
        </w:rPr>
        <w:t> </w:t>
      </w:r>
      <w:r>
        <w:rPr>
          <w:rFonts w:ascii="宋体" w:hAnsi="宋体" w:cs="宋体" w:eastAsia="宋体" w:hint="default"/>
          <w:sz w:val="21"/>
          <w:szCs w:val="21"/>
        </w:rPr>
        <w:t>采用永续盘存制。</w:t>
      </w:r>
    </w:p>
    <w:p>
      <w:pPr>
        <w:pStyle w:val="Heading3"/>
        <w:spacing w:line="240" w:lineRule="auto" w:before="22"/>
        <w:ind w:left="575" w:right="2602"/>
        <w:jc w:val="left"/>
        <w:rPr>
          <w:b w:val="0"/>
          <w:bCs w:val="0"/>
        </w:rPr>
      </w:pPr>
      <w:r>
        <w:rPr>
          <w:rFonts w:ascii="Times New Roman" w:hAnsi="Times New Roman" w:cs="Times New Roman" w:eastAsia="Times New Roman" w:hint="default"/>
        </w:rPr>
        <w:t>5. </w:t>
      </w:r>
      <w:r>
        <w:rPr>
          <w:rFonts w:ascii="Times New Roman" w:hAnsi="Times New Roman" w:cs="Times New Roman" w:eastAsia="Times New Roman" w:hint="default"/>
          <w:spacing w:val="1"/>
        </w:rPr>
        <w:t> </w:t>
      </w:r>
      <w:r>
        <w:rPr/>
        <w:t>低值易耗品和包装物的摊销方法</w:t>
      </w:r>
      <w:r>
        <w:rPr>
          <w:b w:val="0"/>
          <w:bCs w:val="0"/>
        </w:rPr>
      </w:r>
    </w:p>
    <w:p>
      <w:pPr>
        <w:pStyle w:val="Heading4"/>
        <w:spacing w:line="240" w:lineRule="auto" w:before="21"/>
        <w:ind w:left="573" w:right="2602"/>
        <w:jc w:val="left"/>
      </w:pPr>
      <w:r>
        <w:rPr/>
        <w:t>（</w:t>
      </w:r>
      <w:r>
        <w:rPr>
          <w:rFonts w:ascii="Times New Roman" w:hAnsi="Times New Roman" w:cs="Times New Roman" w:eastAsia="Times New Roman" w:hint="default"/>
        </w:rPr>
        <w:t>1</w:t>
      </w:r>
      <w:r>
        <w:rPr/>
        <w:t>）低值易耗品采用一次转销法</w:t>
      </w:r>
    </w:p>
    <w:p>
      <w:pPr>
        <w:pStyle w:val="Heading4"/>
        <w:spacing w:line="240" w:lineRule="auto" w:before="21"/>
        <w:ind w:left="573" w:right="2602"/>
        <w:jc w:val="left"/>
      </w:pPr>
      <w:r>
        <w:rPr/>
        <w:t>（</w:t>
      </w:r>
      <w:r>
        <w:rPr>
          <w:rFonts w:ascii="Times New Roman" w:hAnsi="Times New Roman" w:cs="Times New Roman" w:eastAsia="Times New Roman" w:hint="default"/>
        </w:rPr>
        <w:t>2</w:t>
      </w:r>
      <w:r>
        <w:rPr/>
        <w:t>）包装物采用一次转销法</w:t>
      </w:r>
    </w:p>
    <w:p>
      <w:pPr>
        <w:spacing w:line="240" w:lineRule="auto" w:before="7"/>
        <w:rPr>
          <w:rFonts w:ascii="宋体" w:hAnsi="宋体" w:cs="宋体" w:eastAsia="宋体" w:hint="default"/>
          <w:sz w:val="24"/>
          <w:szCs w:val="24"/>
        </w:rPr>
      </w:pPr>
    </w:p>
    <w:p>
      <w:pPr>
        <w:pStyle w:val="Heading3"/>
        <w:spacing w:line="240" w:lineRule="auto"/>
        <w:ind w:right="0"/>
        <w:jc w:val="both"/>
        <w:rPr>
          <w:b w:val="0"/>
          <w:bCs w:val="0"/>
        </w:rPr>
      </w:pPr>
      <w:bookmarkStart w:name="16、合同资产" w:id="193"/>
      <w:bookmarkEnd w:id="193"/>
      <w:r>
        <w:rPr>
          <w:b w:val="0"/>
          <w:bCs w:val="0"/>
        </w:rPr>
      </w:r>
      <w:r>
        <w:rPr>
          <w:rFonts w:ascii="Times New Roman" w:hAnsi="Times New Roman" w:cs="Times New Roman" w:eastAsia="Times New Roman" w:hint="default"/>
        </w:rPr>
        <w:t>16</w:t>
      </w:r>
      <w:r>
        <w:rPr/>
        <w:t>、合同资产</w:t>
      </w:r>
      <w:r>
        <w:rPr>
          <w:b w:val="0"/>
          <w:bCs w:val="0"/>
        </w:rPr>
      </w:r>
    </w:p>
    <w:p>
      <w:pPr>
        <w:spacing w:line="240" w:lineRule="auto" w:before="7"/>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240" w:lineRule="auto"/>
        <w:ind w:right="0"/>
        <w:jc w:val="both"/>
        <w:rPr>
          <w:b w:val="0"/>
          <w:bCs w:val="0"/>
        </w:rPr>
      </w:pPr>
      <w:bookmarkStart w:name="17、合同成本" w:id="194"/>
      <w:bookmarkEnd w:id="194"/>
      <w:r>
        <w:rPr>
          <w:b w:val="0"/>
          <w:bCs w:val="0"/>
        </w:rPr>
      </w:r>
      <w:r>
        <w:rPr>
          <w:rFonts w:ascii="Times New Roman" w:hAnsi="Times New Roman" w:cs="Times New Roman" w:eastAsia="Times New Roman" w:hint="default"/>
        </w:rPr>
        <w:t>17</w:t>
      </w:r>
      <w:r>
        <w:rPr/>
        <w:t>、合同成本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590" w:lineRule="atLeast" w:before="38"/>
        <w:ind w:left="573" w:right="2602" w:hanging="421"/>
        <w:jc w:val="left"/>
        <w:rPr>
          <w:rFonts w:ascii="宋体" w:hAnsi="宋体" w:cs="宋体" w:eastAsia="宋体" w:hint="default"/>
          <w:sz w:val="21"/>
          <w:szCs w:val="21"/>
        </w:rPr>
      </w:pPr>
      <w:bookmarkStart w:name="18、持有待售资产" w:id="195"/>
      <w:bookmarkEnd w:id="195"/>
      <w:r>
        <w:rPr/>
      </w: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、持有待售资产</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本公司将同时满足下列条件的非流动资产或处置组划分为持有待售类别：</w:t>
      </w:r>
    </w:p>
    <w:p>
      <w:pPr>
        <w:pStyle w:val="Heading4"/>
        <w:spacing w:line="240" w:lineRule="auto" w:before="37"/>
        <w:ind w:left="573" w:right="2602"/>
        <w:jc w:val="left"/>
      </w:pPr>
      <w:r>
        <w:rPr/>
        <w:t>（</w:t>
      </w:r>
      <w:r>
        <w:rPr>
          <w:rFonts w:ascii="Times New Roman" w:hAnsi="Times New Roman" w:cs="Times New Roman" w:eastAsia="Times New Roman" w:hint="default"/>
        </w:rPr>
        <w:t>1</w:t>
      </w:r>
      <w:r>
        <w:rPr/>
        <w:t>）根据类似交易中出售此类资产或处置组的惯例，在当前状况下即可立即出售；</w:t>
      </w:r>
    </w:p>
    <w:p>
      <w:pPr>
        <w:pStyle w:val="Heading4"/>
        <w:spacing w:line="256" w:lineRule="auto" w:before="21"/>
        <w:ind w:right="0" w:firstLine="420"/>
        <w:jc w:val="left"/>
      </w:pPr>
      <w:r>
        <w:rPr/>
        <w:t>（</w:t>
      </w:r>
      <w:r>
        <w:rPr>
          <w:rFonts w:ascii="Times New Roman" w:hAnsi="Times New Roman" w:cs="Times New Roman" w:eastAsia="Times New Roman" w:hint="default"/>
        </w:rPr>
        <w:t>2</w:t>
      </w:r>
      <w:r>
        <w:rPr/>
        <w:t>）出售极可能发生，即本公司已经就一项出售计划作出决议且获得确定的购买承诺，预计出售将</w:t>
      </w:r>
      <w:r>
        <w:rPr>
          <w:w w:val="100"/>
        </w:rPr>
        <w:t> </w:t>
      </w:r>
      <w:r>
        <w:rPr/>
        <w:t>在一年内完成。有关规定要求本公司相关权力机构或者监管部门批准后方可出售的，已经获得批准。</w:t>
      </w:r>
    </w:p>
    <w:p>
      <w:pPr>
        <w:spacing w:line="240" w:lineRule="auto" w:before="8"/>
        <w:rPr>
          <w:rFonts w:ascii="宋体" w:hAnsi="宋体" w:cs="宋体" w:eastAsia="宋体" w:hint="default"/>
          <w:sz w:val="24"/>
          <w:szCs w:val="24"/>
        </w:rPr>
      </w:pPr>
    </w:p>
    <w:p>
      <w:pPr>
        <w:pStyle w:val="Heading3"/>
        <w:spacing w:line="240" w:lineRule="auto"/>
        <w:ind w:right="0"/>
        <w:jc w:val="both"/>
        <w:rPr>
          <w:b w:val="0"/>
          <w:bCs w:val="0"/>
        </w:rPr>
      </w:pPr>
      <w:bookmarkStart w:name="19、债权投资" w:id="196"/>
      <w:bookmarkEnd w:id="196"/>
      <w:r>
        <w:rPr>
          <w:b w:val="0"/>
          <w:bCs w:val="0"/>
        </w:rPr>
      </w:r>
      <w:r>
        <w:rPr>
          <w:rFonts w:ascii="Times New Roman" w:hAnsi="Times New Roman" w:cs="Times New Roman" w:eastAsia="Times New Roman" w:hint="default"/>
        </w:rPr>
        <w:t>19</w:t>
      </w:r>
      <w:r>
        <w:rPr/>
        <w:t>、债权投资</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506" w:lineRule="auto" w:before="36"/>
        <w:ind w:left="573" w:right="9068" w:hanging="421"/>
        <w:jc w:val="left"/>
        <w:rPr>
          <w:rFonts w:ascii="宋体" w:hAnsi="宋体" w:cs="宋体" w:eastAsia="宋体" w:hint="default"/>
          <w:b w:val="0"/>
          <w:bCs w:val="0"/>
        </w:rPr>
      </w:pPr>
      <w:bookmarkStart w:name="20、其他债权投资" w:id="197"/>
      <w:bookmarkEnd w:id="197"/>
      <w:r>
        <w:rPr>
          <w:b w:val="0"/>
          <w:bCs w:val="0"/>
        </w:rPr>
      </w:r>
      <w:r>
        <w:rPr>
          <w:rFonts w:ascii="Times New Roman" w:hAnsi="Times New Roman" w:cs="Times New Roman" w:eastAsia="Times New Roman" w:hint="default"/>
        </w:rPr>
        <w:t>20</w:t>
      </w:r>
      <w:r>
        <w:rPr/>
        <w:t>、其他债权投资</w:t>
      </w:r>
      <w:r>
        <w:rPr>
          <w:w w:val="100"/>
        </w:rPr>
        <w:t> </w:t>
      </w:r>
      <w:r>
        <w:rPr>
          <w:rFonts w:ascii="宋体" w:hAnsi="宋体" w:cs="宋体" w:eastAsia="宋体" w:hint="default"/>
          <w:b w:val="0"/>
          <w:bCs w:val="0"/>
        </w:rPr>
        <w:t>无</w:t>
      </w:r>
    </w:p>
    <w:p>
      <w:pPr>
        <w:pStyle w:val="Heading3"/>
        <w:spacing w:line="506" w:lineRule="auto" w:before="104"/>
        <w:ind w:left="573" w:right="9279" w:hanging="421"/>
        <w:jc w:val="left"/>
        <w:rPr>
          <w:rFonts w:ascii="宋体" w:hAnsi="宋体" w:cs="宋体" w:eastAsia="宋体" w:hint="default"/>
          <w:b w:val="0"/>
          <w:bCs w:val="0"/>
        </w:rPr>
      </w:pPr>
      <w:bookmarkStart w:name="21、长期应收款" w:id="198"/>
      <w:bookmarkEnd w:id="198"/>
      <w:r>
        <w:rPr>
          <w:b w:val="0"/>
          <w:bCs w:val="0"/>
        </w:rPr>
      </w:r>
      <w:r>
        <w:rPr>
          <w:rFonts w:ascii="Times New Roman" w:hAnsi="Times New Roman" w:cs="Times New Roman" w:eastAsia="Times New Roman" w:hint="default"/>
        </w:rPr>
        <w:t>21</w:t>
      </w:r>
      <w:r>
        <w:rPr/>
        <w:t>、长期应收款</w:t>
      </w:r>
      <w:r>
        <w:rPr>
          <w:w w:val="100"/>
        </w:rPr>
        <w:t> </w:t>
      </w:r>
      <w:r>
        <w:rPr>
          <w:rFonts w:ascii="宋体" w:hAnsi="宋体" w:cs="宋体" w:eastAsia="宋体" w:hint="default"/>
          <w:b w:val="0"/>
          <w:bCs w:val="0"/>
        </w:rPr>
        <w:t>无</w:t>
      </w:r>
    </w:p>
    <w:p>
      <w:pPr>
        <w:pStyle w:val="Heading3"/>
        <w:spacing w:line="240" w:lineRule="auto" w:before="104"/>
        <w:ind w:right="0"/>
        <w:jc w:val="both"/>
        <w:rPr>
          <w:b w:val="0"/>
          <w:bCs w:val="0"/>
        </w:rPr>
      </w:pPr>
      <w:bookmarkStart w:name="22、长期股权投资" w:id="199"/>
      <w:bookmarkEnd w:id="199"/>
      <w:r>
        <w:rPr>
          <w:b w:val="0"/>
          <w:bCs w:val="0"/>
        </w:rPr>
      </w:r>
      <w:r>
        <w:rPr>
          <w:rFonts w:ascii="Times New Roman" w:hAnsi="Times New Roman" w:cs="Times New Roman" w:eastAsia="Times New Roman" w:hint="default"/>
        </w:rPr>
        <w:t>22</w:t>
      </w:r>
      <w:r>
        <w:rPr/>
        <w:t>、长期股权投资</w:t>
      </w:r>
      <w:r>
        <w:rPr>
          <w:b w:val="0"/>
          <w:bCs w:val="0"/>
        </w:rPr>
      </w:r>
    </w:p>
    <w:p>
      <w:pPr>
        <w:spacing w:line="240" w:lineRule="auto" w:before="10"/>
        <w:rPr>
          <w:rFonts w:ascii="宋体" w:hAnsi="宋体" w:cs="宋体" w:eastAsia="宋体" w:hint="default"/>
          <w:b/>
          <w:bCs/>
          <w:sz w:val="24"/>
          <w:szCs w:val="24"/>
        </w:rPr>
      </w:pPr>
    </w:p>
    <w:p>
      <w:pPr>
        <w:spacing w:line="256" w:lineRule="auto" w:before="0"/>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共同控制、重大影响的判断标准</w:t>
      </w:r>
      <w:r>
        <w:rPr>
          <w:rFonts w:ascii="宋体" w:hAnsi="宋体" w:cs="宋体" w:eastAsia="宋体" w:hint="default"/>
          <w:b/>
          <w:bCs/>
          <w:w w:val="100"/>
          <w:sz w:val="21"/>
          <w:szCs w:val="21"/>
        </w:rPr>
        <w:t> </w:t>
      </w:r>
      <w:r>
        <w:rPr>
          <w:rFonts w:ascii="宋体" w:hAnsi="宋体" w:cs="宋体" w:eastAsia="宋体" w:hint="default"/>
          <w:spacing w:val="-2"/>
          <w:sz w:val="21"/>
          <w:szCs w:val="21"/>
        </w:rPr>
        <w:t>共同控制，是指按照相关约定对某项安排所共有的控制，并且该安排的相关活动必须经过分享控制权</w:t>
      </w:r>
    </w:p>
    <w:p>
      <w:pPr>
        <w:pStyle w:val="Heading4"/>
        <w:spacing w:line="273" w:lineRule="auto" w:before="23"/>
        <w:ind w:right="1126"/>
        <w:jc w:val="both"/>
      </w:pPr>
      <w:r>
        <w:rPr>
          <w:spacing w:val="-2"/>
        </w:rPr>
        <w:t>的参与方一致同意后才能决策。本公司与其他合营方一同对被投资单位实施共同控制且对被投资单位净资</w:t>
      </w:r>
      <w:r>
        <w:rPr>
          <w:spacing w:val="-43"/>
        </w:rPr>
        <w:t> </w:t>
      </w:r>
      <w:r>
        <w:rPr>
          <w:spacing w:val="-43"/>
        </w:rPr>
      </w:r>
      <w:r>
        <w:rPr/>
        <w:t>产享有权利的，被投资单位为本公司的合营企业。</w:t>
      </w:r>
    </w:p>
    <w:p>
      <w:pPr>
        <w:pStyle w:val="Heading4"/>
        <w:spacing w:line="273" w:lineRule="auto"/>
        <w:ind w:right="1126" w:firstLine="420"/>
        <w:jc w:val="both"/>
      </w:pPr>
      <w:r>
        <w:rPr>
          <w:spacing w:val="-2"/>
        </w:rPr>
        <w:t>重大影响，是指对一个企业的财务和经营决策有参与决策的权力，但并不能够控制或者与其他方一起</w:t>
      </w:r>
      <w:r>
        <w:rPr>
          <w:w w:val="100"/>
        </w:rPr>
        <w:t> </w:t>
      </w:r>
      <w:r>
        <w:rPr/>
        <w:t>共同控制这些政策的制定。本公司能够对被投资单位施加重大影响的，被投资单位为本公司联营企业。</w:t>
      </w:r>
    </w:p>
    <w:p>
      <w:pPr>
        <w:pStyle w:val="Heading3"/>
        <w:spacing w:line="240" w:lineRule="auto" w:before="7"/>
        <w:ind w:left="575" w:right="2602"/>
        <w:jc w:val="left"/>
        <w:rPr>
          <w:b w:val="0"/>
          <w:bCs w:val="0"/>
        </w:rPr>
      </w:pPr>
      <w:r>
        <w:rPr>
          <w:rFonts w:ascii="Times New Roman" w:hAnsi="Times New Roman" w:cs="Times New Roman" w:eastAsia="Times New Roman" w:hint="default"/>
          <w:i/>
        </w:rPr>
        <w:t>2</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初始投资成本的确定</w:t>
      </w:r>
      <w:r>
        <w:rPr>
          <w:b w:val="0"/>
          <w:bCs w:val="0"/>
        </w:rPr>
      </w:r>
    </w:p>
    <w:p>
      <w:pPr>
        <w:pStyle w:val="Heading4"/>
        <w:spacing w:line="256" w:lineRule="auto" w:before="21"/>
        <w:ind w:left="573" w:right="0"/>
        <w:jc w:val="left"/>
      </w:pPr>
      <w:r>
        <w:rPr/>
        <w:t>（</w:t>
      </w:r>
      <w:r>
        <w:rPr>
          <w:rFonts w:ascii="Times New Roman" w:hAnsi="Times New Roman" w:cs="Times New Roman" w:eastAsia="Times New Roman" w:hint="default"/>
        </w:rPr>
        <w:t>1</w:t>
      </w:r>
      <w:r>
        <w:rPr/>
        <w:t>）企业合并形成的长期股权投资</w:t>
      </w:r>
      <w:r>
        <w:rPr>
          <w:w w:val="100"/>
        </w:rPr>
        <w:t> </w:t>
      </w:r>
      <w:r>
        <w:rPr>
          <w:spacing w:val="-2"/>
        </w:rPr>
        <w:t>同一控制下的企业合并：公司以支付现金、转让非现金资产或承担债务方式以及以发行权益性证券作</w:t>
      </w:r>
    </w:p>
    <w:p>
      <w:pPr>
        <w:pStyle w:val="Heading4"/>
        <w:spacing w:line="273" w:lineRule="auto" w:before="22"/>
        <w:ind w:right="1126"/>
        <w:jc w:val="both"/>
      </w:pPr>
      <w:r>
        <w:rPr>
          <w:spacing w:val="-2"/>
        </w:rPr>
        <w:t>为合并对价的，在合并日按照取得被合并方所有者权益在最终控制方合并财务报表中的账面价值的份额作</w:t>
      </w:r>
      <w:r>
        <w:rPr>
          <w:spacing w:val="-43"/>
        </w:rPr>
        <w:t> </w:t>
      </w:r>
      <w:r>
        <w:rPr>
          <w:spacing w:val="-43"/>
        </w:rPr>
      </w:r>
      <w:r>
        <w:rPr>
          <w:spacing w:val="-2"/>
        </w:rPr>
        <w:t>为长期股权投资的初始投资成本。因追加投资等原因能够对同一控制下的被投资单位实施控制的，在合并</w:t>
      </w:r>
      <w:r>
        <w:rPr>
          <w:spacing w:val="-44"/>
        </w:rPr>
        <w:t> </w:t>
      </w:r>
      <w:r>
        <w:rPr>
          <w:spacing w:val="-44"/>
        </w:rPr>
      </w:r>
      <w:r>
        <w:rPr>
          <w:spacing w:val="-2"/>
        </w:rPr>
        <w:t>日根据合并后应享有被合并方净资产在最终控制方合并财务报表中的账面价值的份额，确定长期股权投资</w:t>
      </w:r>
      <w:r>
        <w:rPr>
          <w:spacing w:val="-43"/>
        </w:rPr>
        <w:t> </w:t>
      </w:r>
      <w:r>
        <w:rPr>
          <w:spacing w:val="-43"/>
        </w:rPr>
      </w:r>
      <w:r>
        <w:rPr>
          <w:spacing w:val="-2"/>
        </w:rPr>
        <w:t>的初始投资成本。合并日长期股权投资的初始投资成本，与达到合并前的长期股权投资账面价值加上合并</w:t>
      </w:r>
      <w:r>
        <w:rPr>
          <w:spacing w:val="-43"/>
        </w:rPr>
        <w:t> </w:t>
      </w:r>
      <w:r>
        <w:rPr>
          <w:spacing w:val="-43"/>
        </w:rPr>
      </w:r>
      <w:r>
        <w:rPr>
          <w:spacing w:val="-2"/>
        </w:rPr>
        <w:t>日进一步取得股份新支付对价的账面价值之和的差额，调整股本溢价，股本溢价不足冲减的，冲减留存收</w:t>
      </w:r>
      <w:r>
        <w:rPr>
          <w:spacing w:val="-43"/>
        </w:rPr>
        <w:t> </w:t>
      </w:r>
      <w:r>
        <w:rPr>
          <w:spacing w:val="-43"/>
        </w:rPr>
      </w:r>
      <w:r>
        <w:rPr/>
        <w:t>益。</w:t>
      </w:r>
    </w:p>
    <w:p>
      <w:pPr>
        <w:pStyle w:val="Heading4"/>
        <w:spacing w:line="273" w:lineRule="auto"/>
        <w:ind w:right="1126" w:firstLine="420"/>
        <w:jc w:val="both"/>
      </w:pPr>
      <w:r>
        <w:rPr>
          <w:spacing w:val="-2"/>
        </w:rPr>
        <w:t>非同一控制下的企业合并：公司按照购买日确定的合并成本作为长期股权投资的初始投资成本。因追</w:t>
      </w:r>
      <w:r>
        <w:rPr>
          <w:w w:val="100"/>
        </w:rPr>
        <w:t> </w:t>
      </w:r>
      <w:r>
        <w:rPr>
          <w:spacing w:val="-2"/>
        </w:rPr>
        <w:t>加投资等原因能够对非同一控制下的被投资单位实施控制的，按照原持有的股权投资账面价值加上新增投</w:t>
      </w:r>
      <w:r>
        <w:rPr>
          <w:spacing w:val="-43"/>
        </w:rPr>
        <w:t> </w:t>
      </w:r>
      <w:r>
        <w:rPr>
          <w:spacing w:val="-43"/>
        </w:rPr>
      </w:r>
      <w:r>
        <w:rPr/>
        <w:t>资成本之和，作为改按成本法核算的初始投资成本。</w:t>
      </w:r>
    </w:p>
    <w:p>
      <w:pPr>
        <w:pStyle w:val="Heading4"/>
        <w:spacing w:line="266" w:lineRule="auto"/>
        <w:ind w:left="573" w:right="0"/>
        <w:jc w:val="left"/>
      </w:pPr>
      <w:r>
        <w:rPr/>
        <w:t>（</w:t>
      </w:r>
      <w:r>
        <w:rPr>
          <w:rFonts w:ascii="Times New Roman" w:hAnsi="Times New Roman" w:cs="Times New Roman" w:eastAsia="Times New Roman" w:hint="default"/>
        </w:rPr>
        <w:t>2</w:t>
      </w:r>
      <w:r>
        <w:rPr/>
        <w:t>）其他方式取得的长期股权投资</w:t>
      </w:r>
      <w:r>
        <w:rPr>
          <w:w w:val="100"/>
        </w:rPr>
        <w:t> </w:t>
      </w:r>
      <w:r>
        <w:rPr/>
        <w:t>以支付现金方式取得的长期股权投资，按照实际支付的购买价款作为初始投资成本。</w:t>
      </w:r>
      <w:r>
        <w:rPr>
          <w:w w:val="100"/>
        </w:rPr>
        <w:t> </w:t>
      </w:r>
      <w:r>
        <w:rPr/>
        <w:t>以发行权益性证券取得的长期股权投资，按照发行权益性证券的公允价值作为初始投资成本。</w:t>
      </w:r>
      <w:r>
        <w:rPr>
          <w:w w:val="100"/>
        </w:rPr>
        <w:t> </w:t>
      </w:r>
      <w:r>
        <w:rPr>
          <w:spacing w:val="-2"/>
        </w:rPr>
        <w:t>在非货币性资产交换具有商业实质，且换入资产或换出资产的公允价值能够可靠计量时，以公允价值</w:t>
      </w:r>
    </w:p>
    <w:p>
      <w:pPr>
        <w:pStyle w:val="Heading4"/>
        <w:spacing w:line="273" w:lineRule="auto" w:before="14"/>
        <w:ind w:right="1126"/>
        <w:jc w:val="both"/>
      </w:pPr>
      <w:r>
        <w:rPr>
          <w:spacing w:val="-2"/>
        </w:rPr>
        <w:t>为基础计量。如换入资产和换出资产的公允价值均能可靠计量的，对于换入的长期股权投资，以换出资产</w:t>
      </w:r>
      <w:r>
        <w:rPr>
          <w:spacing w:val="-44"/>
        </w:rPr>
        <w:t> </w:t>
      </w:r>
      <w:r>
        <w:rPr>
          <w:spacing w:val="-44"/>
        </w:rPr>
      </w:r>
      <w:r>
        <w:rPr>
          <w:spacing w:val="-2"/>
        </w:rPr>
        <w:t>的公允价值和应支付的相关税费作为换入的长期股权投资的初始投资成本，除非有确凿证据表明换入资产</w:t>
      </w:r>
      <w:r>
        <w:rPr>
          <w:spacing w:val="-43"/>
        </w:rPr>
        <w:t> </w:t>
      </w:r>
      <w:r>
        <w:rPr>
          <w:spacing w:val="-43"/>
        </w:rPr>
      </w:r>
      <w:r>
        <w:rPr>
          <w:spacing w:val="-2"/>
        </w:rPr>
        <w:t>的公允价值更加可靠。非货币性资产交换不具有商业实质，或换入资产和换出资产的公允价值均不能可靠</w:t>
      </w:r>
      <w:r>
        <w:rPr>
          <w:spacing w:val="-44"/>
        </w:rPr>
        <w:t> </w:t>
      </w:r>
      <w:r>
        <w:rPr>
          <w:spacing w:val="-44"/>
        </w:rPr>
      </w:r>
      <w:r>
        <w:rPr>
          <w:spacing w:val="-2"/>
        </w:rPr>
        <w:t>计量的，对于换入的长期股权投资，以换出资产的账面价值和应支付的相关税费作为换入长期股权投资的</w:t>
      </w:r>
      <w:r>
        <w:rPr>
          <w:spacing w:val="-43"/>
        </w:rPr>
        <w:t> </w:t>
      </w:r>
      <w:r>
        <w:rPr>
          <w:spacing w:val="-43"/>
        </w:rPr>
      </w:r>
      <w:r>
        <w:rPr/>
        <w:t>初始投资成本。</w:t>
      </w:r>
    </w:p>
    <w:p>
      <w:pPr>
        <w:pStyle w:val="Heading4"/>
        <w:spacing w:line="273" w:lineRule="auto"/>
        <w:ind w:right="1126" w:firstLine="420"/>
        <w:jc w:val="both"/>
      </w:pPr>
      <w:r>
        <w:rPr>
          <w:spacing w:val="-2"/>
        </w:rPr>
        <w:t>通过债务重组取得的长期股权投资，以所放弃债权的公允价值和可直接归属于该资产的税金等其他成</w:t>
      </w:r>
      <w:r>
        <w:rPr>
          <w:w w:val="100"/>
        </w:rPr>
        <w:t> </w:t>
      </w:r>
      <w:r>
        <w:rPr/>
        <w:t>本确定其入账价值，并将所放弃债权的公允价值与账面价值之间的差额，计入当期损益。</w:t>
      </w:r>
    </w:p>
    <w:p>
      <w:pPr>
        <w:pStyle w:val="Heading3"/>
        <w:spacing w:line="240" w:lineRule="auto" w:before="7"/>
        <w:ind w:left="575" w:right="2602"/>
        <w:jc w:val="left"/>
        <w:rPr>
          <w:b w:val="0"/>
          <w:bCs w:val="0"/>
        </w:rPr>
      </w:pPr>
      <w:r>
        <w:rPr>
          <w:rFonts w:ascii="Times New Roman" w:hAnsi="Times New Roman" w:cs="Times New Roman" w:eastAsia="Times New Roman" w:hint="default"/>
        </w:rPr>
        <w:t>3.  </w:t>
      </w:r>
      <w:r>
        <w:rPr/>
        <w:t>后续计量及损益确认方法</w:t>
      </w:r>
      <w:r>
        <w:rPr>
          <w:b w:val="0"/>
          <w:bCs w:val="0"/>
        </w:rPr>
      </w:r>
    </w:p>
    <w:p>
      <w:pPr>
        <w:pStyle w:val="Heading4"/>
        <w:spacing w:line="256" w:lineRule="auto" w:before="21"/>
        <w:ind w:left="573" w:right="0"/>
        <w:jc w:val="left"/>
      </w:pPr>
      <w:r>
        <w:rPr/>
        <w:t>（</w:t>
      </w:r>
      <w:r>
        <w:rPr>
          <w:rFonts w:ascii="Times New Roman" w:hAnsi="Times New Roman" w:cs="Times New Roman" w:eastAsia="Times New Roman" w:hint="default"/>
        </w:rPr>
        <w:t>1</w:t>
      </w:r>
      <w:r>
        <w:rPr/>
        <w:t>）成本法核算的长期股权投资</w:t>
      </w:r>
      <w:r>
        <w:rPr>
          <w:w w:val="100"/>
        </w:rPr>
        <w:t> </w:t>
      </w:r>
      <w:r>
        <w:rPr>
          <w:spacing w:val="-2"/>
        </w:rPr>
        <w:t>公司对子公司的长期股权投资，采用成本法核算。除取得投资时实际支付的价款或对价中包含的已宣</w:t>
      </w:r>
    </w:p>
    <w:p>
      <w:pPr>
        <w:pStyle w:val="Heading4"/>
        <w:spacing w:line="273" w:lineRule="auto" w:before="22"/>
        <w:ind w:right="1126"/>
        <w:jc w:val="both"/>
      </w:pPr>
      <w:r>
        <w:rPr>
          <w:spacing w:val="-2"/>
        </w:rPr>
        <w:t>告但尚未发放的现金股利或利润外，公司按照享有被投资单位宣告发放的现金股利或利润确认当期投资收</w:t>
      </w:r>
      <w:r>
        <w:rPr>
          <w:spacing w:val="-43"/>
        </w:rPr>
        <w:t> </w:t>
      </w:r>
      <w:r>
        <w:rPr>
          <w:spacing w:val="-43"/>
        </w:rPr>
      </w:r>
      <w:r>
        <w:rPr/>
        <w:t>益。</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56" w:lineRule="auto" w:before="36"/>
        <w:ind w:left="573" w:right="0"/>
        <w:jc w:val="left"/>
      </w:pPr>
      <w:r>
        <w:rPr/>
        <w:t>（</w:t>
      </w:r>
      <w:r>
        <w:rPr>
          <w:rFonts w:ascii="Times New Roman" w:hAnsi="Times New Roman" w:cs="Times New Roman" w:eastAsia="Times New Roman" w:hint="default"/>
        </w:rPr>
        <w:t>2</w:t>
      </w:r>
      <w:r>
        <w:rPr/>
        <w:t>）权益法核算的长期股权投资</w:t>
      </w:r>
      <w:r>
        <w:rPr>
          <w:w w:val="100"/>
        </w:rPr>
        <w:t> </w:t>
      </w:r>
      <w:r>
        <w:rPr>
          <w:spacing w:val="-2"/>
        </w:rPr>
        <w:t>对联营企业和合营企业的长期股权投资，采用权益法核算。初始投资成本大于投资时应享有被投资单</w:t>
      </w:r>
    </w:p>
    <w:p>
      <w:pPr>
        <w:pStyle w:val="Heading4"/>
        <w:spacing w:line="273" w:lineRule="auto" w:before="22"/>
        <w:ind w:right="0"/>
        <w:jc w:val="left"/>
      </w:pPr>
      <w:r>
        <w:rPr>
          <w:spacing w:val="-2"/>
        </w:rPr>
        <w:t>位可辨认净资产公允价值份额的差额，不调整长期股权投资的初始投资成本；初始投资成本小于投资时应</w:t>
      </w:r>
      <w:r>
        <w:rPr>
          <w:spacing w:val="-44"/>
        </w:rPr>
        <w:t> </w:t>
      </w:r>
      <w:r>
        <w:rPr>
          <w:spacing w:val="-44"/>
        </w:rPr>
      </w:r>
      <w:r>
        <w:rPr/>
        <w:t>享有被投资单位可辨认净资产公允价值份额的差额，计入当期损益。</w:t>
      </w:r>
    </w:p>
    <w:p>
      <w:pPr>
        <w:pStyle w:val="Heading4"/>
        <w:spacing w:line="273" w:lineRule="auto"/>
        <w:ind w:right="1126" w:firstLine="420"/>
        <w:jc w:val="both"/>
      </w:pPr>
      <w:r>
        <w:rPr>
          <w:spacing w:val="-2"/>
        </w:rPr>
        <w:t>公司按照应享有或应分担的被投资单位实现的净损益和其他综合收益的份额，分别确认投资收益和其</w:t>
      </w:r>
      <w:r>
        <w:rPr>
          <w:w w:val="100"/>
        </w:rPr>
        <w:t> </w:t>
      </w:r>
      <w:r>
        <w:rPr>
          <w:spacing w:val="-2"/>
        </w:rPr>
        <w:t>他综合收益，同时调整长期股权投资的账面价值；按照被投资单位宣告分派的利润或现金股利计算应享有</w:t>
      </w:r>
      <w:r>
        <w:rPr>
          <w:spacing w:val="-43"/>
        </w:rPr>
        <w:t> </w:t>
      </w:r>
      <w:r>
        <w:rPr>
          <w:spacing w:val="-43"/>
        </w:rPr>
      </w:r>
      <w:r>
        <w:rPr>
          <w:spacing w:val="-2"/>
        </w:rPr>
        <w:t>的部分，相应减少长期股权投资的账面价值；对于被投资单位除净损益、其他综合收益和利润分配以外所</w:t>
      </w:r>
      <w:r>
        <w:rPr>
          <w:spacing w:val="-42"/>
        </w:rPr>
        <w:t> </w:t>
      </w:r>
      <w:r>
        <w:rPr>
          <w:spacing w:val="-42"/>
        </w:rPr>
      </w:r>
      <w:r>
        <w:rPr/>
        <w:t>有者权益的其他变动，调整长期股权投资的账面价值并计入所有者权益。</w:t>
      </w:r>
    </w:p>
    <w:p>
      <w:pPr>
        <w:pStyle w:val="Heading4"/>
        <w:spacing w:line="273" w:lineRule="auto"/>
        <w:ind w:right="0" w:firstLine="420"/>
        <w:jc w:val="left"/>
      </w:pPr>
      <w:r>
        <w:rPr>
          <w:spacing w:val="-2"/>
        </w:rPr>
        <w:t>在确认应享有被投资单位净损益的份额时，以取得投资时被投资单位可辨认净资产的公允价值为基础，</w:t>
      </w:r>
      <w:r>
        <w:rPr>
          <w:w w:val="100"/>
        </w:rPr>
        <w:t> </w:t>
      </w:r>
      <w:r>
        <w:rPr/>
        <w:t>并按照公司的会计政策及会计期间，对被投资单位的净利润进行调整后确认。在持有投资期间，被投资单</w:t>
      </w:r>
      <w:r>
        <w:rPr>
          <w:w w:val="100"/>
        </w:rPr>
        <w:t> </w:t>
      </w:r>
      <w:r>
        <w:rPr/>
        <w:t>位编制合并财务报表的，以合并财务报表中的净利润、其他综合收益和其他所有者权益变动中归属于被投</w:t>
      </w:r>
      <w:r>
        <w:rPr>
          <w:w w:val="100"/>
        </w:rPr>
        <w:t> </w:t>
      </w:r>
      <w:r>
        <w:rPr/>
        <w:t>资单位的金额为基础进行核算。</w:t>
      </w:r>
    </w:p>
    <w:p>
      <w:pPr>
        <w:pStyle w:val="Heading4"/>
        <w:spacing w:line="268" w:lineRule="auto" w:before="8"/>
        <w:ind w:right="0" w:firstLine="420"/>
        <w:jc w:val="left"/>
      </w:pPr>
      <w:r>
        <w:rPr>
          <w:spacing w:val="-2"/>
        </w:rPr>
        <w:t>公司与联营企业、合营企业之间发生的未实现内部交易损益按照应享有的比例计算归属于公司的部分，</w:t>
      </w:r>
      <w:r>
        <w:rPr>
          <w:w w:val="100"/>
        </w:rPr>
        <w:t> </w:t>
      </w:r>
      <w:r>
        <w:rPr/>
        <w:t>予以抵销，在此基础上确认投资收益。与被投资单位发生的未实现内部交易损失，属于资产减值损失的，</w:t>
      </w:r>
      <w:r>
        <w:rPr>
          <w:spacing w:val="-22"/>
        </w:rPr>
        <w:t> </w:t>
      </w:r>
      <w:r>
        <w:rPr>
          <w:spacing w:val="-22"/>
        </w:rPr>
      </w:r>
      <w:r>
        <w:rPr/>
        <w:t>全额确认。公司与联营企业、合营企业之间发生投出或出售资产的交易，该资产构成业务的，按照本章节</w:t>
      </w:r>
      <w:r>
        <w:rPr>
          <w:w w:val="100"/>
        </w:rPr>
        <w:t> </w:t>
      </w:r>
      <w:r>
        <w:rPr>
          <w:rFonts w:ascii="Times New Roman" w:hAnsi="Times New Roman" w:cs="Times New Roman" w:eastAsia="Times New Roman" w:hint="default"/>
        </w:rPr>
        <w:t>“</w:t>
      </w:r>
      <w:r>
        <w:rPr/>
        <w:t>五、</w:t>
      </w:r>
      <w:r>
        <w:rPr>
          <w:rFonts w:ascii="宋体" w:hAnsi="宋体" w:cs="宋体" w:eastAsia="宋体" w:hint="default"/>
        </w:rPr>
        <w:t>5</w:t>
      </w:r>
      <w:r>
        <w:rPr/>
        <w:t>、同一控制下和非同一控制下企业合并的会计处理方法</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五、</w:t>
      </w:r>
      <w:r>
        <w:rPr>
          <w:rFonts w:ascii="宋体" w:hAnsi="宋体" w:cs="宋体" w:eastAsia="宋体" w:hint="default"/>
        </w:rPr>
        <w:t>6</w:t>
      </w:r>
      <w:r>
        <w:rPr/>
        <w:t>、合并财务报表的编制方法</w:t>
      </w:r>
      <w:r>
        <w:rPr>
          <w:rFonts w:ascii="Times New Roman" w:hAnsi="Times New Roman" w:cs="Times New Roman" w:eastAsia="Times New Roman" w:hint="default"/>
        </w:rPr>
        <w:t>”</w:t>
      </w:r>
      <w:r>
        <w:rPr/>
        <w:t>中披</w:t>
      </w:r>
      <w:r>
        <w:rPr>
          <w:spacing w:val="-92"/>
        </w:rPr>
        <w:t> </w:t>
      </w:r>
      <w:r>
        <w:rPr/>
        <w:t>露的相关政策进行会计处理。</w:t>
      </w:r>
    </w:p>
    <w:p>
      <w:pPr>
        <w:pStyle w:val="Heading4"/>
        <w:spacing w:line="273" w:lineRule="auto" w:before="12"/>
        <w:ind w:right="1126" w:firstLine="420"/>
        <w:jc w:val="both"/>
      </w:pPr>
      <w:r>
        <w:rPr>
          <w:spacing w:val="-2"/>
        </w:rPr>
        <w:t>在公司确认应分担被投资单位发生的亏损时，按照以下顺序进行处理：首先，冲减长期股权投资的账</w:t>
      </w:r>
      <w:r>
        <w:rPr>
          <w:w w:val="100"/>
        </w:rPr>
        <w:t> </w:t>
      </w:r>
      <w:r>
        <w:rPr>
          <w:spacing w:val="-2"/>
        </w:rPr>
        <w:t>面价值。其次，长期股权投资的账面价值不足以冲减的，以其他实质上构成对被投资单位净投资的长期权</w:t>
      </w:r>
      <w:r>
        <w:rPr>
          <w:spacing w:val="-44"/>
        </w:rPr>
        <w:t> </w:t>
      </w:r>
      <w:r>
        <w:rPr>
          <w:spacing w:val="-44"/>
        </w:rPr>
      </w:r>
      <w:r>
        <w:rPr>
          <w:spacing w:val="-2"/>
        </w:rPr>
        <w:t>益账面价值为限继续确认投资损失，冲减长期应收项目等的账面价值。最后，经过上述处理，按照投资合</w:t>
      </w:r>
      <w:r>
        <w:rPr>
          <w:spacing w:val="-47"/>
        </w:rPr>
        <w:t> </w:t>
      </w:r>
      <w:r>
        <w:rPr>
          <w:spacing w:val="-47"/>
        </w:rPr>
      </w:r>
      <w:r>
        <w:rPr/>
        <w:t>同或协议约定企业仍承担额外义务的，按预计承担的义务确认预计负债，计入当期投资损失。</w:t>
      </w:r>
    </w:p>
    <w:p>
      <w:pPr>
        <w:pStyle w:val="Heading4"/>
        <w:spacing w:line="256" w:lineRule="auto"/>
        <w:ind w:left="573" w:right="2602"/>
        <w:jc w:val="left"/>
      </w:pPr>
      <w:r>
        <w:rPr/>
        <w:t>（</w:t>
      </w:r>
      <w:r>
        <w:rPr>
          <w:rFonts w:ascii="Times New Roman" w:hAnsi="Times New Roman" w:cs="Times New Roman" w:eastAsia="Times New Roman" w:hint="default"/>
        </w:rPr>
        <w:t>3</w:t>
      </w:r>
      <w:r>
        <w:rPr/>
        <w:t>）长期股权投资的处置</w:t>
      </w:r>
      <w:r>
        <w:rPr>
          <w:w w:val="100"/>
        </w:rPr>
        <w:t> </w:t>
      </w:r>
      <w:r>
        <w:rPr>
          <w:spacing w:val="-2"/>
        </w:rPr>
        <w:t>处置长期股权投资，其账面价值与实际取得价款的差额，计入当期损益。</w:t>
      </w:r>
    </w:p>
    <w:p>
      <w:pPr>
        <w:pStyle w:val="Heading4"/>
        <w:spacing w:line="273" w:lineRule="auto" w:before="22"/>
        <w:ind w:right="1126" w:firstLine="420"/>
        <w:jc w:val="both"/>
      </w:pPr>
      <w:r>
        <w:rPr>
          <w:spacing w:val="-2"/>
        </w:rPr>
        <w:t>采用权益法核算的长期股权投资，在处置该项投资时，采用与被投资单位直接处置相关资产或负债相</w:t>
      </w:r>
      <w:r>
        <w:rPr>
          <w:w w:val="100"/>
        </w:rPr>
        <w:t> </w:t>
      </w:r>
      <w:r>
        <w:rPr>
          <w:spacing w:val="-2"/>
        </w:rPr>
        <w:t>同的基础，按相应比例对原计入其他综合收益的部分进行会计处理。因被投资单位除净损益、其他综合收</w:t>
      </w:r>
      <w:r>
        <w:rPr>
          <w:spacing w:val="-45"/>
        </w:rPr>
        <w:t> </w:t>
      </w:r>
      <w:r>
        <w:rPr>
          <w:spacing w:val="-45"/>
        </w:rPr>
      </w:r>
      <w:r>
        <w:rPr>
          <w:spacing w:val="-2"/>
        </w:rPr>
        <w:t>益和利润分配以外的其他所有者权益变动而确认的所有者权益，按比例结转入当期损益，由于被投资方重</w:t>
      </w:r>
      <w:r>
        <w:rPr>
          <w:spacing w:val="-44"/>
        </w:rPr>
        <w:t> </w:t>
      </w:r>
      <w:r>
        <w:rPr>
          <w:spacing w:val="-44"/>
        </w:rPr>
      </w:r>
      <w:r>
        <w:rPr/>
        <w:t>新计量设定受益计划净负债或净资产变动而产生的其他综合收益除外。</w:t>
      </w:r>
    </w:p>
    <w:p>
      <w:pPr>
        <w:pStyle w:val="Heading4"/>
        <w:spacing w:line="273" w:lineRule="auto"/>
        <w:ind w:right="1126" w:firstLine="420"/>
        <w:jc w:val="both"/>
      </w:pPr>
      <w:r>
        <w:rPr>
          <w:spacing w:val="-2"/>
        </w:rPr>
        <w:t>因处置部分股权投资等原因丧失了对被投资单位的共同控制或重大影响的，处置后的剩余股权改按金</w:t>
      </w:r>
      <w:r>
        <w:rPr>
          <w:w w:val="100"/>
        </w:rPr>
        <w:t> </w:t>
      </w:r>
      <w:r>
        <w:rPr>
          <w:spacing w:val="-2"/>
        </w:rPr>
        <w:t>融工具确认和计量准则核算，其在丧失共同控制或重大影响之日的公允价值与账面价值之间的差额计入当</w:t>
      </w:r>
      <w:r>
        <w:rPr>
          <w:spacing w:val="-43"/>
        </w:rPr>
        <w:t> </w:t>
      </w:r>
      <w:r>
        <w:rPr>
          <w:spacing w:val="-43"/>
        </w:rPr>
      </w:r>
      <w:r>
        <w:rPr>
          <w:spacing w:val="-2"/>
        </w:rPr>
        <w:t>期损益。原股权投资因采用权益法核算而确认的其他综合收益，在终止采用权益法核算时采用与被投资单</w:t>
      </w:r>
      <w:r>
        <w:rPr>
          <w:spacing w:val="-44"/>
        </w:rPr>
        <w:t> </w:t>
      </w:r>
      <w:r>
        <w:rPr>
          <w:spacing w:val="-44"/>
        </w:rPr>
      </w:r>
      <w:r>
        <w:rPr>
          <w:spacing w:val="-2"/>
        </w:rPr>
        <w:t>位直接处置相关资产或负债相同的基础进行会计处理。因被投资方除净损益、其他综合收益和利润分配以</w:t>
      </w:r>
      <w:r>
        <w:rPr>
          <w:spacing w:val="-44"/>
        </w:rPr>
        <w:t> </w:t>
      </w:r>
      <w:r>
        <w:rPr>
          <w:spacing w:val="-44"/>
        </w:rPr>
      </w:r>
      <w:r>
        <w:rPr/>
        <w:t>外的其他所有者权益变动而确认的所有者权益，在终止采用权益法核算时全部转入当期损益。</w:t>
      </w:r>
    </w:p>
    <w:p>
      <w:pPr>
        <w:pStyle w:val="Heading4"/>
        <w:spacing w:line="273" w:lineRule="auto"/>
        <w:ind w:right="1126" w:firstLine="420"/>
        <w:jc w:val="both"/>
      </w:pPr>
      <w:r>
        <w:rPr>
          <w:spacing w:val="-2"/>
        </w:rPr>
        <w:t>因处置部分股权投资、因其他投资方对子公司增资而导致本公司持股比例下降等原因丧失了对被投资</w:t>
      </w:r>
      <w:r>
        <w:rPr>
          <w:w w:val="100"/>
        </w:rPr>
        <w:t> </w:t>
      </w:r>
      <w:r>
        <w:rPr>
          <w:spacing w:val="-2"/>
        </w:rPr>
        <w:t>单位控制权的，在编制个别财务报表时，剩余股权能够对被投资单位实施共同控制或重大影响的，改按权</w:t>
      </w:r>
      <w:r>
        <w:rPr>
          <w:spacing w:val="-45"/>
        </w:rPr>
        <w:t> </w:t>
      </w:r>
      <w:r>
        <w:rPr>
          <w:spacing w:val="-45"/>
        </w:rPr>
      </w:r>
      <w:r>
        <w:rPr>
          <w:spacing w:val="-2"/>
        </w:rPr>
        <w:t>益法核算，并对该剩余股权视同自取得时即采用权益法核算进行调整；剩余股权不能对被投资单位实施共</w:t>
      </w:r>
      <w:r>
        <w:rPr>
          <w:spacing w:val="-42"/>
        </w:rPr>
        <w:t> </w:t>
      </w:r>
      <w:r>
        <w:rPr>
          <w:spacing w:val="-42"/>
        </w:rPr>
      </w:r>
      <w:r>
        <w:rPr>
          <w:spacing w:val="-2"/>
        </w:rPr>
        <w:t>同控制或施加重大影响的，改按金融工具确认和计量准则的有关规定进行会计处理，其在丧失控制之日的</w:t>
      </w:r>
      <w:r>
        <w:rPr>
          <w:spacing w:val="-43"/>
        </w:rPr>
        <w:t> </w:t>
      </w:r>
      <w:r>
        <w:rPr>
          <w:spacing w:val="-43"/>
        </w:rPr>
      </w:r>
      <w:r>
        <w:rPr/>
        <w:t>公允价值与账面价值间的差额计入当期损益。</w:t>
      </w:r>
    </w:p>
    <w:p>
      <w:pPr>
        <w:pStyle w:val="Heading4"/>
        <w:spacing w:line="273" w:lineRule="auto"/>
        <w:ind w:right="1126" w:firstLine="420"/>
        <w:jc w:val="both"/>
      </w:pPr>
      <w:r>
        <w:rPr>
          <w:spacing w:val="-2"/>
        </w:rPr>
        <w:t>处置的股权是因追加投资等原因通过企业合并取得的，在编制个别财务报表时，处置后的剩余股权采</w:t>
      </w:r>
      <w:r>
        <w:rPr>
          <w:w w:val="100"/>
        </w:rPr>
        <w:t> </w:t>
      </w:r>
      <w:r>
        <w:rPr>
          <w:spacing w:val="-2"/>
        </w:rPr>
        <w:t>用成本法或权益法核算的，购买日之前持有的股权投资因采用权益法核算而确认的其他综合收益和其他所</w:t>
      </w:r>
      <w:r>
        <w:rPr>
          <w:spacing w:val="-43"/>
        </w:rPr>
        <w:t> </w:t>
      </w:r>
      <w:r>
        <w:rPr>
          <w:spacing w:val="-43"/>
        </w:rPr>
      </w:r>
      <w:r>
        <w:rPr>
          <w:spacing w:val="-2"/>
        </w:rPr>
        <w:t>有者权益按比例结转；处置后的剩余股权改按金融工具确认和计量准则进行会计处理的，其他综合收益和</w:t>
      </w:r>
      <w:r>
        <w:rPr>
          <w:spacing w:val="-44"/>
        </w:rPr>
        <w:t> </w:t>
      </w:r>
      <w:r>
        <w:rPr>
          <w:spacing w:val="-44"/>
        </w:rPr>
      </w:r>
      <w:r>
        <w:rPr/>
        <w:t>其他所有者权益全部结转。</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23、投资性房地产" w:id="200"/>
      <w:bookmarkEnd w:id="200"/>
      <w:r>
        <w:rPr>
          <w:b w:val="0"/>
          <w:bCs w:val="0"/>
        </w:rPr>
      </w:r>
      <w:r>
        <w:rPr>
          <w:rFonts w:ascii="Times New Roman" w:hAnsi="Times New Roman" w:cs="Times New Roman" w:eastAsia="Times New Roman" w:hint="default"/>
        </w:rPr>
        <w:t>23</w:t>
      </w:r>
      <w:r>
        <w:rPr/>
        <w:t>、投资性房地产</w:t>
      </w:r>
      <w:r>
        <w:rPr>
          <w:b w:val="0"/>
          <w:bCs w:val="0"/>
        </w:rPr>
      </w:r>
    </w:p>
    <w:p>
      <w:pPr>
        <w:spacing w:line="240" w:lineRule="auto" w:before="10"/>
        <w:rPr>
          <w:rFonts w:ascii="宋体" w:hAnsi="宋体" w:cs="宋体" w:eastAsia="宋体" w:hint="default"/>
          <w:b/>
          <w:bCs/>
          <w:sz w:val="24"/>
          <w:szCs w:val="24"/>
        </w:rPr>
      </w:pPr>
    </w:p>
    <w:p>
      <w:pPr>
        <w:pStyle w:val="Heading4"/>
        <w:spacing w:line="273" w:lineRule="auto" w:before="0"/>
        <w:ind w:right="0" w:firstLine="420"/>
        <w:jc w:val="left"/>
      </w:pPr>
      <w:r>
        <w:rPr/>
        <w:t>投资性房地产是指为赚取租金或资本增值，或两者兼有而持有的房地产，包括已出租的土地使用权、</w:t>
      </w:r>
      <w:r>
        <w:rPr>
          <w:w w:val="100"/>
        </w:rPr>
        <w:t> </w:t>
      </w:r>
      <w:r>
        <w:rPr>
          <w:spacing w:val="-2"/>
        </w:rPr>
        <w:t>持有并准备增值后转让的土地使用权、已出租的建筑物（含自行建造或开发活动完成后用于出租的建筑物</w:t>
      </w:r>
      <w:r>
        <w:rPr>
          <w:spacing w:val="-44"/>
        </w:rPr>
        <w:t> </w:t>
      </w:r>
      <w:r>
        <w:rPr>
          <w:spacing w:val="-44"/>
        </w:rPr>
      </w:r>
      <w:r>
        <w:rPr/>
        <w:t>以及正在建造或开发过程中将来用于出租的建筑物）。</w:t>
      </w:r>
    </w:p>
    <w:p>
      <w:pPr>
        <w:pStyle w:val="Heading4"/>
        <w:spacing w:line="273" w:lineRule="auto"/>
        <w:ind w:right="0" w:firstLine="420"/>
        <w:jc w:val="left"/>
      </w:pPr>
      <w:r>
        <w:rPr>
          <w:spacing w:val="-2"/>
        </w:rPr>
        <w:t>本公司对现有投资性房地产采用成本模式计量。对按照成本模式计量的投资性房地产－出租用建筑物</w:t>
      </w:r>
      <w:r>
        <w:rPr>
          <w:w w:val="100"/>
        </w:rPr>
        <w:t> </w:t>
      </w:r>
      <w:r>
        <w:rPr/>
        <w:t>采用与本公司固定资产相同的折旧政策，出租用土地使用权按与无形资产相同的摊销政策执行。</w:t>
      </w:r>
    </w:p>
    <w:p>
      <w:pPr>
        <w:spacing w:line="240" w:lineRule="auto" w:before="7"/>
        <w:rPr>
          <w:rFonts w:ascii="宋体" w:hAnsi="宋体" w:cs="宋体" w:eastAsia="宋体" w:hint="default"/>
          <w:sz w:val="23"/>
          <w:szCs w:val="23"/>
        </w:rPr>
      </w:pPr>
    </w:p>
    <w:p>
      <w:pPr>
        <w:pStyle w:val="Heading3"/>
        <w:spacing w:line="240" w:lineRule="auto"/>
        <w:ind w:right="2602"/>
        <w:jc w:val="left"/>
        <w:rPr>
          <w:b w:val="0"/>
          <w:bCs w:val="0"/>
        </w:rPr>
      </w:pPr>
      <w:bookmarkStart w:name="24、固定资产" w:id="201"/>
      <w:bookmarkEnd w:id="201"/>
      <w:r>
        <w:rPr>
          <w:b w:val="0"/>
          <w:bCs w:val="0"/>
        </w:rPr>
      </w:r>
      <w:r>
        <w:rPr>
          <w:rFonts w:ascii="Times New Roman" w:hAnsi="Times New Roman" w:cs="Times New Roman" w:eastAsia="Times New Roman" w:hint="default"/>
        </w:rPr>
        <w:t>24</w:t>
      </w:r>
      <w:r>
        <w:rPr/>
        <w:t>、固定资产</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确认条件" w:id="202"/>
      <w:bookmarkEnd w:id="202"/>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10"/>
        <w:rPr>
          <w:rFonts w:ascii="宋体" w:hAnsi="宋体" w:cs="宋体" w:eastAsia="宋体" w:hint="default"/>
          <w:b/>
          <w:bCs/>
          <w:sz w:val="24"/>
          <w:szCs w:val="24"/>
        </w:rPr>
      </w:pPr>
    </w:p>
    <w:p>
      <w:pPr>
        <w:pStyle w:val="Heading4"/>
        <w:spacing w:line="264" w:lineRule="auto" w:before="0"/>
        <w:ind w:right="0" w:firstLine="420"/>
        <w:jc w:val="left"/>
      </w:pPr>
      <w:r>
        <w:rPr>
          <w:spacing w:val="-2"/>
        </w:rPr>
        <w:t>固定资产指为生产商品、提供劳务、出租或经营管理而持有，并且使用寿命超过一个会计年度的有形</w:t>
      </w:r>
      <w:r>
        <w:rPr>
          <w:w w:val="100"/>
        </w:rPr>
        <w:t> </w:t>
      </w:r>
      <w:r>
        <w:rPr/>
        <w:t>资产。固定资产在同时满足下列条件时予以确认：</w:t>
      </w:r>
      <w:r>
        <w:rPr>
          <w:rFonts w:ascii="Times New Roman" w:hAnsi="Times New Roman" w:cs="Times New Roman" w:eastAsia="Times New Roman" w:hint="default"/>
        </w:rPr>
        <w:t>1</w:t>
      </w:r>
      <w:r>
        <w:rPr/>
        <w:t>）与该固定资产有关的经济利益很可能流入企业；</w:t>
      </w:r>
      <w:r>
        <w:rPr>
          <w:rFonts w:ascii="Times New Roman" w:hAnsi="Times New Roman" w:cs="Times New Roman" w:eastAsia="Times New Roman" w:hint="default"/>
        </w:rPr>
        <w:t>2</w:t>
      </w:r>
      <w:r>
        <w:rPr/>
        <w:t>）</w:t>
      </w:r>
      <w:r>
        <w:rPr>
          <w:spacing w:val="-22"/>
        </w:rPr>
        <w:t> </w:t>
      </w:r>
      <w:r>
        <w:rPr/>
        <w:t>该固定资产的成本能够可靠地计量。</w:t>
      </w:r>
    </w:p>
    <w:p>
      <w:pPr>
        <w:spacing w:line="240" w:lineRule="auto" w:before="2"/>
        <w:rPr>
          <w:rFonts w:ascii="宋体" w:hAnsi="宋体" w:cs="宋体" w:eastAsia="宋体" w:hint="default"/>
          <w:sz w:val="24"/>
          <w:szCs w:val="24"/>
        </w:rPr>
      </w:pPr>
    </w:p>
    <w:p>
      <w:pPr>
        <w:pStyle w:val="Heading3"/>
        <w:spacing w:line="240" w:lineRule="auto"/>
        <w:ind w:right="2602"/>
        <w:jc w:val="left"/>
        <w:rPr>
          <w:b w:val="0"/>
          <w:bCs w:val="0"/>
        </w:rPr>
      </w:pPr>
      <w:bookmarkStart w:name="（2）折旧方法" w:id="203"/>
      <w:bookmarkEnd w:id="203"/>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913"/>
        <w:gridCol w:w="1916"/>
        <w:gridCol w:w="1913"/>
        <w:gridCol w:w="1916"/>
      </w:tblGrid>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折旧方法</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折旧年限</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right="631"/>
              <w:jc w:val="right"/>
              <w:rPr>
                <w:rFonts w:ascii="宋体" w:hAnsi="宋体" w:cs="宋体" w:eastAsia="宋体" w:hint="default"/>
                <w:sz w:val="21"/>
                <w:szCs w:val="21"/>
              </w:rPr>
            </w:pPr>
            <w:r>
              <w:rPr>
                <w:rFonts w:ascii="宋体" w:hAnsi="宋体" w:cs="宋体" w:eastAsia="宋体" w:hint="default"/>
                <w:sz w:val="21"/>
                <w:szCs w:val="21"/>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3" w:right="0"/>
              <w:jc w:val="center"/>
              <w:rPr>
                <w:rFonts w:ascii="宋体" w:hAnsi="宋体" w:cs="宋体" w:eastAsia="宋体" w:hint="default"/>
                <w:sz w:val="21"/>
                <w:szCs w:val="21"/>
              </w:rPr>
            </w:pPr>
            <w:r>
              <w:rPr>
                <w:rFonts w:ascii="宋体" w:hAnsi="宋体" w:cs="宋体" w:eastAsia="宋体" w:hint="default"/>
                <w:sz w:val="21"/>
                <w:szCs w:val="21"/>
              </w:rPr>
              <w:t>年折旧率</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房屋及建筑物</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674"/>
              <w:jc w:val="right"/>
              <w:rPr>
                <w:rFonts w:ascii="Times New Roman" w:hAnsi="Times New Roman" w:cs="Times New Roman" w:eastAsia="Times New Roman" w:hint="default"/>
                <w:sz w:val="21"/>
                <w:szCs w:val="21"/>
              </w:rPr>
            </w:pPr>
            <w:r>
              <w:rPr>
                <w:rFonts w:ascii="Times New Roman"/>
                <w:sz w:val="21"/>
              </w:rPr>
              <w:t>4.00%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3.84%</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 w:right="0"/>
              <w:jc w:val="center"/>
              <w:rPr>
                <w:rFonts w:ascii="宋体" w:hAnsi="宋体" w:cs="宋体" w:eastAsia="宋体" w:hint="default"/>
                <w:sz w:val="21"/>
                <w:szCs w:val="21"/>
              </w:rPr>
            </w:pPr>
            <w:r>
              <w:rPr>
                <w:rFonts w:ascii="宋体" w:hAnsi="宋体" w:cs="宋体" w:eastAsia="宋体" w:hint="default"/>
                <w:sz w:val="21"/>
                <w:szCs w:val="21"/>
              </w:rPr>
              <w:t>通用设备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
              <w:jc w:val="center"/>
              <w:rPr>
                <w:rFonts w:ascii="Times New Roman" w:hAnsi="Times New Roman" w:cs="Times New Roman" w:eastAsia="Times New Roman" w:hint="default"/>
                <w:sz w:val="21"/>
                <w:szCs w:val="21"/>
              </w:rPr>
            </w:pPr>
            <w:r>
              <w:rPr>
                <w:rFonts w:ascii="Times New Roman"/>
                <w:sz w:val="21"/>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674"/>
              <w:jc w:val="right"/>
              <w:rPr>
                <w:rFonts w:ascii="Times New Roman" w:hAnsi="Times New Roman" w:cs="Times New Roman" w:eastAsia="Times New Roman" w:hint="default"/>
                <w:sz w:val="21"/>
                <w:szCs w:val="21"/>
              </w:rPr>
            </w:pPr>
            <w:r>
              <w:rPr>
                <w:rFonts w:ascii="Times New Roman"/>
                <w:sz w:val="21"/>
              </w:rPr>
              <w:t>4.00%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19.20%-32.00%</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 w:right="0"/>
              <w:jc w:val="center"/>
              <w:rPr>
                <w:rFonts w:ascii="宋体" w:hAnsi="宋体" w:cs="宋体" w:eastAsia="宋体" w:hint="default"/>
                <w:sz w:val="21"/>
                <w:szCs w:val="21"/>
              </w:rPr>
            </w:pPr>
            <w:r>
              <w:rPr>
                <w:rFonts w:ascii="宋体" w:hAnsi="宋体" w:cs="宋体" w:eastAsia="宋体" w:hint="default"/>
                <w:sz w:val="21"/>
                <w:szCs w:val="21"/>
              </w:rPr>
              <w:t>专用设备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w w:val="100"/>
                <w:sz w:val="21"/>
              </w:rPr>
              <w:t>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674"/>
              <w:jc w:val="right"/>
              <w:rPr>
                <w:rFonts w:ascii="Times New Roman" w:hAnsi="Times New Roman" w:cs="Times New Roman" w:eastAsia="Times New Roman" w:hint="default"/>
                <w:sz w:val="21"/>
                <w:szCs w:val="21"/>
              </w:rPr>
            </w:pPr>
            <w:r>
              <w:rPr>
                <w:rFonts w:ascii="Times New Roman"/>
                <w:sz w:val="21"/>
              </w:rPr>
              <w:t>4.00%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24.00%</w:t>
            </w:r>
          </w:p>
        </w:tc>
      </w:tr>
      <w:tr>
        <w:trPr>
          <w:trHeight w:val="40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 w:right="0"/>
              <w:jc w:val="center"/>
              <w:rPr>
                <w:rFonts w:ascii="宋体" w:hAnsi="宋体" w:cs="宋体" w:eastAsia="宋体" w:hint="default"/>
                <w:sz w:val="21"/>
                <w:szCs w:val="21"/>
              </w:rPr>
            </w:pPr>
            <w:r>
              <w:rPr>
                <w:rFonts w:ascii="宋体" w:hAnsi="宋体" w:cs="宋体" w:eastAsia="宋体" w:hint="default"/>
                <w:sz w:val="21"/>
                <w:szCs w:val="21"/>
              </w:rPr>
              <w:t>运输设备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w w:val="100"/>
                <w:sz w:val="21"/>
              </w:rPr>
              <w:t>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674"/>
              <w:jc w:val="right"/>
              <w:rPr>
                <w:rFonts w:ascii="Times New Roman" w:hAnsi="Times New Roman" w:cs="Times New Roman" w:eastAsia="Times New Roman" w:hint="default"/>
                <w:sz w:val="21"/>
                <w:szCs w:val="21"/>
              </w:rPr>
            </w:pPr>
            <w:r>
              <w:rPr>
                <w:rFonts w:ascii="Times New Roman"/>
                <w:sz w:val="21"/>
              </w:rPr>
              <w:t>4.00%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12.00%</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 w:right="0"/>
              <w:jc w:val="center"/>
              <w:rPr>
                <w:rFonts w:ascii="宋体" w:hAnsi="宋体" w:cs="宋体" w:eastAsia="宋体" w:hint="default"/>
                <w:sz w:val="21"/>
                <w:szCs w:val="21"/>
              </w:rPr>
            </w:pPr>
            <w:r>
              <w:rPr>
                <w:rFonts w:ascii="宋体" w:hAnsi="宋体" w:cs="宋体" w:eastAsia="宋体" w:hint="default"/>
                <w:sz w:val="21"/>
                <w:szCs w:val="21"/>
              </w:rPr>
              <w:t>其他设备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hAnsi="宋体" w:cs="宋体" w:eastAsia="宋体" w:hint="default"/>
                <w:sz w:val="21"/>
                <w:szCs w:val="21"/>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w w:val="100"/>
                <w:sz w:val="21"/>
              </w:rPr>
              <w:t>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674"/>
              <w:jc w:val="right"/>
              <w:rPr>
                <w:rFonts w:ascii="Times New Roman" w:hAnsi="Times New Roman" w:cs="Times New Roman" w:eastAsia="Times New Roman" w:hint="default"/>
                <w:sz w:val="21"/>
                <w:szCs w:val="21"/>
              </w:rPr>
            </w:pPr>
            <w:r>
              <w:rPr>
                <w:rFonts w:ascii="Times New Roman"/>
                <w:sz w:val="21"/>
              </w:rPr>
              <w:t>4.00%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19.20%</w:t>
            </w:r>
          </w:p>
        </w:tc>
      </w:tr>
    </w:tbl>
    <w:p>
      <w:pPr>
        <w:spacing w:line="240" w:lineRule="auto" w:before="3"/>
        <w:rPr>
          <w:rFonts w:ascii="宋体" w:hAnsi="宋体" w:cs="宋体" w:eastAsia="宋体" w:hint="default"/>
          <w:b/>
          <w:bCs/>
          <w:sz w:val="19"/>
          <w:szCs w:val="19"/>
        </w:rPr>
      </w:pPr>
    </w:p>
    <w:p>
      <w:pPr>
        <w:pStyle w:val="Heading3"/>
        <w:spacing w:line="240" w:lineRule="auto" w:before="36"/>
        <w:ind w:right="2602"/>
        <w:jc w:val="left"/>
        <w:rPr>
          <w:b w:val="0"/>
          <w:bCs w:val="0"/>
        </w:rPr>
      </w:pPr>
      <w:bookmarkStart w:name="（3）融资租入固定资产的认定依据、计价和折旧方法" w:id="204"/>
      <w:bookmarkEnd w:id="204"/>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10"/>
        <w:rPr>
          <w:rFonts w:ascii="宋体" w:hAnsi="宋体" w:cs="宋体" w:eastAsia="宋体" w:hint="default"/>
          <w:b/>
          <w:bCs/>
          <w:sz w:val="24"/>
          <w:szCs w:val="24"/>
        </w:rPr>
      </w:pPr>
    </w:p>
    <w:p>
      <w:pPr>
        <w:pStyle w:val="Heading4"/>
        <w:spacing w:line="264" w:lineRule="auto" w:before="0"/>
        <w:ind w:right="1126" w:firstLine="420"/>
        <w:jc w:val="both"/>
      </w:pPr>
      <w:r>
        <w:rPr/>
        <w:t>公司与租赁方所签订的租赁协议条款中规定了下列条件之一的，确认为融资租入资产：</w:t>
      </w:r>
      <w:r>
        <w:rPr>
          <w:rFonts w:ascii="Times New Roman" w:hAnsi="Times New Roman" w:cs="Times New Roman" w:eastAsia="Times New Roman" w:hint="default"/>
        </w:rPr>
        <w:t>1</w:t>
      </w:r>
      <w:r>
        <w:rPr/>
        <w:t>）租赁期满</w:t>
      </w:r>
      <w:r>
        <w:rPr>
          <w:w w:val="100"/>
        </w:rPr>
        <w:t> </w:t>
      </w:r>
      <w:r>
        <w:rPr/>
        <w:t>后租赁资产的所有权归属于本公司；</w:t>
      </w:r>
      <w:r>
        <w:rPr>
          <w:rFonts w:ascii="Times New Roman" w:hAnsi="Times New Roman" w:cs="Times New Roman" w:eastAsia="Times New Roman" w:hint="default"/>
        </w:rPr>
        <w:t>2</w:t>
      </w:r>
      <w:r>
        <w:rPr/>
        <w:t>）公司具有购买资产的选择权，购买价款远低于行使选择权时该资</w:t>
      </w:r>
      <w:r>
        <w:rPr>
          <w:spacing w:val="-23"/>
        </w:rPr>
        <w:t> </w:t>
      </w:r>
      <w:r>
        <w:rPr>
          <w:spacing w:val="-23"/>
        </w:rPr>
      </w:r>
      <w:r>
        <w:rPr>
          <w:spacing w:val="-2"/>
        </w:rPr>
        <w:t>产的公允价值；</w:t>
      </w:r>
      <w:r>
        <w:rPr>
          <w:rFonts w:ascii="Times New Roman" w:hAnsi="Times New Roman" w:cs="Times New Roman" w:eastAsia="Times New Roman" w:hint="default"/>
          <w:spacing w:val="-2"/>
        </w:rPr>
        <w:t>3</w:t>
      </w:r>
      <w:r>
        <w:rPr>
          <w:spacing w:val="-2"/>
        </w:rPr>
        <w:t>）租赁期占所租赁资产使用寿命的大部分；</w:t>
      </w:r>
      <w:r>
        <w:rPr>
          <w:rFonts w:ascii="Times New Roman" w:hAnsi="Times New Roman" w:cs="Times New Roman" w:eastAsia="Times New Roman" w:hint="default"/>
          <w:spacing w:val="-2"/>
        </w:rPr>
        <w:t>4</w:t>
      </w:r>
      <w:r>
        <w:rPr>
          <w:spacing w:val="-2"/>
        </w:rPr>
        <w:t>）租赁开始日的最低租赁付款额现值，与该</w:t>
      </w:r>
      <w:r>
        <w:rPr>
          <w:spacing w:val="-43"/>
        </w:rPr>
        <w:t> </w:t>
      </w:r>
      <w:r>
        <w:rPr>
          <w:spacing w:val="-43"/>
        </w:rPr>
      </w:r>
      <w:r>
        <w:rPr>
          <w:spacing w:val="-2"/>
        </w:rPr>
        <w:t>资产的公允价值不存在较大的差异。公司在承租开始日，将租赁资产公允价值与最低租赁付款额现值两者</w:t>
      </w:r>
      <w:r>
        <w:rPr>
          <w:spacing w:val="-42"/>
        </w:rPr>
        <w:t> </w:t>
      </w:r>
      <w:r>
        <w:rPr>
          <w:spacing w:val="-42"/>
        </w:rPr>
      </w:r>
      <w:r>
        <w:rPr>
          <w:spacing w:val="-2"/>
        </w:rPr>
        <w:t>中较低者作为租入资产的入账价值，将最低租赁付款额作为长期应付款的入账价值，其差额作为未确认的</w:t>
      </w:r>
      <w:r>
        <w:rPr>
          <w:spacing w:val="-43"/>
        </w:rPr>
        <w:t> </w:t>
      </w:r>
      <w:r>
        <w:rPr>
          <w:spacing w:val="-43"/>
        </w:rPr>
      </w:r>
      <w:r>
        <w:rPr/>
        <w:t>融资费。</w:t>
      </w:r>
    </w:p>
    <w:p>
      <w:pPr>
        <w:spacing w:line="240" w:lineRule="auto" w:before="3"/>
        <w:rPr>
          <w:rFonts w:ascii="宋体" w:hAnsi="宋体" w:cs="宋体" w:eastAsia="宋体" w:hint="default"/>
          <w:sz w:val="24"/>
          <w:szCs w:val="24"/>
        </w:rPr>
      </w:pPr>
    </w:p>
    <w:p>
      <w:pPr>
        <w:pStyle w:val="Heading3"/>
        <w:spacing w:line="240" w:lineRule="auto"/>
        <w:ind w:right="2602"/>
        <w:jc w:val="left"/>
        <w:rPr>
          <w:b w:val="0"/>
          <w:bCs w:val="0"/>
        </w:rPr>
      </w:pPr>
      <w:bookmarkStart w:name="25、在建工程" w:id="205"/>
      <w:bookmarkEnd w:id="205"/>
      <w:r>
        <w:rPr>
          <w:b w:val="0"/>
          <w:bCs w:val="0"/>
        </w:rPr>
      </w:r>
      <w:r>
        <w:rPr>
          <w:rFonts w:ascii="Times New Roman" w:hAnsi="Times New Roman" w:cs="Times New Roman" w:eastAsia="Times New Roman" w:hint="default"/>
        </w:rPr>
        <w:t>25</w:t>
      </w:r>
      <w:r>
        <w:rPr/>
        <w:t>、在建工程</w:t>
      </w:r>
      <w:r>
        <w:rPr>
          <w:b w:val="0"/>
          <w:bCs w:val="0"/>
        </w:rPr>
      </w:r>
    </w:p>
    <w:p>
      <w:pPr>
        <w:spacing w:line="240" w:lineRule="auto" w:before="7"/>
        <w:rPr>
          <w:rFonts w:ascii="宋体" w:hAnsi="宋体" w:cs="宋体" w:eastAsia="宋体" w:hint="default"/>
          <w:b/>
          <w:bCs/>
          <w:sz w:val="24"/>
          <w:szCs w:val="24"/>
        </w:rPr>
      </w:pPr>
    </w:p>
    <w:p>
      <w:pPr>
        <w:pStyle w:val="Heading4"/>
        <w:spacing w:line="273" w:lineRule="auto" w:before="0"/>
        <w:ind w:right="0" w:firstLine="420"/>
        <w:jc w:val="left"/>
      </w:pPr>
      <w:r>
        <w:rPr/>
        <w:t>在建工程项目按建造该项资产达到预定可使用状态前所发生的必要支出，作为固定资产的入账价值。</w:t>
      </w:r>
      <w:r>
        <w:rPr>
          <w:w w:val="100"/>
        </w:rPr>
        <w:t> </w:t>
      </w:r>
      <w:r>
        <w:rPr>
          <w:spacing w:val="-5"/>
        </w:rPr>
        <w:t>所建造的固定资产在工程已达到预定可使用状态，但尚未办理竣工决算的，自达到预定可使用状态之日起，</w:t>
      </w:r>
      <w:r>
        <w:rPr>
          <w:spacing w:val="-4"/>
        </w:rPr>
        <w:t> </w:t>
      </w:r>
      <w:r>
        <w:rPr>
          <w:spacing w:val="-4"/>
        </w:rPr>
      </w:r>
      <w:r>
        <w:rPr>
          <w:spacing w:val="-2"/>
        </w:rPr>
        <w:t>根据工程预算、造价或者工程实际成本等，按估计的价值转入固定资产，并按本公司固定资产折旧政策计</w:t>
      </w:r>
      <w:r>
        <w:rPr>
          <w:spacing w:val="-45"/>
        </w:rPr>
        <w:t> </w:t>
      </w:r>
      <w:r>
        <w:rPr>
          <w:spacing w:val="-45"/>
        </w:rPr>
      </w:r>
      <w:r>
        <w:rPr>
          <w:spacing w:val="-7"/>
        </w:rPr>
        <w:t>提固定资产的折旧，待办理竣工决算后，再按实际成本调整原来的暂估价值，但不调整原已计提的折旧额。</w:t>
      </w:r>
    </w:p>
    <w:p>
      <w:pPr>
        <w:spacing w:after="0" w:line="273"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26、借款费用" w:id="206"/>
      <w:bookmarkEnd w:id="206"/>
      <w:r>
        <w:rPr>
          <w:b w:val="0"/>
          <w:bCs w:val="0"/>
        </w:rPr>
      </w:r>
      <w:r>
        <w:rPr>
          <w:rFonts w:ascii="Times New Roman" w:hAnsi="Times New Roman" w:cs="Times New Roman" w:eastAsia="Times New Roman" w:hint="default"/>
        </w:rPr>
        <w:t>26</w:t>
      </w:r>
      <w:r>
        <w:rPr/>
        <w:t>、借款费用</w:t>
      </w:r>
      <w:r>
        <w:rPr>
          <w:b w:val="0"/>
          <w:bCs w:val="0"/>
        </w:rPr>
      </w:r>
    </w:p>
    <w:p>
      <w:pPr>
        <w:spacing w:line="240" w:lineRule="auto" w:before="10"/>
        <w:rPr>
          <w:rFonts w:ascii="宋体" w:hAnsi="宋体" w:cs="宋体" w:eastAsia="宋体" w:hint="default"/>
          <w:b/>
          <w:bCs/>
          <w:sz w:val="24"/>
          <w:szCs w:val="24"/>
        </w:rPr>
      </w:pPr>
    </w:p>
    <w:p>
      <w:pPr>
        <w:pStyle w:val="Heading4"/>
        <w:spacing w:line="264" w:lineRule="auto" w:before="0"/>
        <w:ind w:left="573" w:right="0" w:firstLine="2"/>
        <w:jc w:val="left"/>
      </w:pPr>
      <w:r>
        <w:rPr>
          <w:rFonts w:ascii="Times New Roman" w:hAnsi="Times New Roman" w:cs="Times New Roman" w:eastAsia="Times New Roman" w:hint="default"/>
          <w:b/>
          <w:bCs/>
        </w:rPr>
        <w:t>1.</w:t>
      </w:r>
      <w:r>
        <w:rPr>
          <w:rFonts w:ascii="Times New Roman" w:hAnsi="Times New Roman" w:cs="Times New Roman" w:eastAsia="Times New Roman" w:hint="default"/>
          <w:b/>
          <w:bCs/>
          <w:spacing w:val="50"/>
        </w:rPr>
        <w:t> </w:t>
      </w:r>
      <w:r>
        <w:rPr>
          <w:rFonts w:ascii="宋体" w:hAnsi="宋体" w:cs="宋体" w:eastAsia="宋体" w:hint="default"/>
          <w:b/>
          <w:bCs/>
        </w:rPr>
        <w:t>借款费用资本化的确认原则</w:t>
      </w:r>
      <w:r>
        <w:rPr>
          <w:rFonts w:ascii="宋体" w:hAnsi="宋体" w:cs="宋体" w:eastAsia="宋体" w:hint="default"/>
          <w:b/>
          <w:bCs/>
          <w:w w:val="100"/>
        </w:rPr>
        <w:t> </w:t>
      </w:r>
      <w:r>
        <w:rPr/>
        <w:t>借款费用，包括借款利息、折价或者溢价的摊销、辅助费用以及因外币借款而发生的汇兑差额等。</w:t>
      </w:r>
      <w:r>
        <w:rPr>
          <w:w w:val="100"/>
        </w:rPr>
        <w:t> </w:t>
      </w:r>
      <w:r>
        <w:rPr>
          <w:spacing w:val="-2"/>
        </w:rPr>
        <w:t>公司发生的借款费用，可直接归属于符合资本化条件的资产的购建或者生产的，予以资本化，计入相</w:t>
      </w:r>
    </w:p>
    <w:p>
      <w:pPr>
        <w:pStyle w:val="Heading4"/>
        <w:spacing w:line="273" w:lineRule="auto" w:before="16"/>
        <w:ind w:left="573" w:right="0" w:hanging="421"/>
        <w:jc w:val="left"/>
      </w:pPr>
      <w:r>
        <w:rPr/>
        <w:t>关资产成本；其他借款费用，在发生时根据其发生额确认为费用，计入当期损益。</w:t>
      </w:r>
      <w:r>
        <w:rPr>
          <w:w w:val="100"/>
        </w:rPr>
        <w:t> </w:t>
      </w:r>
      <w:r>
        <w:rPr>
          <w:spacing w:val="-2"/>
        </w:rPr>
        <w:t>符合资本化条件的资产，是指需要经过相当长时间的购建或者生产活动才能达到预定可使用或者可销</w:t>
      </w:r>
    </w:p>
    <w:p>
      <w:pPr>
        <w:pStyle w:val="Heading4"/>
        <w:spacing w:line="273" w:lineRule="auto"/>
        <w:ind w:left="573" w:right="2602" w:hanging="421"/>
        <w:jc w:val="left"/>
      </w:pPr>
      <w:r>
        <w:rPr>
          <w:spacing w:val="-2"/>
        </w:rPr>
        <w:t>售状态的固定资产、投资性房地产和存货等资产。</w:t>
      </w:r>
      <w:r>
        <w:rPr>
          <w:spacing w:val="-62"/>
        </w:rPr>
        <w:t> </w:t>
      </w:r>
      <w:r>
        <w:rPr>
          <w:spacing w:val="-62"/>
        </w:rPr>
      </w:r>
      <w:r>
        <w:rPr/>
        <w:t>借款费用同时满足下列条件时开始资本化：</w:t>
      </w:r>
    </w:p>
    <w:p>
      <w:pPr>
        <w:pStyle w:val="Heading4"/>
        <w:spacing w:line="256" w:lineRule="auto"/>
        <w:ind w:right="0" w:firstLine="420"/>
        <w:jc w:val="left"/>
      </w:pPr>
      <w:r>
        <w:rPr/>
        <w:t>（</w:t>
      </w:r>
      <w:r>
        <w:rPr>
          <w:rFonts w:ascii="Times New Roman" w:hAnsi="Times New Roman" w:cs="Times New Roman" w:eastAsia="Times New Roman" w:hint="default"/>
        </w:rPr>
        <w:t>1</w:t>
      </w:r>
      <w:r>
        <w:rPr/>
        <w:t>）资产支出已经发生，资产支出包括为购建或者生产符合资本化条件的资产而以支付现金、转移</w:t>
      </w:r>
      <w:r>
        <w:rPr>
          <w:w w:val="100"/>
        </w:rPr>
        <w:t> </w:t>
      </w:r>
      <w:r>
        <w:rPr/>
        <w:t>非现金资产或者承担带息债务形式发生的支出；</w:t>
      </w:r>
    </w:p>
    <w:p>
      <w:pPr>
        <w:pStyle w:val="Heading4"/>
        <w:spacing w:line="240" w:lineRule="auto" w:before="22"/>
        <w:ind w:left="573" w:right="2602"/>
        <w:jc w:val="left"/>
      </w:pPr>
      <w:r>
        <w:rPr/>
        <w:t>（</w:t>
      </w:r>
      <w:r>
        <w:rPr>
          <w:rFonts w:ascii="Times New Roman" w:hAnsi="Times New Roman" w:cs="Times New Roman" w:eastAsia="Times New Roman" w:hint="default"/>
        </w:rPr>
        <w:t>2</w:t>
      </w:r>
      <w:r>
        <w:rPr/>
        <w:t>）借款费用已经发生；</w:t>
      </w:r>
    </w:p>
    <w:p>
      <w:pPr>
        <w:pStyle w:val="Heading4"/>
        <w:spacing w:line="240" w:lineRule="auto" w:before="22"/>
        <w:ind w:left="573" w:right="0"/>
        <w:jc w:val="left"/>
      </w:pPr>
      <w:r>
        <w:rPr/>
        <w:t>（</w:t>
      </w:r>
      <w:r>
        <w:rPr>
          <w:rFonts w:ascii="Times New Roman" w:hAnsi="Times New Roman" w:cs="Times New Roman" w:eastAsia="Times New Roman" w:hint="default"/>
        </w:rPr>
        <w:t>3</w:t>
      </w:r>
      <w:r>
        <w:rPr/>
        <w:t>）为使资产达到预定可使用或者可销售状态所必要的购建或者生产活动已经开始。</w:t>
      </w:r>
    </w:p>
    <w:p>
      <w:pPr>
        <w:spacing w:line="256" w:lineRule="auto" w:before="21"/>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借款费用资本化期间</w:t>
      </w:r>
      <w:r>
        <w:rPr>
          <w:rFonts w:ascii="宋体" w:hAnsi="宋体" w:cs="宋体" w:eastAsia="宋体" w:hint="default"/>
          <w:b/>
          <w:bCs/>
          <w:spacing w:val="-104"/>
          <w:sz w:val="21"/>
          <w:szCs w:val="21"/>
        </w:rPr>
        <w:t> </w:t>
      </w:r>
      <w:r>
        <w:rPr>
          <w:rFonts w:ascii="宋体" w:hAnsi="宋体" w:cs="宋体" w:eastAsia="宋体" w:hint="default"/>
          <w:spacing w:val="-2"/>
          <w:sz w:val="21"/>
          <w:szCs w:val="21"/>
        </w:rPr>
        <w:t>资本化期间，指从借款费用开始资本化时点到停止资本化时点的期间，借款费用暂停资本化的期间不</w:t>
      </w:r>
    </w:p>
    <w:p>
      <w:pPr>
        <w:pStyle w:val="Heading4"/>
        <w:spacing w:line="240" w:lineRule="auto" w:before="22"/>
        <w:ind w:right="2602"/>
        <w:jc w:val="left"/>
      </w:pPr>
      <w:r>
        <w:rPr/>
        <w:t>包括在内。</w:t>
      </w:r>
    </w:p>
    <w:p>
      <w:pPr>
        <w:pStyle w:val="Heading4"/>
        <w:spacing w:line="273" w:lineRule="auto" w:before="37"/>
        <w:ind w:left="573" w:right="0"/>
        <w:jc w:val="left"/>
      </w:pPr>
      <w:r>
        <w:rPr/>
        <w:t>当购建或者生产符合资本化条件的资产达到预定可使用或者可销售状态时，借款费用停止资本化。</w:t>
      </w:r>
      <w:r>
        <w:rPr>
          <w:w w:val="100"/>
        </w:rPr>
        <w:t> </w:t>
      </w:r>
      <w:r>
        <w:rPr>
          <w:spacing w:val="-2"/>
        </w:rPr>
        <w:t>当购建或者生产符合资本化条件的资产中部分项目分别完工且可单独使用时，该部分资产借款费用停</w:t>
      </w:r>
    </w:p>
    <w:p>
      <w:pPr>
        <w:pStyle w:val="Heading4"/>
        <w:spacing w:line="240" w:lineRule="auto"/>
        <w:ind w:right="2602"/>
        <w:jc w:val="left"/>
      </w:pPr>
      <w:r>
        <w:rPr/>
        <w:t>止资本化。</w:t>
      </w:r>
    </w:p>
    <w:p>
      <w:pPr>
        <w:pStyle w:val="Heading4"/>
        <w:spacing w:line="273" w:lineRule="auto" w:before="37"/>
        <w:ind w:right="0" w:firstLine="420"/>
        <w:jc w:val="left"/>
      </w:pPr>
      <w:r>
        <w:rPr>
          <w:spacing w:val="-2"/>
        </w:rPr>
        <w:t>购建或者生产的资产的各部分分别完工，但必须等到整体完工后才可使用或可对外销售的，在该资产</w:t>
      </w:r>
      <w:r>
        <w:rPr>
          <w:w w:val="100"/>
        </w:rPr>
        <w:t> </w:t>
      </w:r>
      <w:r>
        <w:rPr/>
        <w:t>整体完工时停止借款费用资本化。</w:t>
      </w:r>
    </w:p>
    <w:p>
      <w:pPr>
        <w:pStyle w:val="Heading4"/>
        <w:spacing w:line="256" w:lineRule="auto"/>
        <w:ind w:left="573" w:right="0" w:firstLine="2"/>
        <w:jc w:val="left"/>
      </w:pPr>
      <w:r>
        <w:rPr>
          <w:rFonts w:ascii="Times New Roman" w:hAnsi="Times New Roman" w:cs="Times New Roman" w:eastAsia="Times New Roman" w:hint="default"/>
          <w:b/>
          <w:bCs/>
        </w:rPr>
        <w:t>3.</w:t>
      </w:r>
      <w:r>
        <w:rPr>
          <w:rFonts w:ascii="Times New Roman" w:hAnsi="Times New Roman" w:cs="Times New Roman" w:eastAsia="Times New Roman" w:hint="default"/>
          <w:b/>
          <w:bCs/>
          <w:spacing w:val="50"/>
        </w:rPr>
        <w:t> </w:t>
      </w:r>
      <w:r>
        <w:rPr>
          <w:rFonts w:ascii="宋体" w:hAnsi="宋体" w:cs="宋体" w:eastAsia="宋体" w:hint="default"/>
          <w:b/>
          <w:bCs/>
        </w:rPr>
        <w:t>暂停资本化期间</w:t>
      </w:r>
      <w:r>
        <w:rPr>
          <w:rFonts w:ascii="宋体" w:hAnsi="宋体" w:cs="宋体" w:eastAsia="宋体" w:hint="default"/>
          <w:b/>
          <w:bCs/>
          <w:w w:val="100"/>
        </w:rPr>
        <w:t> </w:t>
      </w:r>
      <w:r>
        <w:rPr/>
        <w:t>符合资本化条件的资产在购建或生产过程中发生的非正常中断、且中断时间连续超过</w:t>
      </w:r>
      <w:r>
        <w:rPr>
          <w:rFonts w:ascii="Times New Roman" w:hAnsi="Times New Roman" w:cs="Times New Roman" w:eastAsia="Times New Roman" w:hint="default"/>
        </w:rPr>
        <w:t>3</w:t>
      </w:r>
      <w:r>
        <w:rPr/>
        <w:t>个月的，则借</w:t>
      </w:r>
    </w:p>
    <w:p>
      <w:pPr>
        <w:pStyle w:val="Heading4"/>
        <w:spacing w:line="273" w:lineRule="auto" w:before="5"/>
        <w:ind w:right="1126"/>
        <w:jc w:val="both"/>
      </w:pPr>
      <w:r>
        <w:rPr>
          <w:spacing w:val="-2"/>
        </w:rPr>
        <w:t>款费用暂停资本化；该项中断如是所购建或生产的符合资本化条件的资产达到预定可使用状态或者可销售</w:t>
      </w:r>
      <w:r>
        <w:rPr>
          <w:spacing w:val="-43"/>
        </w:rPr>
        <w:t> </w:t>
      </w:r>
      <w:r>
        <w:rPr>
          <w:spacing w:val="-43"/>
        </w:rPr>
      </w:r>
      <w:r>
        <w:rPr>
          <w:spacing w:val="-2"/>
        </w:rPr>
        <w:t>状态必要的程序，则借款费用继续资本化。在中断期间发生的借款费用确认为当期损益，直至资产的购建</w:t>
      </w:r>
      <w:r>
        <w:rPr>
          <w:spacing w:val="-44"/>
        </w:rPr>
        <w:t> </w:t>
      </w:r>
      <w:r>
        <w:rPr>
          <w:spacing w:val="-44"/>
        </w:rPr>
      </w:r>
      <w:r>
        <w:rPr/>
        <w:t>或者生产活动重新开始后借款费用继续资本化。</w:t>
      </w:r>
    </w:p>
    <w:p>
      <w:pPr>
        <w:spacing w:line="256" w:lineRule="auto" w:before="7"/>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 </w:t>
      </w:r>
      <w:r>
        <w:rPr>
          <w:rFonts w:ascii="宋体" w:hAnsi="宋体" w:cs="宋体" w:eastAsia="宋体" w:hint="default"/>
          <w:b/>
          <w:bCs/>
          <w:sz w:val="21"/>
          <w:szCs w:val="21"/>
        </w:rPr>
        <w:t>借款费用资本化率、资本化金额的计算方法</w:t>
      </w:r>
      <w:r>
        <w:rPr>
          <w:rFonts w:ascii="宋体" w:hAnsi="宋体" w:cs="宋体" w:eastAsia="宋体" w:hint="default"/>
          <w:b/>
          <w:bCs/>
          <w:spacing w:val="-105"/>
          <w:sz w:val="21"/>
          <w:szCs w:val="21"/>
        </w:rPr>
        <w:t> </w:t>
      </w:r>
      <w:r>
        <w:rPr>
          <w:rFonts w:ascii="宋体" w:hAnsi="宋体" w:cs="宋体" w:eastAsia="宋体" w:hint="default"/>
          <w:b/>
          <w:bCs/>
          <w:spacing w:val="-105"/>
          <w:sz w:val="21"/>
          <w:szCs w:val="21"/>
        </w:rPr>
      </w:r>
      <w:r>
        <w:rPr>
          <w:rFonts w:ascii="宋体" w:hAnsi="宋体" w:cs="宋体" w:eastAsia="宋体" w:hint="default"/>
          <w:spacing w:val="-2"/>
          <w:sz w:val="21"/>
          <w:szCs w:val="21"/>
        </w:rPr>
        <w:t>对于为购建或者生产符合资本化条件的资产而借入的专门借款，以专门借款当期实际发生的借款费用，</w:t>
      </w:r>
    </w:p>
    <w:p>
      <w:pPr>
        <w:pStyle w:val="Heading4"/>
        <w:spacing w:line="273" w:lineRule="auto" w:before="22"/>
        <w:ind w:right="0"/>
        <w:jc w:val="left"/>
      </w:pPr>
      <w:r>
        <w:rPr>
          <w:spacing w:val="-2"/>
        </w:rPr>
        <w:t>减去尚未动用的借款资金存入银行取得的利息收入或进行暂时性投资取得的投资收益后的金额，来确定借</w:t>
      </w:r>
      <w:r>
        <w:rPr>
          <w:spacing w:val="-43"/>
        </w:rPr>
        <w:t> </w:t>
      </w:r>
      <w:r>
        <w:rPr>
          <w:spacing w:val="-43"/>
        </w:rPr>
      </w:r>
      <w:r>
        <w:rPr/>
        <w:t>款费用的资本化金额。</w:t>
      </w:r>
    </w:p>
    <w:p>
      <w:pPr>
        <w:pStyle w:val="Heading4"/>
        <w:spacing w:line="273" w:lineRule="auto"/>
        <w:ind w:right="0" w:firstLine="420"/>
        <w:jc w:val="left"/>
      </w:pPr>
      <w:r>
        <w:rPr>
          <w:spacing w:val="-2"/>
        </w:rPr>
        <w:t>对于为购建或者生产符合资本化条件的资产而占用的一般借款，根据累计资产支出超过专门借款部分</w:t>
      </w:r>
      <w:r>
        <w:rPr>
          <w:w w:val="100"/>
        </w:rPr>
        <w:t> </w:t>
      </w:r>
      <w:r>
        <w:rPr/>
        <w:t>的资产支出加权平均数乘以所占用一般借款的资本化率，计算确定一般借款应予资本化的借款费用金额。</w:t>
      </w:r>
      <w:r>
        <w:rPr>
          <w:spacing w:val="-24"/>
        </w:rPr>
        <w:t> </w:t>
      </w:r>
      <w:r>
        <w:rPr>
          <w:spacing w:val="-24"/>
        </w:rPr>
      </w:r>
      <w:r>
        <w:rPr/>
        <w:t>资本化率根据一般借款加权平均利率计算确定。</w:t>
      </w:r>
    </w:p>
    <w:p>
      <w:pPr>
        <w:spacing w:line="240" w:lineRule="auto" w:before="7"/>
        <w:rPr>
          <w:rFonts w:ascii="宋体" w:hAnsi="宋体" w:cs="宋体" w:eastAsia="宋体" w:hint="default"/>
          <w:sz w:val="23"/>
          <w:szCs w:val="23"/>
        </w:rPr>
      </w:pPr>
    </w:p>
    <w:p>
      <w:pPr>
        <w:pStyle w:val="Heading3"/>
        <w:spacing w:line="240" w:lineRule="auto"/>
        <w:ind w:right="2602"/>
        <w:jc w:val="left"/>
        <w:rPr>
          <w:b w:val="0"/>
          <w:bCs w:val="0"/>
        </w:rPr>
      </w:pPr>
      <w:bookmarkStart w:name="27、生物资产" w:id="207"/>
      <w:bookmarkEnd w:id="207"/>
      <w:r>
        <w:rPr>
          <w:b w:val="0"/>
          <w:bCs w:val="0"/>
        </w:rPr>
      </w:r>
      <w:r>
        <w:rPr>
          <w:rFonts w:ascii="Times New Roman" w:hAnsi="Times New Roman" w:cs="Times New Roman" w:eastAsia="Times New Roman" w:hint="default"/>
        </w:rPr>
        <w:t>27</w:t>
      </w:r>
      <w:r>
        <w:rPr/>
        <w:t>、生物资产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240" w:lineRule="auto"/>
        <w:ind w:right="2602"/>
        <w:jc w:val="left"/>
        <w:rPr>
          <w:b w:val="0"/>
          <w:bCs w:val="0"/>
        </w:rPr>
      </w:pPr>
      <w:bookmarkStart w:name="28、油气资产" w:id="208"/>
      <w:bookmarkEnd w:id="208"/>
      <w:r>
        <w:rPr>
          <w:b w:val="0"/>
          <w:bCs w:val="0"/>
        </w:rPr>
      </w:r>
      <w:r>
        <w:rPr>
          <w:rFonts w:ascii="Times New Roman" w:hAnsi="Times New Roman" w:cs="Times New Roman" w:eastAsia="Times New Roman" w:hint="default"/>
        </w:rPr>
        <w:t>28</w:t>
      </w:r>
      <w:r>
        <w:rPr/>
        <w:t>、油气资产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506" w:lineRule="auto"/>
        <w:ind w:left="573" w:right="9279" w:hanging="421"/>
        <w:jc w:val="left"/>
        <w:rPr>
          <w:rFonts w:ascii="宋体" w:hAnsi="宋体" w:cs="宋体" w:eastAsia="宋体" w:hint="default"/>
          <w:b w:val="0"/>
          <w:bCs w:val="0"/>
        </w:rPr>
      </w:pPr>
      <w:bookmarkStart w:name="29、使用权资产" w:id="209"/>
      <w:bookmarkEnd w:id="209"/>
      <w:r>
        <w:rPr>
          <w:b w:val="0"/>
          <w:bCs w:val="0"/>
        </w:rPr>
      </w:r>
      <w:r>
        <w:rPr>
          <w:rFonts w:ascii="Times New Roman" w:hAnsi="Times New Roman" w:cs="Times New Roman" w:eastAsia="Times New Roman" w:hint="default"/>
        </w:rPr>
        <w:t>29</w:t>
      </w:r>
      <w:r>
        <w:rPr/>
        <w:t>、使用权资产</w:t>
      </w:r>
      <w:r>
        <w:rPr>
          <w:w w:val="100"/>
        </w:rPr>
        <w:t> </w:t>
      </w:r>
      <w:r>
        <w:rPr>
          <w:rFonts w:ascii="宋体" w:hAnsi="宋体" w:cs="宋体" w:eastAsia="宋体" w:hint="default"/>
          <w:b w:val="0"/>
          <w:bCs w:val="0"/>
        </w:rPr>
        <w:t>无</w:t>
      </w:r>
    </w:p>
    <w:p>
      <w:pPr>
        <w:spacing w:after="0" w:line="506" w:lineRule="auto"/>
        <w:jc w:val="left"/>
        <w:rPr>
          <w:rFonts w:ascii="宋体" w:hAnsi="宋体" w:cs="宋体" w:eastAsia="宋体" w:hint="default"/>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30、无形资产" w:id="210"/>
      <w:bookmarkEnd w:id="210"/>
      <w:r>
        <w:rPr>
          <w:b w:val="0"/>
          <w:bCs w:val="0"/>
        </w:rPr>
      </w:r>
      <w:r>
        <w:rPr>
          <w:rFonts w:ascii="Times New Roman" w:hAnsi="Times New Roman" w:cs="Times New Roman" w:eastAsia="Times New Roman" w:hint="default"/>
        </w:rPr>
        <w:t>30</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计价方法、使用寿命、减值测试" w:id="211"/>
      <w:bookmarkEnd w:id="211"/>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left="575" w:right="2602"/>
        <w:jc w:val="left"/>
        <w:rPr>
          <w:b w:val="0"/>
          <w:bCs w:val="0"/>
        </w:rPr>
      </w:pPr>
      <w:r>
        <w:rPr>
          <w:rFonts w:ascii="Times New Roman" w:hAnsi="Times New Roman" w:cs="Times New Roman" w:eastAsia="Times New Roman" w:hint="default"/>
        </w:rPr>
        <w:t>1. </w:t>
      </w:r>
      <w:r>
        <w:rPr>
          <w:rFonts w:ascii="Times New Roman" w:hAnsi="Times New Roman" w:cs="Times New Roman" w:eastAsia="Times New Roman" w:hint="default"/>
          <w:spacing w:val="2"/>
        </w:rPr>
        <w:t> </w:t>
      </w:r>
      <w:r>
        <w:rPr/>
        <w:t>无形资产的计价方法</w:t>
      </w:r>
      <w:r>
        <w:rPr>
          <w:b w:val="0"/>
          <w:bCs w:val="0"/>
        </w:rPr>
      </w:r>
    </w:p>
    <w:p>
      <w:pPr>
        <w:pStyle w:val="Heading4"/>
        <w:spacing w:line="256" w:lineRule="auto" w:before="21"/>
        <w:ind w:left="573" w:right="0"/>
        <w:jc w:val="left"/>
      </w:pPr>
      <w:r>
        <w:rPr/>
        <w:t>（</w:t>
      </w:r>
      <w:r>
        <w:rPr>
          <w:rFonts w:ascii="Times New Roman" w:hAnsi="Times New Roman" w:cs="Times New Roman" w:eastAsia="Times New Roman" w:hint="default"/>
        </w:rPr>
        <w:t>1</w:t>
      </w:r>
      <w:r>
        <w:rPr/>
        <w:t>）公司取得无形资产时按成本进行初始计量；</w:t>
      </w:r>
      <w:r>
        <w:rPr>
          <w:w w:val="100"/>
        </w:rPr>
        <w:t> </w:t>
      </w:r>
      <w:r>
        <w:rPr>
          <w:spacing w:val="-2"/>
        </w:rPr>
        <w:t>外购无形资产的成本，包括购买价款、相关税费以及直接归属于使该项资产达到预定用途所发生的其</w:t>
      </w:r>
    </w:p>
    <w:p>
      <w:pPr>
        <w:pStyle w:val="Heading4"/>
        <w:spacing w:line="273" w:lineRule="auto" w:before="22"/>
        <w:ind w:right="0"/>
        <w:jc w:val="left"/>
      </w:pPr>
      <w:r>
        <w:rPr>
          <w:spacing w:val="-2"/>
        </w:rPr>
        <w:t>他支出。购买无形资产的价款超过正常信用条件延期支付，实质上具有融资性质的，无形资产的成本以购</w:t>
      </w:r>
      <w:r>
        <w:rPr>
          <w:spacing w:val="-42"/>
        </w:rPr>
        <w:t> </w:t>
      </w:r>
      <w:r>
        <w:rPr>
          <w:spacing w:val="-42"/>
        </w:rPr>
      </w:r>
      <w:r>
        <w:rPr/>
        <w:t>买价款的现值为基础确定。</w:t>
      </w:r>
    </w:p>
    <w:p>
      <w:pPr>
        <w:pStyle w:val="Heading4"/>
        <w:spacing w:line="273" w:lineRule="auto"/>
        <w:ind w:right="1126" w:firstLine="420"/>
        <w:jc w:val="both"/>
      </w:pPr>
      <w:r>
        <w:rPr>
          <w:spacing w:val="-2"/>
        </w:rPr>
        <w:t>债务重组取得债务人用以抵债的无形资产，以所放弃债权的公允价值和可直接归属于使该资产达到预</w:t>
      </w:r>
      <w:r>
        <w:rPr>
          <w:w w:val="100"/>
        </w:rPr>
        <w:t> </w:t>
      </w:r>
      <w:r>
        <w:rPr>
          <w:spacing w:val="-2"/>
        </w:rPr>
        <w:t>定用途所发生的税金等其他成本确定其入账价值，并将所放弃债权的公允价值与账面价值之间的差额，计</w:t>
      </w:r>
      <w:r>
        <w:rPr>
          <w:spacing w:val="-43"/>
        </w:rPr>
        <w:t> </w:t>
      </w:r>
      <w:r>
        <w:rPr>
          <w:spacing w:val="-43"/>
        </w:rPr>
      </w:r>
      <w:r>
        <w:rPr/>
        <w:t>入当期损益。</w:t>
      </w:r>
    </w:p>
    <w:p>
      <w:pPr>
        <w:pStyle w:val="Heading4"/>
        <w:spacing w:line="273" w:lineRule="auto" w:before="8"/>
        <w:ind w:right="0" w:firstLine="420"/>
        <w:jc w:val="left"/>
      </w:pPr>
      <w:r>
        <w:rPr>
          <w:spacing w:val="-2"/>
        </w:rPr>
        <w:t>在非货币性资产交换具有商业实质，且换入资产或换出资产的公允价值能够可靠计量时，以公允价值</w:t>
      </w:r>
      <w:r>
        <w:rPr>
          <w:w w:val="100"/>
        </w:rPr>
        <w:t> </w:t>
      </w:r>
      <w:r>
        <w:rPr>
          <w:spacing w:val="-2"/>
        </w:rPr>
        <w:t>为基础计量。如换入资产和换出资产的公允价值均能可靠计量的，对于换入的无形资产，以换出资产的公</w:t>
      </w:r>
      <w:r>
        <w:rPr>
          <w:spacing w:val="-43"/>
        </w:rPr>
        <w:t> </w:t>
      </w:r>
      <w:r>
        <w:rPr>
          <w:spacing w:val="-43"/>
        </w:rPr>
      </w:r>
      <w:r>
        <w:rPr>
          <w:spacing w:val="-2"/>
        </w:rPr>
        <w:t>允价值和应支付的相关税费作为换入的无形资产的初始投资成本，除非有确凿证据表明换入资产的公允价</w:t>
      </w:r>
      <w:r>
        <w:rPr>
          <w:spacing w:val="-43"/>
        </w:rPr>
        <w:t> </w:t>
      </w:r>
      <w:r>
        <w:rPr>
          <w:spacing w:val="-43"/>
        </w:rPr>
      </w:r>
      <w:r>
        <w:rPr/>
        <w:t>值更加可靠。非货币性资产交换不具有商业实质，或换入资产和换出资产的公允价值均不能可靠计量的，</w:t>
      </w:r>
      <w:r>
        <w:rPr>
          <w:spacing w:val="-24"/>
        </w:rPr>
        <w:t> </w:t>
      </w:r>
      <w:r>
        <w:rPr>
          <w:spacing w:val="-24"/>
        </w:rPr>
      </w:r>
      <w:r>
        <w:rPr/>
        <w:t>对于换入的无形资产，以换出资产的账面价值和应支付的相关税费作为换入无形资产的初始投资成本。</w:t>
      </w:r>
    </w:p>
    <w:p>
      <w:pPr>
        <w:pStyle w:val="Heading4"/>
        <w:spacing w:line="256" w:lineRule="auto"/>
        <w:ind w:left="573" w:right="6254"/>
        <w:jc w:val="left"/>
      </w:pPr>
      <w:r>
        <w:rPr/>
        <w:t>（</w:t>
      </w:r>
      <w:r>
        <w:rPr>
          <w:rFonts w:ascii="Times New Roman" w:hAnsi="Times New Roman" w:cs="Times New Roman" w:eastAsia="Times New Roman" w:hint="default"/>
        </w:rPr>
        <w:t>2</w:t>
      </w:r>
      <w:r>
        <w:rPr/>
        <w:t>）后续计量</w:t>
      </w:r>
      <w:r>
        <w:rPr>
          <w:w w:val="100"/>
        </w:rPr>
        <w:t> </w:t>
      </w:r>
      <w:r>
        <w:rPr>
          <w:spacing w:val="-2"/>
        </w:rPr>
        <w:t>在取得无形资产时分析判断其使用寿命。</w:t>
      </w:r>
    </w:p>
    <w:p>
      <w:pPr>
        <w:pStyle w:val="Heading4"/>
        <w:spacing w:line="273" w:lineRule="auto" w:before="22"/>
        <w:ind w:right="0" w:firstLine="420"/>
        <w:jc w:val="left"/>
      </w:pPr>
      <w:r>
        <w:rPr>
          <w:spacing w:val="-2"/>
        </w:rPr>
        <w:t>对于使用寿命有限的无形资产，在为企业带来经济利益的期限内按直线法摊销；无法预见无形资产为</w:t>
      </w:r>
      <w:r>
        <w:rPr>
          <w:w w:val="100"/>
        </w:rPr>
        <w:t> </w:t>
      </w:r>
      <w:r>
        <w:rPr/>
        <w:t>企业带来经济利益期限的，视为使用寿命不确定的无形资产，不予摊销。</w:t>
      </w:r>
    </w:p>
    <w:p>
      <w:pPr>
        <w:pStyle w:val="Heading3"/>
        <w:spacing w:line="240" w:lineRule="auto" w:before="7"/>
        <w:ind w:left="575" w:right="2602"/>
        <w:jc w:val="left"/>
        <w:rPr>
          <w:rFonts w:ascii="Times New Roman" w:hAnsi="Times New Roman" w:cs="Times New Roman" w:eastAsia="Times New Roman" w:hint="default"/>
          <w:b w:val="0"/>
          <w:bCs w:val="0"/>
          <w:sz w:val="16"/>
          <w:szCs w:val="16"/>
        </w:rPr>
      </w:pPr>
      <w:r>
        <w:rPr>
          <w:rFonts w:ascii="Times New Roman" w:hAnsi="Times New Roman" w:cs="Times New Roman" w:eastAsia="Times New Roman" w:hint="default"/>
        </w:rPr>
        <w:t>2. </w:t>
      </w:r>
      <w:r>
        <w:rPr>
          <w:rFonts w:ascii="Times New Roman" w:hAnsi="Times New Roman" w:cs="Times New Roman" w:eastAsia="Times New Roman" w:hint="default"/>
          <w:spacing w:val="2"/>
        </w:rPr>
        <w:t> </w:t>
      </w:r>
      <w:r>
        <w:rPr/>
        <w:t>使用寿命有限的无形资产的使用寿命估计情况</w:t>
      </w:r>
      <w:r>
        <w:rPr>
          <w:rFonts w:ascii="Times New Roman" w:hAnsi="Times New Roman" w:cs="Times New Roman" w:eastAsia="Times New Roman" w:hint="default"/>
          <w:color w:val="0000FF"/>
          <w:sz w:val="16"/>
          <w:szCs w:val="16"/>
        </w:rPr>
        <w:t>)</w:t>
      </w:r>
      <w:r>
        <w:rPr>
          <w:rFonts w:ascii="Times New Roman" w:hAnsi="Times New Roman" w:cs="Times New Roman" w:eastAsia="Times New Roman" w:hint="default"/>
          <w:b w:val="0"/>
          <w:bCs w:val="0"/>
          <w:sz w:val="16"/>
          <w:szCs w:val="16"/>
        </w:rPr>
      </w:r>
    </w:p>
    <w:p>
      <w:pPr>
        <w:spacing w:line="240" w:lineRule="auto" w:before="11"/>
        <w:rPr>
          <w:rFonts w:ascii="Times New Roman" w:hAnsi="Times New Roman" w:cs="Times New Roman" w:eastAsia="Times New Roman" w:hint="default"/>
          <w:b/>
          <w:bCs/>
          <w:sz w:val="2"/>
          <w:szCs w:val="2"/>
        </w:rPr>
      </w:pPr>
    </w:p>
    <w:tbl>
      <w:tblPr>
        <w:tblW w:w="0" w:type="auto"/>
        <w:jc w:val="left"/>
        <w:tblInd w:w="741" w:type="dxa"/>
        <w:tblLayout w:type="fixed"/>
        <w:tblCellMar>
          <w:top w:w="0" w:type="dxa"/>
          <w:left w:w="0" w:type="dxa"/>
          <w:bottom w:w="0" w:type="dxa"/>
          <w:right w:w="0" w:type="dxa"/>
        </w:tblCellMar>
        <w:tblLook w:val="01E0"/>
      </w:tblPr>
      <w:tblGrid>
        <w:gridCol w:w="5079"/>
        <w:gridCol w:w="2693"/>
      </w:tblGrid>
      <w:tr>
        <w:trPr>
          <w:trHeight w:val="343" w:hRule="exact"/>
        </w:trPr>
        <w:tc>
          <w:tcPr>
            <w:tcW w:w="5079" w:type="dxa"/>
            <w:tcBorders>
              <w:top w:val="single" w:sz="4" w:space="0" w:color="000000"/>
              <w:left w:val="nil" w:sz="6" w:space="0" w:color="auto"/>
              <w:bottom w:val="single" w:sz="4" w:space="0" w:color="000000"/>
              <w:right w:val="single" w:sz="6" w:space="0" w:color="000000"/>
            </w:tcBorders>
          </w:tcPr>
          <w:p>
            <w:pPr>
              <w:pStyle w:val="TableParagraph"/>
              <w:spacing w:line="272" w:lineRule="exact"/>
              <w:ind w:right="62"/>
              <w:jc w:val="center"/>
              <w:rPr>
                <w:rFonts w:ascii="宋体" w:hAnsi="宋体" w:cs="宋体" w:eastAsia="宋体" w:hint="default"/>
                <w:sz w:val="21"/>
                <w:szCs w:val="21"/>
              </w:rPr>
            </w:pPr>
            <w:r>
              <w:rPr>
                <w:rFonts w:ascii="宋体" w:hAnsi="宋体" w:cs="宋体" w:eastAsia="宋体" w:hint="default"/>
                <w:sz w:val="21"/>
                <w:szCs w:val="21"/>
              </w:rPr>
              <w:t>项目</w:t>
            </w:r>
          </w:p>
        </w:tc>
        <w:tc>
          <w:tcPr>
            <w:tcW w:w="2693" w:type="dxa"/>
            <w:tcBorders>
              <w:top w:val="single" w:sz="4" w:space="0" w:color="000000"/>
              <w:left w:val="single" w:sz="6" w:space="0" w:color="000000"/>
              <w:bottom w:val="single" w:sz="4" w:space="0" w:color="000000"/>
              <w:right w:val="nil" w:sz="6" w:space="0" w:color="auto"/>
            </w:tcBorders>
          </w:tcPr>
          <w:p>
            <w:pPr>
              <w:pStyle w:val="TableParagraph"/>
              <w:spacing w:line="272" w:lineRule="exact"/>
              <w:ind w:right="2"/>
              <w:jc w:val="center"/>
              <w:rPr>
                <w:rFonts w:ascii="宋体" w:hAnsi="宋体" w:cs="宋体" w:eastAsia="宋体" w:hint="default"/>
                <w:sz w:val="21"/>
                <w:szCs w:val="21"/>
              </w:rPr>
            </w:pPr>
            <w:r>
              <w:rPr>
                <w:rFonts w:ascii="宋体" w:hAnsi="宋体" w:cs="宋体" w:eastAsia="宋体" w:hint="default"/>
                <w:sz w:val="21"/>
                <w:szCs w:val="21"/>
              </w:rPr>
              <w:t>预计使用寿命（年）</w:t>
            </w:r>
          </w:p>
        </w:tc>
      </w:tr>
      <w:tr>
        <w:trPr>
          <w:trHeight w:val="341" w:hRule="exact"/>
        </w:trPr>
        <w:tc>
          <w:tcPr>
            <w:tcW w:w="5079" w:type="dxa"/>
            <w:tcBorders>
              <w:top w:val="single" w:sz="4" w:space="0" w:color="000000"/>
              <w:left w:val="nil" w:sz="6" w:space="0" w:color="auto"/>
              <w:bottom w:val="single" w:sz="4" w:space="0" w:color="000000"/>
              <w:right w:val="single" w:sz="6" w:space="0" w:color="000000"/>
            </w:tcBorders>
          </w:tcPr>
          <w:p>
            <w:pPr>
              <w:pStyle w:val="TableParagraph"/>
              <w:spacing w:line="272" w:lineRule="exact"/>
              <w:ind w:left="22" w:right="0"/>
              <w:jc w:val="center"/>
              <w:rPr>
                <w:rFonts w:ascii="宋体" w:hAnsi="宋体" w:cs="宋体" w:eastAsia="宋体" w:hint="default"/>
                <w:sz w:val="21"/>
                <w:szCs w:val="21"/>
              </w:rPr>
            </w:pPr>
            <w:r>
              <w:rPr>
                <w:rFonts w:ascii="宋体" w:hAnsi="宋体" w:cs="宋体" w:eastAsia="宋体" w:hint="default"/>
                <w:sz w:val="21"/>
                <w:szCs w:val="21"/>
              </w:rPr>
              <w:t>土地使用权</w:t>
            </w:r>
          </w:p>
        </w:tc>
        <w:tc>
          <w:tcPr>
            <w:tcW w:w="2693"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44"/>
              <w:ind w:right="5"/>
              <w:jc w:val="center"/>
              <w:rPr>
                <w:rFonts w:ascii="Times New Roman" w:hAnsi="Times New Roman" w:cs="Times New Roman" w:eastAsia="Times New Roman" w:hint="default"/>
                <w:sz w:val="21"/>
                <w:szCs w:val="21"/>
              </w:rPr>
            </w:pPr>
            <w:r>
              <w:rPr>
                <w:rFonts w:ascii="Times New Roman"/>
                <w:sz w:val="21"/>
              </w:rPr>
              <w:t>50</w:t>
            </w:r>
          </w:p>
        </w:tc>
      </w:tr>
      <w:tr>
        <w:trPr>
          <w:trHeight w:val="343" w:hRule="exact"/>
        </w:trPr>
        <w:tc>
          <w:tcPr>
            <w:tcW w:w="5079" w:type="dxa"/>
            <w:tcBorders>
              <w:top w:val="single" w:sz="4" w:space="0" w:color="000000"/>
              <w:left w:val="nil" w:sz="6" w:space="0" w:color="auto"/>
              <w:bottom w:val="single" w:sz="4" w:space="0" w:color="000000"/>
              <w:right w:val="single" w:sz="6" w:space="0" w:color="000000"/>
            </w:tcBorders>
          </w:tcPr>
          <w:p>
            <w:pPr>
              <w:pStyle w:val="TableParagraph"/>
              <w:spacing w:line="272" w:lineRule="exact"/>
              <w:ind w:left="21" w:right="0"/>
              <w:jc w:val="center"/>
              <w:rPr>
                <w:rFonts w:ascii="宋体" w:hAnsi="宋体" w:cs="宋体" w:eastAsia="宋体" w:hint="default"/>
                <w:sz w:val="21"/>
                <w:szCs w:val="21"/>
              </w:rPr>
            </w:pPr>
            <w:r>
              <w:rPr>
                <w:rFonts w:ascii="宋体" w:hAnsi="宋体" w:cs="宋体" w:eastAsia="宋体" w:hint="default"/>
                <w:sz w:val="21"/>
                <w:szCs w:val="21"/>
              </w:rPr>
              <w:t>软件</w:t>
            </w:r>
          </w:p>
        </w:tc>
        <w:tc>
          <w:tcPr>
            <w:tcW w:w="2693"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44"/>
              <w:ind w:right="5"/>
              <w:jc w:val="center"/>
              <w:rPr>
                <w:rFonts w:ascii="Times New Roman" w:hAnsi="Times New Roman" w:cs="Times New Roman" w:eastAsia="Times New Roman" w:hint="default"/>
                <w:sz w:val="21"/>
                <w:szCs w:val="21"/>
              </w:rPr>
            </w:pPr>
            <w:r>
              <w:rPr>
                <w:rFonts w:ascii="Times New Roman"/>
                <w:w w:val="100"/>
                <w:sz w:val="21"/>
              </w:rPr>
              <w:t>5</w:t>
            </w:r>
          </w:p>
        </w:tc>
      </w:tr>
      <w:tr>
        <w:trPr>
          <w:trHeight w:val="341" w:hRule="exact"/>
        </w:trPr>
        <w:tc>
          <w:tcPr>
            <w:tcW w:w="5079" w:type="dxa"/>
            <w:tcBorders>
              <w:top w:val="single" w:sz="4" w:space="0" w:color="000000"/>
              <w:left w:val="nil" w:sz="6" w:space="0" w:color="auto"/>
              <w:bottom w:val="single" w:sz="4" w:space="0" w:color="000000"/>
              <w:right w:val="single" w:sz="6" w:space="0" w:color="000000"/>
            </w:tcBorders>
          </w:tcPr>
          <w:p>
            <w:pPr>
              <w:pStyle w:val="TableParagraph"/>
              <w:spacing w:line="272" w:lineRule="exact"/>
              <w:ind w:left="24" w:right="0"/>
              <w:jc w:val="center"/>
              <w:rPr>
                <w:rFonts w:ascii="宋体" w:hAnsi="宋体" w:cs="宋体" w:eastAsia="宋体" w:hint="default"/>
                <w:sz w:val="21"/>
                <w:szCs w:val="21"/>
              </w:rPr>
            </w:pPr>
            <w:r>
              <w:rPr>
                <w:rFonts w:ascii="宋体" w:hAnsi="宋体" w:cs="宋体" w:eastAsia="宋体" w:hint="default"/>
                <w:sz w:val="21"/>
                <w:szCs w:val="21"/>
              </w:rPr>
              <w:t>专利技术</w:t>
            </w:r>
          </w:p>
        </w:tc>
        <w:tc>
          <w:tcPr>
            <w:tcW w:w="2693"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44"/>
              <w:ind w:right="5"/>
              <w:jc w:val="center"/>
              <w:rPr>
                <w:rFonts w:ascii="Times New Roman" w:hAnsi="Times New Roman" w:cs="Times New Roman" w:eastAsia="Times New Roman" w:hint="default"/>
                <w:sz w:val="21"/>
                <w:szCs w:val="21"/>
              </w:rPr>
            </w:pPr>
            <w:r>
              <w:rPr>
                <w:rFonts w:ascii="Times New Roman"/>
                <w:sz w:val="21"/>
              </w:rPr>
              <w:t>10</w:t>
            </w:r>
          </w:p>
        </w:tc>
      </w:tr>
      <w:tr>
        <w:trPr>
          <w:trHeight w:val="343" w:hRule="exact"/>
        </w:trPr>
        <w:tc>
          <w:tcPr>
            <w:tcW w:w="5079" w:type="dxa"/>
            <w:tcBorders>
              <w:top w:val="single" w:sz="4" w:space="0" w:color="000000"/>
              <w:left w:val="nil" w:sz="6" w:space="0" w:color="auto"/>
              <w:bottom w:val="single" w:sz="4" w:space="0" w:color="000000"/>
              <w:right w:val="single" w:sz="6" w:space="0" w:color="000000"/>
            </w:tcBorders>
          </w:tcPr>
          <w:p>
            <w:pPr>
              <w:pStyle w:val="TableParagraph"/>
              <w:spacing w:line="272" w:lineRule="exact"/>
              <w:ind w:left="22" w:right="0"/>
              <w:jc w:val="center"/>
              <w:rPr>
                <w:rFonts w:ascii="宋体" w:hAnsi="宋体" w:cs="宋体" w:eastAsia="宋体" w:hint="default"/>
                <w:sz w:val="21"/>
                <w:szCs w:val="21"/>
              </w:rPr>
            </w:pPr>
            <w:r>
              <w:rPr>
                <w:rFonts w:ascii="宋体" w:hAnsi="宋体" w:cs="宋体" w:eastAsia="宋体" w:hint="default"/>
                <w:sz w:val="21"/>
                <w:szCs w:val="21"/>
              </w:rPr>
              <w:t>非专利技术</w:t>
            </w:r>
          </w:p>
        </w:tc>
        <w:tc>
          <w:tcPr>
            <w:tcW w:w="2693"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44"/>
              <w:ind w:right="5"/>
              <w:jc w:val="center"/>
              <w:rPr>
                <w:rFonts w:ascii="Times New Roman" w:hAnsi="Times New Roman" w:cs="Times New Roman" w:eastAsia="Times New Roman" w:hint="default"/>
                <w:sz w:val="21"/>
                <w:szCs w:val="21"/>
              </w:rPr>
            </w:pPr>
            <w:r>
              <w:rPr>
                <w:rFonts w:ascii="Times New Roman"/>
                <w:sz w:val="21"/>
              </w:rPr>
              <w:t>5-10</w:t>
            </w:r>
          </w:p>
        </w:tc>
      </w:tr>
      <w:tr>
        <w:trPr>
          <w:trHeight w:val="341" w:hRule="exact"/>
        </w:trPr>
        <w:tc>
          <w:tcPr>
            <w:tcW w:w="5079" w:type="dxa"/>
            <w:tcBorders>
              <w:top w:val="single" w:sz="4" w:space="0" w:color="000000"/>
              <w:left w:val="nil" w:sz="6" w:space="0" w:color="auto"/>
              <w:bottom w:val="single" w:sz="4" w:space="0" w:color="000000"/>
              <w:right w:val="single" w:sz="6" w:space="0" w:color="000000"/>
            </w:tcBorders>
          </w:tcPr>
          <w:p>
            <w:pPr>
              <w:pStyle w:val="TableParagraph"/>
              <w:spacing w:line="272" w:lineRule="exact"/>
              <w:ind w:left="21" w:right="0"/>
              <w:jc w:val="center"/>
              <w:rPr>
                <w:rFonts w:ascii="宋体" w:hAnsi="宋体" w:cs="宋体" w:eastAsia="宋体" w:hint="default"/>
                <w:sz w:val="21"/>
                <w:szCs w:val="21"/>
              </w:rPr>
            </w:pPr>
            <w:r>
              <w:rPr>
                <w:rFonts w:ascii="宋体" w:hAnsi="宋体" w:cs="宋体" w:eastAsia="宋体" w:hint="default"/>
                <w:sz w:val="21"/>
                <w:szCs w:val="21"/>
              </w:rPr>
              <w:t>著作权</w:t>
            </w:r>
          </w:p>
        </w:tc>
        <w:tc>
          <w:tcPr>
            <w:tcW w:w="2693"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44"/>
              <w:ind w:right="5"/>
              <w:jc w:val="center"/>
              <w:rPr>
                <w:rFonts w:ascii="Times New Roman" w:hAnsi="Times New Roman" w:cs="Times New Roman" w:eastAsia="Times New Roman" w:hint="default"/>
                <w:sz w:val="21"/>
                <w:szCs w:val="21"/>
              </w:rPr>
            </w:pPr>
            <w:r>
              <w:rPr>
                <w:rFonts w:ascii="Times New Roman"/>
                <w:w w:val="100"/>
                <w:sz w:val="21"/>
              </w:rPr>
              <w:t>5</w:t>
            </w:r>
          </w:p>
        </w:tc>
      </w:tr>
      <w:tr>
        <w:trPr>
          <w:trHeight w:val="343" w:hRule="exact"/>
        </w:trPr>
        <w:tc>
          <w:tcPr>
            <w:tcW w:w="5079" w:type="dxa"/>
            <w:tcBorders>
              <w:top w:val="single" w:sz="4" w:space="0" w:color="000000"/>
              <w:left w:val="nil" w:sz="6" w:space="0" w:color="auto"/>
              <w:bottom w:val="single" w:sz="4" w:space="0" w:color="000000"/>
              <w:right w:val="single" w:sz="6" w:space="0" w:color="000000"/>
            </w:tcBorders>
          </w:tcPr>
          <w:p>
            <w:pPr>
              <w:pStyle w:val="TableParagraph"/>
              <w:spacing w:line="272" w:lineRule="exact"/>
              <w:ind w:left="22" w:right="0"/>
              <w:jc w:val="center"/>
              <w:rPr>
                <w:rFonts w:ascii="宋体" w:hAnsi="宋体" w:cs="宋体" w:eastAsia="宋体" w:hint="default"/>
                <w:sz w:val="21"/>
                <w:szCs w:val="21"/>
              </w:rPr>
            </w:pPr>
            <w:r>
              <w:rPr>
                <w:rFonts w:ascii="宋体" w:hAnsi="宋体" w:cs="宋体" w:eastAsia="宋体" w:hint="default"/>
                <w:sz w:val="21"/>
                <w:szCs w:val="21"/>
              </w:rPr>
              <w:t>特许专营权</w:t>
            </w:r>
          </w:p>
        </w:tc>
        <w:tc>
          <w:tcPr>
            <w:tcW w:w="2693" w:type="dxa"/>
            <w:tcBorders>
              <w:top w:val="single" w:sz="4" w:space="0" w:color="000000"/>
              <w:left w:val="single" w:sz="6" w:space="0" w:color="000000"/>
              <w:bottom w:val="single" w:sz="4" w:space="0" w:color="000000"/>
              <w:right w:val="nil" w:sz="6" w:space="0" w:color="auto"/>
            </w:tcBorders>
          </w:tcPr>
          <w:p>
            <w:pPr>
              <w:pStyle w:val="TableParagraph"/>
              <w:spacing w:line="272" w:lineRule="exact"/>
              <w:ind w:right="2"/>
              <w:jc w:val="center"/>
              <w:rPr>
                <w:rFonts w:ascii="宋体" w:hAnsi="宋体" w:cs="宋体" w:eastAsia="宋体" w:hint="default"/>
                <w:sz w:val="21"/>
                <w:szCs w:val="21"/>
              </w:rPr>
            </w:pPr>
            <w:r>
              <w:rPr>
                <w:rFonts w:ascii="宋体" w:hAnsi="宋体" w:cs="宋体" w:eastAsia="宋体" w:hint="default"/>
                <w:sz w:val="21"/>
                <w:szCs w:val="21"/>
              </w:rPr>
              <w:t>约定的专营期限内</w:t>
            </w:r>
          </w:p>
        </w:tc>
      </w:tr>
    </w:tbl>
    <w:p>
      <w:pPr>
        <w:spacing w:line="264" w:lineRule="auto" w:before="0"/>
        <w:ind w:left="573" w:right="3326" w:firstLine="0"/>
        <w:jc w:val="left"/>
        <w:rPr>
          <w:rFonts w:ascii="宋体" w:hAnsi="宋体" w:cs="宋体" w:eastAsia="宋体" w:hint="default"/>
          <w:sz w:val="21"/>
          <w:szCs w:val="21"/>
        </w:rPr>
      </w:pPr>
      <w:r>
        <w:rPr>
          <w:rFonts w:ascii="宋体" w:hAnsi="宋体" w:cs="宋体" w:eastAsia="宋体" w:hint="default"/>
          <w:sz w:val="21"/>
          <w:szCs w:val="21"/>
        </w:rPr>
        <w:t>每年度终了，对使用寿命有限的无形资产的使用寿命及摊销方法进行复核。</w:t>
      </w:r>
      <w:r>
        <w:rPr>
          <w:rFonts w:ascii="宋体" w:hAnsi="宋体" w:cs="宋体" w:eastAsia="宋体" w:hint="default"/>
          <w:w w:val="100"/>
          <w:sz w:val="21"/>
          <w:szCs w:val="21"/>
        </w:rPr>
        <w:t> </w:t>
      </w:r>
      <w:r>
        <w:rPr>
          <w:rFonts w:ascii="Times New Roman" w:hAnsi="Times New Roman" w:cs="Times New Roman" w:eastAsia="Times New Roman" w:hint="default"/>
          <w:b/>
          <w:bCs/>
          <w:sz w:val="21"/>
          <w:szCs w:val="21"/>
        </w:rPr>
        <w:t>3.</w:t>
      </w:r>
      <w:r>
        <w:rPr>
          <w:rFonts w:ascii="Times New Roman" w:hAnsi="Times New Roman" w:cs="Times New Roman" w:eastAsia="Times New Roman" w:hint="default"/>
          <w:b/>
          <w:bCs/>
          <w:spacing w:val="51"/>
          <w:sz w:val="21"/>
          <w:szCs w:val="21"/>
        </w:rPr>
        <w:t> </w:t>
      </w:r>
      <w:r>
        <w:rPr>
          <w:rFonts w:ascii="宋体" w:hAnsi="宋体" w:cs="宋体" w:eastAsia="宋体" w:hint="default"/>
          <w:b/>
          <w:bCs/>
          <w:sz w:val="21"/>
          <w:szCs w:val="21"/>
        </w:rPr>
        <w:t>使用寿命不确定的无形资产的判断依据以及对其使用寿命进行复核的程序</w:t>
      </w:r>
      <w:r>
        <w:rPr>
          <w:rFonts w:ascii="宋体" w:hAnsi="宋体" w:cs="宋体" w:eastAsia="宋体" w:hint="default"/>
          <w:b/>
          <w:bCs/>
          <w:w w:val="100"/>
          <w:sz w:val="21"/>
          <w:szCs w:val="21"/>
        </w:rPr>
        <w:t> </w:t>
      </w:r>
      <w:r>
        <w:rPr>
          <w:rFonts w:ascii="宋体" w:hAnsi="宋体" w:cs="宋体" w:eastAsia="宋体" w:hint="default"/>
          <w:sz w:val="21"/>
          <w:szCs w:val="21"/>
        </w:rPr>
        <w:t>截至资产负债表日，本公司没有使用寿命不确定的无形资产。</w:t>
      </w:r>
    </w:p>
    <w:p>
      <w:pPr>
        <w:spacing w:line="240" w:lineRule="auto" w:before="2"/>
        <w:rPr>
          <w:rFonts w:ascii="宋体" w:hAnsi="宋体" w:cs="宋体" w:eastAsia="宋体" w:hint="default"/>
          <w:sz w:val="24"/>
          <w:szCs w:val="24"/>
        </w:rPr>
      </w:pPr>
    </w:p>
    <w:p>
      <w:pPr>
        <w:pStyle w:val="Heading3"/>
        <w:spacing w:line="240" w:lineRule="auto"/>
        <w:ind w:right="2602"/>
        <w:jc w:val="left"/>
        <w:rPr>
          <w:b w:val="0"/>
          <w:bCs w:val="0"/>
        </w:rPr>
      </w:pPr>
      <w:bookmarkStart w:name="（2）内部研究开发支出会计政策" w:id="212"/>
      <w:bookmarkEnd w:id="212"/>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8"/>
        <w:rPr>
          <w:rFonts w:ascii="宋体" w:hAnsi="宋体" w:cs="宋体" w:eastAsia="宋体" w:hint="default"/>
          <w:b/>
          <w:bCs/>
          <w:sz w:val="24"/>
          <w:szCs w:val="24"/>
        </w:rPr>
      </w:pPr>
    </w:p>
    <w:p>
      <w:pPr>
        <w:pStyle w:val="Heading4"/>
        <w:spacing w:line="266" w:lineRule="auto" w:before="0"/>
        <w:ind w:left="573" w:right="1119" w:firstLine="2"/>
        <w:jc w:val="left"/>
      </w:pPr>
      <w:r>
        <w:rPr>
          <w:rFonts w:ascii="Times New Roman" w:hAnsi="Times New Roman" w:cs="Times New Roman" w:eastAsia="Times New Roman" w:hint="default"/>
          <w:b/>
          <w:bCs/>
        </w:rPr>
        <w:t>1.</w:t>
      </w:r>
      <w:r>
        <w:rPr>
          <w:rFonts w:ascii="Times New Roman" w:hAnsi="Times New Roman" w:cs="Times New Roman" w:eastAsia="Times New Roman" w:hint="default"/>
          <w:b/>
          <w:bCs/>
          <w:spacing w:val="50"/>
        </w:rPr>
        <w:t> </w:t>
      </w:r>
      <w:r>
        <w:rPr>
          <w:rFonts w:ascii="宋体" w:hAnsi="宋体" w:cs="宋体" w:eastAsia="宋体" w:hint="default"/>
          <w:b/>
          <w:bCs/>
        </w:rPr>
        <w:t>划分研究阶段和开发阶段的具体标准</w:t>
      </w:r>
      <w:r>
        <w:rPr>
          <w:rFonts w:ascii="宋体" w:hAnsi="宋体" w:cs="宋体" w:eastAsia="宋体" w:hint="default"/>
          <w:b/>
          <w:bCs/>
          <w:w w:val="100"/>
        </w:rPr>
        <w:t> </w:t>
      </w:r>
      <w:r>
        <w:rPr/>
        <w:t>公司内部研究开发项目的支出分为研究阶段支出和开发阶段支出。</w:t>
      </w:r>
      <w:r>
        <w:rPr>
          <w:w w:val="100"/>
        </w:rPr>
        <w:t> </w:t>
      </w:r>
      <w:r>
        <w:rPr/>
        <w:t>研究阶段：为获取并理解新的科学或技术知识等而进行的独创性的有计划调查、研究活动的阶段。</w:t>
      </w:r>
      <w:r>
        <w:rPr>
          <w:w w:val="100"/>
        </w:rPr>
        <w:t> </w:t>
      </w:r>
      <w:r>
        <w:rPr>
          <w:spacing w:val="-2"/>
        </w:rPr>
        <w:t>开发阶段：在进行商业性生产或使用前，将研究成果或其他知识应用于某项计划或设计，以生产出新</w:t>
      </w:r>
    </w:p>
    <w:p>
      <w:pPr>
        <w:pStyle w:val="Heading4"/>
        <w:spacing w:line="268" w:lineRule="auto" w:before="14"/>
        <w:ind w:left="573" w:right="1687" w:hanging="421"/>
        <w:jc w:val="left"/>
      </w:pPr>
      <w:r>
        <w:rPr/>
        <w:t>的或具有实质性改进的材料、装置、产品等活动的阶段。</w:t>
      </w:r>
      <w:r>
        <w:rPr>
          <w:w w:val="100"/>
        </w:rPr>
        <w:t> </w:t>
      </w:r>
      <w:r>
        <w:rPr>
          <w:spacing w:val="-2"/>
        </w:rPr>
        <w:t>公司内部研究开发项目通过技术可行性和经济可行性研究，经审批予以立项后进入开发阶段。</w:t>
      </w:r>
      <w:r>
        <w:rPr>
          <w:w w:val="100"/>
        </w:rPr>
        <w:t> </w:t>
      </w:r>
      <w:r>
        <w:rPr>
          <w:rFonts w:ascii="Times New Roman" w:hAnsi="Times New Roman" w:cs="Times New Roman" w:eastAsia="Times New Roman" w:hint="default"/>
          <w:b/>
          <w:bCs/>
        </w:rPr>
        <w:t>2.</w:t>
      </w:r>
      <w:r>
        <w:rPr>
          <w:rFonts w:ascii="Times New Roman" w:hAnsi="Times New Roman" w:cs="Times New Roman" w:eastAsia="Times New Roman" w:hint="default"/>
          <w:b/>
          <w:bCs/>
          <w:spacing w:val="50"/>
        </w:rPr>
        <w:t> </w:t>
      </w:r>
      <w:r>
        <w:rPr>
          <w:rFonts w:ascii="宋体" w:hAnsi="宋体" w:cs="宋体" w:eastAsia="宋体" w:hint="default"/>
          <w:b/>
          <w:bCs/>
        </w:rPr>
        <w:t>开发阶段支出资本化的具体条件</w:t>
      </w:r>
      <w:r>
        <w:rPr>
          <w:rFonts w:ascii="宋体" w:hAnsi="宋体" w:cs="宋体" w:eastAsia="宋体" w:hint="default"/>
          <w:b/>
          <w:bCs/>
          <w:w w:val="100"/>
        </w:rPr>
        <w:t> </w:t>
      </w:r>
      <w:r>
        <w:rPr/>
        <w:t>内部研究开发项目开发阶段的支出，同时满足下列条件时确认为无形资产：</w:t>
      </w:r>
      <w:r>
        <w:rPr>
          <w:w w:val="100"/>
        </w:rPr>
        <w:t> </w:t>
      </w:r>
      <w:r>
        <w:rPr>
          <w:rFonts w:ascii="Times New Roman" w:hAnsi="Times New Roman" w:cs="Times New Roman" w:eastAsia="Times New Roman" w:hint="default"/>
        </w:rPr>
        <w:t>1</w:t>
      </w:r>
      <w:r>
        <w:rPr/>
        <w:t>）完成该无形资产以使其能够使用或出售在技术上具有可行性；</w:t>
      </w:r>
    </w:p>
    <w:p>
      <w:pPr>
        <w:spacing w:after="0" w:line="268"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left="573" w:right="2602"/>
        <w:jc w:val="left"/>
      </w:pPr>
      <w:r>
        <w:rPr>
          <w:rFonts w:ascii="Times New Roman" w:hAnsi="Times New Roman" w:cs="Times New Roman" w:eastAsia="Times New Roman" w:hint="default"/>
        </w:rPr>
        <w:t>2</w:t>
      </w:r>
      <w:r>
        <w:rPr/>
        <w:t>）具有完成该无形资产并使用或出售的意图；</w:t>
      </w:r>
    </w:p>
    <w:p>
      <w:pPr>
        <w:pStyle w:val="Heading4"/>
        <w:spacing w:line="256" w:lineRule="auto" w:before="21"/>
        <w:ind w:right="0" w:firstLine="420"/>
        <w:jc w:val="left"/>
      </w:pPr>
      <w:r>
        <w:rPr>
          <w:rFonts w:ascii="Times New Roman" w:hAnsi="Times New Roman" w:cs="Times New Roman" w:eastAsia="Times New Roman" w:hint="default"/>
        </w:rPr>
        <w:t>3</w:t>
      </w:r>
      <w:r>
        <w:rPr/>
        <w:t>）无形资产产生经济利益的方式，包括能够证明运用该无形资产生产的产品存在市场或无形资产自</w:t>
      </w:r>
      <w:r>
        <w:rPr>
          <w:w w:val="100"/>
        </w:rPr>
        <w:t> </w:t>
      </w:r>
      <w:r>
        <w:rPr/>
        <w:t>身存在市场，无形资产将在内部使用的，能够证明其有用性；</w:t>
      </w:r>
    </w:p>
    <w:p>
      <w:pPr>
        <w:pStyle w:val="Heading4"/>
        <w:spacing w:line="256" w:lineRule="auto" w:before="22"/>
        <w:ind w:right="1119" w:firstLine="420"/>
        <w:jc w:val="left"/>
      </w:pPr>
      <w:r>
        <w:rPr>
          <w:rFonts w:ascii="Times New Roman" w:hAnsi="Times New Roman" w:cs="Times New Roman" w:eastAsia="Times New Roman" w:hint="default"/>
        </w:rPr>
        <w:t>4</w:t>
      </w:r>
      <w:r>
        <w:rPr/>
        <w:t>）有足够的技术、财务资源和其他资源支持，以完成该无形资产的开发，并有能力使用或出售该无</w:t>
      </w:r>
      <w:r>
        <w:rPr>
          <w:w w:val="100"/>
        </w:rPr>
        <w:t> </w:t>
      </w:r>
      <w:r>
        <w:rPr/>
        <w:t>形资产；</w:t>
      </w:r>
    </w:p>
    <w:p>
      <w:pPr>
        <w:pStyle w:val="Heading4"/>
        <w:spacing w:line="256" w:lineRule="auto" w:before="22"/>
        <w:ind w:left="573" w:right="0"/>
        <w:jc w:val="left"/>
      </w:pPr>
      <w:r>
        <w:rPr>
          <w:rFonts w:ascii="Times New Roman" w:hAnsi="Times New Roman" w:cs="Times New Roman" w:eastAsia="Times New Roman" w:hint="default"/>
        </w:rPr>
        <w:t>5</w:t>
      </w:r>
      <w:r>
        <w:rPr/>
        <w:t>）归属于该无形资产开发阶段的支出能够可靠地计量。</w:t>
      </w:r>
      <w:r>
        <w:rPr>
          <w:w w:val="100"/>
        </w:rPr>
        <w:t> </w:t>
      </w:r>
      <w:r>
        <w:rPr>
          <w:spacing w:val="-3"/>
        </w:rPr>
        <w:t>开发阶段的支出，若不满足上列条件的，于发生时计入当期损益。研究阶段的支出，在发生时计入当</w:t>
      </w:r>
    </w:p>
    <w:p>
      <w:pPr>
        <w:pStyle w:val="Heading4"/>
        <w:spacing w:line="240" w:lineRule="auto" w:before="22"/>
        <w:ind w:right="2602"/>
        <w:jc w:val="left"/>
      </w:pPr>
      <w:r>
        <w:rPr/>
        <w:t>期损益。</w:t>
      </w:r>
    </w:p>
    <w:p>
      <w:pPr>
        <w:pStyle w:val="Heading4"/>
        <w:spacing w:line="600" w:lineRule="atLeast" w:before="28"/>
        <w:ind w:left="573" w:right="0" w:hanging="421"/>
        <w:jc w:val="left"/>
      </w:pPr>
      <w:bookmarkStart w:name="31、长期资产减值" w:id="213"/>
      <w:bookmarkEnd w:id="213"/>
      <w:r>
        <w:rPr/>
      </w:r>
      <w:r>
        <w:rPr>
          <w:rFonts w:ascii="Times New Roman" w:hAnsi="Times New Roman" w:cs="Times New Roman" w:eastAsia="Times New Roman" w:hint="default"/>
          <w:b/>
          <w:bCs/>
        </w:rPr>
        <w:t>31</w:t>
      </w:r>
      <w:r>
        <w:rPr>
          <w:rFonts w:ascii="宋体" w:hAnsi="宋体" w:cs="宋体" w:eastAsia="宋体" w:hint="default"/>
          <w:b/>
          <w:bCs/>
        </w:rPr>
        <w:t>、长期资产减值</w:t>
      </w:r>
      <w:r>
        <w:rPr>
          <w:rFonts w:ascii="宋体" w:hAnsi="宋体" w:cs="宋体" w:eastAsia="宋体" w:hint="default"/>
          <w:b/>
          <w:bCs/>
          <w:w w:val="100"/>
        </w:rPr>
        <w:t> </w:t>
      </w:r>
      <w:r>
        <w:rPr>
          <w:spacing w:val="-2"/>
        </w:rPr>
        <w:t>长期股权投资、采用成本模式计量的投资性房地产、固定资产、在建工程、使用寿命有限的无形资产</w:t>
      </w:r>
    </w:p>
    <w:p>
      <w:pPr>
        <w:pStyle w:val="Heading4"/>
        <w:spacing w:line="273" w:lineRule="auto" w:before="37"/>
        <w:ind w:right="1126"/>
        <w:jc w:val="both"/>
      </w:pPr>
      <w:r>
        <w:rPr>
          <w:spacing w:val="-2"/>
        </w:rPr>
        <w:t>等长期资产，于资产负债表日存在减值迹象的，进行减值测试。减值测试结果表明资产的可收回金额低于</w:t>
      </w:r>
      <w:r>
        <w:rPr>
          <w:spacing w:val="-43"/>
        </w:rPr>
        <w:t> </w:t>
      </w:r>
      <w:r>
        <w:rPr>
          <w:spacing w:val="-43"/>
        </w:rPr>
      </w:r>
      <w:r>
        <w:rPr>
          <w:spacing w:val="-2"/>
        </w:rPr>
        <w:t>其账面价值的，按其差额计提减值准备并计入减值损失。可收回金额为资产的公允价值减去处置费用后的</w:t>
      </w:r>
      <w:r>
        <w:rPr>
          <w:spacing w:val="-42"/>
        </w:rPr>
        <w:t> </w:t>
      </w:r>
      <w:r>
        <w:rPr>
          <w:spacing w:val="-42"/>
        </w:rPr>
      </w:r>
      <w:r>
        <w:rPr>
          <w:spacing w:val="-2"/>
        </w:rPr>
        <w:t>净额与资产预计未来现金流量的现值两者之间的较高者。资产减值准备按单项资产为基础计算并确认，如</w:t>
      </w:r>
      <w:r>
        <w:rPr>
          <w:spacing w:val="-43"/>
        </w:rPr>
        <w:t> </w:t>
      </w:r>
      <w:r>
        <w:rPr>
          <w:spacing w:val="-43"/>
        </w:rPr>
      </w:r>
      <w:r>
        <w:rPr>
          <w:spacing w:val="-2"/>
        </w:rPr>
        <w:t>果难以对单项资产的可收回金额进行估计的，以该资产所属的资产组确定资产组的可收回金额。资产组是</w:t>
      </w:r>
      <w:r>
        <w:rPr>
          <w:spacing w:val="-42"/>
        </w:rPr>
        <w:t> </w:t>
      </w:r>
      <w:r>
        <w:rPr>
          <w:spacing w:val="-42"/>
        </w:rPr>
      </w:r>
      <w:r>
        <w:rPr/>
        <w:t>能够独立产生现金流入的最小资产组合。</w:t>
      </w:r>
    </w:p>
    <w:p>
      <w:pPr>
        <w:pStyle w:val="Heading4"/>
        <w:spacing w:line="273" w:lineRule="auto"/>
        <w:ind w:right="1119" w:firstLine="420"/>
        <w:jc w:val="left"/>
      </w:pPr>
      <w:r>
        <w:rPr>
          <w:spacing w:val="-2"/>
        </w:rPr>
        <w:t>商誉、使用寿命不确定的无形资产、尚未达到可使用状态的无形资产至少在每年年度终了进行减值测</w:t>
      </w:r>
      <w:r>
        <w:rPr>
          <w:w w:val="100"/>
        </w:rPr>
        <w:t> </w:t>
      </w:r>
      <w:r>
        <w:rPr/>
        <w:t>试。</w:t>
      </w:r>
    </w:p>
    <w:p>
      <w:pPr>
        <w:pStyle w:val="Heading4"/>
        <w:spacing w:line="273" w:lineRule="auto"/>
        <w:ind w:right="1126" w:firstLine="420"/>
        <w:jc w:val="both"/>
      </w:pPr>
      <w:r>
        <w:rPr>
          <w:spacing w:val="-2"/>
        </w:rPr>
        <w:t>本公司进行商誉减值测试，对于因企业合并形成的商誉的账面价值，自购买日起按照合理的方法分摊</w:t>
      </w:r>
      <w:r>
        <w:rPr>
          <w:w w:val="100"/>
        </w:rPr>
        <w:t> </w:t>
      </w:r>
      <w:r>
        <w:rPr>
          <w:spacing w:val="-2"/>
        </w:rPr>
        <w:t>至相关的资产组；难以分摊至相关的资产组的，将其分摊至相关的资产组组合。本公司在分摊商誉的账面</w:t>
      </w:r>
      <w:r>
        <w:rPr>
          <w:spacing w:val="-44"/>
        </w:rPr>
        <w:t> </w:t>
      </w:r>
      <w:r>
        <w:rPr>
          <w:spacing w:val="-44"/>
        </w:rPr>
      </w:r>
      <w:r>
        <w:rPr>
          <w:spacing w:val="-2"/>
        </w:rPr>
        <w:t>价值时，根据相关资产组或资产组组合能够从企业合并的协同效应中获得的相对受益情况进行分摊，在此</w:t>
      </w:r>
      <w:r>
        <w:rPr>
          <w:spacing w:val="-43"/>
        </w:rPr>
        <w:t> </w:t>
      </w:r>
      <w:r>
        <w:rPr>
          <w:spacing w:val="-43"/>
        </w:rPr>
      </w:r>
      <w:r>
        <w:rPr/>
        <w:t>基础上进行商誉减值测试。</w:t>
      </w:r>
    </w:p>
    <w:p>
      <w:pPr>
        <w:pStyle w:val="Heading4"/>
        <w:spacing w:line="273" w:lineRule="auto"/>
        <w:ind w:right="0" w:firstLine="420"/>
        <w:jc w:val="left"/>
      </w:pPr>
      <w:r>
        <w:rPr>
          <w:spacing w:val="-2"/>
        </w:rPr>
        <w:t>在对包含商誉的相关资产组或者资产组组合进行减值测试时，如与商誉相关的资产组或者资产组组合</w:t>
      </w:r>
      <w:r>
        <w:rPr>
          <w:w w:val="100"/>
        </w:rPr>
        <w:t> </w:t>
      </w:r>
      <w:r>
        <w:rPr>
          <w:spacing w:val="-2"/>
        </w:rPr>
        <w:t>存在减值迹象的，先对不包含商誉的资产组或者资产组组合进行减值测试，计算可收回金额，并与相关账</w:t>
      </w:r>
      <w:r>
        <w:rPr>
          <w:spacing w:val="-44"/>
        </w:rPr>
        <w:t> </w:t>
      </w:r>
      <w:r>
        <w:rPr>
          <w:spacing w:val="-44"/>
        </w:rPr>
      </w:r>
      <w:r>
        <w:rPr>
          <w:spacing w:val="-2"/>
        </w:rPr>
        <w:t>面价值相比较，确认相应的减值损失。再对包含商誉的资产组或者资产组组合进行减值测试，比较这些相</w:t>
      </w:r>
      <w:r>
        <w:rPr>
          <w:spacing w:val="-44"/>
        </w:rPr>
        <w:t> </w:t>
      </w:r>
      <w:r>
        <w:rPr>
          <w:spacing w:val="-44"/>
        </w:rPr>
      </w:r>
      <w:r>
        <w:rPr>
          <w:spacing w:val="-2"/>
        </w:rPr>
        <w:t>关资产组或者资产组组合的账面价值（包括所分摊的商誉的账面价值部分）与其可收回金额，如相关资产</w:t>
      </w:r>
      <w:r>
        <w:rPr>
          <w:spacing w:val="-43"/>
        </w:rPr>
        <w:t> </w:t>
      </w:r>
      <w:r>
        <w:rPr>
          <w:spacing w:val="-43"/>
        </w:rPr>
      </w:r>
      <w:r>
        <w:rPr/>
        <w:t>组或者资产组组合的可收回金额低于其账面价值的，确认商誉的减值损失。上述资产减值损失一经确认，</w:t>
      </w:r>
      <w:r>
        <w:rPr>
          <w:spacing w:val="-24"/>
        </w:rPr>
        <w:t> </w:t>
      </w:r>
      <w:r>
        <w:rPr>
          <w:spacing w:val="-24"/>
        </w:rPr>
      </w:r>
      <w:r>
        <w:rPr/>
        <w:t>在以后会计期间不予转回。</w:t>
      </w:r>
    </w:p>
    <w:p>
      <w:pPr>
        <w:pStyle w:val="Heading4"/>
        <w:spacing w:line="590" w:lineRule="atLeast" w:before="8"/>
        <w:ind w:left="573" w:right="0" w:hanging="421"/>
        <w:jc w:val="left"/>
      </w:pPr>
      <w:bookmarkStart w:name="32、长期待摊费用" w:id="214"/>
      <w:bookmarkEnd w:id="214"/>
      <w:r>
        <w:rPr/>
      </w:r>
      <w:r>
        <w:rPr>
          <w:rFonts w:ascii="Times New Roman" w:hAnsi="Times New Roman" w:cs="Times New Roman" w:eastAsia="Times New Roman" w:hint="default"/>
          <w:b/>
          <w:bCs/>
        </w:rPr>
        <w:t>32</w:t>
      </w:r>
      <w:r>
        <w:rPr>
          <w:rFonts w:ascii="宋体" w:hAnsi="宋体" w:cs="宋体" w:eastAsia="宋体" w:hint="default"/>
          <w:b/>
          <w:bCs/>
        </w:rPr>
        <w:t>、长期待摊费用</w:t>
      </w:r>
      <w:r>
        <w:rPr>
          <w:rFonts w:ascii="宋体" w:hAnsi="宋体" w:cs="宋体" w:eastAsia="宋体" w:hint="default"/>
          <w:b/>
          <w:bCs/>
          <w:w w:val="100"/>
        </w:rPr>
        <w:t> </w:t>
      </w:r>
      <w:r>
        <w:rPr>
          <w:spacing w:val="-2"/>
        </w:rPr>
        <w:t>长期待摊费用为已经发生但应由本期和以后各期负担的分摊期限在一年以上的各项费用。本公司长期</w:t>
      </w:r>
    </w:p>
    <w:p>
      <w:pPr>
        <w:pStyle w:val="Heading4"/>
        <w:spacing w:line="240" w:lineRule="auto" w:before="37"/>
        <w:ind w:right="2602"/>
        <w:jc w:val="left"/>
      </w:pPr>
      <w:r>
        <w:rPr/>
        <w:t>待摊费用包括以经营租赁方式租入的固定资产改良支出等。</w:t>
      </w:r>
    </w:p>
    <w:p>
      <w:pPr>
        <w:spacing w:line="266" w:lineRule="auto" w:before="37"/>
        <w:ind w:left="573" w:right="7154"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摊销方法</w:t>
      </w:r>
      <w:r>
        <w:rPr>
          <w:rFonts w:ascii="宋体" w:hAnsi="宋体" w:cs="宋体" w:eastAsia="宋体" w:hint="default"/>
          <w:b/>
          <w:bCs/>
          <w:w w:val="100"/>
          <w:sz w:val="21"/>
          <w:szCs w:val="21"/>
        </w:rPr>
        <w:t> </w:t>
      </w:r>
      <w:r>
        <w:rPr>
          <w:rFonts w:ascii="宋体" w:hAnsi="宋体" w:cs="宋体" w:eastAsia="宋体" w:hint="default"/>
          <w:spacing w:val="-2"/>
          <w:sz w:val="21"/>
          <w:szCs w:val="21"/>
        </w:rPr>
        <w:t>长期待摊费用在受益期内平均摊销</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Times New Roman" w:hAnsi="Times New Roman" w:cs="Times New Roman" w:eastAsia="Times New Roman" w:hint="default"/>
          <w:b/>
          <w:bCs/>
          <w:sz w:val="21"/>
          <w:szCs w:val="21"/>
        </w:rPr>
        <w:t>2.  </w:t>
      </w:r>
      <w:r>
        <w:rPr>
          <w:rFonts w:ascii="宋体" w:hAnsi="宋体" w:cs="宋体" w:eastAsia="宋体" w:hint="default"/>
          <w:b/>
          <w:bCs/>
          <w:sz w:val="21"/>
          <w:szCs w:val="21"/>
        </w:rPr>
        <w:t>摊销年限</w:t>
      </w:r>
      <w:r>
        <w:rPr>
          <w:rFonts w:ascii="宋体" w:hAnsi="宋体" w:cs="宋体" w:eastAsia="宋体" w:hint="default"/>
          <w:sz w:val="21"/>
          <w:szCs w:val="21"/>
        </w:rPr>
      </w:r>
    </w:p>
    <w:p>
      <w:pPr>
        <w:pStyle w:val="Heading4"/>
        <w:spacing w:line="273" w:lineRule="auto" w:before="0"/>
        <w:ind w:right="0" w:firstLine="420"/>
        <w:jc w:val="left"/>
      </w:pPr>
      <w:r>
        <w:rPr>
          <w:spacing w:val="2"/>
        </w:rPr>
        <w:t>本公司本报告期内以经营租赁方式租入的固定资产改良支出在剩余租赁期限与租赁资产尚可使用年</w:t>
      </w:r>
      <w:r>
        <w:rPr>
          <w:w w:val="100"/>
        </w:rPr>
        <w:t> </w:t>
      </w:r>
      <w:r>
        <w:rPr/>
        <w:t>限两者孰短的期限内平均摊销。</w:t>
      </w:r>
    </w:p>
    <w:p>
      <w:pPr>
        <w:spacing w:after="0" w:line="273"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33、合同负债" w:id="215"/>
      <w:bookmarkEnd w:id="215"/>
      <w:r>
        <w:rPr>
          <w:b w:val="0"/>
          <w:bCs w:val="0"/>
        </w:rPr>
      </w:r>
      <w:r>
        <w:rPr>
          <w:rFonts w:ascii="Times New Roman" w:hAnsi="Times New Roman" w:cs="Times New Roman" w:eastAsia="Times New Roman" w:hint="default"/>
        </w:rPr>
        <w:t>33</w:t>
      </w:r>
      <w:r>
        <w:rPr/>
        <w:t>、合同负债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34、职工薪酬" w:id="216"/>
      <w:bookmarkEnd w:id="216"/>
      <w:r>
        <w:rPr>
          <w:b w:val="0"/>
          <w:bCs w:val="0"/>
        </w:rPr>
      </w:r>
      <w:r>
        <w:rPr>
          <w:rFonts w:ascii="Times New Roman" w:hAnsi="Times New Roman" w:cs="Times New Roman" w:eastAsia="Times New Roman" w:hint="default"/>
        </w:rPr>
        <w:t>34</w:t>
      </w:r>
      <w:r>
        <w:rPr/>
        <w:t>、职工薪酬</w:t>
      </w:r>
      <w:r>
        <w:rPr>
          <w:b w:val="0"/>
          <w:bCs w:val="0"/>
        </w:rPr>
      </w:r>
    </w:p>
    <w:p>
      <w:pPr>
        <w:spacing w:line="600" w:lineRule="atLeast" w:before="12"/>
        <w:ind w:left="573" w:right="0" w:hanging="421"/>
        <w:jc w:val="left"/>
        <w:rPr>
          <w:rFonts w:ascii="宋体" w:hAnsi="宋体" w:cs="宋体" w:eastAsia="宋体" w:hint="default"/>
          <w:sz w:val="21"/>
          <w:szCs w:val="21"/>
        </w:rPr>
      </w:pPr>
      <w:bookmarkStart w:name="（1）短期薪酬的会计处理方法" w:id="217"/>
      <w:bookmarkEnd w:id="21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本公司在职工为本公司提供服务的会计期间，将实际发生的短期薪酬确认为负债，并计入当期损益或</w:t>
      </w:r>
    </w:p>
    <w:p>
      <w:pPr>
        <w:pStyle w:val="Heading4"/>
        <w:spacing w:line="273" w:lineRule="auto" w:before="37"/>
        <w:ind w:left="573" w:right="1119" w:hanging="421"/>
        <w:jc w:val="left"/>
      </w:pPr>
      <w:r>
        <w:rPr/>
        <w:t>相关资产成本。</w:t>
      </w:r>
      <w:r>
        <w:rPr>
          <w:spacing w:val="-103"/>
        </w:rPr>
        <w:t> </w:t>
      </w:r>
      <w:r>
        <w:rPr>
          <w:spacing w:val="-103"/>
        </w:rPr>
      </w:r>
      <w:r>
        <w:rPr>
          <w:spacing w:val="-2"/>
        </w:rPr>
        <w:t>本公司为职工缴纳的社会保险费和住房公积金，以及按规定提取的工会经费和职工教育经费，在职工</w:t>
      </w:r>
    </w:p>
    <w:p>
      <w:pPr>
        <w:pStyle w:val="Heading4"/>
        <w:spacing w:line="273" w:lineRule="auto"/>
        <w:ind w:left="573" w:right="0" w:hanging="421"/>
        <w:jc w:val="left"/>
      </w:pPr>
      <w:r>
        <w:rPr>
          <w:spacing w:val="-2"/>
        </w:rPr>
        <w:t>为本公司提供服务的会计期间，根据规定的计提基础和计提比例计算确定相应的职工薪酬金额。</w:t>
      </w:r>
      <w:r>
        <w:rPr>
          <w:spacing w:val="-25"/>
        </w:rPr>
        <w:t> </w:t>
      </w:r>
      <w:r>
        <w:rPr>
          <w:spacing w:val="-25"/>
        </w:rPr>
      </w:r>
      <w:r>
        <w:rPr/>
        <w:t>职工福利费为非货币性福利的，如能够可靠计量的，按照公允价值计量。</w:t>
      </w:r>
    </w:p>
    <w:p>
      <w:pPr>
        <w:spacing w:line="240" w:lineRule="auto" w:before="7"/>
        <w:rPr>
          <w:rFonts w:ascii="宋体" w:hAnsi="宋体" w:cs="宋体" w:eastAsia="宋体" w:hint="default"/>
          <w:sz w:val="23"/>
          <w:szCs w:val="23"/>
        </w:rPr>
      </w:pPr>
    </w:p>
    <w:p>
      <w:pPr>
        <w:pStyle w:val="Heading3"/>
        <w:spacing w:line="240" w:lineRule="auto"/>
        <w:ind w:right="2602"/>
        <w:jc w:val="left"/>
        <w:rPr>
          <w:b w:val="0"/>
          <w:bCs w:val="0"/>
        </w:rPr>
      </w:pPr>
      <w:bookmarkStart w:name="（2）离职后福利的会计处理方法" w:id="218"/>
      <w:bookmarkEnd w:id="218"/>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7"/>
        <w:rPr>
          <w:rFonts w:ascii="宋体" w:hAnsi="宋体" w:cs="宋体" w:eastAsia="宋体" w:hint="default"/>
          <w:b/>
          <w:bCs/>
          <w:sz w:val="24"/>
          <w:szCs w:val="24"/>
        </w:rPr>
      </w:pPr>
    </w:p>
    <w:p>
      <w:pPr>
        <w:pStyle w:val="Heading4"/>
        <w:spacing w:line="256" w:lineRule="auto" w:before="0"/>
        <w:ind w:left="573" w:right="0"/>
        <w:jc w:val="left"/>
      </w:pPr>
      <w:r>
        <w:rPr/>
        <w:t>（</w:t>
      </w:r>
      <w:r>
        <w:rPr>
          <w:rFonts w:ascii="Times New Roman" w:hAnsi="Times New Roman" w:cs="Times New Roman" w:eastAsia="Times New Roman" w:hint="default"/>
        </w:rPr>
        <w:t>1</w:t>
      </w:r>
      <w:r>
        <w:rPr/>
        <w:t>）设定提存计划</w:t>
      </w:r>
      <w:r>
        <w:rPr>
          <w:w w:val="100"/>
        </w:rPr>
        <w:t> </w:t>
      </w:r>
      <w:r>
        <w:rPr>
          <w:spacing w:val="-2"/>
        </w:rPr>
        <w:t>本公司按当地政府的相关规定为职工缴纳基本养老保险和失业保险，在职工为本公司提供服务的会计</w:t>
      </w:r>
    </w:p>
    <w:p>
      <w:pPr>
        <w:pStyle w:val="Heading4"/>
        <w:spacing w:line="240" w:lineRule="auto" w:before="22"/>
        <w:ind w:right="0"/>
        <w:jc w:val="left"/>
      </w:pPr>
      <w:r>
        <w:rPr/>
        <w:t>期间，按以当地规定的缴纳基数和比例计算应缴纳金额，确认为负债，并计入当期损益或相关资产成本。</w:t>
      </w:r>
    </w:p>
    <w:p>
      <w:pPr>
        <w:pStyle w:val="Heading4"/>
        <w:spacing w:line="256" w:lineRule="auto" w:before="37"/>
        <w:ind w:left="573" w:right="0"/>
        <w:jc w:val="left"/>
      </w:pPr>
      <w:r>
        <w:rPr/>
        <w:t>（</w:t>
      </w:r>
      <w:r>
        <w:rPr>
          <w:rFonts w:ascii="Times New Roman" w:hAnsi="Times New Roman" w:cs="Times New Roman" w:eastAsia="Times New Roman" w:hint="default"/>
        </w:rPr>
        <w:t>2</w:t>
      </w:r>
      <w:r>
        <w:rPr/>
        <w:t>）设定受益计划</w:t>
      </w:r>
      <w:r>
        <w:rPr>
          <w:w w:val="100"/>
        </w:rPr>
        <w:t> </w:t>
      </w:r>
      <w:r>
        <w:rPr>
          <w:spacing w:val="2"/>
        </w:rPr>
        <w:t>本公司根据预期累计福利单位法确定的公式将设定受益计划产生的福利义务归属于职工提供服务的</w:t>
      </w:r>
    </w:p>
    <w:p>
      <w:pPr>
        <w:pStyle w:val="Heading4"/>
        <w:spacing w:line="273" w:lineRule="auto" w:before="22"/>
        <w:ind w:left="573" w:right="0" w:hanging="421"/>
        <w:jc w:val="left"/>
      </w:pPr>
      <w:r>
        <w:rPr/>
        <w:t>期间，并计入当期损益或相关资产成本。</w:t>
      </w:r>
      <w:r>
        <w:rPr>
          <w:w w:val="100"/>
        </w:rPr>
        <w:t> </w:t>
      </w:r>
      <w:r>
        <w:rPr>
          <w:spacing w:val="2"/>
        </w:rPr>
        <w:t>设定受益计划义务现值减去设定受益计划资产公允价值所形成的赤字或盈余确认为一项设定受益计</w:t>
      </w:r>
    </w:p>
    <w:p>
      <w:pPr>
        <w:pStyle w:val="Heading4"/>
        <w:spacing w:line="273" w:lineRule="auto"/>
        <w:ind w:right="0"/>
        <w:jc w:val="left"/>
      </w:pPr>
      <w:r>
        <w:rPr>
          <w:spacing w:val="-2"/>
        </w:rPr>
        <w:t>划净负债或净资产。设定受益计划存在盈余的，本公司以设定受益计划的盈余和资产上限两项的孰低者计</w:t>
      </w:r>
      <w:r>
        <w:rPr>
          <w:spacing w:val="-43"/>
        </w:rPr>
        <w:t> </w:t>
      </w:r>
      <w:r>
        <w:rPr>
          <w:spacing w:val="-43"/>
        </w:rPr>
      </w:r>
      <w:r>
        <w:rPr/>
        <w:t>量设定受益计划净资产。</w:t>
      </w:r>
    </w:p>
    <w:p>
      <w:pPr>
        <w:pStyle w:val="Heading4"/>
        <w:spacing w:line="273" w:lineRule="auto"/>
        <w:ind w:right="0" w:firstLine="420"/>
        <w:jc w:val="left"/>
      </w:pPr>
      <w:r>
        <w:rPr/>
        <w:t>所有设定受益计划义务，包括预期在职工提供服务的年度报告期间结束后的十二个月内支付的义务，</w:t>
      </w:r>
      <w:r>
        <w:rPr>
          <w:w w:val="100"/>
        </w:rPr>
        <w:t> </w:t>
      </w:r>
      <w:r>
        <w:rPr>
          <w:spacing w:val="2"/>
        </w:rPr>
        <w:t>根据资产负债表日与设定受益计划义务期限和币种相匹配的国债或活跃市场上的高质量公司债券的市场</w:t>
      </w:r>
      <w:r>
        <w:rPr>
          <w:spacing w:val="-30"/>
        </w:rPr>
        <w:t> </w:t>
      </w:r>
      <w:r>
        <w:rPr>
          <w:spacing w:val="-30"/>
        </w:rPr>
      </w:r>
      <w:r>
        <w:rPr/>
        <w:t>收益率予以折现。</w:t>
      </w:r>
    </w:p>
    <w:p>
      <w:pPr>
        <w:pStyle w:val="Heading4"/>
        <w:spacing w:line="273" w:lineRule="auto"/>
        <w:ind w:right="1032" w:firstLine="420"/>
        <w:jc w:val="both"/>
      </w:pPr>
      <w:r>
        <w:rPr>
          <w:spacing w:val="2"/>
        </w:rPr>
        <w:t>设定受益计划产生的服务成本和设定受益计划净负债或净资产的利息净额计入当期损益或相关资产</w:t>
      </w:r>
      <w:r>
        <w:rPr>
          <w:w w:val="100"/>
        </w:rPr>
        <w:t> </w:t>
      </w:r>
      <w:r>
        <w:rPr>
          <w:spacing w:val="-2"/>
        </w:rPr>
        <w:t>成本；重新计量设定受益计划净负债或净资产所产生的变动计入其他综合收益，并且在后续会计期间不转</w:t>
      </w:r>
      <w:r>
        <w:rPr>
          <w:spacing w:val="-43"/>
        </w:rPr>
        <w:t> </w:t>
      </w:r>
      <w:r>
        <w:rPr>
          <w:spacing w:val="-43"/>
        </w:rPr>
      </w:r>
      <w:r>
        <w:rPr/>
        <w:t>回至损益，在原设定受益计划终止时在权益范围内将原计入其他综合收益的部分全部结转至未分配利润。</w:t>
      </w:r>
    </w:p>
    <w:p>
      <w:pPr>
        <w:pStyle w:val="Heading4"/>
        <w:spacing w:line="273" w:lineRule="auto"/>
        <w:ind w:right="0" w:firstLine="420"/>
        <w:jc w:val="left"/>
      </w:pPr>
      <w:r>
        <w:rPr>
          <w:spacing w:val="-2"/>
        </w:rPr>
        <w:t>在设定受益计划结算时，按在结算日确定的设定受益计划义务现值和结算价格两者的差额，确认结算</w:t>
      </w:r>
      <w:r>
        <w:rPr>
          <w:w w:val="100"/>
        </w:rPr>
        <w:t> </w:t>
      </w:r>
      <w:r>
        <w:rPr/>
        <w:t>利得或损失。</w:t>
      </w:r>
    </w:p>
    <w:p>
      <w:pPr>
        <w:spacing w:line="600" w:lineRule="atLeast" w:before="0"/>
        <w:ind w:left="573" w:right="0" w:hanging="421"/>
        <w:jc w:val="left"/>
        <w:rPr>
          <w:rFonts w:ascii="宋体" w:hAnsi="宋体" w:cs="宋体" w:eastAsia="宋体" w:hint="default"/>
          <w:sz w:val="21"/>
          <w:szCs w:val="21"/>
        </w:rPr>
      </w:pPr>
      <w:bookmarkStart w:name="（3）辞退福利的会计处理方法" w:id="219"/>
      <w:bookmarkEnd w:id="21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）辞退福利的会计处理方法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本公司在不能单方面撤回因解除劳动关系计划或裁减建议所提供的辞退福利时，或确认与涉及支付辞</w:t>
      </w:r>
    </w:p>
    <w:p>
      <w:pPr>
        <w:pStyle w:val="Heading4"/>
        <w:spacing w:line="240" w:lineRule="auto" w:before="37"/>
        <w:ind w:right="0"/>
        <w:jc w:val="left"/>
      </w:pPr>
      <w:r>
        <w:rPr/>
        <w:t>退福利的重组相关的成本或费用时（两者孰早），确认辞退福利产生的职工薪酬负债，并计入当期损益。</w:t>
      </w:r>
    </w:p>
    <w:p>
      <w:pPr>
        <w:spacing w:line="240" w:lineRule="auto" w:before="10"/>
        <w:rPr>
          <w:rFonts w:ascii="宋体" w:hAnsi="宋体" w:cs="宋体" w:eastAsia="宋体" w:hint="default"/>
          <w:sz w:val="25"/>
          <w:szCs w:val="25"/>
        </w:rPr>
      </w:pPr>
    </w:p>
    <w:p>
      <w:pPr>
        <w:pStyle w:val="Heading3"/>
        <w:spacing w:line="506" w:lineRule="auto"/>
        <w:ind w:left="573" w:right="6974" w:hanging="421"/>
        <w:jc w:val="left"/>
        <w:rPr>
          <w:rFonts w:ascii="宋体" w:hAnsi="宋体" w:cs="宋体" w:eastAsia="宋体" w:hint="default"/>
          <w:b w:val="0"/>
          <w:bCs w:val="0"/>
        </w:rPr>
      </w:pPr>
      <w:bookmarkStart w:name="（4）其他长期职工福利的会计处理方法" w:id="220"/>
      <w:bookmarkEnd w:id="220"/>
      <w:r>
        <w:rPr>
          <w:b w:val="0"/>
          <w:bCs w:val="0"/>
        </w:rPr>
      </w:r>
      <w:r>
        <w:rPr>
          <w:spacing w:val="-1"/>
        </w:rPr>
        <w:t>（</w:t>
      </w:r>
      <w:r>
        <w:rPr>
          <w:rFonts w:ascii="Times New Roman" w:hAnsi="Times New Roman" w:cs="Times New Roman" w:eastAsia="Times New Roman" w:hint="default"/>
          <w:spacing w:val="-1"/>
        </w:rPr>
        <w:t>4</w:t>
      </w:r>
      <w:r>
        <w:rPr>
          <w:spacing w:val="-1"/>
        </w:rPr>
        <w:t>）其他长期职工福利的会计处理方法</w:t>
      </w:r>
      <w:r>
        <w:rPr>
          <w:spacing w:val="-88"/>
        </w:rPr>
        <w:t> </w:t>
      </w:r>
      <w:r>
        <w:rPr>
          <w:spacing w:val="-88"/>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5、租赁负债" w:id="221"/>
      <w:bookmarkEnd w:id="221"/>
      <w:r>
        <w:rPr>
          <w:b w:val="0"/>
          <w:bCs w:val="0"/>
        </w:rPr>
      </w:r>
      <w:r>
        <w:rPr>
          <w:rFonts w:ascii="Times New Roman" w:hAnsi="Times New Roman" w:cs="Times New Roman" w:eastAsia="Times New Roman" w:hint="default"/>
        </w:rPr>
        <w:t>35</w:t>
      </w:r>
      <w:r>
        <w:rPr/>
        <w:t>、租赁负债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0"/>
        <w:jc w:val="both"/>
        <w:rPr>
          <w:b w:val="0"/>
          <w:bCs w:val="0"/>
        </w:rPr>
      </w:pPr>
      <w:bookmarkStart w:name="36、预计负债" w:id="222"/>
      <w:bookmarkEnd w:id="222"/>
      <w:r>
        <w:rPr>
          <w:b w:val="0"/>
          <w:bCs w:val="0"/>
        </w:rPr>
      </w:r>
      <w:r>
        <w:rPr>
          <w:rFonts w:ascii="Times New Roman" w:hAnsi="Times New Roman" w:cs="Times New Roman" w:eastAsia="Times New Roman" w:hint="default"/>
        </w:rPr>
        <w:t>36</w:t>
      </w:r>
      <w:r>
        <w:rPr/>
        <w:t>、预计负债</w:t>
      </w:r>
      <w:r>
        <w:rPr>
          <w:b w:val="0"/>
          <w:bCs w:val="0"/>
        </w:rPr>
      </w:r>
    </w:p>
    <w:p>
      <w:pPr>
        <w:spacing w:line="240" w:lineRule="auto" w:before="10"/>
        <w:rPr>
          <w:rFonts w:ascii="宋体" w:hAnsi="宋体" w:cs="宋体" w:eastAsia="宋体" w:hint="default"/>
          <w:b/>
          <w:bCs/>
          <w:sz w:val="24"/>
          <w:szCs w:val="24"/>
        </w:rPr>
      </w:pPr>
    </w:p>
    <w:p>
      <w:pPr>
        <w:pStyle w:val="Heading4"/>
        <w:spacing w:line="273" w:lineRule="auto" w:before="0"/>
        <w:ind w:right="1119" w:firstLine="420"/>
        <w:jc w:val="left"/>
      </w:pPr>
      <w:r>
        <w:rPr>
          <w:spacing w:val="-2"/>
        </w:rPr>
        <w:t>与诉讼、债务担保、亏损合同、重组事项等或有事项相关的义务同时满足下列条件时，本公司确认为</w:t>
      </w:r>
      <w:r>
        <w:rPr>
          <w:w w:val="100"/>
        </w:rPr>
        <w:t> </w:t>
      </w:r>
      <w:r>
        <w:rPr/>
        <w:t>预计负债：</w:t>
      </w:r>
    </w:p>
    <w:p>
      <w:pPr>
        <w:pStyle w:val="Heading4"/>
        <w:spacing w:line="240" w:lineRule="auto"/>
        <w:ind w:left="573" w:right="2602"/>
        <w:jc w:val="left"/>
      </w:pPr>
      <w:r>
        <w:rPr/>
        <w:t>（</w:t>
      </w:r>
      <w:r>
        <w:rPr>
          <w:rFonts w:ascii="Times New Roman" w:hAnsi="Times New Roman" w:cs="Times New Roman" w:eastAsia="Times New Roman" w:hint="default"/>
        </w:rPr>
        <w:t>1</w:t>
      </w:r>
      <w:r>
        <w:rPr/>
        <w:t>）该义务是本公司承担的现时义务；</w:t>
      </w:r>
    </w:p>
    <w:p>
      <w:pPr>
        <w:pStyle w:val="Heading4"/>
        <w:spacing w:line="240" w:lineRule="auto" w:before="21"/>
        <w:ind w:left="573" w:right="2602"/>
        <w:jc w:val="left"/>
      </w:pPr>
      <w:r>
        <w:rPr/>
        <w:t>（</w:t>
      </w:r>
      <w:r>
        <w:rPr>
          <w:rFonts w:ascii="Times New Roman" w:hAnsi="Times New Roman" w:cs="Times New Roman" w:eastAsia="Times New Roman" w:hint="default"/>
        </w:rPr>
        <w:t>2</w:t>
      </w:r>
      <w:r>
        <w:rPr/>
        <w:t>）履行该义务很可能导致经济利益流出本公司；</w:t>
      </w:r>
    </w:p>
    <w:p>
      <w:pPr>
        <w:pStyle w:val="Heading4"/>
        <w:spacing w:line="240" w:lineRule="auto" w:before="21"/>
        <w:ind w:left="573" w:right="2602"/>
        <w:jc w:val="left"/>
      </w:pPr>
      <w:r>
        <w:rPr/>
        <w:t>（</w:t>
      </w:r>
      <w:r>
        <w:rPr>
          <w:rFonts w:ascii="Times New Roman" w:hAnsi="Times New Roman" w:cs="Times New Roman" w:eastAsia="Times New Roman" w:hint="default"/>
        </w:rPr>
        <w:t>3</w:t>
      </w:r>
      <w:r>
        <w:rPr/>
        <w:t>）该义务的金额能够可靠地计量。</w:t>
      </w:r>
    </w:p>
    <w:p>
      <w:pPr>
        <w:spacing w:line="240" w:lineRule="auto" w:before="7"/>
        <w:rPr>
          <w:rFonts w:ascii="宋体" w:hAnsi="宋体" w:cs="宋体" w:eastAsia="宋体" w:hint="default"/>
          <w:sz w:val="24"/>
          <w:szCs w:val="24"/>
        </w:rPr>
      </w:pPr>
    </w:p>
    <w:p>
      <w:pPr>
        <w:pStyle w:val="Heading3"/>
        <w:spacing w:line="240" w:lineRule="auto"/>
        <w:ind w:right="0"/>
        <w:jc w:val="both"/>
        <w:rPr>
          <w:b w:val="0"/>
          <w:bCs w:val="0"/>
        </w:rPr>
      </w:pPr>
      <w:bookmarkStart w:name="37、股份支付" w:id="223"/>
      <w:bookmarkEnd w:id="223"/>
      <w:r>
        <w:rPr>
          <w:b w:val="0"/>
          <w:bCs w:val="0"/>
        </w:rPr>
      </w:r>
      <w:r>
        <w:rPr>
          <w:rFonts w:ascii="Times New Roman" w:hAnsi="Times New Roman" w:cs="Times New Roman" w:eastAsia="Times New Roman" w:hint="default"/>
        </w:rPr>
        <w:t>37</w:t>
      </w:r>
      <w:r>
        <w:rPr/>
        <w:t>、股份支付</w:t>
      </w:r>
      <w:r>
        <w:rPr>
          <w:b w:val="0"/>
          <w:bCs w:val="0"/>
        </w:rPr>
      </w:r>
    </w:p>
    <w:p>
      <w:pPr>
        <w:spacing w:line="240" w:lineRule="auto" w:before="7"/>
        <w:rPr>
          <w:rFonts w:ascii="宋体" w:hAnsi="宋体" w:cs="宋体" w:eastAsia="宋体" w:hint="default"/>
          <w:b/>
          <w:bCs/>
          <w:sz w:val="24"/>
          <w:szCs w:val="24"/>
        </w:rPr>
      </w:pPr>
    </w:p>
    <w:p>
      <w:pPr>
        <w:pStyle w:val="Heading4"/>
        <w:spacing w:line="273" w:lineRule="auto" w:before="0"/>
        <w:ind w:right="0" w:firstLine="420"/>
        <w:jc w:val="left"/>
      </w:pPr>
      <w:r>
        <w:rPr>
          <w:spacing w:val="2"/>
        </w:rPr>
        <w:t>本公司的股份支付是为了获取职工或其他方提供服务而授予权益工具或者承担以权益工具为基础确</w:t>
      </w:r>
      <w:r>
        <w:rPr>
          <w:w w:val="100"/>
        </w:rPr>
        <w:t> </w:t>
      </w:r>
      <w:r>
        <w:rPr/>
        <w:t>定的负债的交易。本公司的股份支付分为以权益结算的股份支付和以现金结算的股份支付。</w:t>
      </w:r>
    </w:p>
    <w:p>
      <w:pPr>
        <w:pStyle w:val="Heading4"/>
        <w:spacing w:line="273" w:lineRule="auto" w:before="8"/>
        <w:ind w:left="573" w:right="0"/>
        <w:jc w:val="left"/>
      </w:pPr>
      <w:r>
        <w:rPr/>
        <w:t>以权益结算的股份支付及权益工具</w:t>
      </w:r>
      <w:r>
        <w:rPr>
          <w:w w:val="100"/>
        </w:rPr>
        <w:t> </w:t>
      </w:r>
      <w:r>
        <w:rPr>
          <w:spacing w:val="-2"/>
        </w:rPr>
        <w:t>以权益结算的股份支付换取职工提供服务的，以授予职工权益工具的公允价值计量。在等待期内每个</w:t>
      </w:r>
    </w:p>
    <w:p>
      <w:pPr>
        <w:pStyle w:val="Heading4"/>
        <w:spacing w:line="273" w:lineRule="auto"/>
        <w:ind w:right="1126"/>
        <w:jc w:val="both"/>
      </w:pPr>
      <w:r>
        <w:rPr>
          <w:spacing w:val="-2"/>
        </w:rPr>
        <w:t>资产负债表日，本公司根据最新取得的可行权职工人数变动、是否达到规定业绩条件等后续信息对可行权</w:t>
      </w:r>
      <w:r>
        <w:rPr>
          <w:spacing w:val="-42"/>
        </w:rPr>
        <w:t> </w:t>
      </w:r>
      <w:r>
        <w:rPr>
          <w:spacing w:val="-42"/>
        </w:rPr>
      </w:r>
      <w:r>
        <w:rPr>
          <w:spacing w:val="-2"/>
        </w:rPr>
        <w:t>权益工具数量作出最佳估计，以此为基础，按照授予日的公允价值，将当期取得的服务计入相关成本或费</w:t>
      </w:r>
      <w:r>
        <w:rPr>
          <w:spacing w:val="-43"/>
        </w:rPr>
        <w:t> </w:t>
      </w:r>
      <w:r>
        <w:rPr>
          <w:spacing w:val="-43"/>
        </w:rPr>
      </w:r>
      <w:r>
        <w:rPr>
          <w:spacing w:val="-2"/>
        </w:rPr>
        <w:t>用，相应增加资本公积。在可行权日之后不再对已确认的相关成本或费用和所有者权益总额进行调整。但</w:t>
      </w:r>
      <w:r>
        <w:rPr>
          <w:spacing w:val="-43"/>
        </w:rPr>
        <w:t> </w:t>
      </w:r>
      <w:r>
        <w:rPr>
          <w:spacing w:val="-43"/>
        </w:rPr>
      </w:r>
      <w:r>
        <w:rPr/>
        <w:t>授予后立即可行权的，在授予日按照公允价值计入相关成本或费用，相应增加资本公积。</w:t>
      </w:r>
    </w:p>
    <w:p>
      <w:pPr>
        <w:pStyle w:val="Heading4"/>
        <w:spacing w:line="273" w:lineRule="auto"/>
        <w:ind w:right="0" w:firstLine="420"/>
        <w:jc w:val="left"/>
      </w:pPr>
      <w:r>
        <w:rPr>
          <w:spacing w:val="-2"/>
        </w:rPr>
        <w:t>对于最终未能行权的股份支付，不确认成本或费用，除非行权条件是市场条件或非可行权条件，此时</w:t>
      </w:r>
      <w:r>
        <w:rPr>
          <w:w w:val="100"/>
        </w:rPr>
        <w:t> </w:t>
      </w:r>
      <w:r>
        <w:rPr/>
        <w:t>无论是否满足市场条件或非可行权条件，只要满足所有可行权条件中的非市场条件，即视为可行权。</w:t>
      </w:r>
    </w:p>
    <w:p>
      <w:pPr>
        <w:pStyle w:val="Heading4"/>
        <w:spacing w:line="273" w:lineRule="auto"/>
        <w:ind w:right="0" w:firstLine="420"/>
        <w:jc w:val="left"/>
      </w:pPr>
      <w:r>
        <w:rPr>
          <w:spacing w:val="-2"/>
        </w:rPr>
        <w:t>如果修改了以权益结算的股份支付的条款，至少按照未修改条款的情况确认取得的服务。此外，任何</w:t>
      </w:r>
      <w:r>
        <w:rPr>
          <w:w w:val="100"/>
        </w:rPr>
        <w:t> </w:t>
      </w:r>
      <w:r>
        <w:rPr/>
        <w:t>增加所授予权益工具公允价值的修改，或在修改日对职工有利的变更，均确认取得服务的增加。</w:t>
      </w:r>
    </w:p>
    <w:p>
      <w:pPr>
        <w:pStyle w:val="Heading4"/>
        <w:spacing w:line="273" w:lineRule="auto"/>
        <w:ind w:right="0" w:firstLine="420"/>
        <w:jc w:val="left"/>
      </w:pPr>
      <w:r>
        <w:rPr/>
        <w:t>如果取消了以权益结算的股份支付，则于取消日作为加速行权处理，立即确认尚未确认的金额。职工</w:t>
      </w:r>
      <w:r>
        <w:rPr>
          <w:w w:val="100"/>
        </w:rPr>
        <w:t> </w:t>
      </w:r>
      <w:r>
        <w:rPr>
          <w:spacing w:val="-5"/>
        </w:rPr>
        <w:t>或其他方能够选择满足非可行权条件但在等待期内未满足的，作为取消以权益结算的股份支付处理。但是， </w:t>
      </w:r>
      <w:r>
        <w:rPr>
          <w:spacing w:val="-5"/>
        </w:rPr>
      </w:r>
      <w:r>
        <w:rPr>
          <w:spacing w:val="-2"/>
        </w:rPr>
        <w:t>如果授予新的权益工具，并在新权益工具授予日认定所授予的新权益工具是用于替代被取消的权益工具的，</w:t>
      </w:r>
      <w:r>
        <w:rPr>
          <w:spacing w:val="-43"/>
        </w:rPr>
        <w:t> </w:t>
      </w:r>
      <w:r>
        <w:rPr>
          <w:spacing w:val="-43"/>
        </w:rPr>
      </w:r>
      <w:r>
        <w:rPr/>
        <w:t>则以与处理原权益工具条款和条件修改相同的方式，对所授予的替代权益工具进行处理。</w:t>
      </w:r>
    </w:p>
    <w:p>
      <w:pPr>
        <w:spacing w:line="600" w:lineRule="atLeast" w:before="0"/>
        <w:ind w:left="573" w:right="0" w:hanging="421"/>
        <w:jc w:val="left"/>
        <w:rPr>
          <w:rFonts w:ascii="宋体" w:hAnsi="宋体" w:cs="宋体" w:eastAsia="宋体" w:hint="default"/>
          <w:sz w:val="21"/>
          <w:szCs w:val="21"/>
        </w:rPr>
      </w:pPr>
      <w:bookmarkStart w:name="38、优先股、永续债等其他金融工具" w:id="224"/>
      <w:bookmarkEnd w:id="224"/>
      <w:r>
        <w:rPr/>
      </w:r>
      <w:r>
        <w:rPr>
          <w:rFonts w:ascii="Times New Roman" w:hAnsi="Times New Roman" w:cs="Times New Roman" w:eastAsia="Times New Roman" w:hint="default"/>
          <w:b/>
          <w:bCs/>
          <w:sz w:val="21"/>
          <w:szCs w:val="21"/>
        </w:rPr>
        <w:t>38</w:t>
      </w:r>
      <w:r>
        <w:rPr>
          <w:rFonts w:ascii="宋体" w:hAnsi="宋体" w:cs="宋体" w:eastAsia="宋体" w:hint="default"/>
          <w:b/>
          <w:bCs/>
          <w:sz w:val="21"/>
          <w:szCs w:val="21"/>
        </w:rPr>
        <w:t>、优先股、永续债等其他金融工具</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本公司发行可转换公司债券时依据条款确定其是否同时包含负债和权益成份。发行的可转换公司债券</w:t>
      </w:r>
    </w:p>
    <w:p>
      <w:pPr>
        <w:pStyle w:val="Heading4"/>
        <w:spacing w:line="273" w:lineRule="auto" w:before="37"/>
        <w:ind w:right="1126"/>
        <w:jc w:val="both"/>
      </w:pPr>
      <w:r>
        <w:rPr>
          <w:spacing w:val="-2"/>
        </w:rPr>
        <w:t>既包含负债也包含权益成份的，在初始确认时将负债和权益成份进行分拆，并分别进行处理。在进行分拆</w:t>
      </w:r>
      <w:r>
        <w:rPr>
          <w:spacing w:val="-44"/>
        </w:rPr>
        <w:t> </w:t>
      </w:r>
      <w:r>
        <w:rPr>
          <w:spacing w:val="-44"/>
        </w:rPr>
      </w:r>
      <w:r>
        <w:rPr>
          <w:spacing w:val="-2"/>
        </w:rPr>
        <w:t>时，先确定负债成份的公允价值并以此作为其初始确认金额，再按照可转换公司债券整体的发行价格扣除</w:t>
      </w:r>
      <w:r>
        <w:rPr>
          <w:spacing w:val="-43"/>
        </w:rPr>
        <w:t> </w:t>
      </w:r>
      <w:r>
        <w:rPr>
          <w:spacing w:val="-43"/>
        </w:rPr>
      </w:r>
      <w:r>
        <w:rPr>
          <w:spacing w:val="-2"/>
        </w:rPr>
        <w:t>负债成份初始确认金额后的金额确定权益成份的初始确认金额。交易费用在负债成份和权益成份之间按照</w:t>
      </w:r>
      <w:r>
        <w:rPr>
          <w:spacing w:val="-43"/>
        </w:rPr>
        <w:t> </w:t>
      </w:r>
      <w:r>
        <w:rPr>
          <w:spacing w:val="-43"/>
        </w:rPr>
      </w:r>
      <w:r>
        <w:rPr>
          <w:spacing w:val="-2"/>
        </w:rPr>
        <w:t>各自的相对公允价值进行分摊。负债成份作为负债列示，以摊余成本进行后续计量，直至被撤销、转换或</w:t>
      </w:r>
      <w:r>
        <w:rPr>
          <w:spacing w:val="-47"/>
        </w:rPr>
        <w:t> </w:t>
      </w:r>
      <w:r>
        <w:rPr>
          <w:spacing w:val="-47"/>
        </w:rPr>
      </w:r>
      <w:r>
        <w:rPr/>
        <w:t>赎回。权益成份作为权益列示，不进行后续计量。</w:t>
      </w:r>
    </w:p>
    <w:p>
      <w:pPr>
        <w:spacing w:line="240" w:lineRule="auto" w:before="7"/>
        <w:rPr>
          <w:rFonts w:ascii="宋体" w:hAnsi="宋体" w:cs="宋体" w:eastAsia="宋体" w:hint="default"/>
          <w:sz w:val="23"/>
          <w:szCs w:val="23"/>
        </w:rPr>
      </w:pPr>
    </w:p>
    <w:p>
      <w:pPr>
        <w:pStyle w:val="Heading3"/>
        <w:spacing w:line="240" w:lineRule="auto"/>
        <w:ind w:right="0"/>
        <w:jc w:val="both"/>
        <w:rPr>
          <w:b w:val="0"/>
          <w:bCs w:val="0"/>
        </w:rPr>
      </w:pPr>
      <w:bookmarkStart w:name="39、收入" w:id="225"/>
      <w:bookmarkEnd w:id="225"/>
      <w:r>
        <w:rPr>
          <w:b w:val="0"/>
          <w:bCs w:val="0"/>
        </w:rPr>
      </w:r>
      <w:r>
        <w:rPr>
          <w:rFonts w:ascii="Times New Roman" w:hAnsi="Times New Roman" w:cs="Times New Roman" w:eastAsia="Times New Roman" w:hint="default"/>
        </w:rPr>
        <w:t>39</w:t>
      </w:r>
      <w:r>
        <w:rPr/>
        <w:t>、收入</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56" w:lineRule="auto" w:before="83"/>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本公司的主要业务分为软件开发、运营维护、系统集成三部分</w:t>
      </w:r>
      <w:r>
        <w:rPr>
          <w:rFonts w:ascii="宋体" w:hAnsi="宋体" w:cs="宋体" w:eastAsia="宋体" w:hint="default"/>
          <w:b/>
          <w:bCs/>
          <w:w w:val="100"/>
          <w:sz w:val="21"/>
          <w:szCs w:val="21"/>
        </w:rPr>
        <w:t> </w:t>
      </w:r>
      <w:r>
        <w:rPr>
          <w:rFonts w:ascii="宋体" w:hAnsi="宋体" w:cs="宋体" w:eastAsia="宋体" w:hint="default"/>
          <w:spacing w:val="-2"/>
          <w:sz w:val="21"/>
          <w:szCs w:val="21"/>
        </w:rPr>
        <w:t>软件开发：是指根据客户的需求，利用开发工具为客户提供一整套实现某种功能的软件产品或者利用</w:t>
      </w:r>
    </w:p>
    <w:p>
      <w:pPr>
        <w:pStyle w:val="Heading4"/>
        <w:spacing w:line="273" w:lineRule="auto" w:before="22"/>
        <w:ind w:left="573" w:right="0" w:hanging="421"/>
        <w:jc w:val="left"/>
      </w:pPr>
      <w:r>
        <w:rPr/>
        <w:t>已有产品进行的二次开发以满足客户的某种特定需求。</w:t>
      </w:r>
      <w:r>
        <w:rPr>
          <w:w w:val="100"/>
        </w:rPr>
        <w:t> </w:t>
      </w:r>
      <w:r>
        <w:rPr>
          <w:spacing w:val="-2"/>
        </w:rPr>
        <w:t>运营维护：指利用软件专业知识依托互联网，为客户提供应用服务。包括业务咨询，在线服务，系统</w:t>
      </w:r>
    </w:p>
    <w:p>
      <w:pPr>
        <w:pStyle w:val="Heading4"/>
        <w:spacing w:line="240" w:lineRule="auto"/>
        <w:ind w:right="0"/>
        <w:jc w:val="both"/>
      </w:pPr>
      <w:r>
        <w:rPr/>
        <w:t>维护等。</w:t>
      </w:r>
    </w:p>
    <w:p>
      <w:pPr>
        <w:spacing w:after="0" w:line="240"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73" w:lineRule="auto" w:before="36"/>
        <w:ind w:right="1126" w:firstLine="420"/>
        <w:jc w:val="both"/>
      </w:pPr>
      <w:r>
        <w:rPr>
          <w:spacing w:val="-2"/>
        </w:rPr>
        <w:t>系统集成：指根据用户的需求和投入资金的规模，应用各种计算机网络相关技术，选择各种软硬件设</w:t>
      </w:r>
      <w:r>
        <w:rPr>
          <w:w w:val="100"/>
        </w:rPr>
        <w:t> </w:t>
      </w:r>
      <w:r>
        <w:rPr>
          <w:spacing w:val="-2"/>
        </w:rPr>
        <w:t>备，经过集成设计，安装调试等大量技术性工作使系统能够满足用户对实际工作要求。主要包括软硬件集</w:t>
      </w:r>
      <w:r>
        <w:rPr>
          <w:spacing w:val="-44"/>
        </w:rPr>
        <w:t> </w:t>
      </w:r>
      <w:r>
        <w:rPr>
          <w:spacing w:val="-44"/>
        </w:rPr>
      </w:r>
      <w:r>
        <w:rPr/>
        <w:t>成、网络布线等等。</w:t>
      </w:r>
    </w:p>
    <w:p>
      <w:pPr>
        <w:spacing w:line="256" w:lineRule="auto" w:before="7"/>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销售商品收入确认时间的具体判断标准</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公司已将商品所有权上的主要风险和报酬转移给购买方；公司既没有保留与所有权相联系的继续管理</w:t>
      </w:r>
    </w:p>
    <w:p>
      <w:pPr>
        <w:pStyle w:val="Heading4"/>
        <w:spacing w:line="273" w:lineRule="auto" w:before="22"/>
        <w:ind w:right="1126"/>
        <w:jc w:val="both"/>
      </w:pPr>
      <w:r>
        <w:rPr>
          <w:spacing w:val="-7"/>
        </w:rPr>
        <w:t>权，也没有对已售出的商品实施有效控制；收入的金额能够可靠地计量；相关的经济利益很可能流入企业；</w:t>
      </w:r>
      <w:r>
        <w:rPr>
          <w:spacing w:val="-17"/>
        </w:rPr>
        <w:t> </w:t>
      </w:r>
      <w:r>
        <w:rPr>
          <w:spacing w:val="-17"/>
        </w:rPr>
      </w:r>
      <w:r>
        <w:rPr/>
        <w:t>相关的已发生或将发生的成本能够可靠地计量时，确认商品销售收入实现。</w:t>
      </w:r>
    </w:p>
    <w:p>
      <w:pPr>
        <w:spacing w:line="256" w:lineRule="auto" w:before="7"/>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确认让渡资产使用权收入的依据</w:t>
      </w:r>
      <w:r>
        <w:rPr>
          <w:rFonts w:ascii="宋体" w:hAnsi="宋体" w:cs="宋体" w:eastAsia="宋体" w:hint="default"/>
          <w:b/>
          <w:bCs/>
          <w:w w:val="100"/>
          <w:sz w:val="21"/>
          <w:szCs w:val="21"/>
        </w:rPr>
        <w:t> </w:t>
      </w:r>
      <w:r>
        <w:rPr>
          <w:rFonts w:ascii="宋体" w:hAnsi="宋体" w:cs="宋体" w:eastAsia="宋体" w:hint="default"/>
          <w:spacing w:val="-2"/>
          <w:sz w:val="21"/>
          <w:szCs w:val="21"/>
        </w:rPr>
        <w:t>与交易相关的经济利益很可能流入企业，收入的金额能够可靠地计量时。分别下列情况确定让渡资产</w:t>
      </w:r>
    </w:p>
    <w:p>
      <w:pPr>
        <w:pStyle w:val="Heading4"/>
        <w:spacing w:line="240" w:lineRule="auto" w:before="22"/>
        <w:ind w:right="2602"/>
        <w:jc w:val="left"/>
      </w:pPr>
      <w:r>
        <w:rPr/>
        <w:t>使用权收入金额：</w:t>
      </w:r>
    </w:p>
    <w:p>
      <w:pPr>
        <w:pStyle w:val="Heading4"/>
        <w:spacing w:line="240" w:lineRule="auto" w:before="37"/>
        <w:ind w:left="573" w:right="2602"/>
        <w:jc w:val="left"/>
      </w:pPr>
      <w:r>
        <w:rPr/>
        <w:t>（</w:t>
      </w:r>
      <w:r>
        <w:rPr>
          <w:rFonts w:ascii="宋体" w:hAnsi="宋体" w:cs="宋体" w:eastAsia="宋体" w:hint="default"/>
        </w:rPr>
        <w:t>1</w:t>
      </w:r>
      <w:r>
        <w:rPr/>
        <w:t>）利息收入金额，按照他人使用本企业货币资金的时间和实际利率计算确定。</w:t>
      </w:r>
    </w:p>
    <w:p>
      <w:pPr>
        <w:pStyle w:val="Heading4"/>
        <w:spacing w:line="240" w:lineRule="auto" w:before="37"/>
        <w:ind w:left="573" w:right="2602"/>
        <w:jc w:val="left"/>
      </w:pPr>
      <w:r>
        <w:rPr/>
        <w:t>（</w:t>
      </w:r>
      <w:r>
        <w:rPr>
          <w:rFonts w:ascii="宋体" w:hAnsi="宋体" w:cs="宋体" w:eastAsia="宋体" w:hint="default"/>
        </w:rPr>
        <w:t>2</w:t>
      </w:r>
      <w:r>
        <w:rPr/>
        <w:t>）使用费收入金额，按照有关合同或协议约定的收费时间和方法计算确定。</w:t>
      </w:r>
    </w:p>
    <w:p>
      <w:pPr>
        <w:spacing w:line="256" w:lineRule="auto" w:before="37"/>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按完工百分比法确认提供劳务的收入和建造合同收入时，确定合同完工进度的依据和方法</w:t>
      </w:r>
      <w:r>
        <w:rPr>
          <w:rFonts w:ascii="宋体" w:hAnsi="宋体" w:cs="宋体" w:eastAsia="宋体" w:hint="default"/>
          <w:b/>
          <w:bCs/>
          <w:w w:val="100"/>
          <w:sz w:val="21"/>
          <w:szCs w:val="21"/>
        </w:rPr>
        <w:t> </w:t>
      </w:r>
      <w:r>
        <w:rPr>
          <w:rFonts w:ascii="宋体" w:hAnsi="宋体" w:cs="宋体" w:eastAsia="宋体" w:hint="default"/>
          <w:spacing w:val="-2"/>
          <w:sz w:val="21"/>
          <w:szCs w:val="21"/>
        </w:rPr>
        <w:t>在资产负债表日提供劳务交易的结果能够可靠估计的，采用完工百分比法确认提供劳务收入。提供劳</w:t>
      </w:r>
    </w:p>
    <w:p>
      <w:pPr>
        <w:pStyle w:val="Heading4"/>
        <w:spacing w:line="273" w:lineRule="auto" w:before="22"/>
        <w:ind w:right="1126"/>
        <w:jc w:val="both"/>
      </w:pPr>
      <w:r>
        <w:rPr>
          <w:spacing w:val="-2"/>
        </w:rPr>
        <w:t>务交易的完工进度，依据已完工作的测量或已经提供的劳务占应提供劳务总量的比例或已经发生的成本占</w:t>
      </w:r>
      <w:r>
        <w:rPr>
          <w:spacing w:val="-43"/>
        </w:rPr>
        <w:t> </w:t>
      </w:r>
      <w:r>
        <w:rPr>
          <w:spacing w:val="-43"/>
        </w:rPr>
      </w:r>
      <w:r>
        <w:rPr/>
        <w:t>估计总成本的比例确定。</w:t>
      </w:r>
    </w:p>
    <w:p>
      <w:pPr>
        <w:pStyle w:val="Heading4"/>
        <w:spacing w:line="273" w:lineRule="auto"/>
        <w:ind w:right="1126" w:firstLine="420"/>
        <w:jc w:val="both"/>
      </w:pPr>
      <w:r>
        <w:rPr>
          <w:spacing w:val="-2"/>
        </w:rPr>
        <w:t>按照已收或应收的合同或协议价款确定提供劳务收入总额，但已收或应收的合同或协议价款不公允的</w:t>
      </w:r>
      <w:r>
        <w:rPr>
          <w:w w:val="100"/>
        </w:rPr>
        <w:t> </w:t>
      </w:r>
      <w:r>
        <w:rPr>
          <w:spacing w:val="-2"/>
        </w:rPr>
        <w:t>除外。资产负债表日按照提供劳务收入总额乘以完工进度扣除以前会计期间累计已确认提供劳务收入后的</w:t>
      </w:r>
      <w:r>
        <w:rPr>
          <w:spacing w:val="-43"/>
        </w:rPr>
        <w:t> </w:t>
      </w:r>
      <w:r>
        <w:rPr>
          <w:spacing w:val="-43"/>
        </w:rPr>
      </w:r>
      <w:r>
        <w:rPr/>
        <w:t>金额，确认当期提供劳务收入。</w:t>
      </w:r>
    </w:p>
    <w:p>
      <w:pPr>
        <w:pStyle w:val="Heading4"/>
        <w:spacing w:line="240" w:lineRule="auto"/>
        <w:ind w:left="573" w:right="2602"/>
        <w:jc w:val="left"/>
      </w:pPr>
      <w:r>
        <w:rPr/>
        <w:t>在资产负债表日提供劳务交易结果不能够可靠估计的，分别下列情况处理：</w:t>
      </w:r>
    </w:p>
    <w:p>
      <w:pPr>
        <w:pStyle w:val="Heading4"/>
        <w:spacing w:line="256" w:lineRule="auto" w:before="37"/>
        <w:ind w:right="1136" w:firstLine="420"/>
        <w:jc w:val="both"/>
      </w:pPr>
      <w:r>
        <w:rPr/>
        <w:t>（</w:t>
      </w:r>
      <w:r>
        <w:rPr>
          <w:rFonts w:ascii="Times New Roman" w:hAnsi="Times New Roman" w:cs="Times New Roman" w:eastAsia="Times New Roman" w:hint="default"/>
        </w:rPr>
        <w:t>1</w:t>
      </w:r>
      <w:r>
        <w:rPr/>
        <w:t>）已经发生的劳务成本预计能够得到补偿的，按照已经发生的劳务成本金额确认提供劳务收入，</w:t>
      </w:r>
      <w:r>
        <w:rPr>
          <w:w w:val="100"/>
        </w:rPr>
        <w:t> </w:t>
      </w:r>
      <w:r>
        <w:rPr/>
        <w:t>并按相同金额结转劳务成本。</w:t>
      </w:r>
    </w:p>
    <w:p>
      <w:pPr>
        <w:pStyle w:val="Heading4"/>
        <w:spacing w:line="256" w:lineRule="auto" w:before="22"/>
        <w:ind w:right="1136" w:firstLine="420"/>
        <w:jc w:val="both"/>
      </w:pPr>
      <w:r>
        <w:rPr/>
        <w:t>（</w:t>
      </w:r>
      <w:r>
        <w:rPr>
          <w:rFonts w:ascii="Times New Roman" w:hAnsi="Times New Roman" w:cs="Times New Roman" w:eastAsia="Times New Roman" w:hint="default"/>
        </w:rPr>
        <w:t>2</w:t>
      </w:r>
      <w:r>
        <w:rPr/>
        <w:t>）已经发生的劳务成本预计不能够得到补偿的，将已经发生的劳务成本计入当期损益，不确认提</w:t>
      </w:r>
      <w:r>
        <w:rPr>
          <w:w w:val="100"/>
        </w:rPr>
        <w:t> </w:t>
      </w:r>
      <w:r>
        <w:rPr/>
        <w:t>供劳务收入。</w:t>
      </w:r>
    </w:p>
    <w:p>
      <w:pPr>
        <w:pStyle w:val="Heading4"/>
        <w:spacing w:line="273" w:lineRule="auto" w:before="23"/>
        <w:ind w:left="573" w:right="0"/>
        <w:jc w:val="left"/>
      </w:pPr>
      <w:r>
        <w:rPr/>
        <w:t>确认建造合同收入的原则</w:t>
      </w:r>
      <w:r>
        <w:rPr>
          <w:w w:val="100"/>
        </w:rPr>
        <w:t> </w:t>
      </w:r>
      <w:r>
        <w:rPr>
          <w:spacing w:val="-2"/>
        </w:rPr>
        <w:t>在建造合同的结果能够可靠估计的情况下，于资产负债表日按照完工百分比法确认合同收入和合同费</w:t>
      </w:r>
    </w:p>
    <w:p>
      <w:pPr>
        <w:pStyle w:val="Heading4"/>
        <w:spacing w:line="273" w:lineRule="auto"/>
        <w:ind w:left="573" w:right="0" w:hanging="421"/>
        <w:jc w:val="left"/>
      </w:pPr>
      <w:r>
        <w:rPr/>
        <w:t>用。合同完工进度按累计实际发生的合同成本占合同预计总成本的比例确定。</w:t>
      </w:r>
      <w:r>
        <w:rPr>
          <w:w w:val="100"/>
        </w:rPr>
        <w:t> </w:t>
      </w:r>
      <w:r>
        <w:rPr>
          <w:spacing w:val="-2"/>
        </w:rPr>
        <w:t>建造合同的结果能够可靠估计是指同时满足：</w:t>
      </w:r>
      <w:r>
        <w:rPr>
          <w:rFonts w:ascii="Times New Roman" w:hAnsi="Times New Roman" w:cs="Times New Roman" w:eastAsia="Times New Roman" w:hint="default"/>
          <w:spacing w:val="-2"/>
        </w:rPr>
        <w:t>1</w:t>
      </w:r>
      <w:r>
        <w:rPr>
          <w:spacing w:val="-2"/>
        </w:rPr>
        <w:t>）合同总收入能够可靠地计量；</w:t>
      </w:r>
      <w:r>
        <w:rPr>
          <w:rFonts w:ascii="Times New Roman" w:hAnsi="Times New Roman" w:cs="Times New Roman" w:eastAsia="Times New Roman" w:hint="default"/>
          <w:spacing w:val="-2"/>
        </w:rPr>
        <w:t>2</w:t>
      </w:r>
      <w:r>
        <w:rPr>
          <w:spacing w:val="-2"/>
        </w:rPr>
        <w:t>）与合同相关的经济</w:t>
      </w:r>
    </w:p>
    <w:p>
      <w:pPr>
        <w:pStyle w:val="Heading4"/>
        <w:spacing w:line="256" w:lineRule="auto" w:before="0"/>
        <w:ind w:right="1128"/>
        <w:jc w:val="both"/>
      </w:pPr>
      <w:r>
        <w:rPr>
          <w:spacing w:val="-2"/>
        </w:rPr>
        <w:t>利益很可能流入企业；</w:t>
      </w:r>
      <w:r>
        <w:rPr>
          <w:rFonts w:ascii="Times New Roman" w:hAnsi="Times New Roman" w:cs="Times New Roman" w:eastAsia="Times New Roman" w:hint="default"/>
          <w:spacing w:val="-2"/>
        </w:rPr>
        <w:t>3</w:t>
      </w:r>
      <w:r>
        <w:rPr>
          <w:spacing w:val="-2"/>
        </w:rPr>
        <w:t>）实际发生的合同成本能够清楚地区分和可靠地计量；</w:t>
      </w:r>
      <w:r>
        <w:rPr>
          <w:rFonts w:ascii="Times New Roman" w:hAnsi="Times New Roman" w:cs="Times New Roman" w:eastAsia="Times New Roman" w:hint="default"/>
          <w:spacing w:val="-2"/>
        </w:rPr>
        <w:t>4</w:t>
      </w:r>
      <w:r>
        <w:rPr>
          <w:spacing w:val="-2"/>
        </w:rPr>
        <w:t>）合同完工进度和为完成</w:t>
      </w:r>
      <w:r>
        <w:rPr>
          <w:spacing w:val="-45"/>
        </w:rPr>
        <w:t> </w:t>
      </w:r>
      <w:r>
        <w:rPr>
          <w:spacing w:val="-45"/>
        </w:rPr>
      </w:r>
      <w:r>
        <w:rPr/>
        <w:t>合同尚需发生的成本能够可靠地确定。</w:t>
      </w:r>
    </w:p>
    <w:p>
      <w:pPr>
        <w:pStyle w:val="Heading4"/>
        <w:spacing w:line="273" w:lineRule="auto" w:before="22"/>
        <w:ind w:right="1126" w:firstLine="420"/>
        <w:jc w:val="both"/>
      </w:pPr>
      <w:r>
        <w:rPr>
          <w:spacing w:val="-2"/>
        </w:rPr>
        <w:t>如建造合同的结果不能可靠地估计，但合同成本能够收回的，合同收入根据能够收回的实际合同成本</w:t>
      </w:r>
      <w:r>
        <w:rPr>
          <w:w w:val="100"/>
        </w:rPr>
        <w:t> </w:t>
      </w:r>
      <w:r>
        <w:rPr>
          <w:spacing w:val="-2"/>
        </w:rPr>
        <w:t>予以确认，合同成本在其发生的当期确认为合同费用；合同成本不可能收回的，在发生时立即确认为合同</w:t>
      </w:r>
      <w:r>
        <w:rPr>
          <w:spacing w:val="-43"/>
        </w:rPr>
        <w:t> </w:t>
      </w:r>
      <w:r>
        <w:rPr>
          <w:spacing w:val="-43"/>
        </w:rPr>
      </w:r>
      <w:r>
        <w:rPr>
          <w:spacing w:val="-2"/>
        </w:rPr>
        <w:t>费用，不确认合同收入。使建造合同的结果不能可靠估计的不确定因素不复存在的，按照完工百分比法确</w:t>
      </w:r>
      <w:r>
        <w:rPr>
          <w:spacing w:val="-43"/>
        </w:rPr>
        <w:t> </w:t>
      </w:r>
      <w:r>
        <w:rPr>
          <w:spacing w:val="-43"/>
        </w:rPr>
      </w:r>
      <w:r>
        <w:rPr/>
        <w:t>定与建造合同有关的收入和费用。</w:t>
      </w:r>
    </w:p>
    <w:p>
      <w:pPr>
        <w:pStyle w:val="Heading4"/>
        <w:spacing w:line="240" w:lineRule="auto"/>
        <w:ind w:left="573" w:right="2602"/>
        <w:jc w:val="left"/>
      </w:pPr>
      <w:r>
        <w:rPr/>
        <w:t>合同预计总成本超过合同总收入的，将预计损失确认为当期费用。</w:t>
      </w:r>
    </w:p>
    <w:p>
      <w:pPr>
        <w:spacing w:line="256" w:lineRule="auto" w:before="37"/>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项目收入确认具体原则</w:t>
      </w:r>
      <w:r>
        <w:rPr>
          <w:rFonts w:ascii="宋体" w:hAnsi="宋体" w:cs="宋体" w:eastAsia="宋体" w:hint="default"/>
          <w:b/>
          <w:bCs/>
          <w:spacing w:val="-104"/>
          <w:sz w:val="21"/>
          <w:szCs w:val="21"/>
        </w:rPr>
        <w:t> </w:t>
      </w:r>
      <w:r>
        <w:rPr>
          <w:rFonts w:ascii="宋体" w:hAnsi="宋体" w:cs="宋体" w:eastAsia="宋体" w:hint="default"/>
          <w:spacing w:val="-2"/>
          <w:sz w:val="21"/>
          <w:szCs w:val="21"/>
        </w:rPr>
        <w:t>软件开发项目：按照合同约定、在项目实施完成并经对方验收合格后确认收入；跨年度开发合同由公</w:t>
      </w:r>
    </w:p>
    <w:p>
      <w:pPr>
        <w:pStyle w:val="Heading4"/>
        <w:spacing w:line="273" w:lineRule="auto" w:before="22"/>
        <w:ind w:left="573" w:right="0" w:hanging="421"/>
        <w:jc w:val="left"/>
      </w:pPr>
      <w:r>
        <w:rPr/>
        <w:t>司业务技术部门提供项目开发进度，经用户确认后，按照完工百分比法确认收入。</w:t>
      </w:r>
      <w:r>
        <w:rPr>
          <w:w w:val="100"/>
        </w:rPr>
        <w:t> </w:t>
      </w:r>
      <w:r>
        <w:rPr>
          <w:spacing w:val="-3"/>
        </w:rPr>
        <w:t>运营维护收入：按照合同约定、在运营维护服务已经提供，收到价款或取得收取价款的依据时，确认</w:t>
      </w:r>
    </w:p>
    <w:p>
      <w:pPr>
        <w:pStyle w:val="Heading4"/>
        <w:spacing w:line="273" w:lineRule="auto"/>
        <w:ind w:right="1126"/>
        <w:jc w:val="both"/>
      </w:pPr>
      <w:r>
        <w:rPr>
          <w:spacing w:val="-2"/>
        </w:rPr>
        <w:t>运营维护收入的实现；如运营维护服务的开始和完成分属不同的会计年度，在提供运营维护服务的结果能</w:t>
      </w:r>
      <w:r>
        <w:rPr>
          <w:spacing w:val="-43"/>
        </w:rPr>
        <w:t> </w:t>
      </w:r>
      <w:r>
        <w:rPr>
          <w:spacing w:val="-43"/>
        </w:rPr>
      </w:r>
      <w:r>
        <w:rPr>
          <w:spacing w:val="-2"/>
        </w:rPr>
        <w:t>够可靠估计的情况下，在合同约定的服务期限内，按进度确认相关的运营维护服务收入；合同明确约定服</w:t>
      </w:r>
      <w:r>
        <w:rPr>
          <w:spacing w:val="-43"/>
        </w:rPr>
        <w:t> </w:t>
      </w:r>
      <w:r>
        <w:rPr>
          <w:spacing w:val="-43"/>
        </w:rPr>
      </w:r>
      <w:r>
        <w:rPr/>
        <w:t>务成果需经客户验收确认的，根据客户验收情况确认收入。</w:t>
      </w:r>
    </w:p>
    <w:p>
      <w:pPr>
        <w:pStyle w:val="Heading4"/>
        <w:spacing w:line="273" w:lineRule="auto"/>
        <w:ind w:right="0" w:firstLine="420"/>
        <w:jc w:val="left"/>
      </w:pPr>
      <w:r>
        <w:rPr/>
        <w:t>系统集成收入：公司根据合同的约定，在相关货物发出并收取价款或取得收取价款的依据、并经对方</w:t>
      </w:r>
      <w:r>
        <w:rPr>
          <w:w w:val="100"/>
        </w:rPr>
        <w:t> </w:t>
      </w:r>
      <w:r>
        <w:rPr>
          <w:spacing w:val="-5"/>
        </w:rPr>
        <w:t>用户验收合格后确认系统集成收入的实现。对于跨年度开发项目，由公司业务技术部门提供项目开发进度，</w:t>
      </w:r>
    </w:p>
    <w:p>
      <w:pPr>
        <w:spacing w:after="0" w:line="273"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2602"/>
        <w:jc w:val="left"/>
      </w:pPr>
      <w:r>
        <w:rPr/>
        <w:t>经用户确认后，按完工百分比确认收入。</w:t>
      </w:r>
    </w:p>
    <w:p>
      <w:pPr>
        <w:spacing w:line="240" w:lineRule="auto" w:before="10"/>
        <w:rPr>
          <w:rFonts w:ascii="宋体" w:hAnsi="宋体" w:cs="宋体" w:eastAsia="宋体" w:hint="default"/>
          <w:sz w:val="25"/>
          <w:szCs w:val="25"/>
        </w:rPr>
      </w:pPr>
    </w:p>
    <w:p>
      <w:pPr>
        <w:pStyle w:val="Heading3"/>
        <w:spacing w:line="240" w:lineRule="auto"/>
        <w:ind w:right="2602"/>
        <w:jc w:val="left"/>
        <w:rPr>
          <w:b w:val="0"/>
          <w:bCs w:val="0"/>
        </w:rPr>
      </w:pPr>
      <w:bookmarkStart w:name="40、政府补助" w:id="226"/>
      <w:bookmarkEnd w:id="226"/>
      <w:r>
        <w:rPr>
          <w:b w:val="0"/>
          <w:bCs w:val="0"/>
        </w:rPr>
      </w:r>
      <w:r>
        <w:rPr>
          <w:rFonts w:ascii="Times New Roman" w:hAnsi="Times New Roman" w:cs="Times New Roman" w:eastAsia="Times New Roman" w:hint="default"/>
        </w:rPr>
        <w:t>40</w:t>
      </w:r>
      <w:r>
        <w:rPr/>
        <w:t>、政府补助</w:t>
      </w:r>
      <w:r>
        <w:rPr>
          <w:b w:val="0"/>
          <w:bCs w:val="0"/>
        </w:rPr>
      </w:r>
    </w:p>
    <w:p>
      <w:pPr>
        <w:spacing w:line="240" w:lineRule="auto" w:before="10"/>
        <w:rPr>
          <w:rFonts w:ascii="宋体" w:hAnsi="宋体" w:cs="宋体" w:eastAsia="宋体" w:hint="default"/>
          <w:b/>
          <w:bCs/>
          <w:sz w:val="24"/>
          <w:szCs w:val="24"/>
        </w:rPr>
      </w:pPr>
    </w:p>
    <w:p>
      <w:pPr>
        <w:pStyle w:val="Heading4"/>
        <w:spacing w:line="256" w:lineRule="auto" w:before="0"/>
        <w:ind w:left="573" w:right="1119" w:firstLine="2"/>
        <w:jc w:val="left"/>
      </w:pPr>
      <w:r>
        <w:rPr>
          <w:rFonts w:ascii="Times New Roman" w:hAnsi="Times New Roman" w:cs="Times New Roman" w:eastAsia="Times New Roman" w:hint="default"/>
          <w:b/>
          <w:bCs/>
        </w:rPr>
        <w:t>1.</w:t>
      </w:r>
      <w:r>
        <w:rPr>
          <w:rFonts w:ascii="Times New Roman" w:hAnsi="Times New Roman" w:cs="Times New Roman" w:eastAsia="Times New Roman" w:hint="default"/>
          <w:b/>
          <w:bCs/>
          <w:spacing w:val="50"/>
        </w:rPr>
        <w:t> </w:t>
      </w:r>
      <w:r>
        <w:rPr>
          <w:rFonts w:ascii="宋体" w:hAnsi="宋体" w:cs="宋体" w:eastAsia="宋体" w:hint="default"/>
          <w:b/>
          <w:bCs/>
        </w:rPr>
        <w:t>类型</w:t>
      </w:r>
      <w:r>
        <w:rPr>
          <w:rFonts w:ascii="宋体" w:hAnsi="宋体" w:cs="宋体" w:eastAsia="宋体" w:hint="default"/>
          <w:b/>
          <w:bCs/>
          <w:w w:val="100"/>
        </w:rPr>
        <w:t> </w:t>
      </w:r>
      <w:r>
        <w:rPr>
          <w:spacing w:val="-2"/>
        </w:rPr>
        <w:t>政府补助，是本公司从政府无偿取得的货币性资产与非货币性资产。分为与资产相关的政府补助和与</w:t>
      </w:r>
    </w:p>
    <w:p>
      <w:pPr>
        <w:pStyle w:val="Heading4"/>
        <w:spacing w:line="273" w:lineRule="auto" w:before="22"/>
        <w:ind w:left="573" w:right="0" w:hanging="421"/>
        <w:jc w:val="left"/>
      </w:pPr>
      <w:r>
        <w:rPr/>
        <w:t>收益相关的政府补助。</w:t>
      </w:r>
      <w:r>
        <w:rPr>
          <w:w w:val="100"/>
        </w:rPr>
        <w:t> </w:t>
      </w:r>
      <w:r>
        <w:rPr>
          <w:spacing w:val="-2"/>
        </w:rPr>
        <w:t>与资产相关的政府补助，是指本公司取得的、用于购建或以其他方式形成长期资产的政府补助。与收</w:t>
      </w:r>
    </w:p>
    <w:p>
      <w:pPr>
        <w:pStyle w:val="Heading4"/>
        <w:spacing w:line="273" w:lineRule="auto"/>
        <w:ind w:left="573" w:right="0" w:hanging="421"/>
        <w:jc w:val="left"/>
      </w:pPr>
      <w:r>
        <w:rPr/>
        <w:t>益相关的政府补助，是指除与资产相关的政府补助之外的政府补助。</w:t>
      </w:r>
      <w:r>
        <w:rPr>
          <w:w w:val="100"/>
        </w:rPr>
        <w:t> </w:t>
      </w:r>
      <w:r>
        <w:rPr>
          <w:spacing w:val="-2"/>
        </w:rPr>
        <w:t>本公司将政府补助划分为与资产相关的具体标准为：将所取得的用于购建或以其他方式形成长期资产</w:t>
      </w:r>
    </w:p>
    <w:p>
      <w:pPr>
        <w:pStyle w:val="Heading4"/>
        <w:spacing w:line="273" w:lineRule="auto"/>
        <w:ind w:left="573" w:right="0" w:hanging="421"/>
        <w:jc w:val="left"/>
      </w:pPr>
      <w:r>
        <w:rPr/>
        <w:t>的政府补助界定为与资产相关的政府补助。</w:t>
      </w:r>
      <w:r>
        <w:rPr>
          <w:w w:val="100"/>
        </w:rPr>
        <w:t> </w:t>
      </w:r>
      <w:r>
        <w:rPr>
          <w:spacing w:val="-2"/>
        </w:rPr>
        <w:t>本公司将政府补助划分为与收益相关的具体标准为：将界定为与资产相关的政府补助以外其余的政府</w:t>
      </w:r>
    </w:p>
    <w:p>
      <w:pPr>
        <w:pStyle w:val="Heading4"/>
        <w:spacing w:line="273" w:lineRule="auto" w:before="8"/>
        <w:ind w:left="573" w:right="0" w:hanging="421"/>
        <w:jc w:val="left"/>
      </w:pPr>
      <w:r>
        <w:rPr/>
        <w:t>补助界定为与收益相关的政府补助。</w:t>
      </w:r>
      <w:r>
        <w:rPr>
          <w:w w:val="100"/>
        </w:rPr>
        <w:t> </w:t>
      </w:r>
      <w:r>
        <w:rPr>
          <w:spacing w:val="-2"/>
        </w:rPr>
        <w:t>对于政府文件未明确规定补助对象的，本公司将该政府补助划分为与资产相关或与收益相关的判断依</w:t>
      </w:r>
    </w:p>
    <w:p>
      <w:pPr>
        <w:pStyle w:val="Heading4"/>
        <w:spacing w:line="240" w:lineRule="auto"/>
        <w:ind w:right="2602"/>
        <w:jc w:val="left"/>
      </w:pPr>
      <w:r>
        <w:rPr/>
        <w:t>据为：</w:t>
      </w:r>
    </w:p>
    <w:p>
      <w:pPr>
        <w:pStyle w:val="Heading4"/>
        <w:spacing w:line="264" w:lineRule="auto" w:before="37"/>
        <w:ind w:right="1126" w:firstLine="420"/>
        <w:jc w:val="both"/>
      </w:pPr>
      <w:r>
        <w:rPr/>
        <w:t>（</w:t>
      </w:r>
      <w:r>
        <w:rPr>
          <w:rFonts w:ascii="Times New Roman" w:hAnsi="Times New Roman" w:cs="Times New Roman" w:eastAsia="Times New Roman" w:hint="default"/>
        </w:rPr>
        <w:t>1</w:t>
      </w:r>
      <w:r>
        <w:rPr/>
        <w:t>）政府文件明确了补助所针对的特定项目的，根据该特定项目的预算中将形成资产的支出金额和</w:t>
      </w:r>
      <w:r>
        <w:rPr>
          <w:w w:val="100"/>
        </w:rPr>
        <w:t> </w:t>
      </w:r>
      <w:r>
        <w:rPr>
          <w:spacing w:val="-2"/>
        </w:rPr>
        <w:t>计入费用的支出金额的相对比例进行划分，对该划分比例需在每个资产负债表日进行复核，必要时进行变</w:t>
      </w:r>
      <w:r>
        <w:rPr>
          <w:spacing w:val="-43"/>
        </w:rPr>
        <w:t> </w:t>
      </w:r>
      <w:r>
        <w:rPr>
          <w:spacing w:val="-43"/>
        </w:rPr>
      </w:r>
      <w:r>
        <w:rPr/>
        <w:t>更。</w:t>
      </w:r>
    </w:p>
    <w:p>
      <w:pPr>
        <w:pStyle w:val="Heading4"/>
        <w:spacing w:line="240" w:lineRule="auto" w:before="16"/>
        <w:ind w:left="573" w:right="0"/>
        <w:jc w:val="left"/>
      </w:pPr>
      <w:r>
        <w:rPr/>
        <w:t>（</w:t>
      </w:r>
      <w:r>
        <w:rPr>
          <w:rFonts w:ascii="Times New Roman" w:hAnsi="Times New Roman" w:cs="Times New Roman" w:eastAsia="Times New Roman" w:hint="default"/>
        </w:rPr>
        <w:t>2</w:t>
      </w:r>
      <w:r>
        <w:rPr/>
        <w:t>）政府文件中对用途仅作一般性表述，没有指明特定项目的，作为与收益相关的政府补助。</w:t>
      </w:r>
    </w:p>
    <w:p>
      <w:pPr>
        <w:pStyle w:val="Heading4"/>
        <w:spacing w:line="256" w:lineRule="auto" w:before="21"/>
        <w:ind w:left="573" w:right="1119" w:firstLine="2"/>
        <w:jc w:val="left"/>
      </w:pPr>
      <w:r>
        <w:rPr>
          <w:rFonts w:ascii="Times New Roman" w:hAnsi="Times New Roman" w:cs="Times New Roman" w:eastAsia="Times New Roman" w:hint="default"/>
          <w:b/>
          <w:bCs/>
        </w:rPr>
        <w:t>2.</w:t>
      </w:r>
      <w:r>
        <w:rPr>
          <w:rFonts w:ascii="Times New Roman" w:hAnsi="Times New Roman" w:cs="Times New Roman" w:eastAsia="Times New Roman" w:hint="default"/>
          <w:b/>
          <w:bCs/>
          <w:spacing w:val="50"/>
        </w:rPr>
        <w:t> </w:t>
      </w:r>
      <w:r>
        <w:rPr>
          <w:rFonts w:ascii="宋体" w:hAnsi="宋体" w:cs="宋体" w:eastAsia="宋体" w:hint="default"/>
          <w:b/>
          <w:bCs/>
        </w:rPr>
        <w:t>确认时点</w:t>
      </w:r>
      <w:r>
        <w:rPr>
          <w:rFonts w:ascii="宋体" w:hAnsi="宋体" w:cs="宋体" w:eastAsia="宋体" w:hint="default"/>
          <w:b/>
          <w:bCs/>
          <w:w w:val="100"/>
        </w:rPr>
        <w:t> </w:t>
      </w:r>
      <w:r>
        <w:rPr>
          <w:spacing w:val="-2"/>
        </w:rPr>
        <w:t>政府补助为货币性资产的，按照收到或应收的金额计量。政府补助为非货币性资产的，按照公允价值</w:t>
      </w:r>
    </w:p>
    <w:p>
      <w:pPr>
        <w:pStyle w:val="Heading4"/>
        <w:spacing w:line="273" w:lineRule="auto" w:before="22"/>
        <w:ind w:right="1119"/>
        <w:jc w:val="left"/>
      </w:pPr>
      <w:r>
        <w:rPr>
          <w:spacing w:val="-2"/>
        </w:rPr>
        <w:t>计量；公允价值不能够可靠取得的，按照名义金额计量。按照名义金额计量的政府补助，直接计入当期损</w:t>
      </w:r>
      <w:r>
        <w:rPr>
          <w:spacing w:val="-50"/>
        </w:rPr>
        <w:t> </w:t>
      </w:r>
      <w:r>
        <w:rPr>
          <w:spacing w:val="-50"/>
        </w:rPr>
      </w:r>
      <w:r>
        <w:rPr/>
        <w:t>益。</w:t>
      </w:r>
    </w:p>
    <w:p>
      <w:pPr>
        <w:pStyle w:val="Heading4"/>
        <w:spacing w:line="240" w:lineRule="auto"/>
        <w:ind w:left="573" w:right="2602"/>
        <w:jc w:val="left"/>
      </w:pPr>
      <w:r>
        <w:rPr/>
        <w:t>本公司对于政府补助在实际收到时，按照实收金额予以确认和计量。</w:t>
      </w:r>
    </w:p>
    <w:p>
      <w:pPr>
        <w:pStyle w:val="Heading4"/>
        <w:spacing w:line="256" w:lineRule="auto" w:before="37"/>
        <w:ind w:left="573" w:right="1119" w:firstLine="2"/>
        <w:jc w:val="left"/>
      </w:pPr>
      <w:r>
        <w:rPr>
          <w:rFonts w:ascii="Times New Roman" w:hAnsi="Times New Roman" w:cs="Times New Roman" w:eastAsia="Times New Roman" w:hint="default"/>
          <w:b/>
          <w:bCs/>
        </w:rPr>
        <w:t>3.</w:t>
      </w:r>
      <w:r>
        <w:rPr>
          <w:rFonts w:ascii="Times New Roman" w:hAnsi="Times New Roman" w:cs="Times New Roman" w:eastAsia="Times New Roman" w:hint="default"/>
          <w:b/>
          <w:bCs/>
          <w:spacing w:val="50"/>
        </w:rPr>
        <w:t> </w:t>
      </w:r>
      <w:r>
        <w:rPr>
          <w:rFonts w:ascii="宋体" w:hAnsi="宋体" w:cs="宋体" w:eastAsia="宋体" w:hint="default"/>
          <w:b/>
          <w:bCs/>
        </w:rPr>
        <w:t>会计处理</w:t>
      </w:r>
      <w:r>
        <w:rPr>
          <w:rFonts w:ascii="宋体" w:hAnsi="宋体" w:cs="宋体" w:eastAsia="宋体" w:hint="default"/>
          <w:b/>
          <w:bCs/>
          <w:w w:val="100"/>
        </w:rPr>
        <w:t> </w:t>
      </w:r>
      <w:r>
        <w:rPr>
          <w:spacing w:val="-2"/>
        </w:rPr>
        <w:t>与资产相关的政府补助，冲减相关资产账面价值或确认为递延收益。确认为递延收益的，在相关资产</w:t>
      </w:r>
    </w:p>
    <w:p>
      <w:pPr>
        <w:pStyle w:val="Heading4"/>
        <w:spacing w:line="273" w:lineRule="auto" w:before="22"/>
        <w:ind w:right="0"/>
        <w:jc w:val="left"/>
      </w:pPr>
      <w:r>
        <w:rPr>
          <w:spacing w:val="-2"/>
        </w:rPr>
        <w:t>使用寿命内按照合理、系统的方法分期计入当期损益（与本公司日常活动相关的，计入其他收益；与本公</w:t>
      </w:r>
      <w:r>
        <w:rPr>
          <w:spacing w:val="-47"/>
        </w:rPr>
        <w:t> </w:t>
      </w:r>
      <w:r>
        <w:rPr>
          <w:spacing w:val="-47"/>
        </w:rPr>
      </w:r>
      <w:r>
        <w:rPr/>
        <w:t>司日常活动无关的，计入营业外收入）；</w:t>
      </w:r>
    </w:p>
    <w:p>
      <w:pPr>
        <w:pStyle w:val="Heading4"/>
        <w:spacing w:line="273" w:lineRule="auto"/>
        <w:ind w:right="1126" w:firstLine="420"/>
        <w:jc w:val="both"/>
      </w:pPr>
      <w:r>
        <w:rPr>
          <w:spacing w:val="-2"/>
        </w:rPr>
        <w:t>与收益相关的政府补助，用于补偿本公司以后期间的相关成本费用或损失的，确认为递延收益，并在</w:t>
      </w:r>
      <w:r>
        <w:rPr>
          <w:w w:val="100"/>
        </w:rPr>
        <w:t> </w:t>
      </w:r>
      <w:r>
        <w:rPr>
          <w:spacing w:val="-2"/>
        </w:rPr>
        <w:t>确认相关成本费用或损失的期间，计入当期损益（与本公司日常活动相关的，计入其他收益；与本公司日</w:t>
      </w:r>
      <w:r>
        <w:rPr>
          <w:spacing w:val="-44"/>
        </w:rPr>
        <w:t> </w:t>
      </w:r>
      <w:r>
        <w:rPr>
          <w:spacing w:val="-44"/>
        </w:rPr>
      </w:r>
      <w:r>
        <w:rPr>
          <w:spacing w:val="-2"/>
        </w:rPr>
        <w:t>常活动无关的，计入营业外收入）或冲减相关成本费用或损失；用于补偿本公司已发生的相关成本费用或</w:t>
      </w:r>
      <w:r>
        <w:rPr>
          <w:spacing w:val="-43"/>
        </w:rPr>
        <w:t> </w:t>
      </w:r>
      <w:r>
        <w:rPr>
          <w:spacing w:val="-43"/>
        </w:rPr>
      </w:r>
      <w:r>
        <w:rPr>
          <w:spacing w:val="-2"/>
        </w:rPr>
        <w:t>损失的，直接计入当期损益（与本公司日常活动相关的，计入其他收益；与本公司日常活动无关的，计入</w:t>
      </w:r>
      <w:r>
        <w:rPr>
          <w:spacing w:val="-43"/>
        </w:rPr>
        <w:t> </w:t>
      </w:r>
      <w:r>
        <w:rPr>
          <w:spacing w:val="-43"/>
        </w:rPr>
      </w:r>
      <w:r>
        <w:rPr/>
        <w:t>营业外收入）。</w:t>
      </w:r>
    </w:p>
    <w:p>
      <w:pPr>
        <w:pStyle w:val="Heading4"/>
        <w:spacing w:line="240" w:lineRule="auto"/>
        <w:ind w:left="573" w:right="2602"/>
        <w:jc w:val="left"/>
      </w:pPr>
      <w:r>
        <w:rPr/>
        <w:t>本公司取得的政策性优惠贷款贴息，区分以下两种情况，分别进行会计处理：</w:t>
      </w:r>
    </w:p>
    <w:p>
      <w:pPr>
        <w:pStyle w:val="Heading4"/>
        <w:spacing w:line="259" w:lineRule="auto" w:before="37"/>
        <w:ind w:right="1136" w:firstLine="420"/>
        <w:jc w:val="both"/>
      </w:pPr>
      <w:r>
        <w:rPr/>
        <w:t>（</w:t>
      </w:r>
      <w:r>
        <w:rPr>
          <w:rFonts w:ascii="Times New Roman" w:hAnsi="Times New Roman" w:cs="Times New Roman" w:eastAsia="Times New Roman" w:hint="default"/>
        </w:rPr>
        <w:t>1</w:t>
      </w:r>
      <w:r>
        <w:rPr/>
        <w:t>）财政将贴息资金拨付给贷款银行，由贷款银行以政策性优惠利率向本公司提供贷款的，本公司</w:t>
      </w:r>
      <w:r>
        <w:rPr>
          <w:w w:val="100"/>
        </w:rPr>
        <w:t> </w:t>
      </w:r>
      <w:r>
        <w:rPr/>
        <w:t>以实际收到的借款金额作为借款的入账价值，按照借款本金和该政策性优惠利率计算相关借款费用。</w:t>
      </w:r>
    </w:p>
    <w:p>
      <w:pPr>
        <w:pStyle w:val="Heading4"/>
        <w:spacing w:line="240" w:lineRule="auto" w:before="18"/>
        <w:ind w:left="573" w:right="0"/>
        <w:jc w:val="left"/>
      </w:pPr>
      <w:r>
        <w:rPr/>
        <w:t>（</w:t>
      </w:r>
      <w:r>
        <w:rPr>
          <w:rFonts w:ascii="Times New Roman" w:hAnsi="Times New Roman" w:cs="Times New Roman" w:eastAsia="Times New Roman" w:hint="default"/>
        </w:rPr>
        <w:t>2</w:t>
      </w:r>
      <w:r>
        <w:rPr/>
        <w:t>）财政将贴息资金直接拨付给本公司的，本公司将对应的贴息冲减相关借款费用。</w:t>
      </w:r>
    </w:p>
    <w:p>
      <w:pPr>
        <w:spacing w:line="600" w:lineRule="atLeast" w:before="12"/>
        <w:ind w:left="573" w:right="0" w:hanging="421"/>
        <w:jc w:val="left"/>
        <w:rPr>
          <w:rFonts w:ascii="宋体" w:hAnsi="宋体" w:cs="宋体" w:eastAsia="宋体" w:hint="default"/>
          <w:sz w:val="21"/>
          <w:szCs w:val="21"/>
        </w:rPr>
      </w:pPr>
      <w:bookmarkStart w:name="41、递延所得税资产/递延所得税负债" w:id="227"/>
      <w:bookmarkEnd w:id="227"/>
      <w:r>
        <w:rPr/>
      </w:r>
      <w:r>
        <w:rPr>
          <w:rFonts w:ascii="Times New Roman" w:hAnsi="Times New Roman" w:cs="Times New Roman" w:eastAsia="Times New Roman" w:hint="default"/>
          <w:b/>
          <w:bCs/>
          <w:sz w:val="21"/>
          <w:szCs w:val="21"/>
        </w:rPr>
        <w:t>41</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b/>
          <w:bCs/>
          <w:w w:val="100"/>
          <w:sz w:val="21"/>
          <w:szCs w:val="21"/>
        </w:rPr>
        <w:t> </w:t>
      </w:r>
      <w:r>
        <w:rPr>
          <w:rFonts w:ascii="宋体" w:hAnsi="宋体" w:cs="宋体" w:eastAsia="宋体" w:hint="default"/>
          <w:spacing w:val="-2"/>
          <w:sz w:val="21"/>
          <w:szCs w:val="21"/>
        </w:rPr>
        <w:t>对于可抵扣暂时性差异确认递延所得税资产，以未来期间很可能取得的用来抵扣可抵扣暂时性差异的</w:t>
      </w:r>
    </w:p>
    <w:p>
      <w:pPr>
        <w:pStyle w:val="Heading4"/>
        <w:spacing w:line="273" w:lineRule="auto" w:before="37"/>
        <w:ind w:right="0"/>
        <w:jc w:val="left"/>
      </w:pPr>
      <w:r>
        <w:rPr>
          <w:spacing w:val="-2"/>
        </w:rPr>
        <w:t>应纳税所得额为限。对于能够结转以后年度的可抵扣亏损和税款抵减，以很可能获得用来抵扣可抵扣亏损</w:t>
      </w:r>
      <w:r>
        <w:rPr>
          <w:spacing w:val="-42"/>
        </w:rPr>
        <w:t> </w:t>
      </w:r>
      <w:r>
        <w:rPr>
          <w:spacing w:val="-42"/>
        </w:rPr>
      </w:r>
      <w:r>
        <w:rPr/>
        <w:t>和税款抵减的未来应纳税所得额为限，确认相应的递延所得税资产。</w:t>
      </w:r>
    </w:p>
    <w:p>
      <w:pPr>
        <w:pStyle w:val="Heading4"/>
        <w:spacing w:line="240" w:lineRule="auto"/>
        <w:ind w:left="573" w:right="2602"/>
        <w:jc w:val="left"/>
      </w:pPr>
      <w:r>
        <w:rPr/>
        <w:t>对于应纳税暂时性差异，除特殊情况外，确认递延所得税负债。</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73" w:lineRule="auto" w:before="36"/>
        <w:ind w:right="1126" w:firstLine="420"/>
        <w:jc w:val="both"/>
      </w:pPr>
      <w:r>
        <w:rPr>
          <w:spacing w:val="-2"/>
        </w:rPr>
        <w:t>不确认递延所得税资产或递延所得税负债的特殊情况包括：商誉的初始确认；除企业合并以外的发生</w:t>
      </w:r>
      <w:r>
        <w:rPr>
          <w:w w:val="100"/>
        </w:rPr>
        <w:t> </w:t>
      </w:r>
      <w:r>
        <w:rPr/>
        <w:t>时既不影响会计利润也不影响应纳税所得额（或可抵扣亏损）的其他交易或事项。</w:t>
      </w:r>
    </w:p>
    <w:p>
      <w:pPr>
        <w:pStyle w:val="Heading4"/>
        <w:spacing w:line="273" w:lineRule="auto"/>
        <w:ind w:right="1126" w:firstLine="420"/>
        <w:jc w:val="both"/>
      </w:pPr>
      <w:r>
        <w:rPr>
          <w:spacing w:val="-2"/>
        </w:rPr>
        <w:t>当拥有以净额结算的法定权利，且意图以净额结算或取得资产、清偿负债同时进行时，当期所得税资</w:t>
      </w:r>
      <w:r>
        <w:rPr>
          <w:w w:val="100"/>
        </w:rPr>
        <w:t> </w:t>
      </w:r>
      <w:r>
        <w:rPr/>
        <w:t>产及当期所得税负债以抵销后的净额列报。</w:t>
      </w:r>
    </w:p>
    <w:p>
      <w:pPr>
        <w:pStyle w:val="Heading4"/>
        <w:spacing w:line="273" w:lineRule="auto"/>
        <w:ind w:right="1126" w:firstLine="420"/>
        <w:jc w:val="both"/>
      </w:pPr>
      <w:r>
        <w:rPr>
          <w:spacing w:val="-2"/>
        </w:rPr>
        <w:t>当拥有以净额结算当期所得税资产及当期所得税负债的法定权利，且递延所得税资产及递延所得税负</w:t>
      </w:r>
      <w:r>
        <w:rPr>
          <w:w w:val="100"/>
        </w:rPr>
        <w:t> </w:t>
      </w:r>
      <w:r>
        <w:rPr>
          <w:spacing w:val="-2"/>
        </w:rPr>
        <w:t>债是与同一税收征管部门对同一纳税主体征收的所得税相关或者是对不同的纳税主体相关，但在未来每一</w:t>
      </w:r>
      <w:r>
        <w:rPr>
          <w:spacing w:val="-43"/>
        </w:rPr>
        <w:t> </w:t>
      </w:r>
      <w:r>
        <w:rPr>
          <w:spacing w:val="-43"/>
        </w:rPr>
      </w:r>
      <w:r>
        <w:rPr>
          <w:spacing w:val="-2"/>
        </w:rPr>
        <w:t>具有重要性的递延所得税资产及负债转回的期间内，涉及的纳税主体意图以净额结算当期所得税资产和负</w:t>
      </w:r>
      <w:r>
        <w:rPr>
          <w:spacing w:val="-43"/>
        </w:rPr>
        <w:t> </w:t>
      </w:r>
      <w:r>
        <w:rPr>
          <w:spacing w:val="-43"/>
        </w:rPr>
      </w:r>
      <w:r>
        <w:rPr/>
        <w:t>债或是同时取得资产、清偿负债时，递延所得税资产及递延所得税负债以抵销后的净额列报。</w:t>
      </w:r>
    </w:p>
    <w:p>
      <w:pPr>
        <w:spacing w:line="240" w:lineRule="auto" w:before="7"/>
        <w:rPr>
          <w:rFonts w:ascii="宋体" w:hAnsi="宋体" w:cs="宋体" w:eastAsia="宋体" w:hint="default"/>
          <w:sz w:val="23"/>
          <w:szCs w:val="23"/>
        </w:rPr>
      </w:pPr>
    </w:p>
    <w:p>
      <w:pPr>
        <w:pStyle w:val="Heading3"/>
        <w:spacing w:line="240" w:lineRule="auto"/>
        <w:ind w:right="2602"/>
        <w:jc w:val="left"/>
        <w:rPr>
          <w:b w:val="0"/>
          <w:bCs w:val="0"/>
        </w:rPr>
      </w:pPr>
      <w:bookmarkStart w:name="42、租赁" w:id="228"/>
      <w:bookmarkEnd w:id="228"/>
      <w:r>
        <w:rPr>
          <w:b w:val="0"/>
          <w:bCs w:val="0"/>
        </w:rPr>
      </w:r>
      <w:r>
        <w:rPr>
          <w:rFonts w:ascii="Times New Roman" w:hAnsi="Times New Roman" w:cs="Times New Roman" w:eastAsia="Times New Roman" w:hint="default"/>
        </w:rPr>
        <w:t>42</w:t>
      </w:r>
      <w:r>
        <w:rPr/>
        <w:t>、租赁</w:t>
      </w:r>
      <w:r>
        <w:rPr>
          <w:b w:val="0"/>
          <w:bCs w:val="0"/>
        </w:rPr>
      </w:r>
    </w:p>
    <w:p>
      <w:pPr>
        <w:spacing w:line="240" w:lineRule="auto" w:before="10"/>
        <w:rPr>
          <w:rFonts w:ascii="宋体" w:hAnsi="宋体" w:cs="宋体" w:eastAsia="宋体" w:hint="default"/>
          <w:b/>
          <w:bCs/>
          <w:sz w:val="24"/>
          <w:szCs w:val="24"/>
        </w:rPr>
      </w:pPr>
    </w:p>
    <w:p>
      <w:pPr>
        <w:pStyle w:val="Heading3"/>
        <w:spacing w:line="506" w:lineRule="auto"/>
        <w:ind w:left="573" w:right="7922" w:hanging="421"/>
        <w:jc w:val="left"/>
        <w:rPr>
          <w:rFonts w:ascii="宋体" w:hAnsi="宋体" w:cs="宋体" w:eastAsia="宋体" w:hint="default"/>
          <w:b w:val="0"/>
          <w:bCs w:val="0"/>
        </w:rPr>
      </w:pPr>
      <w:bookmarkStart w:name="（1）经营租赁的会计处理方法" w:id="229"/>
      <w:bookmarkEnd w:id="229"/>
      <w:r>
        <w:rPr>
          <w:b w:val="0"/>
          <w:bCs w:val="0"/>
        </w:rPr>
      </w:r>
      <w:r>
        <w:rPr>
          <w:spacing w:val="-1"/>
        </w:rPr>
        <w:t>（</w:t>
      </w:r>
      <w:r>
        <w:rPr>
          <w:rFonts w:ascii="Times New Roman" w:hAnsi="Times New Roman" w:cs="Times New Roman" w:eastAsia="Times New Roman" w:hint="default"/>
          <w:spacing w:val="-1"/>
        </w:rPr>
        <w:t>1</w:t>
      </w:r>
      <w:r>
        <w:rPr>
          <w:spacing w:val="-1"/>
        </w:rPr>
        <w:t>）经营租赁的会计处理方法</w:t>
      </w:r>
      <w:r>
        <w:rPr>
          <w:spacing w:val="-95"/>
        </w:rPr>
        <w:t> </w:t>
      </w:r>
      <w:r>
        <w:rPr>
          <w:spacing w:val="-95"/>
        </w:rPr>
      </w:r>
      <w:r>
        <w:rPr>
          <w:rFonts w:ascii="宋体" w:hAnsi="宋体" w:cs="宋体" w:eastAsia="宋体" w:hint="default"/>
          <w:b w:val="0"/>
          <w:bCs w:val="0"/>
        </w:rPr>
        <w:t>无</w:t>
      </w:r>
    </w:p>
    <w:p>
      <w:pPr>
        <w:pStyle w:val="Heading3"/>
        <w:spacing w:line="506" w:lineRule="auto" w:before="104"/>
        <w:ind w:left="573" w:right="7922" w:hanging="421"/>
        <w:jc w:val="left"/>
        <w:rPr>
          <w:rFonts w:ascii="宋体" w:hAnsi="宋体" w:cs="宋体" w:eastAsia="宋体" w:hint="default"/>
          <w:b w:val="0"/>
          <w:bCs w:val="0"/>
        </w:rPr>
      </w:pPr>
      <w:bookmarkStart w:name="（2）融资租赁的会计处理方法" w:id="230"/>
      <w:bookmarkEnd w:id="230"/>
      <w:r>
        <w:rPr>
          <w:b w:val="0"/>
          <w:bCs w:val="0"/>
        </w:rPr>
      </w:r>
      <w:r>
        <w:rPr>
          <w:spacing w:val="-1"/>
        </w:rPr>
        <w:t>（</w:t>
      </w:r>
      <w:r>
        <w:rPr>
          <w:rFonts w:ascii="Times New Roman" w:hAnsi="Times New Roman" w:cs="Times New Roman" w:eastAsia="Times New Roman" w:hint="default"/>
          <w:spacing w:val="-1"/>
        </w:rPr>
        <w:t>2</w:t>
      </w:r>
      <w:r>
        <w:rPr>
          <w:spacing w:val="-1"/>
        </w:rPr>
        <w:t>）融资租赁的会计处理方法</w:t>
      </w:r>
      <w:r>
        <w:rPr>
          <w:spacing w:val="-94"/>
        </w:rPr>
        <w:t> </w:t>
      </w:r>
      <w:r>
        <w:rPr>
          <w:spacing w:val="-94"/>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3、其他重要的会计政策和会计估计" w:id="231"/>
      <w:bookmarkEnd w:id="231"/>
      <w:r>
        <w:rPr>
          <w:b w:val="0"/>
          <w:bCs w:val="0"/>
        </w:rPr>
      </w:r>
      <w:r>
        <w:rPr>
          <w:rFonts w:ascii="Times New Roman" w:hAnsi="Times New Roman" w:cs="Times New Roman" w:eastAsia="Times New Roman" w:hint="default"/>
        </w:rPr>
        <w:t>43</w:t>
      </w:r>
      <w:r>
        <w:rPr/>
        <w:t>、其他重要的会计政策和会计估计</w:t>
      </w:r>
      <w:r>
        <w:rPr>
          <w:b w:val="0"/>
          <w:bCs w:val="0"/>
        </w:rPr>
      </w:r>
    </w:p>
    <w:p>
      <w:pPr>
        <w:spacing w:line="240" w:lineRule="auto" w:before="7"/>
        <w:rPr>
          <w:rFonts w:ascii="宋体" w:hAnsi="宋体" w:cs="宋体" w:eastAsia="宋体" w:hint="default"/>
          <w:b/>
          <w:bCs/>
          <w:sz w:val="24"/>
          <w:szCs w:val="24"/>
        </w:rPr>
      </w:pPr>
    </w:p>
    <w:p>
      <w:pPr>
        <w:pStyle w:val="Heading4"/>
        <w:spacing w:line="273" w:lineRule="auto" w:before="0"/>
        <w:ind w:right="1126" w:firstLine="420"/>
        <w:jc w:val="both"/>
      </w:pPr>
      <w:r>
        <w:rPr>
          <w:spacing w:val="-2"/>
        </w:rPr>
        <w:t>本公司在运用会计政策过程中，由于经营活动内在的不确定性，本公司需要对无法准确计量的报表项</w:t>
      </w:r>
      <w:r>
        <w:rPr>
          <w:w w:val="100"/>
        </w:rPr>
        <w:t> </w:t>
      </w:r>
      <w:r>
        <w:rPr>
          <w:spacing w:val="-2"/>
        </w:rPr>
        <w:t>目的账面价值进行判断、估计和假设。这些判断、估计和假设是基于本公司管理层过去的历史经验，并在</w:t>
      </w:r>
      <w:r>
        <w:rPr>
          <w:spacing w:val="-47"/>
        </w:rPr>
        <w:t> </w:t>
      </w:r>
      <w:r>
        <w:rPr>
          <w:spacing w:val="-47"/>
        </w:rPr>
      </w:r>
      <w:r>
        <w:rPr>
          <w:spacing w:val="-2"/>
        </w:rPr>
        <w:t>考虑其他相关因素的基础上做出的。这些判断、估计和假设会影响收入、费用、资产和负债的报告金额以</w:t>
      </w:r>
      <w:r>
        <w:rPr>
          <w:spacing w:val="-47"/>
        </w:rPr>
        <w:t> </w:t>
      </w:r>
      <w:r>
        <w:rPr>
          <w:spacing w:val="-47"/>
        </w:rPr>
      </w:r>
      <w:r>
        <w:rPr>
          <w:spacing w:val="-2"/>
        </w:rPr>
        <w:t>及资产负债表日或有负债的披露。然而，这些估计的不确定性所导致的实际结果可能与本公司管理层当前</w:t>
      </w:r>
      <w:r>
        <w:rPr>
          <w:spacing w:val="-44"/>
        </w:rPr>
        <w:t> </w:t>
      </w:r>
      <w:r>
        <w:rPr>
          <w:spacing w:val="-44"/>
        </w:rPr>
      </w:r>
      <w:r>
        <w:rPr/>
        <w:t>的估计存在差异，进而造成对未来受影响的资产或负债的账面金额进行重大调整。</w:t>
      </w:r>
    </w:p>
    <w:p>
      <w:pPr>
        <w:pStyle w:val="Heading4"/>
        <w:spacing w:line="273" w:lineRule="auto"/>
        <w:ind w:right="1126" w:firstLine="420"/>
        <w:jc w:val="both"/>
      </w:pPr>
      <w:r>
        <w:rPr>
          <w:spacing w:val="-2"/>
        </w:rPr>
        <w:t>本公司对前述判断、估计和假设在持续经营的基础上进行定期复核，会计估计的变更仅影响变更当期</w:t>
      </w:r>
      <w:r>
        <w:rPr>
          <w:w w:val="100"/>
        </w:rPr>
        <w:t> </w:t>
      </w:r>
      <w:r>
        <w:rPr>
          <w:spacing w:val="-2"/>
        </w:rPr>
        <w:t>的，其影响数在变更当期予以确认；既影响变更当期又影响未来期间的，其影响数在变更当期和未来期间</w:t>
      </w:r>
      <w:r>
        <w:rPr>
          <w:spacing w:val="-44"/>
        </w:rPr>
        <w:t> </w:t>
      </w:r>
      <w:r>
        <w:rPr>
          <w:spacing w:val="-44"/>
        </w:rPr>
      </w:r>
      <w:r>
        <w:rPr/>
        <w:t>予以确认。</w:t>
      </w:r>
    </w:p>
    <w:p>
      <w:pPr>
        <w:pStyle w:val="Heading4"/>
        <w:spacing w:line="273" w:lineRule="auto"/>
        <w:ind w:left="573" w:right="1129"/>
        <w:jc w:val="left"/>
      </w:pPr>
      <w:r>
        <w:rPr/>
        <w:t>于资产负债表日，本公司需对财务报表项目金额进行判断、估计和假设的重要领域如下：</w:t>
      </w:r>
      <w:r>
        <w:rPr>
          <w:w w:val="100"/>
        </w:rPr>
        <w:t> </w:t>
      </w:r>
      <w:r>
        <w:rPr/>
        <w:t>折旧和摊销</w:t>
      </w:r>
      <w:r>
        <w:rPr>
          <w:spacing w:val="-102"/>
        </w:rPr>
        <w:t> </w:t>
      </w:r>
      <w:r>
        <w:rPr>
          <w:spacing w:val="-102"/>
        </w:rPr>
      </w:r>
      <w:r>
        <w:rPr>
          <w:spacing w:val="-2"/>
        </w:rPr>
        <w:t>本公司对投资性房地产、固定资产和无形资产在考虑其残值后，在使用寿命内按直线法计提折旧和摊</w:t>
      </w:r>
    </w:p>
    <w:p>
      <w:pPr>
        <w:pStyle w:val="Heading4"/>
        <w:spacing w:line="273" w:lineRule="auto"/>
        <w:ind w:right="1126"/>
        <w:jc w:val="both"/>
      </w:pPr>
      <w:r>
        <w:rPr>
          <w:spacing w:val="-2"/>
        </w:rPr>
        <w:t>销。本公司定期复核使用寿命，以决定将计入每个报告期的折旧和摊销费用数额。使用寿命是本公司根据</w:t>
      </w:r>
      <w:r>
        <w:rPr>
          <w:spacing w:val="-44"/>
        </w:rPr>
        <w:t> </w:t>
      </w:r>
      <w:r>
        <w:rPr>
          <w:spacing w:val="-44"/>
        </w:rPr>
      </w:r>
      <w:r>
        <w:rPr>
          <w:spacing w:val="-2"/>
        </w:rPr>
        <w:t>对同类资产的以往经验并结合预期的技术更新而确定的。如果以前的估计发生重大变化，则会在未来期间</w:t>
      </w:r>
      <w:r>
        <w:rPr>
          <w:spacing w:val="-43"/>
        </w:rPr>
        <w:t> </w:t>
      </w:r>
      <w:r>
        <w:rPr>
          <w:spacing w:val="-43"/>
        </w:rPr>
      </w:r>
      <w:r>
        <w:rPr/>
        <w:t>对折旧和摊销费用进行调整。</w:t>
      </w:r>
    </w:p>
    <w:p>
      <w:pPr>
        <w:pStyle w:val="Heading4"/>
        <w:spacing w:line="273" w:lineRule="auto" w:before="8"/>
        <w:ind w:left="573" w:right="1119"/>
        <w:jc w:val="left"/>
      </w:pPr>
      <w:r>
        <w:rPr/>
        <w:t>所得税</w:t>
      </w:r>
      <w:r>
        <w:rPr>
          <w:spacing w:val="-102"/>
        </w:rPr>
        <w:t> </w:t>
      </w:r>
      <w:r>
        <w:rPr>
          <w:spacing w:val="-2"/>
        </w:rPr>
        <w:t>本公司在正常的经营活动中，有部分交易其最终的税务处理和计算存在一定的不确定性。部分项目是</w:t>
      </w:r>
    </w:p>
    <w:p>
      <w:pPr>
        <w:pStyle w:val="Heading4"/>
        <w:spacing w:line="273" w:lineRule="auto"/>
        <w:ind w:right="0"/>
        <w:jc w:val="left"/>
      </w:pPr>
      <w:r>
        <w:rPr>
          <w:spacing w:val="-2"/>
        </w:rPr>
        <w:t>否能够在税前列支需要税收主管机关的审批。如果这些税务事项的最终认定结果同最初估计的金额存在差</w:t>
      </w:r>
      <w:r>
        <w:rPr>
          <w:spacing w:val="-43"/>
        </w:rPr>
        <w:t> </w:t>
      </w:r>
      <w:r>
        <w:rPr>
          <w:spacing w:val="-43"/>
        </w:rPr>
      </w:r>
      <w:r>
        <w:rPr/>
        <w:t>异，则该差异将对其最终认定期间的当期所得税和递延所得税产生影响</w:t>
      </w:r>
    </w:p>
    <w:p>
      <w:pPr>
        <w:spacing w:line="240" w:lineRule="auto" w:before="7"/>
        <w:rPr>
          <w:rFonts w:ascii="宋体" w:hAnsi="宋体" w:cs="宋体" w:eastAsia="宋体" w:hint="default"/>
          <w:sz w:val="23"/>
          <w:szCs w:val="23"/>
        </w:rPr>
      </w:pPr>
    </w:p>
    <w:p>
      <w:pPr>
        <w:pStyle w:val="Heading3"/>
        <w:spacing w:line="240" w:lineRule="auto"/>
        <w:ind w:right="2602"/>
        <w:jc w:val="left"/>
        <w:rPr>
          <w:b w:val="0"/>
          <w:bCs w:val="0"/>
        </w:rPr>
      </w:pPr>
      <w:bookmarkStart w:name="44、重要会计政策和会计估计变更" w:id="232"/>
      <w:bookmarkEnd w:id="232"/>
      <w:r>
        <w:rPr>
          <w:b w:val="0"/>
          <w:bCs w:val="0"/>
        </w:rPr>
      </w:r>
      <w:r>
        <w:rPr>
          <w:rFonts w:ascii="Times New Roman" w:hAnsi="Times New Roman" w:cs="Times New Roman" w:eastAsia="Times New Roman" w:hint="default"/>
        </w:rPr>
        <w:t>44</w:t>
      </w:r>
      <w:r>
        <w:rPr/>
        <w:t>、重要会计政策和会计估计变更</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重要会计政策变更" w:id="233"/>
      <w:bookmarkEnd w:id="233"/>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56" w:lineRule="auto" w:before="36"/>
        <w:ind w:left="229" w:right="1126" w:firstLine="329"/>
        <w:jc w:val="both"/>
      </w:pP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3"/>
        </w:rPr>
        <w:t>执行《财政部关于修订印发</w:t>
      </w:r>
      <w:r>
        <w:rPr>
          <w:rFonts w:ascii="Times New Roman" w:hAnsi="Times New Roman" w:cs="Times New Roman" w:eastAsia="Times New Roman" w:hint="default"/>
          <w:spacing w:val="-3"/>
        </w:rPr>
        <w:t>2019</w:t>
      </w:r>
      <w:r>
        <w:rPr>
          <w:spacing w:val="-3"/>
        </w:rPr>
        <w:t>年度一般企业财务报表格式的通知》和《关于修订印发合并财务报</w:t>
      </w:r>
      <w:r>
        <w:rPr>
          <w:w w:val="100"/>
        </w:rPr>
        <w:t> </w:t>
      </w:r>
      <w:r>
        <w:rPr/>
        <w:t>表格式（</w:t>
      </w:r>
      <w:r>
        <w:rPr>
          <w:rFonts w:ascii="Times New Roman" w:hAnsi="Times New Roman" w:cs="Times New Roman" w:eastAsia="Times New Roman" w:hint="default"/>
        </w:rPr>
        <w:t>2019</w:t>
      </w:r>
      <w:r>
        <w:rPr/>
        <w:t>版）的通知》</w:t>
      </w:r>
    </w:p>
    <w:p>
      <w:pPr>
        <w:pStyle w:val="Heading4"/>
        <w:spacing w:line="256" w:lineRule="auto" w:before="5"/>
        <w:ind w:left="229" w:right="1129" w:firstLine="329"/>
        <w:jc w:val="both"/>
      </w:pPr>
      <w:r>
        <w:rPr>
          <w:spacing w:val="-2"/>
          <w:w w:val="100"/>
        </w:rPr>
        <w:t>财政部分别于</w:t>
      </w:r>
      <w:r>
        <w:rPr>
          <w:rFonts w:ascii="Times New Roman" w:hAnsi="Times New Roman" w:cs="Times New Roman" w:eastAsia="Times New Roman" w:hint="default"/>
          <w:spacing w:val="-2"/>
          <w:w w:val="100"/>
        </w:rPr>
        <w:t>2019</w:t>
      </w:r>
      <w:r>
        <w:rPr>
          <w:spacing w:val="-2"/>
          <w:w w:val="100"/>
        </w:rPr>
        <w:t>年</w:t>
      </w:r>
      <w:r>
        <w:rPr>
          <w:rFonts w:ascii="Times New Roman" w:hAnsi="Times New Roman" w:cs="Times New Roman" w:eastAsia="Times New Roman" w:hint="default"/>
          <w:spacing w:val="-2"/>
          <w:w w:val="100"/>
        </w:rPr>
        <w:t>4</w:t>
      </w:r>
      <w:r>
        <w:rPr>
          <w:spacing w:val="-2"/>
          <w:w w:val="100"/>
        </w:rPr>
        <w:t>月</w:t>
      </w:r>
      <w:r>
        <w:rPr>
          <w:rFonts w:ascii="Times New Roman" w:hAnsi="Times New Roman" w:cs="Times New Roman" w:eastAsia="Times New Roman" w:hint="default"/>
          <w:spacing w:val="-2"/>
          <w:w w:val="100"/>
        </w:rPr>
        <w:t>30</w:t>
      </w:r>
      <w:r>
        <w:rPr>
          <w:spacing w:val="-2"/>
          <w:w w:val="100"/>
        </w:rPr>
        <w:t>日和</w:t>
      </w:r>
      <w:r>
        <w:rPr>
          <w:rFonts w:ascii="Times New Roman" w:hAnsi="Times New Roman" w:cs="Times New Roman" w:eastAsia="Times New Roman" w:hint="default"/>
          <w:spacing w:val="-2"/>
          <w:w w:val="100"/>
        </w:rPr>
        <w:t>2019</w:t>
      </w:r>
      <w:r>
        <w:rPr>
          <w:spacing w:val="-2"/>
          <w:w w:val="100"/>
        </w:rPr>
        <w:t>年</w:t>
      </w:r>
      <w:r>
        <w:rPr>
          <w:rFonts w:ascii="Times New Roman" w:hAnsi="Times New Roman" w:cs="Times New Roman" w:eastAsia="Times New Roman" w:hint="default"/>
          <w:spacing w:val="-2"/>
          <w:w w:val="100"/>
        </w:rPr>
        <w:t>9</w:t>
      </w:r>
      <w:r>
        <w:rPr>
          <w:spacing w:val="-2"/>
          <w:w w:val="100"/>
        </w:rPr>
        <w:t>月</w:t>
      </w:r>
      <w:r>
        <w:rPr>
          <w:rFonts w:ascii="Times New Roman" w:hAnsi="Times New Roman" w:cs="Times New Roman" w:eastAsia="Times New Roman" w:hint="default"/>
          <w:spacing w:val="-2"/>
          <w:w w:val="100"/>
        </w:rPr>
        <w:t>19</w:t>
      </w:r>
      <w:r>
        <w:rPr>
          <w:spacing w:val="-2"/>
          <w:w w:val="100"/>
        </w:rPr>
        <w:t>日</w:t>
      </w:r>
      <w:r>
        <w:rPr>
          <w:spacing w:val="-1"/>
          <w:w w:val="100"/>
        </w:rPr>
        <w:t> </w:t>
      </w:r>
      <w:r>
        <w:rPr>
          <w:spacing w:val="-5"/>
          <w:w w:val="100"/>
        </w:rPr>
        <w:t>发布了《关于修订印发</w:t>
      </w:r>
      <w:r>
        <w:rPr>
          <w:rFonts w:ascii="Times New Roman" w:hAnsi="Times New Roman" w:cs="Times New Roman" w:eastAsia="Times New Roman" w:hint="default"/>
          <w:spacing w:val="-5"/>
          <w:w w:val="100"/>
        </w:rPr>
        <w:t>2019</w:t>
      </w:r>
      <w:r>
        <w:rPr>
          <w:spacing w:val="-5"/>
          <w:w w:val="100"/>
        </w:rPr>
        <w:t>年度一般企业财务报表格式</w:t>
      </w:r>
      <w:r>
        <w:rPr>
          <w:w w:val="100"/>
        </w:rPr>
        <w:t> </w:t>
      </w:r>
      <w:r>
        <w:rPr>
          <w:spacing w:val="-2"/>
        </w:rPr>
        <w:t>的通知》（财会（</w:t>
      </w:r>
      <w:r>
        <w:rPr>
          <w:rFonts w:ascii="Times New Roman" w:hAnsi="Times New Roman" w:cs="Times New Roman" w:eastAsia="Times New Roman" w:hint="default"/>
          <w:spacing w:val="-2"/>
        </w:rPr>
        <w:t>2019</w:t>
      </w:r>
      <w:r>
        <w:rPr>
          <w:spacing w:val="-2"/>
        </w:rPr>
        <w:t>）</w:t>
      </w:r>
      <w:r>
        <w:rPr>
          <w:rFonts w:ascii="Times New Roman" w:hAnsi="Times New Roman" w:cs="Times New Roman" w:eastAsia="Times New Roman" w:hint="default"/>
          <w:spacing w:val="-2"/>
        </w:rPr>
        <w:t>6</w:t>
      </w:r>
      <w:r>
        <w:rPr>
          <w:spacing w:val="-2"/>
        </w:rPr>
        <w:t>号）和《关于修订印发合并财务报表格式（</w:t>
      </w:r>
      <w:r>
        <w:rPr>
          <w:rFonts w:ascii="Times New Roman" w:hAnsi="Times New Roman" w:cs="Times New Roman" w:eastAsia="Times New Roman" w:hint="default"/>
          <w:spacing w:val="-2"/>
        </w:rPr>
        <w:t>2019</w:t>
      </w:r>
      <w:r>
        <w:rPr>
          <w:spacing w:val="-2"/>
        </w:rPr>
        <w:t>版）的通知》（财会（</w:t>
      </w:r>
      <w:r>
        <w:rPr>
          <w:rFonts w:ascii="Times New Roman" w:hAnsi="Times New Roman" w:cs="Times New Roman" w:eastAsia="Times New Roman" w:hint="default"/>
          <w:spacing w:val="-2"/>
        </w:rPr>
        <w:t>2019</w:t>
      </w:r>
      <w:r>
        <w:rPr>
          <w:spacing w:val="-2"/>
        </w:rPr>
        <w:t>）</w:t>
      </w:r>
      <w:r>
        <w:rPr>
          <w:spacing w:val="-6"/>
        </w:rPr>
        <w:t> </w:t>
      </w:r>
      <w:r>
        <w:rPr>
          <w:rFonts w:ascii="Times New Roman" w:hAnsi="Times New Roman" w:cs="Times New Roman" w:eastAsia="Times New Roman" w:hint="default"/>
        </w:rPr>
        <w:t>16</w:t>
      </w:r>
      <w:r>
        <w:rPr/>
        <w:t>号），对一般企业财务报表格式进行了修订。</w:t>
      </w:r>
      <w:r>
        <w:rPr>
          <w:spacing w:val="-25"/>
        </w:rPr>
        <w:t> </w:t>
      </w:r>
      <w:r>
        <w:rPr/>
        <w:t>本公司执行上述规定的主要影响如下：</w:t>
      </w:r>
    </w:p>
    <w:tbl>
      <w:tblPr>
        <w:tblW w:w="0" w:type="auto"/>
        <w:jc w:val="left"/>
        <w:tblInd w:w="138" w:type="dxa"/>
        <w:tblLayout w:type="fixed"/>
        <w:tblCellMar>
          <w:top w:w="0" w:type="dxa"/>
          <w:left w:w="0" w:type="dxa"/>
          <w:bottom w:w="0" w:type="dxa"/>
          <w:right w:w="0" w:type="dxa"/>
        </w:tblCellMar>
        <w:tblLook w:val="01E0"/>
      </w:tblPr>
      <w:tblGrid>
        <w:gridCol w:w="3272"/>
        <w:gridCol w:w="3120"/>
        <w:gridCol w:w="3116"/>
      </w:tblGrid>
      <w:tr>
        <w:trPr>
          <w:trHeight w:val="346" w:hRule="exact"/>
        </w:trPr>
        <w:tc>
          <w:tcPr>
            <w:tcW w:w="3272" w:type="dxa"/>
            <w:vMerge w:val="restart"/>
            <w:tcBorders>
              <w:top w:val="single" w:sz="6" w:space="0" w:color="000000"/>
              <w:left w:val="single" w:sz="4" w:space="0" w:color="000000"/>
              <w:right w:val="single" w:sz="4" w:space="0" w:color="000000"/>
            </w:tcBorders>
          </w:tcPr>
          <w:p>
            <w:pPr>
              <w:pStyle w:val="TableParagraph"/>
              <w:spacing w:line="240" w:lineRule="auto" w:before="170"/>
              <w:ind w:left="370" w:right="0"/>
              <w:jc w:val="left"/>
              <w:rPr>
                <w:rFonts w:ascii="宋体" w:hAnsi="宋体" w:cs="宋体" w:eastAsia="宋体" w:hint="default"/>
                <w:sz w:val="21"/>
                <w:szCs w:val="21"/>
              </w:rPr>
            </w:pPr>
            <w:r>
              <w:rPr>
                <w:rFonts w:ascii="宋体" w:hAnsi="宋体" w:cs="宋体" w:eastAsia="宋体" w:hint="default"/>
                <w:sz w:val="21"/>
                <w:szCs w:val="21"/>
              </w:rPr>
              <w:t>会计政策变更的内容和原因</w:t>
            </w:r>
          </w:p>
        </w:tc>
        <w:tc>
          <w:tcPr>
            <w:tcW w:w="6236" w:type="dxa"/>
            <w:gridSpan w:val="2"/>
            <w:tcBorders>
              <w:top w:val="single" w:sz="6" w:space="0" w:color="000000"/>
              <w:left w:val="single" w:sz="4" w:space="0" w:color="000000"/>
              <w:bottom w:val="single" w:sz="4" w:space="0" w:color="000000"/>
              <w:right w:val="single" w:sz="4" w:space="0" w:color="000000"/>
            </w:tcBorders>
          </w:tcPr>
          <w:p>
            <w:pPr>
              <w:pStyle w:val="TableParagraph"/>
              <w:spacing w:line="272" w:lineRule="exact"/>
              <w:ind w:left="1747" w:right="0"/>
              <w:jc w:val="left"/>
              <w:rPr>
                <w:rFonts w:ascii="宋体" w:hAnsi="宋体" w:cs="宋体" w:eastAsia="宋体" w:hint="default"/>
                <w:sz w:val="21"/>
                <w:szCs w:val="21"/>
              </w:rPr>
            </w:pPr>
            <w:r>
              <w:rPr>
                <w:rFonts w:ascii="宋体" w:hAnsi="宋体" w:cs="宋体" w:eastAsia="宋体" w:hint="default"/>
                <w:sz w:val="21"/>
                <w:szCs w:val="21"/>
              </w:rPr>
              <w:t>受影响的报表项目名称和金额</w:t>
            </w:r>
          </w:p>
        </w:tc>
      </w:tr>
      <w:tr>
        <w:trPr>
          <w:trHeight w:val="341" w:hRule="exact"/>
        </w:trPr>
        <w:tc>
          <w:tcPr>
            <w:tcW w:w="3272" w:type="dxa"/>
            <w:vMerge/>
            <w:tcBorders>
              <w:left w:val="single" w:sz="4" w:space="0" w:color="000000"/>
              <w:bottom w:val="single" w:sz="4" w:space="0" w:color="000000"/>
              <w:right w:val="single" w:sz="4" w:space="0" w:color="000000"/>
            </w:tcBorders>
          </w:tcPr>
          <w:p>
            <w:pP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311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母公司</w:t>
            </w:r>
          </w:p>
        </w:tc>
      </w:tr>
      <w:tr>
        <w:trPr>
          <w:trHeight w:val="967" w:hRule="exact"/>
        </w:trPr>
        <w:tc>
          <w:tcPr>
            <w:tcW w:w="3272"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before="153"/>
              <w:ind w:left="4" w:right="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）原计入</w:t>
            </w:r>
            <w:r>
              <w:rPr>
                <w:rFonts w:ascii="Times New Roman" w:hAnsi="Times New Roman" w:cs="Times New Roman" w:eastAsia="Times New Roman" w:hint="default"/>
                <w:sz w:val="21"/>
                <w:szCs w:val="21"/>
              </w:rPr>
              <w:t>“</w:t>
            </w:r>
            <w:r>
              <w:rPr>
                <w:rFonts w:ascii="宋体" w:hAnsi="宋体" w:cs="宋体" w:eastAsia="宋体" w:hint="default"/>
                <w:sz w:val="21"/>
                <w:szCs w:val="21"/>
              </w:rPr>
              <w:t>管理费用</w:t>
            </w:r>
            <w:r>
              <w:rPr>
                <w:rFonts w:ascii="Times New Roman" w:hAnsi="Times New Roman" w:cs="Times New Roman" w:eastAsia="Times New Roman" w:hint="default"/>
                <w:sz w:val="21"/>
                <w:szCs w:val="21"/>
              </w:rPr>
              <w:t>”</w:t>
            </w:r>
            <w:r>
              <w:rPr>
                <w:rFonts w:ascii="宋体" w:hAnsi="宋体" w:cs="宋体" w:eastAsia="宋体" w:hint="default"/>
                <w:sz w:val="21"/>
                <w:szCs w:val="21"/>
              </w:rPr>
              <w:t>的自行开发</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无形资产的摊销计入</w:t>
            </w:r>
            <w:r>
              <w:rPr>
                <w:rFonts w:ascii="Times New Roman" w:hAnsi="Times New Roman" w:cs="Times New Roman" w:eastAsia="Times New Roman" w:hint="default"/>
                <w:sz w:val="21"/>
                <w:szCs w:val="21"/>
              </w:rPr>
              <w:t>“</w:t>
            </w:r>
            <w:r>
              <w:rPr>
                <w:rFonts w:ascii="宋体" w:hAnsi="宋体" w:cs="宋体" w:eastAsia="宋体" w:hint="default"/>
                <w:sz w:val="21"/>
                <w:szCs w:val="21"/>
              </w:rPr>
              <w:t>研发费用</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ind w:left="4" w:right="1"/>
              <w:jc w:val="both"/>
              <w:rPr>
                <w:rFonts w:ascii="宋体" w:hAnsi="宋体" w:cs="宋体" w:eastAsia="宋体" w:hint="default"/>
                <w:sz w:val="21"/>
                <w:szCs w:val="21"/>
              </w:rPr>
            </w:pPr>
            <w:r>
              <w:rPr>
                <w:rFonts w:ascii="宋体" w:hAnsi="宋体" w:cs="宋体" w:eastAsia="宋体" w:hint="default"/>
                <w:spacing w:val="36"/>
                <w:sz w:val="21"/>
                <w:szCs w:val="21"/>
              </w:rPr>
              <w:t>调减</w:t>
            </w:r>
            <w:r>
              <w:rPr>
                <w:rFonts w:ascii="宋体" w:hAnsi="宋体" w:cs="宋体" w:eastAsia="宋体" w:hint="default"/>
                <w:spacing w:val="-32"/>
                <w:sz w:val="21"/>
                <w:szCs w:val="21"/>
              </w:rPr>
              <w:t> </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管</w:t>
            </w:r>
            <w:r>
              <w:rPr>
                <w:rFonts w:ascii="宋体" w:hAnsi="宋体" w:cs="宋体" w:eastAsia="宋体" w:hint="default"/>
                <w:spacing w:val="-33"/>
                <w:sz w:val="21"/>
                <w:szCs w:val="21"/>
              </w:rPr>
              <w:t> </w:t>
            </w:r>
            <w:r>
              <w:rPr>
                <w:rFonts w:ascii="宋体" w:hAnsi="宋体" w:cs="宋体" w:eastAsia="宋体" w:hint="default"/>
                <w:sz w:val="21"/>
                <w:szCs w:val="21"/>
              </w:rPr>
              <w:t>理</w:t>
            </w:r>
            <w:r>
              <w:rPr>
                <w:rFonts w:ascii="宋体" w:hAnsi="宋体" w:cs="宋体" w:eastAsia="宋体" w:hint="default"/>
                <w:spacing w:val="-33"/>
                <w:sz w:val="21"/>
                <w:szCs w:val="21"/>
              </w:rPr>
              <w:t> </w:t>
            </w:r>
            <w:r>
              <w:rPr>
                <w:rFonts w:ascii="宋体" w:hAnsi="宋体" w:cs="宋体" w:eastAsia="宋体" w:hint="default"/>
                <w:sz w:val="21"/>
                <w:szCs w:val="21"/>
              </w:rPr>
              <w:t>费</w:t>
            </w:r>
            <w:r>
              <w:rPr>
                <w:rFonts w:ascii="宋体" w:hAnsi="宋体" w:cs="宋体" w:eastAsia="宋体" w:hint="default"/>
                <w:spacing w:val="-30"/>
                <w:sz w:val="21"/>
                <w:szCs w:val="21"/>
              </w:rPr>
              <w:t> </w:t>
            </w:r>
            <w:r>
              <w:rPr>
                <w:rFonts w:ascii="宋体" w:hAnsi="宋体" w:cs="宋体" w:eastAsia="宋体" w:hint="default"/>
                <w:sz w:val="21"/>
                <w:szCs w:val="21"/>
              </w:rPr>
              <w:t>用</w:t>
            </w:r>
            <w:r>
              <w:rPr>
                <w:rFonts w:ascii="宋体" w:hAnsi="宋体" w:cs="宋体" w:eastAsia="宋体" w:hint="default"/>
                <w:spacing w:val="-32"/>
                <w:sz w:val="21"/>
                <w:szCs w:val="21"/>
              </w:rPr>
              <w:t> </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上</w:t>
            </w:r>
            <w:r>
              <w:rPr>
                <w:rFonts w:ascii="宋体" w:hAnsi="宋体" w:cs="宋体" w:eastAsia="宋体" w:hint="default"/>
                <w:spacing w:val="-33"/>
                <w:sz w:val="21"/>
                <w:szCs w:val="21"/>
              </w:rPr>
              <w:t> </w:t>
            </w:r>
            <w:r>
              <w:rPr>
                <w:rFonts w:ascii="宋体" w:hAnsi="宋体" w:cs="宋体" w:eastAsia="宋体" w:hint="default"/>
                <w:sz w:val="21"/>
                <w:szCs w:val="21"/>
              </w:rPr>
              <w:t>期</w:t>
            </w:r>
            <w:r>
              <w:rPr>
                <w:rFonts w:ascii="宋体" w:hAnsi="宋体" w:cs="宋体" w:eastAsia="宋体" w:hint="default"/>
                <w:spacing w:val="-30"/>
                <w:sz w:val="21"/>
                <w:szCs w:val="21"/>
              </w:rPr>
              <w:t> </w:t>
            </w:r>
            <w:r>
              <w:rPr>
                <w:rFonts w:ascii="宋体" w:hAnsi="宋体" w:cs="宋体" w:eastAsia="宋体" w:hint="default"/>
                <w:sz w:val="21"/>
                <w:szCs w:val="21"/>
              </w:rPr>
              <w:t>金</w:t>
            </w:r>
            <w:r>
              <w:rPr>
                <w:rFonts w:ascii="宋体" w:hAnsi="宋体" w:cs="宋体" w:eastAsia="宋体" w:hint="default"/>
                <w:spacing w:val="-33"/>
                <w:sz w:val="21"/>
                <w:szCs w:val="21"/>
              </w:rPr>
              <w:t> </w:t>
            </w:r>
            <w:r>
              <w:rPr>
                <w:rFonts w:ascii="宋体" w:hAnsi="宋体" w:cs="宋体" w:eastAsia="宋体" w:hint="default"/>
                <w:sz w:val="21"/>
                <w:szCs w:val="21"/>
              </w:rPr>
              <w:t>额</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146,539,758.77</w:t>
            </w:r>
            <w:r>
              <w:rPr>
                <w:rFonts w:ascii="宋体" w:hAnsi="宋体" w:cs="宋体" w:eastAsia="宋体" w:hint="default"/>
                <w:sz w:val="21"/>
                <w:szCs w:val="21"/>
              </w:rPr>
              <w:t>元，重分类至</w:t>
            </w:r>
            <w:r>
              <w:rPr>
                <w:rFonts w:ascii="Times New Roman" w:hAnsi="Times New Roman" w:cs="Times New Roman" w:eastAsia="Times New Roman" w:hint="default"/>
                <w:sz w:val="21"/>
                <w:szCs w:val="21"/>
              </w:rPr>
              <w:t>“</w:t>
            </w:r>
            <w:r>
              <w:rPr>
                <w:rFonts w:ascii="宋体" w:hAnsi="宋体" w:cs="宋体" w:eastAsia="宋体" w:hint="default"/>
                <w:sz w:val="21"/>
                <w:szCs w:val="21"/>
              </w:rPr>
              <w:t>研发</w:t>
            </w:r>
            <w:r>
              <w:rPr>
                <w:rFonts w:ascii="宋体" w:hAnsi="宋体" w:cs="宋体" w:eastAsia="宋体" w:hint="default"/>
                <w:spacing w:val="-94"/>
                <w:sz w:val="21"/>
                <w:szCs w:val="21"/>
              </w:rPr>
              <w:t> </w:t>
            </w:r>
            <w:r>
              <w:rPr>
                <w:rFonts w:ascii="宋体" w:hAnsi="宋体" w:cs="宋体" w:eastAsia="宋体" w:hint="default"/>
                <w:sz w:val="21"/>
                <w:szCs w:val="21"/>
              </w:rPr>
              <w:t>费用</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3116"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ind w:left="4" w:right="1"/>
              <w:jc w:val="both"/>
              <w:rPr>
                <w:rFonts w:ascii="宋体" w:hAnsi="宋体" w:cs="宋体" w:eastAsia="宋体" w:hint="default"/>
                <w:sz w:val="21"/>
                <w:szCs w:val="21"/>
              </w:rPr>
            </w:pPr>
            <w:r>
              <w:rPr>
                <w:rFonts w:ascii="宋体" w:hAnsi="宋体" w:cs="宋体" w:eastAsia="宋体" w:hint="default"/>
                <w:spacing w:val="35"/>
                <w:sz w:val="21"/>
                <w:szCs w:val="21"/>
              </w:rPr>
              <w:t>调减</w:t>
            </w:r>
            <w:r>
              <w:rPr>
                <w:rFonts w:ascii="宋体" w:hAnsi="宋体" w:cs="宋体" w:eastAsia="宋体" w:hint="default"/>
                <w:spacing w:val="-30"/>
                <w:sz w:val="21"/>
                <w:szCs w:val="21"/>
              </w:rPr>
              <w:t> </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管</w:t>
            </w:r>
            <w:r>
              <w:rPr>
                <w:rFonts w:ascii="宋体" w:hAnsi="宋体" w:cs="宋体" w:eastAsia="宋体" w:hint="default"/>
                <w:spacing w:val="-33"/>
                <w:sz w:val="21"/>
                <w:szCs w:val="21"/>
              </w:rPr>
              <w:t> </w:t>
            </w:r>
            <w:r>
              <w:rPr>
                <w:rFonts w:ascii="宋体" w:hAnsi="宋体" w:cs="宋体" w:eastAsia="宋体" w:hint="default"/>
                <w:sz w:val="21"/>
                <w:szCs w:val="21"/>
              </w:rPr>
              <w:t>理</w:t>
            </w:r>
            <w:r>
              <w:rPr>
                <w:rFonts w:ascii="宋体" w:hAnsi="宋体" w:cs="宋体" w:eastAsia="宋体" w:hint="default"/>
                <w:spacing w:val="-33"/>
                <w:sz w:val="21"/>
                <w:szCs w:val="21"/>
              </w:rPr>
              <w:t> </w:t>
            </w:r>
            <w:r>
              <w:rPr>
                <w:rFonts w:ascii="宋体" w:hAnsi="宋体" w:cs="宋体" w:eastAsia="宋体" w:hint="default"/>
                <w:sz w:val="21"/>
                <w:szCs w:val="21"/>
              </w:rPr>
              <w:t>费</w:t>
            </w:r>
            <w:r>
              <w:rPr>
                <w:rFonts w:ascii="宋体" w:hAnsi="宋体" w:cs="宋体" w:eastAsia="宋体" w:hint="default"/>
                <w:spacing w:val="-30"/>
                <w:sz w:val="21"/>
                <w:szCs w:val="21"/>
              </w:rPr>
              <w:t> </w:t>
            </w:r>
            <w:r>
              <w:rPr>
                <w:rFonts w:ascii="宋体" w:hAnsi="宋体" w:cs="宋体" w:eastAsia="宋体" w:hint="default"/>
                <w:sz w:val="21"/>
                <w:szCs w:val="21"/>
              </w:rPr>
              <w:t>用</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上</w:t>
            </w:r>
            <w:r>
              <w:rPr>
                <w:rFonts w:ascii="宋体" w:hAnsi="宋体" w:cs="宋体" w:eastAsia="宋体" w:hint="default"/>
                <w:spacing w:val="-33"/>
                <w:sz w:val="21"/>
                <w:szCs w:val="21"/>
              </w:rPr>
              <w:t> </w:t>
            </w:r>
            <w:r>
              <w:rPr>
                <w:rFonts w:ascii="宋体" w:hAnsi="宋体" w:cs="宋体" w:eastAsia="宋体" w:hint="default"/>
                <w:sz w:val="21"/>
                <w:szCs w:val="21"/>
              </w:rPr>
              <w:t>期</w:t>
            </w:r>
            <w:r>
              <w:rPr>
                <w:rFonts w:ascii="宋体" w:hAnsi="宋体" w:cs="宋体" w:eastAsia="宋体" w:hint="default"/>
                <w:spacing w:val="-33"/>
                <w:sz w:val="21"/>
                <w:szCs w:val="21"/>
              </w:rPr>
              <w:t> </w:t>
            </w:r>
            <w:r>
              <w:rPr>
                <w:rFonts w:ascii="宋体" w:hAnsi="宋体" w:cs="宋体" w:eastAsia="宋体" w:hint="default"/>
                <w:sz w:val="21"/>
                <w:szCs w:val="21"/>
              </w:rPr>
              <w:t>金</w:t>
            </w:r>
            <w:r>
              <w:rPr>
                <w:rFonts w:ascii="宋体" w:hAnsi="宋体" w:cs="宋体" w:eastAsia="宋体" w:hint="default"/>
                <w:spacing w:val="-30"/>
                <w:sz w:val="21"/>
                <w:szCs w:val="21"/>
              </w:rPr>
              <w:t> </w:t>
            </w:r>
            <w:r>
              <w:rPr>
                <w:rFonts w:ascii="宋体" w:hAnsi="宋体" w:cs="宋体" w:eastAsia="宋体" w:hint="default"/>
                <w:sz w:val="21"/>
                <w:szCs w:val="21"/>
              </w:rPr>
              <w:t>额</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133,537,633.72</w:t>
            </w:r>
            <w:r>
              <w:rPr>
                <w:rFonts w:ascii="宋体" w:hAnsi="宋体" w:cs="宋体" w:eastAsia="宋体" w:hint="default"/>
                <w:sz w:val="21"/>
                <w:szCs w:val="21"/>
              </w:rPr>
              <w:t>元，重分类至</w:t>
            </w:r>
            <w:r>
              <w:rPr>
                <w:rFonts w:ascii="Times New Roman" w:hAnsi="Times New Roman" w:cs="Times New Roman" w:eastAsia="Times New Roman" w:hint="default"/>
                <w:sz w:val="21"/>
                <w:szCs w:val="21"/>
              </w:rPr>
              <w:t>“</w:t>
            </w:r>
            <w:r>
              <w:rPr>
                <w:rFonts w:ascii="宋体" w:hAnsi="宋体" w:cs="宋体" w:eastAsia="宋体" w:hint="default"/>
                <w:sz w:val="21"/>
                <w:szCs w:val="21"/>
              </w:rPr>
              <w:t>研发</w:t>
            </w:r>
            <w:r>
              <w:rPr>
                <w:rFonts w:ascii="宋体" w:hAnsi="宋体" w:cs="宋体" w:eastAsia="宋体" w:hint="default"/>
                <w:spacing w:val="-99"/>
                <w:sz w:val="21"/>
                <w:szCs w:val="21"/>
              </w:rPr>
              <w:t> </w:t>
            </w:r>
            <w:r>
              <w:rPr>
                <w:rFonts w:ascii="宋体" w:hAnsi="宋体" w:cs="宋体" w:eastAsia="宋体" w:hint="default"/>
                <w:sz w:val="21"/>
                <w:szCs w:val="21"/>
              </w:rPr>
              <w:t>费用</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bl>
    <w:p>
      <w:pPr>
        <w:spacing w:line="240" w:lineRule="auto" w:before="6"/>
        <w:rPr>
          <w:rFonts w:ascii="宋体" w:hAnsi="宋体" w:cs="宋体" w:eastAsia="宋体" w:hint="default"/>
          <w:sz w:val="21"/>
          <w:szCs w:val="21"/>
        </w:rPr>
      </w:pPr>
    </w:p>
    <w:p>
      <w:pPr>
        <w:pStyle w:val="Heading4"/>
        <w:spacing w:line="240" w:lineRule="auto" w:before="36"/>
        <w:ind w:left="558" w:right="0"/>
        <w:jc w:val="left"/>
      </w:pPr>
      <w:r>
        <w:rPr>
          <w:rFonts w:ascii="Times New Roman" w:hAnsi="Times New Roman" w:cs="Times New Roman" w:eastAsia="Times New Roman" w:hint="default"/>
          <w:w w:val="100"/>
        </w:rPr>
        <w:t>2.</w:t>
      </w:r>
      <w:r>
        <w:rPr>
          <w:rFonts w:ascii="Times New Roman" w:hAnsi="Times New Roman" w:cs="Times New Roman" w:eastAsia="Times New Roman" w:hint="default"/>
        </w:rPr>
        <w:t>  </w:t>
      </w:r>
      <w:r>
        <w:rPr>
          <w:spacing w:val="-3"/>
          <w:w w:val="100"/>
        </w:rPr>
        <w:t>执</w:t>
      </w:r>
      <w:r>
        <w:rPr>
          <w:spacing w:val="-97"/>
          <w:w w:val="100"/>
        </w:rPr>
        <w:t>行</w:t>
      </w:r>
      <w:r>
        <w:rPr>
          <w:spacing w:val="-3"/>
          <w:w w:val="100"/>
        </w:rPr>
        <w:t>《</w:t>
      </w:r>
      <w:r>
        <w:rPr>
          <w:w w:val="100"/>
        </w:rPr>
        <w:t>企</w:t>
      </w:r>
      <w:r>
        <w:rPr>
          <w:spacing w:val="-3"/>
          <w:w w:val="100"/>
        </w:rPr>
        <w:t>业</w:t>
      </w:r>
      <w:r>
        <w:rPr>
          <w:w w:val="100"/>
        </w:rPr>
        <w:t>会</w:t>
      </w:r>
      <w:r>
        <w:rPr>
          <w:spacing w:val="-3"/>
          <w:w w:val="100"/>
        </w:rPr>
        <w:t>计</w:t>
      </w:r>
      <w:r>
        <w:rPr>
          <w:w w:val="100"/>
        </w:rPr>
        <w:t>准</w:t>
      </w:r>
      <w:r>
        <w:rPr>
          <w:spacing w:val="-3"/>
          <w:w w:val="100"/>
        </w:rPr>
        <w:t>则</w:t>
      </w:r>
      <w:r>
        <w:rPr>
          <w:w w:val="100"/>
        </w:rPr>
        <w:t>第</w:t>
      </w:r>
      <w:r>
        <w:rPr>
          <w:rFonts w:ascii="Times New Roman" w:hAnsi="Times New Roman" w:cs="Times New Roman" w:eastAsia="Times New Roman" w:hint="default"/>
          <w:spacing w:val="-3"/>
          <w:w w:val="100"/>
        </w:rPr>
        <w:t>2</w:t>
      </w:r>
      <w:r>
        <w:rPr>
          <w:rFonts w:ascii="Times New Roman" w:hAnsi="Times New Roman" w:cs="Times New Roman" w:eastAsia="Times New Roman" w:hint="default"/>
          <w:w w:val="100"/>
        </w:rPr>
        <w:t>2</w:t>
      </w:r>
      <w:r>
        <w:rPr>
          <w:w w:val="100"/>
        </w:rPr>
        <w:t>号</w:t>
      </w:r>
      <w:r>
        <w:rPr>
          <w:rFonts w:ascii="Times New Roman" w:hAnsi="Times New Roman" w:cs="Times New Roman" w:eastAsia="Times New Roman" w:hint="default"/>
          <w:spacing w:val="-3"/>
          <w:w w:val="100"/>
        </w:rPr>
        <w:t>—</w:t>
      </w:r>
      <w:r>
        <w:rPr>
          <w:rFonts w:ascii="Times New Roman" w:hAnsi="Times New Roman" w:cs="Times New Roman" w:eastAsia="Times New Roman" w:hint="default"/>
          <w:w w:val="100"/>
        </w:rPr>
        <w:t>—</w:t>
      </w:r>
      <w:r>
        <w:rPr>
          <w:spacing w:val="-3"/>
          <w:w w:val="100"/>
        </w:rPr>
        <w:t>金</w:t>
      </w:r>
      <w:r>
        <w:rPr>
          <w:w w:val="100"/>
        </w:rPr>
        <w:t>融</w:t>
      </w:r>
      <w:r>
        <w:rPr>
          <w:spacing w:val="-3"/>
          <w:w w:val="100"/>
        </w:rPr>
        <w:t>工</w:t>
      </w:r>
      <w:r>
        <w:rPr>
          <w:w w:val="100"/>
        </w:rPr>
        <w:t>具</w:t>
      </w:r>
      <w:r>
        <w:rPr>
          <w:spacing w:val="-3"/>
          <w:w w:val="100"/>
        </w:rPr>
        <w:t>确</w:t>
      </w:r>
      <w:r>
        <w:rPr>
          <w:w w:val="100"/>
        </w:rPr>
        <w:t>认</w:t>
      </w:r>
      <w:r>
        <w:rPr>
          <w:spacing w:val="-3"/>
          <w:w w:val="100"/>
        </w:rPr>
        <w:t>和计</w:t>
      </w:r>
      <w:r>
        <w:rPr>
          <w:w w:val="100"/>
        </w:rPr>
        <w:t>量</w:t>
      </w:r>
      <w:r>
        <w:rPr>
          <w:spacing w:val="-99"/>
          <w:w w:val="100"/>
        </w:rPr>
        <w:t>》</w:t>
      </w:r>
      <w:r>
        <w:rPr>
          <w:spacing w:val="-192"/>
          <w:w w:val="100"/>
        </w:rPr>
        <w:t>、</w:t>
      </w:r>
      <w:r>
        <w:rPr>
          <w:spacing w:val="-3"/>
          <w:w w:val="100"/>
        </w:rPr>
        <w:t>《</w:t>
      </w:r>
      <w:r>
        <w:rPr>
          <w:w w:val="100"/>
        </w:rPr>
        <w:t>企</w:t>
      </w:r>
      <w:r>
        <w:rPr>
          <w:spacing w:val="-3"/>
          <w:w w:val="100"/>
        </w:rPr>
        <w:t>业</w:t>
      </w:r>
      <w:r>
        <w:rPr>
          <w:w w:val="100"/>
        </w:rPr>
        <w:t>会</w:t>
      </w:r>
      <w:r>
        <w:rPr>
          <w:spacing w:val="-3"/>
          <w:w w:val="100"/>
        </w:rPr>
        <w:t>计</w:t>
      </w:r>
      <w:r>
        <w:rPr>
          <w:w w:val="100"/>
        </w:rPr>
        <w:t>准</w:t>
      </w:r>
      <w:r>
        <w:rPr>
          <w:spacing w:val="-3"/>
          <w:w w:val="100"/>
        </w:rPr>
        <w:t>则</w:t>
      </w:r>
      <w:r>
        <w:rPr>
          <w:spacing w:val="-1"/>
          <w:w w:val="100"/>
        </w:rPr>
        <w:t>第</w:t>
      </w:r>
      <w:r>
        <w:rPr>
          <w:rFonts w:ascii="Times New Roman" w:hAnsi="Times New Roman" w:cs="Times New Roman" w:eastAsia="Times New Roman" w:hint="default"/>
          <w:w w:val="100"/>
        </w:rPr>
        <w:t>2</w:t>
      </w:r>
      <w:r>
        <w:rPr>
          <w:rFonts w:ascii="Times New Roman" w:hAnsi="Times New Roman" w:cs="Times New Roman" w:eastAsia="Times New Roman" w:hint="default"/>
          <w:spacing w:val="-3"/>
          <w:w w:val="100"/>
        </w:rPr>
        <w:t>3</w:t>
      </w:r>
      <w:r>
        <w:rPr>
          <w:spacing w:val="-3"/>
          <w:w w:val="100"/>
        </w:rPr>
        <w:t>号</w:t>
      </w:r>
      <w:r>
        <w:rPr>
          <w:rFonts w:ascii="Times New Roman" w:hAnsi="Times New Roman" w:cs="Times New Roman" w:eastAsia="Times New Roman" w:hint="default"/>
          <w:w w:val="100"/>
        </w:rPr>
        <w:t>——</w:t>
      </w:r>
      <w:r>
        <w:rPr>
          <w:spacing w:val="-3"/>
          <w:w w:val="100"/>
        </w:rPr>
        <w:t>金</w:t>
      </w:r>
      <w:r>
        <w:rPr>
          <w:w w:val="100"/>
        </w:rPr>
        <w:t>融</w:t>
      </w:r>
      <w:r>
        <w:rPr>
          <w:spacing w:val="-3"/>
          <w:w w:val="100"/>
        </w:rPr>
        <w:t>资</w:t>
      </w:r>
      <w:r>
        <w:rPr>
          <w:w w:val="100"/>
        </w:rPr>
        <w:t>产</w:t>
      </w:r>
      <w:r>
        <w:rPr>
          <w:spacing w:val="-3"/>
          <w:w w:val="100"/>
        </w:rPr>
        <w:t>转</w:t>
      </w:r>
      <w:r>
        <w:rPr>
          <w:w w:val="100"/>
        </w:rPr>
        <w:t>移</w:t>
      </w:r>
      <w:r>
        <w:rPr>
          <w:spacing w:val="-99"/>
          <w:w w:val="100"/>
        </w:rPr>
        <w:t>》</w:t>
      </w:r>
      <w:r>
        <w:rPr>
          <w:w w:val="100"/>
        </w:rPr>
        <w:t>、</w:t>
      </w:r>
    </w:p>
    <w:p>
      <w:pPr>
        <w:pStyle w:val="Heading4"/>
        <w:spacing w:line="256" w:lineRule="auto" w:before="22"/>
        <w:ind w:left="558" w:right="0" w:hanging="330"/>
        <w:jc w:val="left"/>
      </w:pPr>
      <w:r>
        <w:rPr/>
        <w:t>《企业会计准则第</w:t>
      </w:r>
      <w:r>
        <w:rPr>
          <w:rFonts w:ascii="Times New Roman" w:hAnsi="Times New Roman" w:cs="Times New Roman" w:eastAsia="Times New Roman" w:hint="default"/>
        </w:rPr>
        <w:t>24</w:t>
      </w:r>
      <w:r>
        <w:rPr/>
        <w:t>号</w:t>
      </w:r>
      <w:r>
        <w:rPr>
          <w:rFonts w:ascii="Times New Roman" w:hAnsi="Times New Roman" w:cs="Times New Roman" w:eastAsia="Times New Roman" w:hint="default"/>
        </w:rPr>
        <w:t>——</w:t>
      </w:r>
      <w:r>
        <w:rPr/>
        <w:t>套期会计》和《企业会计准则第</w:t>
      </w:r>
      <w:r>
        <w:rPr>
          <w:rFonts w:ascii="Times New Roman" w:hAnsi="Times New Roman" w:cs="Times New Roman" w:eastAsia="Times New Roman" w:hint="default"/>
        </w:rPr>
        <w:t>37</w:t>
      </w:r>
      <w:r>
        <w:rPr/>
        <w:t>号</w:t>
      </w:r>
      <w:r>
        <w:rPr>
          <w:rFonts w:ascii="Times New Roman" w:hAnsi="Times New Roman" w:cs="Times New Roman" w:eastAsia="Times New Roman" w:hint="default"/>
        </w:rPr>
        <w:t>——</w:t>
      </w:r>
      <w:r>
        <w:rPr/>
        <w:t>金融工具列报》（</w:t>
      </w:r>
      <w:r>
        <w:rPr>
          <w:rFonts w:ascii="Times New Roman" w:hAnsi="Times New Roman" w:cs="Times New Roman" w:eastAsia="Times New Roman" w:hint="default"/>
        </w:rPr>
        <w:t>2017</w:t>
      </w:r>
      <w:r>
        <w:rPr/>
        <w:t>年修订）</w:t>
      </w:r>
      <w:r>
        <w:rPr>
          <w:w w:val="100"/>
        </w:rPr>
        <w:t> </w:t>
      </w:r>
      <w:r>
        <w:rPr>
          <w:spacing w:val="-2"/>
        </w:rPr>
        <w:t>财政部于</w:t>
      </w:r>
      <w:r>
        <w:rPr>
          <w:rFonts w:ascii="Times New Roman" w:hAnsi="Times New Roman" w:cs="Times New Roman" w:eastAsia="Times New Roman" w:hint="default"/>
          <w:spacing w:val="-2"/>
        </w:rPr>
        <w:t>2017</w:t>
      </w:r>
      <w:r>
        <w:rPr>
          <w:spacing w:val="-2"/>
        </w:rPr>
        <w:t>年度修订了《企业会计准则第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金融工具确认和计量》、《企业会计准则第</w:t>
      </w:r>
      <w:r>
        <w:rPr>
          <w:rFonts w:ascii="Times New Roman" w:hAnsi="Times New Roman" w:cs="Times New Roman" w:eastAsia="Times New Roman" w:hint="default"/>
          <w:spacing w:val="-2"/>
        </w:rPr>
        <w:t>23</w:t>
      </w:r>
      <w:r>
        <w:rPr>
          <w:spacing w:val="-2"/>
        </w:rPr>
        <w:t>号</w:t>
      </w:r>
    </w:p>
    <w:p>
      <w:pPr>
        <w:pStyle w:val="Heading4"/>
        <w:spacing w:line="266" w:lineRule="auto" w:before="5"/>
        <w:ind w:left="229" w:right="1126"/>
        <w:jc w:val="both"/>
      </w:pPr>
      <w:r>
        <w:rPr>
          <w:rFonts w:ascii="Times New Roman" w:hAnsi="Times New Roman" w:cs="Times New Roman" w:eastAsia="Times New Roman" w:hint="default"/>
          <w:spacing w:val="-12"/>
          <w:w w:val="100"/>
        </w:rPr>
        <w:t>——</w:t>
      </w:r>
      <w:r>
        <w:rPr>
          <w:spacing w:val="-12"/>
          <w:w w:val="100"/>
        </w:rPr>
        <w:t>金融资产转移》、《企业会计准则第</w:t>
      </w:r>
      <w:r>
        <w:rPr>
          <w:rFonts w:ascii="Times New Roman" w:hAnsi="Times New Roman" w:cs="Times New Roman" w:eastAsia="Times New Roman" w:hint="default"/>
          <w:spacing w:val="-12"/>
          <w:w w:val="100"/>
        </w:rPr>
        <w:t>24</w:t>
      </w:r>
      <w:r>
        <w:rPr>
          <w:spacing w:val="-12"/>
          <w:w w:val="100"/>
        </w:rPr>
        <w:t>号</w:t>
      </w:r>
      <w:r>
        <w:rPr>
          <w:rFonts w:ascii="Times New Roman" w:hAnsi="Times New Roman" w:cs="Times New Roman" w:eastAsia="Times New Roman" w:hint="default"/>
          <w:spacing w:val="-12"/>
          <w:w w:val="100"/>
        </w:rPr>
        <w:t>——</w:t>
      </w:r>
      <w:r>
        <w:rPr>
          <w:spacing w:val="-12"/>
          <w:w w:val="100"/>
        </w:rPr>
        <w:t>套期会计》和《企业会计准则第</w:t>
      </w:r>
      <w:r>
        <w:rPr>
          <w:rFonts w:ascii="Times New Roman" w:hAnsi="Times New Roman" w:cs="Times New Roman" w:eastAsia="Times New Roman" w:hint="default"/>
          <w:spacing w:val="-12"/>
          <w:w w:val="100"/>
        </w:rPr>
        <w:t>37</w:t>
      </w:r>
      <w:r>
        <w:rPr>
          <w:spacing w:val="-12"/>
          <w:w w:val="100"/>
        </w:rPr>
        <w:t>号</w:t>
      </w:r>
      <w:r>
        <w:rPr>
          <w:rFonts w:ascii="Times New Roman" w:hAnsi="Times New Roman" w:cs="Times New Roman" w:eastAsia="Times New Roman" w:hint="default"/>
          <w:spacing w:val="-12"/>
          <w:w w:val="100"/>
        </w:rPr>
        <w:t>——</w:t>
      </w:r>
      <w:r>
        <w:rPr>
          <w:spacing w:val="-12"/>
          <w:w w:val="100"/>
        </w:rPr>
        <w:t>金融工具列报》。</w:t>
      </w:r>
      <w:r>
        <w:rPr>
          <w:spacing w:val="-94"/>
          <w:w w:val="100"/>
        </w:rPr>
        <w:t> </w:t>
      </w:r>
      <w:r>
        <w:rPr>
          <w:spacing w:val="-94"/>
          <w:w w:val="100"/>
        </w:rPr>
      </w:r>
      <w:r>
        <w:rPr>
          <w:spacing w:val="-4"/>
        </w:rPr>
        <w:t>修订后的准则规定，对于首次执行日尚未终止确认的金融工具，之前的确认和计量与修订后的准则要求不</w:t>
      </w:r>
      <w:r>
        <w:rPr>
          <w:spacing w:val="-28"/>
        </w:rPr>
        <w:t> </w:t>
      </w:r>
      <w:r>
        <w:rPr>
          <w:spacing w:val="-28"/>
        </w:rPr>
      </w:r>
      <w:r>
        <w:rPr>
          <w:spacing w:val="-4"/>
        </w:rPr>
        <w:t>一致的，应当追溯调整。涉及前期比较财务报表数据与修订后的准则要求不一致的，无需调整。本公司将</w:t>
      </w:r>
      <w:r>
        <w:rPr>
          <w:spacing w:val="-29"/>
        </w:rPr>
        <w:t> </w:t>
      </w:r>
      <w:r>
        <w:rPr>
          <w:spacing w:val="-29"/>
        </w:rPr>
      </w:r>
      <w:r>
        <w:rPr/>
        <w:t>因追溯调整产生的累积影响数调整当年年初留存收益和其他综合收益。</w:t>
      </w:r>
    </w:p>
    <w:p>
      <w:pPr>
        <w:pStyle w:val="Heading4"/>
        <w:spacing w:line="256" w:lineRule="auto" w:before="14"/>
        <w:ind w:left="229" w:right="0" w:firstLine="329"/>
        <w:jc w:val="left"/>
      </w:pPr>
      <w:r>
        <w:rPr/>
        <w:t>以按照财会〔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6</w:t>
      </w:r>
      <w:r>
        <w:rPr/>
        <w:t>号和财会〔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16</w:t>
      </w:r>
      <w:r>
        <w:rPr/>
        <w:t>号的规定调整后的上年年末余额为基础，执行上述新金融</w:t>
      </w:r>
      <w:r>
        <w:rPr>
          <w:w w:val="100"/>
        </w:rPr>
        <w:t> </w:t>
      </w:r>
      <w:r>
        <w:rPr/>
        <w:t>工具准则的主要影响如下：</w:t>
      </w:r>
    </w:p>
    <w:p>
      <w:pPr>
        <w:spacing w:line="240" w:lineRule="auto" w:before="9"/>
        <w:rPr>
          <w:rFonts w:ascii="宋体" w:hAnsi="宋体" w:cs="宋体" w:eastAsia="宋体" w:hint="default"/>
          <w:sz w:val="2"/>
          <w:szCs w:val="2"/>
        </w:rPr>
      </w:pPr>
    </w:p>
    <w:tbl>
      <w:tblPr>
        <w:tblW w:w="0" w:type="auto"/>
        <w:jc w:val="left"/>
        <w:tblInd w:w="138" w:type="dxa"/>
        <w:tblLayout w:type="fixed"/>
        <w:tblCellMar>
          <w:top w:w="0" w:type="dxa"/>
          <w:left w:w="0" w:type="dxa"/>
          <w:bottom w:w="0" w:type="dxa"/>
          <w:right w:w="0" w:type="dxa"/>
        </w:tblCellMar>
        <w:tblLook w:val="01E0"/>
      </w:tblPr>
      <w:tblGrid>
        <w:gridCol w:w="2987"/>
        <w:gridCol w:w="994"/>
        <w:gridCol w:w="3545"/>
        <w:gridCol w:w="2134"/>
      </w:tblGrid>
      <w:tr>
        <w:trPr>
          <w:trHeight w:val="343" w:hRule="exact"/>
        </w:trPr>
        <w:tc>
          <w:tcPr>
            <w:tcW w:w="2987" w:type="dxa"/>
            <w:vMerge w:val="restart"/>
            <w:tcBorders>
              <w:top w:val="single" w:sz="6" w:space="0" w:color="000000"/>
              <w:left w:val="single" w:sz="4" w:space="0" w:color="000000"/>
              <w:right w:val="single" w:sz="6" w:space="0" w:color="000000"/>
            </w:tcBorders>
          </w:tcPr>
          <w:p>
            <w:pPr>
              <w:pStyle w:val="TableParagraph"/>
              <w:spacing w:line="240" w:lineRule="auto" w:before="167"/>
              <w:ind w:left="226" w:right="0"/>
              <w:jc w:val="left"/>
              <w:rPr>
                <w:rFonts w:ascii="宋体" w:hAnsi="宋体" w:cs="宋体" w:eastAsia="宋体" w:hint="default"/>
                <w:sz w:val="21"/>
                <w:szCs w:val="21"/>
              </w:rPr>
            </w:pPr>
            <w:r>
              <w:rPr>
                <w:rFonts w:ascii="宋体" w:hAnsi="宋体" w:cs="宋体" w:eastAsia="宋体" w:hint="default"/>
                <w:sz w:val="21"/>
                <w:szCs w:val="21"/>
              </w:rPr>
              <w:t>会计政策变更的内容和原因</w:t>
            </w:r>
          </w:p>
        </w:tc>
        <w:tc>
          <w:tcPr>
            <w:tcW w:w="994" w:type="dxa"/>
            <w:vMerge w:val="restart"/>
            <w:tcBorders>
              <w:top w:val="single" w:sz="6" w:space="0" w:color="000000"/>
              <w:left w:val="single" w:sz="6" w:space="0" w:color="000000"/>
              <w:right w:val="single" w:sz="6" w:space="0" w:color="000000"/>
            </w:tcBorders>
          </w:tcPr>
          <w:p>
            <w:pPr>
              <w:pStyle w:val="TableParagraph"/>
              <w:spacing w:line="240" w:lineRule="auto" w:before="167"/>
              <w:ind w:left="69" w:right="0"/>
              <w:jc w:val="left"/>
              <w:rPr>
                <w:rFonts w:ascii="宋体" w:hAnsi="宋体" w:cs="宋体" w:eastAsia="宋体" w:hint="default"/>
                <w:sz w:val="21"/>
                <w:szCs w:val="21"/>
              </w:rPr>
            </w:pPr>
            <w:r>
              <w:rPr>
                <w:rFonts w:ascii="宋体" w:hAnsi="宋体" w:cs="宋体" w:eastAsia="宋体" w:hint="default"/>
                <w:sz w:val="21"/>
                <w:szCs w:val="21"/>
              </w:rPr>
              <w:t>审批程序</w:t>
            </w:r>
          </w:p>
        </w:tc>
        <w:tc>
          <w:tcPr>
            <w:tcW w:w="5679" w:type="dxa"/>
            <w:gridSpan w:val="2"/>
            <w:tcBorders>
              <w:top w:val="single" w:sz="6" w:space="0" w:color="000000"/>
              <w:left w:val="single" w:sz="6" w:space="0" w:color="000000"/>
              <w:bottom w:val="single" w:sz="4" w:space="0" w:color="000000"/>
              <w:right w:val="single" w:sz="4" w:space="0" w:color="000000"/>
            </w:tcBorders>
          </w:tcPr>
          <w:p>
            <w:pPr>
              <w:pStyle w:val="TableParagraph"/>
              <w:spacing w:line="272" w:lineRule="exact"/>
              <w:ind w:left="1466" w:right="0"/>
              <w:jc w:val="left"/>
              <w:rPr>
                <w:rFonts w:ascii="宋体" w:hAnsi="宋体" w:cs="宋体" w:eastAsia="宋体" w:hint="default"/>
                <w:sz w:val="21"/>
                <w:szCs w:val="21"/>
              </w:rPr>
            </w:pPr>
            <w:r>
              <w:rPr>
                <w:rFonts w:ascii="宋体" w:hAnsi="宋体" w:cs="宋体" w:eastAsia="宋体" w:hint="default"/>
                <w:sz w:val="21"/>
                <w:szCs w:val="21"/>
              </w:rPr>
              <w:t>受影响的报表项目名称和金额</w:t>
            </w:r>
          </w:p>
        </w:tc>
      </w:tr>
      <w:tr>
        <w:trPr>
          <w:trHeight w:val="343" w:hRule="exact"/>
        </w:trPr>
        <w:tc>
          <w:tcPr>
            <w:tcW w:w="2987" w:type="dxa"/>
            <w:vMerge/>
            <w:tcBorders>
              <w:left w:val="single" w:sz="4" w:space="0" w:color="000000"/>
              <w:bottom w:val="single" w:sz="4" w:space="0" w:color="000000"/>
              <w:right w:val="single" w:sz="6" w:space="0" w:color="000000"/>
            </w:tcBorders>
          </w:tcPr>
          <w:p>
            <w:pPr/>
          </w:p>
        </w:tc>
        <w:tc>
          <w:tcPr>
            <w:tcW w:w="994" w:type="dxa"/>
            <w:vMerge/>
            <w:tcBorders>
              <w:left w:val="single" w:sz="6" w:space="0" w:color="000000"/>
              <w:bottom w:val="single" w:sz="4" w:space="0" w:color="000000"/>
              <w:right w:val="single" w:sz="6" w:space="0" w:color="000000"/>
            </w:tcBorders>
          </w:tcPr>
          <w:p>
            <w:pPr/>
          </w:p>
        </w:tc>
        <w:tc>
          <w:tcPr>
            <w:tcW w:w="3545" w:type="dxa"/>
            <w:tcBorders>
              <w:top w:val="single" w:sz="4" w:space="0" w:color="000000"/>
              <w:left w:val="single" w:sz="6" w:space="0" w:color="000000"/>
              <w:bottom w:val="single" w:sz="4" w:space="0" w:color="000000"/>
              <w:right w:val="single" w:sz="6"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2134" w:type="dxa"/>
            <w:tcBorders>
              <w:top w:val="single" w:sz="4" w:space="0" w:color="000000"/>
              <w:left w:val="single" w:sz="6"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母公司</w:t>
            </w:r>
          </w:p>
        </w:tc>
      </w:tr>
      <w:tr>
        <w:trPr>
          <w:trHeight w:val="1277" w:hRule="exact"/>
        </w:trPr>
        <w:tc>
          <w:tcPr>
            <w:tcW w:w="2987" w:type="dxa"/>
            <w:tcBorders>
              <w:top w:val="single" w:sz="4" w:space="0" w:color="000000"/>
              <w:left w:val="single" w:sz="4" w:space="0" w:color="000000"/>
              <w:bottom w:val="single" w:sz="4" w:space="0" w:color="000000"/>
              <w:right w:val="single" w:sz="6" w:space="0" w:color="000000"/>
            </w:tcBorders>
          </w:tcPr>
          <w:p>
            <w:pPr>
              <w:pStyle w:val="TableParagraph"/>
              <w:spacing w:line="261" w:lineRule="auto"/>
              <w:ind w:left="4" w:right="-5"/>
              <w:jc w:val="both"/>
              <w:rPr>
                <w:rFonts w:ascii="Times New Roman" w:hAnsi="Times New Roman" w:cs="Times New Roman" w:eastAsia="Times New Roman" w:hint="default"/>
                <w:sz w:val="21"/>
                <w:szCs w:val="21"/>
              </w:rPr>
            </w:pPr>
            <w:r>
              <w:rPr>
                <w:rFonts w:ascii="宋体" w:hAnsi="宋体" w:cs="宋体" w:eastAsia="宋体" w:hint="default"/>
                <w:spacing w:val="-12"/>
                <w:w w:val="100"/>
                <w:sz w:val="21"/>
                <w:szCs w:val="21"/>
              </w:rPr>
              <w:t>（</w:t>
            </w:r>
            <w:r>
              <w:rPr>
                <w:rFonts w:ascii="Times New Roman" w:hAnsi="Times New Roman" w:cs="Times New Roman" w:eastAsia="Times New Roman" w:hint="default"/>
                <w:spacing w:val="-12"/>
                <w:w w:val="100"/>
                <w:sz w:val="21"/>
                <w:szCs w:val="21"/>
              </w:rPr>
              <w:t>1</w:t>
            </w:r>
            <w:r>
              <w:rPr>
                <w:rFonts w:ascii="宋体" w:hAnsi="宋体" w:cs="宋体" w:eastAsia="宋体" w:hint="default"/>
                <w:spacing w:val="-12"/>
                <w:w w:val="100"/>
                <w:sz w:val="21"/>
                <w:szCs w:val="21"/>
              </w:rPr>
              <w:t>）因报表项目名称变更，将</w:t>
            </w:r>
            <w:r>
              <w:rPr>
                <w:rFonts w:ascii="Times New Roman" w:hAnsi="Times New Roman" w:cs="Times New Roman" w:eastAsia="Times New Roman" w:hint="default"/>
                <w:spacing w:val="-12"/>
                <w:w w:val="100"/>
                <w:sz w:val="21"/>
                <w:szCs w:val="21"/>
              </w:rPr>
              <w:t>“</w:t>
            </w:r>
            <w:r>
              <w:rPr>
                <w:rFonts w:ascii="宋体" w:hAnsi="宋体" w:cs="宋体" w:eastAsia="宋体" w:hint="default"/>
                <w:spacing w:val="-12"/>
                <w:w w:val="100"/>
                <w:sz w:val="21"/>
                <w:szCs w:val="21"/>
              </w:rPr>
              <w:t>以</w:t>
            </w:r>
            <w:r>
              <w:rPr>
                <w:rFonts w:ascii="宋体" w:hAnsi="宋体" w:cs="宋体" w:eastAsia="宋体" w:hint="default"/>
                <w:w w:val="100"/>
                <w:sz w:val="21"/>
                <w:szCs w:val="21"/>
              </w:rPr>
              <w:t> </w:t>
            </w:r>
            <w:r>
              <w:rPr>
                <w:rFonts w:ascii="宋体" w:hAnsi="宋体" w:cs="宋体" w:eastAsia="宋体" w:hint="default"/>
                <w:sz w:val="21"/>
                <w:szCs w:val="21"/>
              </w:rPr>
              <w:t>公允价值计量且其变动计入当期</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2"/>
                <w:sz w:val="21"/>
                <w:szCs w:val="21"/>
              </w:rPr>
              <w:t>损益的金融资产</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重分类至</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交易</w:t>
            </w:r>
            <w:r>
              <w:rPr>
                <w:rFonts w:ascii="宋体" w:hAnsi="宋体" w:cs="宋体" w:eastAsia="宋体" w:hint="default"/>
                <w:spacing w:val="-85"/>
                <w:sz w:val="21"/>
                <w:szCs w:val="21"/>
              </w:rPr>
              <w:t> </w:t>
            </w:r>
            <w:r>
              <w:rPr>
                <w:rFonts w:ascii="宋体" w:hAnsi="宋体" w:cs="宋体" w:eastAsia="宋体" w:hint="default"/>
                <w:sz w:val="21"/>
                <w:szCs w:val="21"/>
              </w:rPr>
              <w:t>性金融资产</w:t>
            </w:r>
            <w:r>
              <w:rPr>
                <w:rFonts w:ascii="Times New Roman" w:hAnsi="Times New Roman" w:cs="Times New Roman" w:eastAsia="Times New Roman" w:hint="default"/>
                <w:sz w:val="21"/>
                <w:szCs w:val="21"/>
              </w:rPr>
              <w:t>”</w:t>
            </w:r>
          </w:p>
        </w:tc>
        <w:tc>
          <w:tcPr>
            <w:tcW w:w="994"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73" w:lineRule="auto"/>
              <w:ind w:left="4" w:right="-44"/>
              <w:jc w:val="left"/>
              <w:rPr>
                <w:rFonts w:ascii="宋体" w:hAnsi="宋体" w:cs="宋体" w:eastAsia="宋体" w:hint="default"/>
                <w:sz w:val="21"/>
                <w:szCs w:val="21"/>
              </w:rPr>
            </w:pPr>
            <w:r>
              <w:rPr>
                <w:rFonts w:ascii="宋体" w:hAnsi="宋体" w:cs="宋体" w:eastAsia="宋体" w:hint="default"/>
                <w:spacing w:val="31"/>
                <w:sz w:val="21"/>
                <w:szCs w:val="21"/>
              </w:rPr>
              <w:t>经董事会</w:t>
            </w:r>
            <w:r>
              <w:rPr>
                <w:rFonts w:ascii="宋体" w:hAnsi="宋体" w:cs="宋体" w:eastAsia="宋体" w:hint="default"/>
                <w:spacing w:val="-96"/>
                <w:sz w:val="21"/>
                <w:szCs w:val="21"/>
              </w:rPr>
              <w:t> </w:t>
            </w:r>
            <w:r>
              <w:rPr>
                <w:rFonts w:ascii="宋体" w:hAnsi="宋体" w:cs="宋体" w:eastAsia="宋体" w:hint="default"/>
                <w:sz w:val="21"/>
                <w:szCs w:val="21"/>
              </w:rPr>
              <w:t>批准</w:t>
            </w:r>
          </w:p>
        </w:tc>
        <w:tc>
          <w:tcPr>
            <w:tcW w:w="3545" w:type="dxa"/>
            <w:tcBorders>
              <w:top w:val="single" w:sz="4" w:space="0" w:color="000000"/>
              <w:left w:val="single" w:sz="6" w:space="0" w:color="000000"/>
              <w:bottom w:val="single" w:sz="4" w:space="0" w:color="000000"/>
              <w:right w:val="single" w:sz="6" w:space="0" w:color="000000"/>
            </w:tcBorders>
          </w:tcPr>
          <w:p>
            <w:pPr>
              <w:pStyle w:val="TableParagraph"/>
              <w:spacing w:line="266" w:lineRule="auto" w:before="153"/>
              <w:ind w:left="4" w:right="0"/>
              <w:jc w:val="left"/>
              <w:rPr>
                <w:rFonts w:ascii="宋体" w:hAnsi="宋体" w:cs="宋体" w:eastAsia="宋体" w:hint="default"/>
                <w:sz w:val="21"/>
                <w:szCs w:val="21"/>
              </w:rPr>
            </w:pPr>
            <w:r>
              <w:rPr>
                <w:rFonts w:ascii="宋体" w:hAnsi="宋体" w:cs="宋体" w:eastAsia="宋体" w:hint="default"/>
                <w:spacing w:val="7"/>
                <w:sz w:val="21"/>
                <w:szCs w:val="21"/>
              </w:rPr>
              <w:t>以公允价值计量且其变动计入当期损</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益的金融资产：减少</w:t>
            </w:r>
            <w:r>
              <w:rPr>
                <w:rFonts w:ascii="Times New Roman" w:hAnsi="Times New Roman" w:cs="Times New Roman" w:eastAsia="Times New Roman" w:hint="default"/>
                <w:sz w:val="21"/>
                <w:szCs w:val="21"/>
              </w:rPr>
              <w:t>10,319,624.19</w:t>
            </w:r>
            <w:r>
              <w:rPr>
                <w:rFonts w:ascii="宋体" w:hAnsi="宋体" w:cs="宋体" w:eastAsia="宋体" w:hint="default"/>
                <w:sz w:val="21"/>
                <w:szCs w:val="21"/>
              </w:rPr>
              <w:t>元</w:t>
            </w:r>
            <w:r>
              <w:rPr>
                <w:rFonts w:ascii="宋体" w:hAnsi="宋体" w:cs="宋体" w:eastAsia="宋体" w:hint="default"/>
                <w:w w:val="100"/>
                <w:sz w:val="21"/>
                <w:szCs w:val="21"/>
              </w:rPr>
              <w:t> </w:t>
            </w:r>
            <w:r>
              <w:rPr>
                <w:rFonts w:ascii="宋体" w:hAnsi="宋体" w:cs="宋体" w:eastAsia="宋体" w:hint="default"/>
                <w:spacing w:val="-1"/>
                <w:sz w:val="21"/>
                <w:szCs w:val="21"/>
              </w:rPr>
              <w:t>交易性金融资产：增加</w:t>
            </w:r>
            <w:r>
              <w:rPr>
                <w:rFonts w:ascii="Times New Roman" w:hAnsi="Times New Roman" w:cs="Times New Roman" w:eastAsia="Times New Roman" w:hint="default"/>
                <w:spacing w:val="-1"/>
                <w:sz w:val="21"/>
                <w:szCs w:val="21"/>
              </w:rPr>
              <w:t>10,319,624.19</w:t>
            </w:r>
            <w:r>
              <w:rPr>
                <w:rFonts w:ascii="宋体" w:hAnsi="宋体" w:cs="宋体" w:eastAsia="宋体" w:hint="default"/>
                <w:spacing w:val="-1"/>
                <w:sz w:val="21"/>
                <w:szCs w:val="21"/>
              </w:rPr>
              <w:t>元</w:t>
            </w:r>
          </w:p>
        </w:tc>
        <w:tc>
          <w:tcPr>
            <w:tcW w:w="2134" w:type="dxa"/>
            <w:tcBorders>
              <w:top w:val="single" w:sz="4" w:space="0" w:color="000000"/>
              <w:left w:val="single" w:sz="6" w:space="0" w:color="000000"/>
              <w:bottom w:val="single" w:sz="4" w:space="0" w:color="000000"/>
              <w:right w:val="single" w:sz="4" w:space="0" w:color="000000"/>
            </w:tcBorders>
          </w:tcPr>
          <w:p>
            <w:pPr/>
          </w:p>
        </w:tc>
      </w:tr>
      <w:tr>
        <w:trPr>
          <w:trHeight w:val="967" w:hRule="exact"/>
        </w:trPr>
        <w:tc>
          <w:tcPr>
            <w:tcW w:w="2987" w:type="dxa"/>
            <w:tcBorders>
              <w:top w:val="single" w:sz="4" w:space="0" w:color="000000"/>
              <w:left w:val="single" w:sz="4" w:space="0" w:color="000000"/>
              <w:bottom w:val="single" w:sz="4" w:space="0" w:color="000000"/>
              <w:right w:val="single" w:sz="6" w:space="0" w:color="000000"/>
            </w:tcBorders>
          </w:tcPr>
          <w:p>
            <w:pPr>
              <w:pStyle w:val="TableParagraph"/>
              <w:spacing w:line="256" w:lineRule="auto"/>
              <w:ind w:left="4" w:right="-3"/>
              <w:jc w:val="both"/>
              <w:rPr>
                <w:rFonts w:ascii="Times New Roman" w:hAnsi="Times New Roman" w:cs="Times New Roman" w:eastAsia="Times New Roman" w:hint="default"/>
                <w:sz w:val="21"/>
                <w:szCs w:val="21"/>
              </w:rPr>
            </w:pP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2</w:t>
            </w:r>
            <w:r>
              <w:rPr>
                <w:rFonts w:ascii="宋体" w:hAnsi="宋体" w:cs="宋体" w:eastAsia="宋体" w:hint="default"/>
                <w:spacing w:val="-7"/>
                <w:sz w:val="21"/>
                <w:szCs w:val="21"/>
              </w:rPr>
              <w:t>）其他流动资产中的理财产品</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7"/>
                <w:sz w:val="21"/>
                <w:szCs w:val="21"/>
              </w:rPr>
              <w:t>重分类为</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以公允价值计量且其</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变动计入当期损益的金融资产</w:t>
            </w:r>
            <w:r>
              <w:rPr>
                <w:rFonts w:ascii="Times New Roman" w:hAnsi="Times New Roman" w:cs="Times New Roman" w:eastAsia="Times New Roman" w:hint="default"/>
                <w:sz w:val="21"/>
                <w:szCs w:val="21"/>
              </w:rPr>
              <w:t>”</w:t>
            </w:r>
          </w:p>
        </w:tc>
        <w:tc>
          <w:tcPr>
            <w:tcW w:w="994" w:type="dxa"/>
            <w:tcBorders>
              <w:top w:val="single" w:sz="4" w:space="0" w:color="000000"/>
              <w:left w:val="single" w:sz="6" w:space="0" w:color="000000"/>
              <w:bottom w:val="single" w:sz="4" w:space="0" w:color="000000"/>
              <w:right w:val="single" w:sz="6" w:space="0" w:color="000000"/>
            </w:tcBorders>
          </w:tcPr>
          <w:p>
            <w:pPr>
              <w:pStyle w:val="TableParagraph"/>
              <w:spacing w:line="273" w:lineRule="auto" w:before="155"/>
              <w:ind w:left="4" w:right="-20"/>
              <w:jc w:val="left"/>
              <w:rPr>
                <w:rFonts w:ascii="宋体" w:hAnsi="宋体" w:cs="宋体" w:eastAsia="宋体" w:hint="default"/>
                <w:sz w:val="21"/>
                <w:szCs w:val="21"/>
              </w:rPr>
            </w:pPr>
            <w:r>
              <w:rPr>
                <w:rFonts w:ascii="宋体" w:hAnsi="宋体" w:cs="宋体" w:eastAsia="宋体" w:hint="default"/>
                <w:spacing w:val="28"/>
                <w:sz w:val="21"/>
                <w:szCs w:val="21"/>
              </w:rPr>
              <w:t>经董事</w:t>
            </w:r>
            <w:r>
              <w:rPr>
                <w:rFonts w:ascii="宋体" w:hAnsi="宋体" w:cs="宋体" w:eastAsia="宋体" w:hint="default"/>
                <w:spacing w:val="-59"/>
                <w:sz w:val="21"/>
                <w:szCs w:val="21"/>
              </w:rPr>
              <w:t> </w:t>
            </w:r>
            <w:r>
              <w:rPr>
                <w:rFonts w:ascii="宋体" w:hAnsi="宋体" w:cs="宋体" w:eastAsia="宋体" w:hint="default"/>
                <w:sz w:val="21"/>
                <w:szCs w:val="21"/>
              </w:rPr>
              <w:t>会</w:t>
            </w:r>
            <w:r>
              <w:rPr>
                <w:rFonts w:ascii="宋体" w:hAnsi="宋体" w:cs="宋体" w:eastAsia="宋体" w:hint="default"/>
                <w:spacing w:val="-102"/>
                <w:sz w:val="21"/>
                <w:szCs w:val="21"/>
              </w:rPr>
              <w:t> </w:t>
            </w:r>
            <w:r>
              <w:rPr>
                <w:rFonts w:ascii="宋体" w:hAnsi="宋体" w:cs="宋体" w:eastAsia="宋体" w:hint="default"/>
                <w:sz w:val="21"/>
                <w:szCs w:val="21"/>
              </w:rPr>
              <w:t>批准</w:t>
            </w:r>
          </w:p>
        </w:tc>
        <w:tc>
          <w:tcPr>
            <w:tcW w:w="3545" w:type="dxa"/>
            <w:tcBorders>
              <w:top w:val="single" w:sz="4" w:space="0" w:color="000000"/>
              <w:left w:val="single" w:sz="6" w:space="0" w:color="000000"/>
              <w:bottom w:val="single" w:sz="4" w:space="0" w:color="000000"/>
              <w:right w:val="single" w:sz="6" w:space="0" w:color="000000"/>
            </w:tcBorders>
          </w:tcPr>
          <w:p>
            <w:pPr>
              <w:pStyle w:val="TableParagraph"/>
              <w:spacing w:line="256" w:lineRule="auto" w:before="155"/>
              <w:ind w:left="4" w:right="108"/>
              <w:jc w:val="left"/>
              <w:rPr>
                <w:rFonts w:ascii="宋体" w:hAnsi="宋体" w:cs="宋体" w:eastAsia="宋体" w:hint="default"/>
                <w:sz w:val="21"/>
                <w:szCs w:val="21"/>
              </w:rPr>
            </w:pPr>
            <w:r>
              <w:rPr>
                <w:rFonts w:ascii="宋体" w:hAnsi="宋体" w:cs="宋体" w:eastAsia="宋体" w:hint="default"/>
                <w:sz w:val="21"/>
                <w:szCs w:val="21"/>
              </w:rPr>
              <w:t>其他流动资产：减少</w:t>
            </w:r>
            <w:r>
              <w:rPr>
                <w:rFonts w:ascii="Times New Roman" w:hAnsi="Times New Roman" w:cs="Times New Roman" w:eastAsia="Times New Roman" w:hint="default"/>
                <w:sz w:val="21"/>
                <w:szCs w:val="21"/>
              </w:rPr>
              <w:t>7,175,610.04</w:t>
            </w:r>
            <w:r>
              <w:rPr>
                <w:rFonts w:ascii="宋体" w:hAnsi="宋体" w:cs="宋体" w:eastAsia="宋体" w:hint="default"/>
                <w:sz w:val="21"/>
                <w:szCs w:val="21"/>
              </w:rPr>
              <w:t>元</w:t>
            </w:r>
            <w:r>
              <w:rPr>
                <w:rFonts w:ascii="宋体" w:hAnsi="宋体" w:cs="宋体" w:eastAsia="宋体" w:hint="default"/>
                <w:w w:val="100"/>
                <w:sz w:val="21"/>
                <w:szCs w:val="21"/>
              </w:rPr>
              <w:t> </w:t>
            </w:r>
            <w:r>
              <w:rPr>
                <w:rFonts w:ascii="宋体" w:hAnsi="宋体" w:cs="宋体" w:eastAsia="宋体" w:hint="default"/>
                <w:spacing w:val="-1"/>
                <w:sz w:val="21"/>
                <w:szCs w:val="21"/>
              </w:rPr>
              <w:t>交易性金融资产：增加</w:t>
            </w:r>
            <w:r>
              <w:rPr>
                <w:rFonts w:ascii="Times New Roman" w:hAnsi="Times New Roman" w:cs="Times New Roman" w:eastAsia="Times New Roman" w:hint="default"/>
                <w:spacing w:val="-1"/>
                <w:sz w:val="21"/>
                <w:szCs w:val="21"/>
              </w:rPr>
              <w:t>7,175,610.04</w:t>
            </w:r>
            <w:r>
              <w:rPr>
                <w:rFonts w:ascii="宋体" w:hAnsi="宋体" w:cs="宋体" w:eastAsia="宋体" w:hint="default"/>
                <w:spacing w:val="-1"/>
                <w:sz w:val="21"/>
                <w:szCs w:val="21"/>
              </w:rPr>
              <w:t>元</w:t>
            </w:r>
          </w:p>
        </w:tc>
        <w:tc>
          <w:tcPr>
            <w:tcW w:w="2134" w:type="dxa"/>
            <w:tcBorders>
              <w:top w:val="single" w:sz="4" w:space="0" w:color="000000"/>
              <w:left w:val="single" w:sz="6" w:space="0" w:color="000000"/>
              <w:bottom w:val="single" w:sz="4" w:space="0" w:color="000000"/>
              <w:right w:val="single" w:sz="4" w:space="0" w:color="000000"/>
            </w:tcBorders>
          </w:tcPr>
          <w:p>
            <w:pPr/>
          </w:p>
        </w:tc>
      </w:tr>
      <w:tr>
        <w:trPr>
          <w:trHeight w:val="2525" w:hRule="exact"/>
        </w:trPr>
        <w:tc>
          <w:tcPr>
            <w:tcW w:w="2987"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56" w:lineRule="auto"/>
              <w:ind w:left="4" w:right="-3"/>
              <w:jc w:val="both"/>
              <w:rPr>
                <w:rFonts w:ascii="宋体" w:hAnsi="宋体" w:cs="宋体" w:eastAsia="宋体" w:hint="default"/>
                <w:sz w:val="21"/>
                <w:szCs w:val="21"/>
              </w:rPr>
            </w:pP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3</w:t>
            </w:r>
            <w:r>
              <w:rPr>
                <w:rFonts w:ascii="宋体" w:hAnsi="宋体" w:cs="宋体" w:eastAsia="宋体" w:hint="default"/>
                <w:spacing w:val="-7"/>
                <w:sz w:val="21"/>
                <w:szCs w:val="21"/>
              </w:rPr>
              <w:t>）可供出售权益工具投资重分</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7"/>
                <w:sz w:val="21"/>
                <w:szCs w:val="21"/>
              </w:rPr>
              <w:t>类为</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以公允价值计量且其变动</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计入当期损益的金融资产</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994"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3" w:lineRule="auto" w:before="148"/>
              <w:ind w:left="4" w:right="-20"/>
              <w:jc w:val="left"/>
              <w:rPr>
                <w:rFonts w:ascii="宋体" w:hAnsi="宋体" w:cs="宋体" w:eastAsia="宋体" w:hint="default"/>
                <w:sz w:val="21"/>
                <w:szCs w:val="21"/>
              </w:rPr>
            </w:pPr>
            <w:r>
              <w:rPr>
                <w:rFonts w:ascii="宋体" w:hAnsi="宋体" w:cs="宋体" w:eastAsia="宋体" w:hint="default"/>
                <w:spacing w:val="28"/>
                <w:sz w:val="21"/>
                <w:szCs w:val="21"/>
              </w:rPr>
              <w:t>经董事</w:t>
            </w:r>
            <w:r>
              <w:rPr>
                <w:rFonts w:ascii="宋体" w:hAnsi="宋体" w:cs="宋体" w:eastAsia="宋体" w:hint="default"/>
                <w:spacing w:val="-59"/>
                <w:sz w:val="21"/>
                <w:szCs w:val="21"/>
              </w:rPr>
              <w:t> </w:t>
            </w:r>
            <w:r>
              <w:rPr>
                <w:rFonts w:ascii="宋体" w:hAnsi="宋体" w:cs="宋体" w:eastAsia="宋体" w:hint="default"/>
                <w:sz w:val="21"/>
                <w:szCs w:val="21"/>
              </w:rPr>
              <w:t>会</w:t>
            </w:r>
            <w:r>
              <w:rPr>
                <w:rFonts w:ascii="宋体" w:hAnsi="宋体" w:cs="宋体" w:eastAsia="宋体" w:hint="default"/>
                <w:spacing w:val="-102"/>
                <w:sz w:val="21"/>
                <w:szCs w:val="21"/>
              </w:rPr>
              <w:t> </w:t>
            </w:r>
            <w:r>
              <w:rPr>
                <w:rFonts w:ascii="宋体" w:hAnsi="宋体" w:cs="宋体" w:eastAsia="宋体" w:hint="default"/>
                <w:sz w:val="21"/>
                <w:szCs w:val="21"/>
              </w:rPr>
              <w:t>批准</w:t>
            </w:r>
          </w:p>
        </w:tc>
        <w:tc>
          <w:tcPr>
            <w:tcW w:w="3545"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56" w:lineRule="auto"/>
              <w:ind w:left="4" w:right="-1"/>
              <w:jc w:val="left"/>
              <w:rPr>
                <w:rFonts w:ascii="宋体" w:hAnsi="宋体" w:cs="宋体" w:eastAsia="宋体" w:hint="default"/>
                <w:sz w:val="21"/>
                <w:szCs w:val="21"/>
              </w:rPr>
            </w:pPr>
            <w:r>
              <w:rPr>
                <w:rFonts w:ascii="宋体" w:hAnsi="宋体" w:cs="宋体" w:eastAsia="宋体" w:hint="default"/>
                <w:spacing w:val="-5"/>
                <w:w w:val="100"/>
                <w:sz w:val="21"/>
                <w:szCs w:val="21"/>
              </w:rPr>
              <w:t>可供出售金融资产：减少</w:t>
            </w:r>
            <w:r>
              <w:rPr>
                <w:rFonts w:ascii="Times New Roman" w:hAnsi="Times New Roman" w:cs="Times New Roman" w:eastAsia="Times New Roman" w:hint="default"/>
                <w:spacing w:val="-5"/>
                <w:w w:val="100"/>
                <w:sz w:val="21"/>
                <w:szCs w:val="21"/>
              </w:rPr>
              <w:t>299,558,717.02</w:t>
            </w:r>
            <w:r>
              <w:rPr>
                <w:rFonts w:ascii="Times New Roman" w:hAnsi="Times New Roman" w:cs="Times New Roman" w:eastAsia="Times New Roman" w:hint="default"/>
                <w:spacing w:val="-50"/>
                <w:w w:val="100"/>
                <w:sz w:val="21"/>
                <w:szCs w:val="21"/>
              </w:rPr>
              <w:t> </w:t>
            </w:r>
            <w:r>
              <w:rPr>
                <w:rFonts w:ascii="Times New Roman" w:hAnsi="Times New Roman" w:cs="Times New Roman" w:eastAsia="Times New Roman" w:hint="default"/>
                <w:spacing w:val="-50"/>
                <w:w w:val="100"/>
                <w:sz w:val="21"/>
                <w:szCs w:val="21"/>
              </w:rPr>
            </w:r>
            <w:r>
              <w:rPr>
                <w:rFonts w:ascii="宋体" w:hAnsi="宋体" w:cs="宋体" w:eastAsia="宋体" w:hint="default"/>
                <w:sz w:val="21"/>
                <w:szCs w:val="21"/>
              </w:rPr>
              <w:t>元</w:t>
            </w:r>
          </w:p>
          <w:p>
            <w:pPr>
              <w:pStyle w:val="TableParagraph"/>
              <w:spacing w:line="240" w:lineRule="auto" w:before="22"/>
              <w:ind w:left="4" w:right="0"/>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13"/>
                <w:sz w:val="21"/>
                <w:szCs w:val="21"/>
              </w:rPr>
              <w:t> </w:t>
            </w:r>
            <w:r>
              <w:rPr>
                <w:rFonts w:ascii="宋体" w:hAnsi="宋体" w:cs="宋体" w:eastAsia="宋体" w:hint="default"/>
                <w:sz w:val="21"/>
                <w:szCs w:val="21"/>
              </w:rPr>
              <w:t>他</w:t>
            </w:r>
            <w:r>
              <w:rPr>
                <w:rFonts w:ascii="宋体" w:hAnsi="宋体" w:cs="宋体" w:eastAsia="宋体" w:hint="default"/>
                <w:spacing w:val="-13"/>
                <w:sz w:val="21"/>
                <w:szCs w:val="21"/>
              </w:rPr>
              <w:t> </w:t>
            </w:r>
            <w:r>
              <w:rPr>
                <w:rFonts w:ascii="宋体" w:hAnsi="宋体" w:cs="宋体" w:eastAsia="宋体" w:hint="default"/>
                <w:sz w:val="21"/>
                <w:szCs w:val="21"/>
              </w:rPr>
              <w:t>非</w:t>
            </w:r>
            <w:r>
              <w:rPr>
                <w:rFonts w:ascii="宋体" w:hAnsi="宋体" w:cs="宋体" w:eastAsia="宋体" w:hint="default"/>
                <w:spacing w:val="-16"/>
                <w:sz w:val="21"/>
                <w:szCs w:val="21"/>
              </w:rPr>
              <w:t> </w:t>
            </w:r>
            <w:r>
              <w:rPr>
                <w:rFonts w:ascii="宋体" w:hAnsi="宋体" w:cs="宋体" w:eastAsia="宋体" w:hint="default"/>
                <w:sz w:val="21"/>
                <w:szCs w:val="21"/>
              </w:rPr>
              <w:t>流</w:t>
            </w:r>
            <w:r>
              <w:rPr>
                <w:rFonts w:ascii="宋体" w:hAnsi="宋体" w:cs="宋体" w:eastAsia="宋体" w:hint="default"/>
                <w:spacing w:val="-13"/>
                <w:sz w:val="21"/>
                <w:szCs w:val="21"/>
              </w:rPr>
              <w:t> </w:t>
            </w:r>
            <w:r>
              <w:rPr>
                <w:rFonts w:ascii="宋体" w:hAnsi="宋体" w:cs="宋体" w:eastAsia="宋体" w:hint="default"/>
                <w:sz w:val="21"/>
                <w:szCs w:val="21"/>
              </w:rPr>
              <w:t>动</w:t>
            </w:r>
            <w:r>
              <w:rPr>
                <w:rFonts w:ascii="宋体" w:hAnsi="宋体" w:cs="宋体" w:eastAsia="宋体" w:hint="default"/>
                <w:spacing w:val="-16"/>
                <w:sz w:val="21"/>
                <w:szCs w:val="21"/>
              </w:rPr>
              <w:t> </w:t>
            </w:r>
            <w:r>
              <w:rPr>
                <w:rFonts w:ascii="宋体" w:hAnsi="宋体" w:cs="宋体" w:eastAsia="宋体" w:hint="default"/>
                <w:sz w:val="21"/>
                <w:szCs w:val="21"/>
              </w:rPr>
              <w:t>金</w:t>
            </w:r>
            <w:r>
              <w:rPr>
                <w:rFonts w:ascii="宋体" w:hAnsi="宋体" w:cs="宋体" w:eastAsia="宋体" w:hint="default"/>
                <w:spacing w:val="-13"/>
                <w:sz w:val="21"/>
                <w:szCs w:val="21"/>
              </w:rPr>
              <w:t> </w:t>
            </w:r>
            <w:r>
              <w:rPr>
                <w:rFonts w:ascii="宋体" w:hAnsi="宋体" w:cs="宋体" w:eastAsia="宋体" w:hint="default"/>
                <w:sz w:val="21"/>
                <w:szCs w:val="21"/>
              </w:rPr>
              <w:t>融</w:t>
            </w:r>
            <w:r>
              <w:rPr>
                <w:rFonts w:ascii="宋体" w:hAnsi="宋体" w:cs="宋体" w:eastAsia="宋体" w:hint="default"/>
                <w:spacing w:val="-16"/>
                <w:sz w:val="21"/>
                <w:szCs w:val="21"/>
              </w:rPr>
              <w:t> </w:t>
            </w:r>
            <w:r>
              <w:rPr>
                <w:rFonts w:ascii="宋体" w:hAnsi="宋体" w:cs="宋体" w:eastAsia="宋体" w:hint="default"/>
                <w:sz w:val="21"/>
                <w:szCs w:val="21"/>
              </w:rPr>
              <w:t>资</w:t>
            </w:r>
            <w:r>
              <w:rPr>
                <w:rFonts w:ascii="宋体" w:hAnsi="宋体" w:cs="宋体" w:eastAsia="宋体" w:hint="default"/>
                <w:spacing w:val="-16"/>
                <w:sz w:val="21"/>
                <w:szCs w:val="21"/>
              </w:rPr>
              <w:t> </w:t>
            </w:r>
            <w:r>
              <w:rPr>
                <w:rFonts w:ascii="宋体" w:hAnsi="宋体" w:cs="宋体" w:eastAsia="宋体" w:hint="default"/>
                <w:sz w:val="21"/>
                <w:szCs w:val="21"/>
              </w:rPr>
              <w:t>产</w:t>
            </w:r>
            <w:r>
              <w:rPr>
                <w:rFonts w:ascii="宋体" w:hAnsi="宋体" w:cs="宋体" w:eastAsia="宋体" w:hint="default"/>
                <w:spacing w:val="-13"/>
                <w:sz w:val="21"/>
                <w:szCs w:val="21"/>
              </w:rPr>
              <w:t> </w:t>
            </w:r>
            <w:r>
              <w:rPr>
                <w:rFonts w:ascii="宋体" w:hAnsi="宋体" w:cs="宋体" w:eastAsia="宋体" w:hint="default"/>
                <w:sz w:val="21"/>
                <w:szCs w:val="21"/>
              </w:rPr>
              <w:t>：</w:t>
            </w:r>
            <w:r>
              <w:rPr>
                <w:rFonts w:ascii="宋体" w:hAnsi="宋体" w:cs="宋体" w:eastAsia="宋体" w:hint="default"/>
                <w:spacing w:val="-13"/>
                <w:sz w:val="21"/>
                <w:szCs w:val="21"/>
              </w:rPr>
              <w:t> </w:t>
            </w:r>
            <w:r>
              <w:rPr>
                <w:rFonts w:ascii="宋体" w:hAnsi="宋体" w:cs="宋体" w:eastAsia="宋体" w:hint="default"/>
                <w:sz w:val="21"/>
                <w:szCs w:val="21"/>
              </w:rPr>
              <w:t>增</w:t>
            </w:r>
            <w:r>
              <w:rPr>
                <w:rFonts w:ascii="宋体" w:hAnsi="宋体" w:cs="宋体" w:eastAsia="宋体" w:hint="default"/>
                <w:spacing w:val="-16"/>
                <w:sz w:val="21"/>
                <w:szCs w:val="21"/>
              </w:rPr>
              <w:t> </w:t>
            </w:r>
            <w:r>
              <w:rPr>
                <w:rFonts w:ascii="宋体" w:hAnsi="宋体" w:cs="宋体" w:eastAsia="宋体" w:hint="default"/>
                <w:sz w:val="21"/>
                <w:szCs w:val="21"/>
              </w:rPr>
              <w:t>加</w:t>
            </w:r>
          </w:p>
          <w:p>
            <w:pPr>
              <w:pStyle w:val="TableParagraph"/>
              <w:spacing w:line="240" w:lineRule="auto" w:before="37"/>
              <w:ind w:left="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350,366,018.19</w:t>
            </w:r>
            <w:r>
              <w:rPr>
                <w:rFonts w:ascii="宋体" w:hAnsi="宋体" w:cs="宋体" w:eastAsia="宋体" w:hint="default"/>
                <w:sz w:val="21"/>
                <w:szCs w:val="21"/>
              </w:rPr>
              <w:t>元</w:t>
            </w:r>
          </w:p>
          <w:p>
            <w:pPr>
              <w:pStyle w:val="TableParagraph"/>
              <w:spacing w:line="256" w:lineRule="auto" w:before="22"/>
              <w:ind w:left="4" w:right="108"/>
              <w:jc w:val="left"/>
              <w:rPr>
                <w:rFonts w:ascii="宋体" w:hAnsi="宋体" w:cs="宋体" w:eastAsia="宋体" w:hint="default"/>
                <w:sz w:val="21"/>
                <w:szCs w:val="21"/>
              </w:rPr>
            </w:pPr>
            <w:r>
              <w:rPr>
                <w:rFonts w:ascii="宋体" w:hAnsi="宋体" w:cs="宋体" w:eastAsia="宋体" w:hint="default"/>
                <w:spacing w:val="-1"/>
                <w:sz w:val="21"/>
                <w:szCs w:val="21"/>
              </w:rPr>
              <w:t>递延所得税负债：增加</w:t>
            </w:r>
            <w:r>
              <w:rPr>
                <w:rFonts w:ascii="Times New Roman" w:hAnsi="Times New Roman" w:cs="Times New Roman" w:eastAsia="Times New Roman" w:hint="default"/>
                <w:spacing w:val="-1"/>
                <w:sz w:val="21"/>
                <w:szCs w:val="21"/>
              </w:rPr>
              <w:t>7,621,095.18</w:t>
            </w:r>
            <w:r>
              <w:rPr>
                <w:rFonts w:ascii="宋体" w:hAnsi="宋体" w:cs="宋体" w:eastAsia="宋体" w:hint="default"/>
                <w:spacing w:val="-1"/>
                <w:sz w:val="21"/>
                <w:szCs w:val="21"/>
              </w:rPr>
              <w:t>元</w:t>
            </w:r>
            <w:r>
              <w:rPr>
                <w:rFonts w:ascii="宋体" w:hAnsi="宋体" w:cs="宋体" w:eastAsia="宋体" w:hint="default"/>
                <w:spacing w:val="-85"/>
                <w:sz w:val="21"/>
                <w:szCs w:val="21"/>
              </w:rPr>
              <w:t> </w:t>
            </w:r>
            <w:r>
              <w:rPr>
                <w:rFonts w:ascii="宋体" w:hAnsi="宋体" w:cs="宋体" w:eastAsia="宋体" w:hint="default"/>
                <w:sz w:val="21"/>
                <w:szCs w:val="21"/>
              </w:rPr>
              <w:t>留存收益：增加</w:t>
            </w:r>
            <w:r>
              <w:rPr>
                <w:rFonts w:ascii="Times New Roman" w:hAnsi="Times New Roman" w:cs="Times New Roman" w:eastAsia="Times New Roman" w:hint="default"/>
                <w:sz w:val="21"/>
                <w:szCs w:val="21"/>
              </w:rPr>
              <w:t>43,186,205.99</w:t>
            </w:r>
            <w:r>
              <w:rPr>
                <w:rFonts w:ascii="宋体" w:hAnsi="宋体" w:cs="宋体" w:eastAsia="宋体" w:hint="default"/>
                <w:sz w:val="21"/>
                <w:szCs w:val="21"/>
              </w:rPr>
              <w:t>元</w:t>
            </w:r>
          </w:p>
        </w:tc>
        <w:tc>
          <w:tcPr>
            <w:tcW w:w="2134" w:type="dxa"/>
            <w:tcBorders>
              <w:top w:val="single" w:sz="4" w:space="0" w:color="000000"/>
              <w:left w:val="single" w:sz="6" w:space="0" w:color="000000"/>
              <w:bottom w:val="single" w:sz="4" w:space="0" w:color="000000"/>
              <w:right w:val="single" w:sz="4" w:space="0" w:color="000000"/>
            </w:tcBorders>
          </w:tcPr>
          <w:p>
            <w:pPr>
              <w:pStyle w:val="TableParagraph"/>
              <w:spacing w:line="273" w:lineRule="auto"/>
              <w:ind w:left="2" w:right="1"/>
              <w:jc w:val="left"/>
              <w:rPr>
                <w:rFonts w:ascii="宋体" w:hAnsi="宋体" w:cs="宋体" w:eastAsia="宋体" w:hint="default"/>
                <w:sz w:val="21"/>
                <w:szCs w:val="21"/>
              </w:rPr>
            </w:pPr>
            <w:r>
              <w:rPr>
                <w:rFonts w:ascii="宋体" w:hAnsi="宋体" w:cs="宋体" w:eastAsia="宋体" w:hint="default"/>
                <w:sz w:val="21"/>
                <w:szCs w:val="21"/>
              </w:rPr>
              <w:t>可供出售金融资产：减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少</w:t>
            </w:r>
            <w:r>
              <w:rPr>
                <w:rFonts w:ascii="Times New Roman" w:hAnsi="Times New Roman" w:cs="Times New Roman" w:eastAsia="Times New Roman" w:hint="default"/>
                <w:sz w:val="21"/>
                <w:szCs w:val="21"/>
              </w:rPr>
              <w:t>299,558,717.02</w:t>
            </w:r>
            <w:r>
              <w:rPr>
                <w:rFonts w:ascii="宋体" w:hAnsi="宋体" w:cs="宋体" w:eastAsia="宋体" w:hint="default"/>
                <w:sz w:val="21"/>
                <w:szCs w:val="21"/>
              </w:rPr>
              <w:t>元</w:t>
            </w:r>
          </w:p>
          <w:p>
            <w:pPr>
              <w:pStyle w:val="TableParagraph"/>
              <w:spacing w:line="273" w:lineRule="auto"/>
              <w:ind w:left="2" w:right="1"/>
              <w:jc w:val="left"/>
              <w:rPr>
                <w:rFonts w:ascii="宋体" w:hAnsi="宋体" w:cs="宋体" w:eastAsia="宋体" w:hint="default"/>
                <w:sz w:val="21"/>
                <w:szCs w:val="21"/>
              </w:rPr>
            </w:pPr>
            <w:r>
              <w:rPr>
                <w:rFonts w:ascii="宋体" w:hAnsi="宋体" w:cs="宋体" w:eastAsia="宋体" w:hint="default"/>
                <w:sz w:val="21"/>
                <w:szCs w:val="21"/>
              </w:rPr>
              <w:t>其他非流动金融资产：</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增加</w:t>
            </w:r>
            <w:r>
              <w:rPr>
                <w:rFonts w:ascii="Times New Roman" w:hAnsi="Times New Roman" w:cs="Times New Roman" w:eastAsia="Times New Roman" w:hint="default"/>
                <w:sz w:val="21"/>
                <w:szCs w:val="21"/>
              </w:rPr>
              <w:t>350,366,018.19</w:t>
            </w:r>
            <w:r>
              <w:rPr>
                <w:rFonts w:ascii="宋体" w:hAnsi="宋体" w:cs="宋体" w:eastAsia="宋体" w:hint="default"/>
                <w:sz w:val="21"/>
                <w:szCs w:val="21"/>
              </w:rPr>
              <w:t>元</w:t>
            </w:r>
          </w:p>
          <w:p>
            <w:pPr>
              <w:pStyle w:val="TableParagraph"/>
              <w:spacing w:line="264" w:lineRule="exact"/>
              <w:ind w:left="2" w:right="0"/>
              <w:jc w:val="left"/>
              <w:rPr>
                <w:rFonts w:ascii="宋体" w:hAnsi="宋体" w:cs="宋体" w:eastAsia="宋体" w:hint="default"/>
                <w:sz w:val="21"/>
                <w:szCs w:val="21"/>
              </w:rPr>
            </w:pPr>
            <w:r>
              <w:rPr>
                <w:rFonts w:ascii="宋体" w:hAnsi="宋体" w:cs="宋体" w:eastAsia="宋体" w:hint="default"/>
                <w:sz w:val="21"/>
                <w:szCs w:val="21"/>
              </w:rPr>
              <w:t>递延所得税负债：增加</w:t>
            </w:r>
          </w:p>
          <w:p>
            <w:pPr>
              <w:pStyle w:val="TableParagraph"/>
              <w:spacing w:line="240" w:lineRule="auto" w:before="37"/>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7,621,095.18</w:t>
            </w:r>
            <w:r>
              <w:rPr>
                <w:rFonts w:ascii="宋体" w:hAnsi="宋体" w:cs="宋体" w:eastAsia="宋体" w:hint="default"/>
                <w:sz w:val="21"/>
                <w:szCs w:val="21"/>
              </w:rPr>
              <w:t>元</w:t>
            </w:r>
          </w:p>
          <w:p>
            <w:pPr>
              <w:pStyle w:val="TableParagraph"/>
              <w:spacing w:line="240" w:lineRule="auto" w:before="21"/>
              <w:ind w:left="2" w:right="0"/>
              <w:jc w:val="left"/>
              <w:rPr>
                <w:rFonts w:ascii="宋体" w:hAnsi="宋体" w:cs="宋体" w:eastAsia="宋体" w:hint="default"/>
                <w:sz w:val="21"/>
                <w:szCs w:val="21"/>
              </w:rPr>
            </w:pPr>
            <w:r>
              <w:rPr>
                <w:rFonts w:ascii="宋体" w:hAnsi="宋体" w:cs="宋体" w:eastAsia="宋体" w:hint="default"/>
                <w:sz w:val="21"/>
                <w:szCs w:val="21"/>
              </w:rPr>
              <w:t>留 存 收 益 ： 增</w:t>
            </w:r>
            <w:r>
              <w:rPr>
                <w:rFonts w:ascii="宋体" w:hAnsi="宋体" w:cs="宋体" w:eastAsia="宋体" w:hint="default"/>
                <w:spacing w:val="12"/>
                <w:sz w:val="21"/>
                <w:szCs w:val="21"/>
              </w:rPr>
              <w:t> </w:t>
            </w:r>
            <w:r>
              <w:rPr>
                <w:rFonts w:ascii="宋体" w:hAnsi="宋体" w:cs="宋体" w:eastAsia="宋体" w:hint="default"/>
                <w:sz w:val="21"/>
                <w:szCs w:val="21"/>
              </w:rPr>
              <w:t>加</w:t>
            </w:r>
          </w:p>
          <w:p>
            <w:pPr>
              <w:pStyle w:val="TableParagraph"/>
              <w:spacing w:line="240" w:lineRule="auto" w:before="37"/>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43,186,205.99</w:t>
            </w:r>
            <w:r>
              <w:rPr>
                <w:rFonts w:ascii="宋体" w:hAnsi="宋体" w:cs="宋体" w:eastAsia="宋体" w:hint="default"/>
                <w:sz w:val="21"/>
                <w:szCs w:val="21"/>
              </w:rPr>
              <w:t>元</w:t>
            </w:r>
          </w:p>
        </w:tc>
      </w:tr>
    </w:tbl>
    <w:p>
      <w:pPr>
        <w:pStyle w:val="Heading4"/>
        <w:spacing w:line="256" w:lineRule="auto" w:before="0"/>
        <w:ind w:left="229" w:right="0" w:firstLine="329"/>
        <w:jc w:val="left"/>
      </w:pPr>
      <w:r>
        <w:rPr/>
        <w:t>以按照财会〔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6</w:t>
      </w:r>
      <w:r>
        <w:rPr/>
        <w:t>号和财会〔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16</w:t>
      </w:r>
      <w:r>
        <w:rPr/>
        <w:t>号的规定调整后的上年年末余额为基础，各项金融资产和</w:t>
      </w:r>
      <w:r>
        <w:rPr>
          <w:w w:val="100"/>
        </w:rPr>
        <w:t> </w:t>
      </w:r>
      <w:r>
        <w:rPr/>
        <w:t>金融负债按照修订前后金融工具确认计量准则的规定进行分类和计量结果对比如下：</w:t>
      </w:r>
    </w:p>
    <w:p>
      <w:pPr>
        <w:pStyle w:val="Heading3"/>
        <w:spacing w:line="240" w:lineRule="auto" w:before="22"/>
        <w:ind w:left="558" w:right="2602"/>
        <w:jc w:val="left"/>
        <w:rPr>
          <w:b w:val="0"/>
          <w:bCs w:val="0"/>
        </w:rPr>
      </w:pPr>
      <w:r>
        <w:rPr/>
        <w:t>合并</w:t>
      </w:r>
      <w:r>
        <w:rPr>
          <w:b w:val="0"/>
          <w:bCs w:val="0"/>
        </w:rPr>
      </w:r>
    </w:p>
    <w:p>
      <w:pPr>
        <w:spacing w:line="240" w:lineRule="auto" w:before="10"/>
        <w:rPr>
          <w:rFonts w:ascii="宋体" w:hAnsi="宋体" w:cs="宋体" w:eastAsia="宋体" w:hint="default"/>
          <w:b/>
          <w:bCs/>
          <w:sz w:val="3"/>
          <w:szCs w:val="3"/>
        </w:rPr>
      </w:pPr>
    </w:p>
    <w:tbl>
      <w:tblPr>
        <w:tblW w:w="0" w:type="auto"/>
        <w:jc w:val="left"/>
        <w:tblInd w:w="138" w:type="dxa"/>
        <w:tblLayout w:type="fixed"/>
        <w:tblCellMar>
          <w:top w:w="0" w:type="dxa"/>
          <w:left w:w="0" w:type="dxa"/>
          <w:bottom w:w="0" w:type="dxa"/>
          <w:right w:w="0" w:type="dxa"/>
        </w:tblCellMar>
        <w:tblLook w:val="01E0"/>
      </w:tblPr>
      <w:tblGrid>
        <w:gridCol w:w="1877"/>
        <w:gridCol w:w="1556"/>
        <w:gridCol w:w="1558"/>
        <w:gridCol w:w="1556"/>
        <w:gridCol w:w="1553"/>
        <w:gridCol w:w="1560"/>
      </w:tblGrid>
      <w:tr>
        <w:trPr>
          <w:trHeight w:val="343" w:hRule="exact"/>
        </w:trPr>
        <w:tc>
          <w:tcPr>
            <w:tcW w:w="49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原金融工具准则</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634" w:right="0"/>
              <w:jc w:val="left"/>
              <w:rPr>
                <w:rFonts w:ascii="宋体" w:hAnsi="宋体" w:cs="宋体" w:eastAsia="宋体" w:hint="default"/>
                <w:sz w:val="21"/>
                <w:szCs w:val="21"/>
              </w:rPr>
            </w:pPr>
            <w:r>
              <w:rPr>
                <w:rFonts w:ascii="宋体" w:hAnsi="宋体" w:cs="宋体" w:eastAsia="宋体" w:hint="default"/>
                <w:sz w:val="21"/>
                <w:szCs w:val="21"/>
              </w:rPr>
              <w:t>新金融工具准则</w:t>
            </w:r>
          </w:p>
        </w:tc>
      </w:tr>
      <w:tr>
        <w:trPr>
          <w:trHeight w:val="341"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514" w:right="0"/>
              <w:jc w:val="left"/>
              <w:rPr>
                <w:rFonts w:ascii="宋体" w:hAnsi="宋体" w:cs="宋体" w:eastAsia="宋体" w:hint="default"/>
                <w:sz w:val="21"/>
                <w:szCs w:val="21"/>
              </w:rPr>
            </w:pPr>
            <w:r>
              <w:rPr>
                <w:rFonts w:ascii="宋体" w:hAnsi="宋体" w:cs="宋体" w:eastAsia="宋体" w:hint="default"/>
                <w:sz w:val="21"/>
                <w:szCs w:val="21"/>
              </w:rPr>
              <w:t>列报项目</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55" w:right="0"/>
              <w:jc w:val="left"/>
              <w:rPr>
                <w:rFonts w:ascii="宋体" w:hAnsi="宋体" w:cs="宋体" w:eastAsia="宋体" w:hint="default"/>
                <w:sz w:val="21"/>
                <w:szCs w:val="21"/>
              </w:rPr>
            </w:pPr>
            <w:r>
              <w:rPr>
                <w:rFonts w:ascii="宋体" w:hAnsi="宋体" w:cs="宋体" w:eastAsia="宋体" w:hint="default"/>
                <w:sz w:val="21"/>
                <w:szCs w:val="21"/>
              </w:rPr>
              <w:t>计量类别</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center"/>
              <w:rPr>
                <w:rFonts w:ascii="宋体" w:hAnsi="宋体" w:cs="宋体" w:eastAsia="宋体" w:hint="default"/>
                <w:sz w:val="21"/>
                <w:szCs w:val="21"/>
              </w:rPr>
            </w:pPr>
            <w:r>
              <w:rPr>
                <w:rFonts w:ascii="宋体" w:hAnsi="宋体" w:cs="宋体" w:eastAsia="宋体" w:hint="default"/>
                <w:sz w:val="21"/>
                <w:szCs w:val="21"/>
              </w:rPr>
              <w:t>账面价值</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53" w:right="0"/>
              <w:jc w:val="left"/>
              <w:rPr>
                <w:rFonts w:ascii="宋体" w:hAnsi="宋体" w:cs="宋体" w:eastAsia="宋体" w:hint="default"/>
                <w:sz w:val="21"/>
                <w:szCs w:val="21"/>
              </w:rPr>
            </w:pPr>
            <w:r>
              <w:rPr>
                <w:rFonts w:ascii="宋体" w:hAnsi="宋体" w:cs="宋体" w:eastAsia="宋体" w:hint="default"/>
                <w:sz w:val="21"/>
                <w:szCs w:val="21"/>
              </w:rPr>
              <w:t>列报项目</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52" w:right="0"/>
              <w:jc w:val="left"/>
              <w:rPr>
                <w:rFonts w:ascii="宋体" w:hAnsi="宋体" w:cs="宋体" w:eastAsia="宋体" w:hint="default"/>
                <w:sz w:val="21"/>
                <w:szCs w:val="21"/>
              </w:rPr>
            </w:pPr>
            <w:r>
              <w:rPr>
                <w:rFonts w:ascii="宋体" w:hAnsi="宋体" w:cs="宋体" w:eastAsia="宋体" w:hint="default"/>
                <w:sz w:val="21"/>
                <w:szCs w:val="21"/>
              </w:rPr>
              <w:t>计量类别</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账面价值</w:t>
            </w:r>
          </w:p>
        </w:tc>
      </w:tr>
      <w:tr>
        <w:trPr>
          <w:trHeight w:val="343"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9" w:right="0"/>
              <w:jc w:val="center"/>
              <w:rPr>
                <w:rFonts w:ascii="Times New Roman" w:hAnsi="Times New Roman" w:cs="Times New Roman" w:eastAsia="Times New Roman" w:hint="default"/>
                <w:sz w:val="21"/>
                <w:szCs w:val="21"/>
              </w:rPr>
            </w:pPr>
            <w:r>
              <w:rPr>
                <w:rFonts w:ascii="Times New Roman"/>
                <w:spacing w:val="-1"/>
                <w:sz w:val="21"/>
              </w:rPr>
              <w:t>1,044,892,808.43</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8"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2" w:right="0"/>
              <w:jc w:val="center"/>
              <w:rPr>
                <w:rFonts w:ascii="Times New Roman" w:hAnsi="Times New Roman" w:cs="Times New Roman" w:eastAsia="Times New Roman" w:hint="default"/>
                <w:sz w:val="21"/>
                <w:szCs w:val="21"/>
              </w:rPr>
            </w:pPr>
            <w:r>
              <w:rPr>
                <w:rFonts w:ascii="Times New Roman"/>
                <w:spacing w:val="-1"/>
                <w:sz w:val="21"/>
              </w:rPr>
              <w:t>1,044,892,808.43</w:t>
            </w:r>
          </w:p>
        </w:tc>
      </w:tr>
    </w:tbl>
    <w:p>
      <w:pPr>
        <w:spacing w:after="0" w:line="240" w:lineRule="auto"/>
        <w:jc w:val="center"/>
        <w:rPr>
          <w:rFonts w:ascii="Times New Roman" w:hAnsi="Times New Roman" w:cs="Times New Roman" w:eastAsia="Times New Roman" w:hint="default"/>
          <w:sz w:val="21"/>
          <w:szCs w:val="21"/>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38" w:type="dxa"/>
        <w:tblLayout w:type="fixed"/>
        <w:tblCellMar>
          <w:top w:w="0" w:type="dxa"/>
          <w:left w:w="0" w:type="dxa"/>
          <w:bottom w:w="0" w:type="dxa"/>
          <w:right w:w="0" w:type="dxa"/>
        </w:tblCellMar>
        <w:tblLook w:val="01E0"/>
      </w:tblPr>
      <w:tblGrid>
        <w:gridCol w:w="1877"/>
        <w:gridCol w:w="1556"/>
        <w:gridCol w:w="1558"/>
        <w:gridCol w:w="1556"/>
        <w:gridCol w:w="1553"/>
        <w:gridCol w:w="1560"/>
      </w:tblGrid>
      <w:tr>
        <w:trPr>
          <w:trHeight w:val="341" w:hRule="exact"/>
        </w:trPr>
        <w:tc>
          <w:tcPr>
            <w:tcW w:w="49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原金融工具准则</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634" w:right="0"/>
              <w:jc w:val="left"/>
              <w:rPr>
                <w:rFonts w:ascii="宋体" w:hAnsi="宋体" w:cs="宋体" w:eastAsia="宋体" w:hint="default"/>
                <w:sz w:val="21"/>
                <w:szCs w:val="21"/>
              </w:rPr>
            </w:pPr>
            <w:r>
              <w:rPr>
                <w:rFonts w:ascii="宋体" w:hAnsi="宋体" w:cs="宋体" w:eastAsia="宋体" w:hint="default"/>
                <w:sz w:val="21"/>
                <w:szCs w:val="21"/>
              </w:rPr>
              <w:t>新金融工具准则</w:t>
            </w:r>
          </w:p>
        </w:tc>
      </w:tr>
      <w:tr>
        <w:trPr>
          <w:trHeight w:val="343"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14" w:right="0"/>
              <w:jc w:val="left"/>
              <w:rPr>
                <w:rFonts w:ascii="宋体" w:hAnsi="宋体" w:cs="宋体" w:eastAsia="宋体" w:hint="default"/>
                <w:sz w:val="21"/>
                <w:szCs w:val="21"/>
              </w:rPr>
            </w:pPr>
            <w:r>
              <w:rPr>
                <w:rFonts w:ascii="宋体" w:hAnsi="宋体" w:cs="宋体" w:eastAsia="宋体" w:hint="default"/>
                <w:sz w:val="21"/>
                <w:szCs w:val="21"/>
              </w:rPr>
              <w:t>列报项目</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5" w:right="0"/>
              <w:jc w:val="left"/>
              <w:rPr>
                <w:rFonts w:ascii="宋体" w:hAnsi="宋体" w:cs="宋体" w:eastAsia="宋体" w:hint="default"/>
                <w:sz w:val="21"/>
                <w:szCs w:val="21"/>
              </w:rPr>
            </w:pPr>
            <w:r>
              <w:rPr>
                <w:rFonts w:ascii="宋体" w:hAnsi="宋体" w:cs="宋体" w:eastAsia="宋体" w:hint="default"/>
                <w:sz w:val="21"/>
                <w:szCs w:val="21"/>
              </w:rPr>
              <w:t>计量类别</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5" w:right="0"/>
              <w:jc w:val="left"/>
              <w:rPr>
                <w:rFonts w:ascii="宋体" w:hAnsi="宋体" w:cs="宋体" w:eastAsia="宋体" w:hint="default"/>
                <w:sz w:val="21"/>
                <w:szCs w:val="21"/>
              </w:rPr>
            </w:pPr>
            <w:r>
              <w:rPr>
                <w:rFonts w:ascii="宋体" w:hAnsi="宋体" w:cs="宋体" w:eastAsia="宋体" w:hint="default"/>
                <w:sz w:val="21"/>
                <w:szCs w:val="21"/>
              </w:rPr>
              <w:t>账面价值</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3" w:right="0"/>
              <w:jc w:val="left"/>
              <w:rPr>
                <w:rFonts w:ascii="宋体" w:hAnsi="宋体" w:cs="宋体" w:eastAsia="宋体" w:hint="default"/>
                <w:sz w:val="21"/>
                <w:szCs w:val="21"/>
              </w:rPr>
            </w:pPr>
            <w:r>
              <w:rPr>
                <w:rFonts w:ascii="宋体" w:hAnsi="宋体" w:cs="宋体" w:eastAsia="宋体" w:hint="default"/>
                <w:sz w:val="21"/>
                <w:szCs w:val="21"/>
              </w:rPr>
              <w:t>列报项目</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2" w:right="0"/>
              <w:jc w:val="left"/>
              <w:rPr>
                <w:rFonts w:ascii="宋体" w:hAnsi="宋体" w:cs="宋体" w:eastAsia="宋体" w:hint="default"/>
                <w:sz w:val="21"/>
                <w:szCs w:val="21"/>
              </w:rPr>
            </w:pPr>
            <w:r>
              <w:rPr>
                <w:rFonts w:ascii="宋体" w:hAnsi="宋体" w:cs="宋体" w:eastAsia="宋体" w:hint="default"/>
                <w:sz w:val="21"/>
                <w:szCs w:val="21"/>
              </w:rPr>
              <w:t>计量类别</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5"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965"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 w:right="178"/>
              <w:jc w:val="both"/>
              <w:rPr>
                <w:rFonts w:ascii="宋体" w:hAnsi="宋体" w:cs="宋体" w:eastAsia="宋体" w:hint="default"/>
                <w:sz w:val="21"/>
                <w:szCs w:val="21"/>
              </w:rPr>
            </w:pPr>
            <w:r>
              <w:rPr>
                <w:rFonts w:ascii="宋体" w:hAnsi="宋体" w:cs="宋体" w:eastAsia="宋体" w:hint="default"/>
                <w:sz w:val="21"/>
                <w:szCs w:val="21"/>
              </w:rPr>
              <w:t>以公允价值计量且</w:t>
            </w:r>
            <w:r>
              <w:rPr>
                <w:rFonts w:ascii="宋体" w:hAnsi="宋体" w:cs="宋体" w:eastAsia="宋体" w:hint="default"/>
                <w:w w:val="100"/>
                <w:sz w:val="21"/>
                <w:szCs w:val="21"/>
              </w:rPr>
              <w:t> </w:t>
            </w:r>
            <w:r>
              <w:rPr>
                <w:rFonts w:ascii="宋体" w:hAnsi="宋体" w:cs="宋体" w:eastAsia="宋体" w:hint="default"/>
                <w:sz w:val="21"/>
                <w:szCs w:val="21"/>
              </w:rPr>
              <w:t>其变动计入当期损</w:t>
            </w:r>
            <w:r>
              <w:rPr>
                <w:rFonts w:ascii="宋体" w:hAnsi="宋体" w:cs="宋体" w:eastAsia="宋体" w:hint="default"/>
                <w:w w:val="100"/>
                <w:sz w:val="21"/>
                <w:szCs w:val="21"/>
              </w:rPr>
              <w:t> </w:t>
            </w:r>
            <w:r>
              <w:rPr>
                <w:rFonts w:ascii="宋体" w:hAnsi="宋体" w:cs="宋体" w:eastAsia="宋体" w:hint="default"/>
                <w:sz w:val="21"/>
                <w:szCs w:val="21"/>
              </w:rPr>
              <w:t>益的金融资产</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7" w:right="63"/>
              <w:jc w:val="both"/>
              <w:rPr>
                <w:rFonts w:ascii="宋体" w:hAnsi="宋体" w:cs="宋体" w:eastAsia="宋体" w:hint="default"/>
                <w:sz w:val="21"/>
                <w:szCs w:val="21"/>
              </w:rPr>
            </w:pPr>
            <w:r>
              <w:rPr>
                <w:rFonts w:ascii="宋体" w:hAnsi="宋体" w:cs="宋体" w:eastAsia="宋体" w:hint="default"/>
                <w:sz w:val="21"/>
                <w:szCs w:val="21"/>
              </w:rPr>
              <w:t>以公允价值计量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且其变动计入当</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期损益</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10,319,624.19</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 w:right="63"/>
              <w:jc w:val="both"/>
              <w:rPr>
                <w:rFonts w:ascii="宋体" w:hAnsi="宋体" w:cs="宋体" w:eastAsia="宋体" w:hint="default"/>
                <w:sz w:val="21"/>
                <w:szCs w:val="21"/>
              </w:rPr>
            </w:pPr>
            <w:r>
              <w:rPr>
                <w:rFonts w:ascii="宋体" w:hAnsi="宋体" w:cs="宋体" w:eastAsia="宋体" w:hint="default"/>
                <w:sz w:val="21"/>
                <w:szCs w:val="21"/>
              </w:rPr>
              <w:t>以公允价值计量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且其变动计入当</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期损益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10,319,624.19</w:t>
            </w:r>
          </w:p>
        </w:tc>
      </w:tr>
      <w:tr>
        <w:trPr>
          <w:trHeight w:val="343"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right"/>
              <w:rPr>
                <w:rFonts w:ascii="Times New Roman" w:hAnsi="Times New Roman" w:cs="Times New Roman" w:eastAsia="Times New Roman" w:hint="default"/>
                <w:sz w:val="21"/>
                <w:szCs w:val="21"/>
              </w:rPr>
            </w:pPr>
            <w:r>
              <w:rPr>
                <w:rFonts w:ascii="Times New Roman"/>
                <w:spacing w:val="-1"/>
                <w:sz w:val="21"/>
              </w:rPr>
              <w:t>1,530,034,738.02</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right"/>
              <w:rPr>
                <w:rFonts w:ascii="Times New Roman" w:hAnsi="Times New Roman" w:cs="Times New Roman" w:eastAsia="Times New Roman" w:hint="default"/>
                <w:sz w:val="21"/>
                <w:szCs w:val="21"/>
              </w:rPr>
            </w:pPr>
            <w:r>
              <w:rPr>
                <w:rFonts w:ascii="Times New Roman"/>
                <w:spacing w:val="-1"/>
                <w:sz w:val="21"/>
              </w:rPr>
              <w:t>1,530,034,738.02</w:t>
            </w:r>
          </w:p>
        </w:tc>
      </w:tr>
      <w:tr>
        <w:trPr>
          <w:trHeight w:val="341"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169,255,836.49</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169,255,836.49</w:t>
            </w:r>
          </w:p>
        </w:tc>
      </w:tr>
      <w:tr>
        <w:trPr>
          <w:trHeight w:val="967"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right"/>
              <w:rPr>
                <w:rFonts w:ascii="Times New Roman" w:hAnsi="Times New Roman" w:cs="Times New Roman" w:eastAsia="Times New Roman" w:hint="default"/>
                <w:sz w:val="21"/>
                <w:szCs w:val="21"/>
              </w:rPr>
            </w:pPr>
            <w:r>
              <w:rPr>
                <w:rFonts w:ascii="Times New Roman"/>
                <w:spacing w:val="-1"/>
                <w:sz w:val="21"/>
              </w:rPr>
              <w:t>7,175,610.04</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 w:right="63"/>
              <w:jc w:val="both"/>
              <w:rPr>
                <w:rFonts w:ascii="宋体" w:hAnsi="宋体" w:cs="宋体" w:eastAsia="宋体" w:hint="default"/>
                <w:sz w:val="21"/>
                <w:szCs w:val="21"/>
              </w:rPr>
            </w:pPr>
            <w:r>
              <w:rPr>
                <w:rFonts w:ascii="宋体" w:hAnsi="宋体" w:cs="宋体" w:eastAsia="宋体" w:hint="default"/>
                <w:sz w:val="21"/>
                <w:szCs w:val="21"/>
              </w:rPr>
              <w:t>以公允价值计量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且其变动计入当</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期损益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right"/>
              <w:rPr>
                <w:rFonts w:ascii="Times New Roman" w:hAnsi="Times New Roman" w:cs="Times New Roman" w:eastAsia="Times New Roman" w:hint="default"/>
                <w:sz w:val="21"/>
                <w:szCs w:val="21"/>
              </w:rPr>
            </w:pPr>
            <w:r>
              <w:rPr>
                <w:rFonts w:ascii="Times New Roman"/>
                <w:spacing w:val="-1"/>
                <w:sz w:val="21"/>
              </w:rPr>
              <w:t>7,175,610.04</w:t>
            </w:r>
          </w:p>
        </w:tc>
      </w:tr>
      <w:tr>
        <w:trPr>
          <w:trHeight w:val="965"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ind w:left="7" w:right="204"/>
              <w:jc w:val="left"/>
              <w:rPr>
                <w:rFonts w:ascii="Times New Roman" w:hAnsi="Times New Roman" w:cs="Times New Roman" w:eastAsia="Times New Roman" w:hint="default"/>
                <w:sz w:val="21"/>
                <w:szCs w:val="21"/>
              </w:rPr>
            </w:pPr>
            <w:r>
              <w:rPr>
                <w:rFonts w:ascii="宋体" w:hAnsi="宋体" w:cs="宋体" w:eastAsia="宋体" w:hint="default"/>
                <w:sz w:val="21"/>
                <w:szCs w:val="21"/>
              </w:rPr>
              <w:t>以成本计量</w:t>
            </w:r>
            <w:r>
              <w:rPr>
                <w:rFonts w:ascii="Times New Roman" w:hAnsi="Times New Roman" w:cs="Times New Roman" w:eastAsia="Times New Roman" w:hint="default"/>
                <w:sz w:val="21"/>
                <w:szCs w:val="21"/>
              </w:rPr>
              <w:t>(</w:t>
            </w:r>
            <w:r>
              <w:rPr>
                <w:rFonts w:ascii="宋体" w:hAnsi="宋体" w:cs="宋体" w:eastAsia="宋体" w:hint="default"/>
                <w:sz w:val="21"/>
                <w:szCs w:val="21"/>
              </w:rPr>
              <w:t>权</w:t>
            </w:r>
            <w:r>
              <w:rPr>
                <w:rFonts w:ascii="宋体" w:hAnsi="宋体" w:cs="宋体" w:eastAsia="宋体" w:hint="default"/>
                <w:w w:val="100"/>
                <w:sz w:val="21"/>
                <w:szCs w:val="21"/>
              </w:rPr>
              <w:t> </w:t>
            </w:r>
            <w:r>
              <w:rPr>
                <w:rFonts w:ascii="宋体" w:hAnsi="宋体" w:cs="宋体" w:eastAsia="宋体" w:hint="default"/>
                <w:sz w:val="21"/>
                <w:szCs w:val="21"/>
              </w:rPr>
              <w:t>益工具</w:t>
            </w:r>
            <w:r>
              <w:rPr>
                <w:rFonts w:ascii="Times New Roman" w:hAnsi="Times New Roman" w:cs="Times New Roman" w:eastAsia="Times New Roman" w:hint="default"/>
                <w:sz w:val="21"/>
                <w:szCs w:val="21"/>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299,558,717.02</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 w:right="65"/>
              <w:jc w:val="left"/>
              <w:rPr>
                <w:rFonts w:ascii="宋体" w:hAnsi="宋体" w:cs="宋体" w:eastAsia="宋体" w:hint="default"/>
                <w:sz w:val="21"/>
                <w:szCs w:val="21"/>
              </w:rPr>
            </w:pPr>
            <w:r>
              <w:rPr>
                <w:rFonts w:ascii="宋体" w:hAnsi="宋体" w:cs="宋体" w:eastAsia="宋体" w:hint="default"/>
                <w:sz w:val="21"/>
                <w:szCs w:val="21"/>
              </w:rPr>
              <w:t>其他非流动金融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资产</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 w:right="63"/>
              <w:jc w:val="both"/>
              <w:rPr>
                <w:rFonts w:ascii="宋体" w:hAnsi="宋体" w:cs="宋体" w:eastAsia="宋体" w:hint="default"/>
                <w:sz w:val="21"/>
                <w:szCs w:val="21"/>
              </w:rPr>
            </w:pPr>
            <w:r>
              <w:rPr>
                <w:rFonts w:ascii="宋体" w:hAnsi="宋体" w:cs="宋体" w:eastAsia="宋体" w:hint="default"/>
                <w:sz w:val="21"/>
                <w:szCs w:val="21"/>
              </w:rPr>
              <w:t>以公允价值计量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且其变动计入当</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期损益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350,366,018.19</w:t>
            </w:r>
          </w:p>
        </w:tc>
      </w:tr>
      <w:tr>
        <w:trPr>
          <w:trHeight w:val="343" w:hRule="exact"/>
        </w:trPr>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right"/>
              <w:rPr>
                <w:rFonts w:ascii="Times New Roman" w:hAnsi="Times New Roman" w:cs="Times New Roman" w:eastAsia="Times New Roman" w:hint="default"/>
                <w:sz w:val="21"/>
                <w:szCs w:val="21"/>
              </w:rPr>
            </w:pPr>
            <w:r>
              <w:rPr>
                <w:rFonts w:ascii="Times New Roman"/>
                <w:spacing w:val="-1"/>
                <w:sz w:val="21"/>
              </w:rPr>
              <w:t>821,747,390.34</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right"/>
              <w:rPr>
                <w:rFonts w:ascii="Times New Roman" w:hAnsi="Times New Roman" w:cs="Times New Roman" w:eastAsia="Times New Roman" w:hint="default"/>
                <w:sz w:val="21"/>
                <w:szCs w:val="21"/>
              </w:rPr>
            </w:pPr>
            <w:r>
              <w:rPr>
                <w:rFonts w:ascii="Times New Roman"/>
                <w:spacing w:val="-1"/>
                <w:sz w:val="21"/>
              </w:rPr>
              <w:t>821,747,390.34</w:t>
            </w:r>
          </w:p>
        </w:tc>
      </w:tr>
    </w:tbl>
    <w:p>
      <w:pPr>
        <w:pStyle w:val="Heading3"/>
        <w:spacing w:line="262" w:lineRule="exact"/>
        <w:ind w:left="558" w:right="2602"/>
        <w:jc w:val="left"/>
        <w:rPr>
          <w:b w:val="0"/>
          <w:bCs w:val="0"/>
        </w:rPr>
      </w:pPr>
      <w:r>
        <w:rPr/>
        <w:t>母公司</w:t>
      </w:r>
      <w:r>
        <w:rPr>
          <w:b w:val="0"/>
          <w:bCs w:val="0"/>
        </w:rPr>
      </w:r>
    </w:p>
    <w:p>
      <w:pPr>
        <w:spacing w:line="240" w:lineRule="auto" w:before="10"/>
        <w:rPr>
          <w:rFonts w:ascii="宋体" w:hAnsi="宋体" w:cs="宋体" w:eastAsia="宋体" w:hint="default"/>
          <w:b/>
          <w:bCs/>
          <w:sz w:val="3"/>
          <w:szCs w:val="3"/>
        </w:rPr>
      </w:pPr>
    </w:p>
    <w:tbl>
      <w:tblPr>
        <w:tblW w:w="0" w:type="auto"/>
        <w:jc w:val="left"/>
        <w:tblInd w:w="138" w:type="dxa"/>
        <w:tblLayout w:type="fixed"/>
        <w:tblCellMar>
          <w:top w:w="0" w:type="dxa"/>
          <w:left w:w="0" w:type="dxa"/>
          <w:bottom w:w="0" w:type="dxa"/>
          <w:right w:w="0" w:type="dxa"/>
        </w:tblCellMar>
        <w:tblLook w:val="01E0"/>
      </w:tblPr>
      <w:tblGrid>
        <w:gridCol w:w="1846"/>
        <w:gridCol w:w="1765"/>
        <w:gridCol w:w="1490"/>
        <w:gridCol w:w="1469"/>
        <w:gridCol w:w="1522"/>
        <w:gridCol w:w="1567"/>
      </w:tblGrid>
      <w:tr>
        <w:trPr>
          <w:trHeight w:val="343" w:hRule="exact"/>
        </w:trPr>
        <w:tc>
          <w:tcPr>
            <w:tcW w:w="510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原金融工具准则</w:t>
            </w:r>
          </w:p>
        </w:tc>
        <w:tc>
          <w:tcPr>
            <w:tcW w:w="45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579" w:right="0"/>
              <w:jc w:val="left"/>
              <w:rPr>
                <w:rFonts w:ascii="宋体" w:hAnsi="宋体" w:cs="宋体" w:eastAsia="宋体" w:hint="default"/>
                <w:sz w:val="21"/>
                <w:szCs w:val="21"/>
              </w:rPr>
            </w:pPr>
            <w:r>
              <w:rPr>
                <w:rFonts w:ascii="宋体" w:hAnsi="宋体" w:cs="宋体" w:eastAsia="宋体" w:hint="default"/>
                <w:sz w:val="21"/>
                <w:szCs w:val="21"/>
              </w:rPr>
              <w:t>新金融工具准则</w:t>
            </w:r>
          </w:p>
        </w:tc>
      </w:tr>
      <w:tr>
        <w:trPr>
          <w:trHeight w:val="341"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97" w:right="0"/>
              <w:jc w:val="left"/>
              <w:rPr>
                <w:rFonts w:ascii="宋体" w:hAnsi="宋体" w:cs="宋体" w:eastAsia="宋体" w:hint="default"/>
                <w:sz w:val="21"/>
                <w:szCs w:val="21"/>
              </w:rPr>
            </w:pPr>
            <w:r>
              <w:rPr>
                <w:rFonts w:ascii="宋体" w:hAnsi="宋体" w:cs="宋体" w:eastAsia="宋体" w:hint="default"/>
                <w:sz w:val="21"/>
                <w:szCs w:val="21"/>
              </w:rPr>
              <w:t>列报项目</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58" w:right="0"/>
              <w:jc w:val="left"/>
              <w:rPr>
                <w:rFonts w:ascii="宋体" w:hAnsi="宋体" w:cs="宋体" w:eastAsia="宋体" w:hint="default"/>
                <w:sz w:val="21"/>
                <w:szCs w:val="21"/>
              </w:rPr>
            </w:pPr>
            <w:r>
              <w:rPr>
                <w:rFonts w:ascii="宋体" w:hAnsi="宋体" w:cs="宋体" w:eastAsia="宋体" w:hint="default"/>
                <w:sz w:val="21"/>
                <w:szCs w:val="21"/>
              </w:rPr>
              <w:t>计量类别</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21" w:right="0"/>
              <w:jc w:val="left"/>
              <w:rPr>
                <w:rFonts w:ascii="宋体" w:hAnsi="宋体" w:cs="宋体" w:eastAsia="宋体" w:hint="default"/>
                <w:sz w:val="21"/>
                <w:szCs w:val="21"/>
              </w:rPr>
            </w:pPr>
            <w:r>
              <w:rPr>
                <w:rFonts w:ascii="宋体" w:hAnsi="宋体" w:cs="宋体" w:eastAsia="宋体" w:hint="default"/>
                <w:sz w:val="21"/>
                <w:szCs w:val="21"/>
              </w:rPr>
              <w:t>账面价值</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12" w:right="0"/>
              <w:jc w:val="left"/>
              <w:rPr>
                <w:rFonts w:ascii="宋体" w:hAnsi="宋体" w:cs="宋体" w:eastAsia="宋体" w:hint="default"/>
                <w:sz w:val="21"/>
                <w:szCs w:val="21"/>
              </w:rPr>
            </w:pPr>
            <w:r>
              <w:rPr>
                <w:rFonts w:ascii="宋体" w:hAnsi="宋体" w:cs="宋体" w:eastAsia="宋体" w:hint="default"/>
                <w:sz w:val="21"/>
                <w:szCs w:val="21"/>
              </w:rPr>
              <w:t>列报项目</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35" w:right="0"/>
              <w:jc w:val="left"/>
              <w:rPr>
                <w:rFonts w:ascii="宋体" w:hAnsi="宋体" w:cs="宋体" w:eastAsia="宋体" w:hint="default"/>
                <w:sz w:val="21"/>
                <w:szCs w:val="21"/>
              </w:rPr>
            </w:pPr>
            <w:r>
              <w:rPr>
                <w:rFonts w:ascii="宋体" w:hAnsi="宋体" w:cs="宋体" w:eastAsia="宋体" w:hint="default"/>
                <w:sz w:val="21"/>
                <w:szCs w:val="21"/>
              </w:rPr>
              <w:t>计量类别</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57"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343"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pacing w:val="-1"/>
                <w:sz w:val="21"/>
              </w:rPr>
              <w:t>558,421,739.12</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558,421,739.12</w:t>
            </w:r>
          </w:p>
        </w:tc>
      </w:tr>
      <w:tr>
        <w:trPr>
          <w:trHeight w:val="341"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pacing w:val="-1"/>
                <w:sz w:val="21"/>
              </w:rPr>
              <w:t>1,225,312,519.11</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1,225,312,519.11</w:t>
            </w:r>
          </w:p>
        </w:tc>
      </w:tr>
      <w:tr>
        <w:trPr>
          <w:trHeight w:val="343"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pacing w:val="-1"/>
                <w:sz w:val="21"/>
              </w:rPr>
              <w:t>616,147,057.16</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616,147,057.16</w:t>
            </w:r>
          </w:p>
        </w:tc>
      </w:tr>
      <w:tr>
        <w:trPr>
          <w:trHeight w:val="965"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ind w:left="4" w:right="204"/>
              <w:jc w:val="left"/>
              <w:rPr>
                <w:rFonts w:ascii="Times New Roman" w:hAnsi="Times New Roman" w:cs="Times New Roman" w:eastAsia="Times New Roman" w:hint="default"/>
                <w:sz w:val="21"/>
                <w:szCs w:val="21"/>
              </w:rPr>
            </w:pPr>
            <w:r>
              <w:rPr>
                <w:rFonts w:ascii="宋体" w:hAnsi="宋体" w:cs="宋体" w:eastAsia="宋体" w:hint="default"/>
                <w:sz w:val="21"/>
                <w:szCs w:val="21"/>
              </w:rPr>
              <w:t>以成本计量</w:t>
            </w:r>
            <w:r>
              <w:rPr>
                <w:rFonts w:ascii="Times New Roman" w:hAnsi="Times New Roman" w:cs="Times New Roman" w:eastAsia="Times New Roman" w:hint="default"/>
                <w:sz w:val="21"/>
                <w:szCs w:val="21"/>
              </w:rPr>
              <w:t>(</w:t>
            </w:r>
            <w:r>
              <w:rPr>
                <w:rFonts w:ascii="宋体" w:hAnsi="宋体" w:cs="宋体" w:eastAsia="宋体" w:hint="default"/>
                <w:sz w:val="21"/>
                <w:szCs w:val="21"/>
              </w:rPr>
              <w:t>权益</w:t>
            </w:r>
            <w:r>
              <w:rPr>
                <w:rFonts w:ascii="宋体" w:hAnsi="宋体" w:cs="宋体" w:eastAsia="宋体" w:hint="default"/>
                <w:w w:val="100"/>
                <w:sz w:val="21"/>
                <w:szCs w:val="21"/>
              </w:rPr>
              <w:t> </w:t>
            </w:r>
            <w:r>
              <w:rPr>
                <w:rFonts w:ascii="宋体" w:hAnsi="宋体" w:cs="宋体" w:eastAsia="宋体" w:hint="default"/>
                <w:sz w:val="21"/>
                <w:szCs w:val="21"/>
              </w:rPr>
              <w:t>工具</w:t>
            </w:r>
            <w:r>
              <w:rPr>
                <w:rFonts w:ascii="Times New Roman" w:hAnsi="Times New Roman" w:cs="Times New Roman" w:eastAsia="Times New Roman" w:hint="default"/>
                <w:sz w:val="21"/>
                <w:szCs w:val="21"/>
              </w:rPr>
              <w:t>)</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pacing w:val="-1"/>
                <w:sz w:val="21"/>
              </w:rPr>
              <w:t>299,558,717.02</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7" w:right="187"/>
              <w:jc w:val="left"/>
              <w:rPr>
                <w:rFonts w:ascii="宋体" w:hAnsi="宋体" w:cs="宋体" w:eastAsia="宋体" w:hint="default"/>
                <w:sz w:val="21"/>
                <w:szCs w:val="21"/>
              </w:rPr>
            </w:pPr>
            <w:r>
              <w:rPr>
                <w:rFonts w:ascii="宋体" w:hAnsi="宋体" w:cs="宋体" w:eastAsia="宋体" w:hint="default"/>
                <w:sz w:val="21"/>
                <w:szCs w:val="21"/>
              </w:rPr>
              <w:t>其他非流动金</w:t>
            </w:r>
            <w:r>
              <w:rPr>
                <w:rFonts w:ascii="宋体" w:hAnsi="宋体" w:cs="宋体" w:eastAsia="宋体" w:hint="default"/>
                <w:w w:val="100"/>
                <w:sz w:val="21"/>
                <w:szCs w:val="21"/>
              </w:rPr>
              <w:t> </w:t>
            </w:r>
            <w:r>
              <w:rPr>
                <w:rFonts w:ascii="宋体" w:hAnsi="宋体" w:cs="宋体" w:eastAsia="宋体" w:hint="default"/>
                <w:sz w:val="21"/>
                <w:szCs w:val="21"/>
              </w:rPr>
              <w:t>融资产</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7" w:right="29"/>
              <w:jc w:val="both"/>
              <w:rPr>
                <w:rFonts w:ascii="宋体" w:hAnsi="宋体" w:cs="宋体" w:eastAsia="宋体" w:hint="default"/>
                <w:sz w:val="21"/>
                <w:szCs w:val="21"/>
              </w:rPr>
            </w:pPr>
            <w:r>
              <w:rPr>
                <w:rFonts w:ascii="宋体" w:hAnsi="宋体" w:cs="宋体" w:eastAsia="宋体" w:hint="default"/>
                <w:sz w:val="21"/>
                <w:szCs w:val="21"/>
              </w:rPr>
              <w:t>以公允价值计量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且其变动计入当</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期损益</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350,366,018.19</w:t>
            </w:r>
          </w:p>
        </w:tc>
      </w:tr>
      <w:tr>
        <w:trPr>
          <w:trHeight w:val="343"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pacing w:val="-1"/>
                <w:sz w:val="21"/>
              </w:rPr>
              <w:t>22,916,135.33</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7" w:right="0"/>
              <w:jc w:val="left"/>
              <w:rPr>
                <w:rFonts w:ascii="宋体" w:hAnsi="宋体" w:cs="宋体" w:eastAsia="宋体" w:hint="default"/>
                <w:sz w:val="21"/>
                <w:szCs w:val="21"/>
              </w:rPr>
            </w:pPr>
            <w:r>
              <w:rPr>
                <w:rFonts w:ascii="宋体" w:hAnsi="宋体" w:cs="宋体" w:eastAsia="宋体" w:hint="default"/>
                <w:sz w:val="21"/>
                <w:szCs w:val="21"/>
              </w:rPr>
              <w:t>摊余成本</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22,916,135.33</w:t>
            </w:r>
          </w:p>
        </w:tc>
      </w:tr>
    </w:tbl>
    <w:p>
      <w:pPr>
        <w:spacing w:line="240" w:lineRule="auto" w:before="2"/>
        <w:rPr>
          <w:rFonts w:ascii="宋体" w:hAnsi="宋体" w:cs="宋体" w:eastAsia="宋体" w:hint="default"/>
          <w:b/>
          <w:bCs/>
          <w:sz w:val="20"/>
          <w:szCs w:val="20"/>
        </w:rPr>
      </w:pPr>
    </w:p>
    <w:p>
      <w:pPr>
        <w:pStyle w:val="Heading4"/>
        <w:spacing w:line="256" w:lineRule="auto" w:before="36"/>
        <w:ind w:left="558" w:right="0"/>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52"/>
        </w:rPr>
        <w:t> </w:t>
      </w:r>
      <w:r>
        <w:rPr/>
        <w:t>执行《企业会计准则第</w:t>
      </w:r>
      <w:r>
        <w:rPr>
          <w:rFonts w:ascii="Times New Roman" w:hAnsi="Times New Roman" w:cs="Times New Roman" w:eastAsia="Times New Roman" w:hint="default"/>
        </w:rPr>
        <w:t>7</w:t>
      </w:r>
      <w:r>
        <w:rPr/>
        <w:t>号</w:t>
      </w:r>
      <w:r>
        <w:rPr>
          <w:rFonts w:ascii="Times New Roman" w:hAnsi="Times New Roman" w:cs="Times New Roman" w:eastAsia="Times New Roman" w:hint="default"/>
        </w:rPr>
        <w:t>——</w:t>
      </w:r>
      <w:r>
        <w:rPr/>
        <w:t>非货币性资产交换》（</w:t>
      </w:r>
      <w:r>
        <w:rPr>
          <w:rFonts w:ascii="Times New Roman" w:hAnsi="Times New Roman" w:cs="Times New Roman" w:eastAsia="Times New Roman" w:hint="default"/>
        </w:rPr>
        <w:t>2019</w:t>
      </w:r>
      <w:r>
        <w:rPr/>
        <w:t>修订）</w:t>
      </w:r>
      <w:r>
        <w:rPr>
          <w:w w:val="100"/>
        </w:rPr>
        <w:t> </w:t>
      </w:r>
      <w:r>
        <w:rPr>
          <w:spacing w:val="-12"/>
          <w:w w:val="100"/>
        </w:rPr>
        <w:t>财政部于</w:t>
      </w:r>
      <w:r>
        <w:rPr>
          <w:rFonts w:ascii="Times New Roman" w:hAnsi="Times New Roman" w:cs="Times New Roman" w:eastAsia="Times New Roman" w:hint="default"/>
          <w:spacing w:val="-12"/>
          <w:w w:val="100"/>
        </w:rPr>
        <w:t>2019</w:t>
      </w:r>
      <w:r>
        <w:rPr>
          <w:spacing w:val="-12"/>
          <w:w w:val="100"/>
        </w:rPr>
        <w:t>年</w:t>
      </w:r>
      <w:r>
        <w:rPr>
          <w:rFonts w:ascii="Times New Roman" w:hAnsi="Times New Roman" w:cs="Times New Roman" w:eastAsia="Times New Roman" w:hint="default"/>
          <w:spacing w:val="-12"/>
          <w:w w:val="100"/>
        </w:rPr>
        <w:t>5</w:t>
      </w:r>
      <w:r>
        <w:rPr>
          <w:spacing w:val="-12"/>
          <w:w w:val="100"/>
        </w:rPr>
        <w:t>月</w:t>
      </w:r>
      <w:r>
        <w:rPr>
          <w:rFonts w:ascii="Times New Roman" w:hAnsi="Times New Roman" w:cs="Times New Roman" w:eastAsia="Times New Roman" w:hint="default"/>
          <w:spacing w:val="-12"/>
          <w:w w:val="100"/>
        </w:rPr>
        <w:t>9</w:t>
      </w:r>
      <w:r>
        <w:rPr>
          <w:spacing w:val="-12"/>
          <w:w w:val="100"/>
        </w:rPr>
        <w:t>日发布了《企业会计准则第</w:t>
      </w:r>
      <w:r>
        <w:rPr>
          <w:rFonts w:ascii="Times New Roman" w:hAnsi="Times New Roman" w:cs="Times New Roman" w:eastAsia="Times New Roman" w:hint="default"/>
          <w:spacing w:val="-12"/>
          <w:w w:val="100"/>
        </w:rPr>
        <w:t>7</w:t>
      </w:r>
      <w:r>
        <w:rPr>
          <w:spacing w:val="-12"/>
          <w:w w:val="100"/>
        </w:rPr>
        <w:t>号</w:t>
      </w:r>
      <w:r>
        <w:rPr>
          <w:rFonts w:ascii="Times New Roman" w:hAnsi="Times New Roman" w:cs="Times New Roman" w:eastAsia="Times New Roman" w:hint="default"/>
          <w:spacing w:val="-12"/>
          <w:w w:val="100"/>
        </w:rPr>
        <w:t>——</w:t>
      </w:r>
      <w:r>
        <w:rPr>
          <w:spacing w:val="-12"/>
          <w:w w:val="100"/>
        </w:rPr>
        <w:t>非货币性资产交换》（</w:t>
      </w:r>
      <w:r>
        <w:rPr>
          <w:rFonts w:ascii="Times New Roman" w:hAnsi="Times New Roman" w:cs="Times New Roman" w:eastAsia="Times New Roman" w:hint="default"/>
          <w:spacing w:val="-12"/>
          <w:w w:val="100"/>
        </w:rPr>
        <w:t>2019</w:t>
      </w:r>
      <w:r>
        <w:rPr>
          <w:spacing w:val="-12"/>
          <w:w w:val="100"/>
        </w:rPr>
        <w:t>修订）（财会〔</w:t>
      </w:r>
      <w:r>
        <w:rPr>
          <w:rFonts w:ascii="Times New Roman" w:hAnsi="Times New Roman" w:cs="Times New Roman" w:eastAsia="Times New Roman" w:hint="default"/>
          <w:spacing w:val="-12"/>
          <w:w w:val="100"/>
        </w:rPr>
        <w:t>2019</w:t>
      </w:r>
      <w:r>
        <w:rPr>
          <w:spacing w:val="-12"/>
          <w:w w:val="100"/>
        </w:rPr>
        <w:t>〕</w:t>
      </w:r>
    </w:p>
    <w:p>
      <w:pPr>
        <w:pStyle w:val="Heading4"/>
        <w:spacing w:line="256" w:lineRule="auto" w:before="5"/>
        <w:ind w:left="229" w:right="1126"/>
        <w:jc w:val="both"/>
      </w:pPr>
      <w:r>
        <w:rPr>
          <w:rFonts w:ascii="Times New Roman" w:hAnsi="Times New Roman" w:cs="Times New Roman" w:eastAsia="Times New Roman" w:hint="default"/>
          <w:spacing w:val="-4"/>
        </w:rPr>
        <w:t>8</w:t>
      </w:r>
      <w:r>
        <w:rPr>
          <w:spacing w:val="-4"/>
        </w:rPr>
        <w:t>号），修订后的准则自</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10</w:t>
      </w:r>
      <w:r>
        <w:rPr>
          <w:spacing w:val="-4"/>
        </w:rPr>
        <w:t>日起施行，对</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w:t>
      </w:r>
      <w:r>
        <w:rPr>
          <w:spacing w:val="-4"/>
        </w:rPr>
        <w:t>月</w:t>
      </w:r>
      <w:r>
        <w:rPr>
          <w:rFonts w:ascii="Times New Roman" w:hAnsi="Times New Roman" w:cs="Times New Roman" w:eastAsia="Times New Roman" w:hint="default"/>
          <w:spacing w:val="-4"/>
        </w:rPr>
        <w:t>1</w:t>
      </w:r>
      <w:r>
        <w:rPr>
          <w:spacing w:val="-4"/>
        </w:rPr>
        <w:t>日至本准则施行日之间发生的非货币性资产</w:t>
      </w:r>
      <w:r>
        <w:rPr>
          <w:spacing w:val="-2"/>
        </w:rPr>
        <w:t> </w:t>
      </w:r>
      <w:r>
        <w:rPr>
          <w:spacing w:val="-2"/>
        </w:rPr>
      </w:r>
      <w:r>
        <w:rPr>
          <w:spacing w:val="-4"/>
        </w:rPr>
        <w:t>交换，应根据本准则进行调整。对</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w:t>
      </w:r>
      <w:r>
        <w:rPr>
          <w:spacing w:val="-4"/>
        </w:rPr>
        <w:t>月</w:t>
      </w:r>
      <w:r>
        <w:rPr>
          <w:rFonts w:ascii="Times New Roman" w:hAnsi="Times New Roman" w:cs="Times New Roman" w:eastAsia="Times New Roman" w:hint="default"/>
          <w:spacing w:val="-4"/>
        </w:rPr>
        <w:t>1</w:t>
      </w:r>
      <w:r>
        <w:rPr>
          <w:spacing w:val="-4"/>
        </w:rPr>
        <w:t>日之前发生的非货币性资产交换，不需要按照本准则的规定</w:t>
      </w:r>
      <w:r>
        <w:rPr>
          <w:spacing w:val="-15"/>
        </w:rPr>
        <w:t> </w:t>
      </w:r>
      <w:r>
        <w:rPr>
          <w:spacing w:val="-15"/>
        </w:rPr>
      </w:r>
      <w:r>
        <w:rPr/>
        <w:t>进行追溯调整。</w:t>
      </w:r>
    </w:p>
    <w:p>
      <w:pPr>
        <w:pStyle w:val="Heading4"/>
        <w:spacing w:line="240" w:lineRule="auto" w:before="22"/>
        <w:ind w:left="558" w:right="2602"/>
        <w:jc w:val="left"/>
      </w:pPr>
      <w:r>
        <w:rPr/>
        <w:t>本公司执行上述准则在本报告期内无重大影响。</w:t>
      </w:r>
    </w:p>
    <w:p>
      <w:pPr>
        <w:spacing w:line="240" w:lineRule="auto" w:before="9"/>
        <w:rPr>
          <w:rFonts w:ascii="宋体" w:hAnsi="宋体" w:cs="宋体" w:eastAsia="宋体" w:hint="default"/>
          <w:sz w:val="26"/>
          <w:szCs w:val="26"/>
        </w:rPr>
      </w:pPr>
    </w:p>
    <w:p>
      <w:pPr>
        <w:pStyle w:val="Heading4"/>
        <w:spacing w:line="256" w:lineRule="auto" w:before="0"/>
        <w:ind w:left="558" w:right="0"/>
        <w:jc w:val="left"/>
        <w:rPr>
          <w:rFonts w:ascii="Times New Roman" w:hAnsi="Times New Roman" w:cs="Times New Roman" w:eastAsia="Times New Roman" w:hint="default"/>
        </w:rPr>
      </w:pPr>
      <w:r>
        <w:rPr>
          <w:rFonts w:ascii="Times New Roman" w:hAnsi="Times New Roman" w:cs="Times New Roman" w:eastAsia="Times New Roman" w:hint="default"/>
        </w:rPr>
        <w:t>4.</w:t>
      </w:r>
      <w:r>
        <w:rPr>
          <w:rFonts w:ascii="Times New Roman" w:hAnsi="Times New Roman" w:cs="Times New Roman" w:eastAsia="Times New Roman" w:hint="default"/>
          <w:spacing w:val="52"/>
        </w:rPr>
        <w:t> </w:t>
      </w:r>
      <w:r>
        <w:rPr/>
        <w:t>执行《企业会计准则第</w:t>
      </w:r>
      <w:r>
        <w:rPr>
          <w:rFonts w:ascii="Times New Roman" w:hAnsi="Times New Roman" w:cs="Times New Roman" w:eastAsia="Times New Roman" w:hint="default"/>
        </w:rPr>
        <w:t>12</w:t>
      </w:r>
      <w:r>
        <w:rPr/>
        <w:t>号</w:t>
      </w:r>
      <w:r>
        <w:rPr>
          <w:rFonts w:ascii="Times New Roman" w:hAnsi="Times New Roman" w:cs="Times New Roman" w:eastAsia="Times New Roman" w:hint="default"/>
        </w:rPr>
        <w:t>——</w:t>
      </w:r>
      <w:r>
        <w:rPr/>
        <w:t>债务重组》（</w:t>
      </w:r>
      <w:r>
        <w:rPr>
          <w:rFonts w:ascii="Times New Roman" w:hAnsi="Times New Roman" w:cs="Times New Roman" w:eastAsia="Times New Roman" w:hint="default"/>
        </w:rPr>
        <w:t>2019</w:t>
      </w:r>
      <w:r>
        <w:rPr/>
        <w:t>修订）</w:t>
      </w:r>
      <w:r>
        <w:rPr>
          <w:w w:val="100"/>
        </w:rPr>
        <w:t> </w:t>
      </w:r>
      <w:r>
        <w:rPr>
          <w:spacing w:val="-2"/>
        </w:rPr>
        <w:t>财政部于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16</w:t>
      </w:r>
      <w:r>
        <w:rPr>
          <w:spacing w:val="-2"/>
        </w:rPr>
        <w:t>日发布了《企业会计准则第</w:t>
      </w:r>
      <w:r>
        <w:rPr>
          <w:rFonts w:ascii="Times New Roman" w:hAnsi="Times New Roman" w:cs="Times New Roman" w:eastAsia="Times New Roman" w:hint="default"/>
          <w:spacing w:val="-2"/>
        </w:rPr>
        <w:t>12</w:t>
      </w:r>
      <w:r>
        <w:rPr>
          <w:spacing w:val="-2"/>
        </w:rPr>
        <w:t>号</w:t>
      </w:r>
      <w:r>
        <w:rPr>
          <w:rFonts w:ascii="Times New Roman" w:hAnsi="Times New Roman" w:cs="Times New Roman" w:eastAsia="Times New Roman" w:hint="default"/>
          <w:spacing w:val="-2"/>
        </w:rPr>
        <w:t>——</w:t>
      </w:r>
      <w:r>
        <w:rPr>
          <w:spacing w:val="-2"/>
        </w:rPr>
        <w:t>债务重组》（</w:t>
      </w:r>
      <w:r>
        <w:rPr>
          <w:rFonts w:ascii="Times New Roman" w:hAnsi="Times New Roman" w:cs="Times New Roman" w:eastAsia="Times New Roman" w:hint="default"/>
          <w:spacing w:val="-2"/>
        </w:rPr>
        <w:t>2019</w:t>
      </w:r>
      <w:r>
        <w:rPr>
          <w:spacing w:val="-2"/>
        </w:rPr>
        <w:t>修订）（财会〔</w:t>
      </w:r>
      <w:r>
        <w:rPr>
          <w:rFonts w:ascii="Times New Roman" w:hAnsi="Times New Roman" w:cs="Times New Roman" w:eastAsia="Times New Roman" w:hint="default"/>
          <w:spacing w:val="-2"/>
        </w:rPr>
        <w:t>2019</w:t>
      </w:r>
      <w:r>
        <w:rPr>
          <w:spacing w:val="-2"/>
        </w:rPr>
        <w:t>〕</w:t>
      </w:r>
      <w:r>
        <w:rPr>
          <w:rFonts w:ascii="Times New Roman" w:hAnsi="Times New Roman" w:cs="Times New Roman" w:eastAsia="Times New Roman" w:hint="default"/>
          <w:spacing w:val="-2"/>
        </w:rPr>
        <w:t>9</w:t>
      </w:r>
    </w:p>
    <w:p>
      <w:pPr>
        <w:pStyle w:val="Heading4"/>
        <w:spacing w:line="256" w:lineRule="auto" w:before="5"/>
        <w:ind w:left="229" w:right="1128"/>
        <w:jc w:val="both"/>
      </w:pPr>
      <w:r>
        <w:rPr>
          <w:spacing w:val="-2"/>
        </w:rPr>
        <w:t>号），修订后的准则自</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17</w:t>
      </w:r>
      <w:r>
        <w:rPr>
          <w:spacing w:val="-2"/>
        </w:rPr>
        <w:t>日起施行，对</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日至本准则施行日之间发生的债务重组，应</w:t>
      </w:r>
      <w:r>
        <w:rPr>
          <w:spacing w:val="-7"/>
        </w:rPr>
        <w:t> </w:t>
      </w:r>
      <w:r>
        <w:rPr>
          <w:spacing w:val="-7"/>
        </w:rPr>
      </w:r>
      <w:r>
        <w:rPr/>
        <w:t>根据本准则进行调整。对</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日之前发生的债务重组，不需要按照本准则的规定进行追溯调整。</w:t>
      </w:r>
    </w:p>
    <w:p>
      <w:pPr>
        <w:pStyle w:val="Heading4"/>
        <w:spacing w:line="240" w:lineRule="auto" w:before="5"/>
        <w:ind w:left="558" w:right="2602"/>
        <w:jc w:val="left"/>
      </w:pPr>
      <w:r>
        <w:rPr/>
        <w:t>本公司执行上述准则在本报告期内无重大影响。</w:t>
      </w:r>
    </w:p>
    <w:p>
      <w:pPr>
        <w:spacing w:line="240" w:lineRule="auto" w:before="10"/>
        <w:rPr>
          <w:rFonts w:ascii="宋体" w:hAnsi="宋体" w:cs="宋体" w:eastAsia="宋体" w:hint="default"/>
          <w:sz w:val="25"/>
          <w:szCs w:val="25"/>
        </w:rPr>
      </w:pPr>
    </w:p>
    <w:p>
      <w:pPr>
        <w:pStyle w:val="Heading3"/>
        <w:spacing w:line="240" w:lineRule="auto"/>
        <w:ind w:right="0"/>
        <w:jc w:val="both"/>
        <w:rPr>
          <w:b w:val="0"/>
          <w:bCs w:val="0"/>
        </w:rPr>
      </w:pPr>
      <w:bookmarkStart w:name="（2）重要会计估计变更" w:id="234"/>
      <w:bookmarkEnd w:id="234"/>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0"/>
        <w:jc w:val="left"/>
        <w:rPr>
          <w:b w:val="0"/>
          <w:bCs w:val="0"/>
        </w:rPr>
      </w:pPr>
      <w:bookmarkStart w:name="（3）2019年起执行新金融工具准则、新收入准则或新租赁准则调整执行当年年初财务" w:id="235"/>
      <w:bookmarkEnd w:id="235"/>
      <w:r>
        <w:rPr>
          <w:b w:val="0"/>
          <w:bCs w:val="0"/>
        </w:rPr>
      </w: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5"/>
        </w:rPr>
        <w:t> </w:t>
      </w:r>
      <w:r>
        <w:rPr/>
        <w:t>年起执行新金融工具准则、新收入准则或新租赁准则调整执行当年年初财务报表相关项目情况</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338"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合并资产负债表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2" w:equalWidth="0">
            <w:col w:w="1534" w:space="7387"/>
            <w:col w:w="2009"/>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656"/>
        <w:gridCol w:w="1713"/>
        <w:gridCol w:w="1844"/>
        <w:gridCol w:w="1344"/>
      </w:tblGrid>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1,044,892,808.43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1,044,892,808.43</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17,495,234.23</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17,495,234.23</w:t>
            </w: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10,319,624.19</w:t>
            </w: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-10,319,624.19</w:t>
            </w: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1,530,034,738.02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1,530,034,738.02</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12,619,547.15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12,619,547.15</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169,255,836.49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169,255,836.49</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1,142,657,237.61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1,142,657,237.61</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187,319,160.72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187,319,160.72</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50,809,496.80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43,633,886.76</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-7,175,610.04</w:t>
            </w: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4,147,908,449.41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4,147,908,449.41</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299,558,717.02</w:t>
            </w: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-299,558,717.02</w:t>
            </w: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652"/>
        <w:gridCol w:w="1716"/>
        <w:gridCol w:w="1844"/>
        <w:gridCol w:w="1344"/>
      </w:tblGrid>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821,747,390.34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821,747,390.34</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91,180,730.41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91,180,730.41</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350,366,018.19</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350,366,018.19</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23,084,923.66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23,084,923.66</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379,524,704.21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379,524,704.21</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41,238,721.58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41,238,721.58</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740,370,833.29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740,370,833.29</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259,794,336.21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259,794,336.21</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982,765,464.16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982,765,464.16</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8,360,735.96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8,360,735.96</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24,657,000.00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24,657,000.00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3,672,283,556.84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3,727,086,347.27</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50,807,301.17</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7,820,192,006.25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7,870,999,307.42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50,807,301.17</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7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2,635,084,838.20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2,635,084,838.20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383,024,655.62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383,024,655.62</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10,308,570.19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10,308,570.19</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652"/>
        <w:gridCol w:w="1716"/>
        <w:gridCol w:w="1844"/>
        <w:gridCol w:w="1344"/>
      </w:tblGrid>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1,637,128.03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1,637,128.03</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123,978,336.94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123,978,336.94</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59,902,271.61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59,902,271.61</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8,873,837.75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8,873,837.75</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172,394,525.99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172,394,525.99</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3,386,330,326.58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3,386,330,326.58</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7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622,350,634.32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622,350,634.32</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23,342,763.42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23,342,763.42</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7,621,095.18</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7" w:right="0"/>
              <w:jc w:val="left"/>
              <w:rPr>
                <w:rFonts w:ascii="Times New Roman" w:hAnsi="Times New Roman" w:cs="Times New Roman" w:eastAsia="Times New Roman" w:hint="default"/>
                <w:sz w:val="18"/>
                <w:szCs w:val="18"/>
              </w:rPr>
            </w:pPr>
            <w:r>
              <w:rPr>
                <w:rFonts w:ascii="Times New Roman"/>
                <w:sz w:val="18"/>
              </w:rPr>
              <w:t>7,621,095.18</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133,276,632.40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133,276,632.40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778,970,030.14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786,591,125.32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7" w:right="0"/>
              <w:jc w:val="left"/>
              <w:rPr>
                <w:rFonts w:ascii="Times New Roman" w:hAnsi="Times New Roman" w:cs="Times New Roman" w:eastAsia="Times New Roman" w:hint="default"/>
                <w:sz w:val="18"/>
                <w:szCs w:val="18"/>
              </w:rPr>
            </w:pPr>
            <w:r>
              <w:rPr>
                <w:rFonts w:ascii="Times New Roman"/>
                <w:sz w:val="18"/>
              </w:rPr>
              <w:t>7,621,095.18</w:t>
            </w:r>
          </w:p>
        </w:tc>
      </w:tr>
      <w:tr>
        <w:trPr>
          <w:trHeight w:val="403"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4,165,300,356.72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4,172,921,451.90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67" w:right="0"/>
              <w:jc w:val="left"/>
              <w:rPr>
                <w:rFonts w:ascii="Times New Roman" w:hAnsi="Times New Roman" w:cs="Times New Roman" w:eastAsia="Times New Roman" w:hint="default"/>
                <w:sz w:val="18"/>
                <w:szCs w:val="18"/>
              </w:rPr>
            </w:pPr>
            <w:r>
              <w:rPr>
                <w:rFonts w:ascii="Times New Roman"/>
                <w:sz w:val="18"/>
              </w:rPr>
              <w:t>7,621,095.18</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7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1,099,449,688.00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1,099,449,688.00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1,098,069,412.27</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1,098,069,412.27</w:t>
            </w:r>
          </w:p>
        </w:tc>
        <w:tc>
          <w:tcPr>
            <w:tcW w:w="134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656"/>
        <w:gridCol w:w="1713"/>
        <w:gridCol w:w="1844"/>
        <w:gridCol w:w="1344"/>
      </w:tblGrid>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979,663.68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979,663.68</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145,834,602.82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150,153,223.42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4,318,620.60</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1,288,393,574.83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1,327,261,160.22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38,867,585.39</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3,632,726,941.60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3,675,913,147.59</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43,186,205.99</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22,164,707.93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22,164,707.93</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3,654,891,649.53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3,698,077,855.52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43,186,205.99</w:t>
            </w: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7,820,192,006.25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7,870,999,307.42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50,807,301.17</w:t>
            </w:r>
          </w:p>
        </w:tc>
      </w:tr>
    </w:tbl>
    <w:p>
      <w:pPr>
        <w:pStyle w:val="BodyText"/>
        <w:spacing w:line="240" w:lineRule="auto" w:before="49"/>
        <w:ind w:right="0"/>
        <w:jc w:val="both"/>
      </w:pPr>
      <w:r>
        <w:rPr/>
        <w:t>调整情况说明</w:t>
      </w:r>
    </w:p>
    <w:p>
      <w:pPr>
        <w:pStyle w:val="BodyText"/>
        <w:spacing w:line="240" w:lineRule="auto" w:before="115"/>
        <w:ind w:left="558" w:right="0"/>
        <w:jc w:val="left"/>
      </w:pPr>
      <w:r>
        <w:rPr/>
        <w:t>根据财政部发布的《关于印发修订</w:t>
      </w:r>
      <w:r>
        <w:rPr>
          <w:rFonts w:ascii="Times New Roman" w:hAnsi="Times New Roman" w:cs="Times New Roman" w:eastAsia="Times New Roman" w:hint="default"/>
        </w:rPr>
        <w:t>&lt;</w:t>
      </w:r>
      <w:r>
        <w:rPr/>
        <w:t>企业会计准则第 </w:t>
      </w:r>
      <w:r>
        <w:rPr>
          <w:rFonts w:ascii="Times New Roman" w:hAnsi="Times New Roman" w:cs="Times New Roman" w:eastAsia="Times New Roman" w:hint="default"/>
        </w:rPr>
        <w:t>22  </w:t>
      </w:r>
      <w:r>
        <w:rPr/>
        <w:t>号</w:t>
      </w:r>
      <w:r>
        <w:rPr>
          <w:rFonts w:ascii="Times New Roman" w:hAnsi="Times New Roman" w:cs="Times New Roman" w:eastAsia="Times New Roman" w:hint="default"/>
        </w:rPr>
        <w:t>—</w:t>
      </w:r>
      <w:r>
        <w:rPr/>
        <w:t>金融工具确认和计量</w:t>
      </w:r>
      <w:r>
        <w:rPr>
          <w:rFonts w:ascii="Times New Roman" w:hAnsi="Times New Roman" w:cs="Times New Roman" w:eastAsia="Times New Roman" w:hint="default"/>
        </w:rPr>
        <w:t>&gt;</w:t>
      </w:r>
      <w:r>
        <w:rPr/>
        <w:t>的通知》（财会〔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7 </w:t>
      </w:r>
      <w:r>
        <w:rPr>
          <w:rFonts w:ascii="Times New Roman" w:hAnsi="Times New Roman" w:cs="Times New Roman" w:eastAsia="Times New Roman" w:hint="default"/>
          <w:spacing w:val="27"/>
        </w:rPr>
        <w:t> </w:t>
      </w:r>
      <w:r>
        <w:rPr/>
        <w:t>号）、</w:t>
      </w:r>
    </w:p>
    <w:p>
      <w:pPr>
        <w:pStyle w:val="BodyText"/>
        <w:spacing w:line="300" w:lineRule="auto" w:before="63"/>
        <w:ind w:left="229" w:right="1128"/>
        <w:jc w:val="both"/>
      </w:pPr>
      <w:r>
        <w:rPr/>
        <w:t>《关于印发修订</w:t>
      </w:r>
      <w:r>
        <w:rPr>
          <w:rFonts w:ascii="Times New Roman" w:hAnsi="Times New Roman" w:cs="Times New Roman" w:eastAsia="Times New Roman" w:hint="default"/>
        </w:rPr>
        <w:t>&lt;</w:t>
      </w:r>
      <w:r>
        <w:rPr/>
        <w:t>企业会计准则第 </w:t>
      </w:r>
      <w:r>
        <w:rPr>
          <w:rFonts w:ascii="Times New Roman" w:hAnsi="Times New Roman" w:cs="Times New Roman" w:eastAsia="Times New Roman" w:hint="default"/>
        </w:rPr>
        <w:t>23 </w:t>
      </w:r>
      <w:r>
        <w:rPr/>
        <w:t>号 </w:t>
      </w:r>
      <w:r>
        <w:rPr>
          <w:rFonts w:ascii="Times New Roman" w:hAnsi="Times New Roman" w:cs="Times New Roman" w:eastAsia="Times New Roman" w:hint="default"/>
        </w:rPr>
        <w:t>—</w:t>
      </w:r>
      <w:r>
        <w:rPr/>
        <w:t>金融资产转移</w:t>
      </w:r>
      <w:r>
        <w:rPr>
          <w:rFonts w:ascii="Times New Roman" w:hAnsi="Times New Roman" w:cs="Times New Roman" w:eastAsia="Times New Roman" w:hint="default"/>
        </w:rPr>
        <w:t>&gt;</w:t>
      </w:r>
      <w:r>
        <w:rPr/>
        <w:t>的通知》（财会〔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8</w:t>
      </w:r>
      <w:r>
        <w:rPr>
          <w:rFonts w:ascii="Times New Roman" w:hAnsi="Times New Roman" w:cs="Times New Roman" w:eastAsia="Times New Roman" w:hint="default"/>
          <w:spacing w:val="26"/>
        </w:rPr>
        <w:t> </w:t>
      </w:r>
      <w:r>
        <w:rPr/>
        <w:t>号）、《关于印发修订</w:t>
      </w:r>
      <w:r>
        <w:rPr>
          <w:rFonts w:ascii="Times New Roman" w:hAnsi="Times New Roman" w:cs="Times New Roman" w:eastAsia="Times New Roman" w:hint="default"/>
        </w:rPr>
        <w:t>&lt;</w:t>
      </w:r>
      <w:r>
        <w:rPr/>
        <w:t>企业会计准 则第</w:t>
      </w:r>
      <w:r>
        <w:rPr>
          <w:spacing w:val="14"/>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号</w:t>
      </w:r>
      <w:r>
        <w:rPr>
          <w:rFonts w:ascii="Times New Roman" w:hAnsi="Times New Roman" w:cs="Times New Roman" w:eastAsia="Times New Roman" w:hint="default"/>
        </w:rPr>
        <w:t>—</w:t>
      </w:r>
      <w:r>
        <w:rPr/>
        <w:t>套期会计</w:t>
      </w:r>
      <w:r>
        <w:rPr>
          <w:rFonts w:ascii="Times New Roman" w:hAnsi="Times New Roman" w:cs="Times New Roman" w:eastAsia="Times New Roman" w:hint="default"/>
        </w:rPr>
        <w:t>&gt;</w:t>
      </w:r>
      <w:r>
        <w:rPr/>
        <w:t>的通知》（财会〔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9</w:t>
      </w:r>
      <w:r>
        <w:rPr>
          <w:rFonts w:ascii="Times New Roman" w:hAnsi="Times New Roman" w:cs="Times New Roman" w:eastAsia="Times New Roman" w:hint="default"/>
          <w:spacing w:val="10"/>
        </w:rPr>
        <w:t> </w:t>
      </w:r>
      <w:r>
        <w:rPr/>
        <w:t>号）、《关于印发修订</w:t>
      </w:r>
      <w:r>
        <w:rPr>
          <w:rFonts w:ascii="Times New Roman" w:hAnsi="Times New Roman" w:cs="Times New Roman" w:eastAsia="Times New Roman" w:hint="default"/>
        </w:rPr>
        <w:t>&lt;</w:t>
      </w:r>
      <w:r>
        <w:rPr/>
        <w:t>企业会计准则第</w:t>
      </w:r>
      <w:r>
        <w:rPr>
          <w:spacing w:val="14"/>
        </w:rPr>
        <w:t> </w:t>
      </w:r>
      <w:r>
        <w:rPr>
          <w:rFonts w:ascii="Times New Roman" w:hAnsi="Times New Roman" w:cs="Times New Roman" w:eastAsia="Times New Roman" w:hint="default"/>
        </w:rPr>
        <w:t>37</w:t>
      </w:r>
      <w:r>
        <w:rPr>
          <w:rFonts w:ascii="Times New Roman" w:hAnsi="Times New Roman" w:cs="Times New Roman" w:eastAsia="Times New Roman" w:hint="default"/>
          <w:spacing w:val="13"/>
        </w:rPr>
        <w:t> </w:t>
      </w:r>
      <w:r>
        <w:rPr/>
        <w:t>号</w:t>
      </w:r>
      <w:r>
        <w:rPr>
          <w:rFonts w:ascii="Times New Roman" w:hAnsi="Times New Roman" w:cs="Times New Roman" w:eastAsia="Times New Roman" w:hint="default"/>
        </w:rPr>
        <w:t>—</w:t>
      </w:r>
      <w:r>
        <w:rPr/>
        <w:t>金融工具列报</w:t>
      </w:r>
      <w:r>
        <w:rPr>
          <w:rFonts w:ascii="Times New Roman" w:hAnsi="Times New Roman" w:cs="Times New Roman" w:eastAsia="Times New Roman" w:hint="default"/>
        </w:rPr>
        <w:t>&gt;</w:t>
      </w:r>
      <w:r>
        <w:rPr/>
        <w:t>的通</w:t>
      </w:r>
      <w:r>
        <w:rPr>
          <w:spacing w:val="-88"/>
        </w:rPr>
        <w:t> </w:t>
      </w:r>
      <w:r>
        <w:rPr/>
        <w:t>知》（财会〔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14</w:t>
      </w:r>
      <w:r>
        <w:rPr>
          <w:rFonts w:ascii="Times New Roman" w:hAnsi="Times New Roman" w:cs="Times New Roman" w:eastAsia="Times New Roman" w:hint="default"/>
          <w:spacing w:val="15"/>
        </w:rPr>
        <w:t> </w:t>
      </w:r>
      <w:r>
        <w:rPr/>
        <w:t>号）的规定，要求单独在境内上市企业自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01</w:t>
      </w:r>
      <w:r>
        <w:rPr/>
        <w:t>月</w:t>
      </w:r>
      <w:r>
        <w:rPr>
          <w:rFonts w:ascii="Times New Roman" w:hAnsi="Times New Roman" w:cs="Times New Roman" w:eastAsia="Times New Roman" w:hint="default"/>
        </w:rPr>
        <w:t>01</w:t>
      </w:r>
      <w:r>
        <w:rPr/>
        <w:t>日起施行。本公司于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日召开第</w:t>
      </w:r>
      <w:r>
        <w:rPr>
          <w:spacing w:val="-88"/>
        </w:rPr>
        <w:t> </w:t>
      </w:r>
      <w:r>
        <w:rPr/>
        <w:t>六届董事会</w:t>
      </w:r>
      <w:r>
        <w:rPr>
          <w:rFonts w:ascii="Times New Roman" w:hAnsi="Times New Roman" w:cs="Times New Roman" w:eastAsia="Times New Roman" w:hint="default"/>
        </w:rPr>
        <w:t>2019</w:t>
      </w:r>
      <w:r>
        <w:rPr/>
        <w:t>年第八次临时会议及第六届监事会</w:t>
      </w:r>
      <w:r>
        <w:rPr>
          <w:rFonts w:ascii="Times New Roman" w:hAnsi="Times New Roman" w:cs="Times New Roman" w:eastAsia="Times New Roman" w:hint="default"/>
        </w:rPr>
        <w:t>2019</w:t>
      </w:r>
      <w:r>
        <w:rPr/>
        <w:t>年第二次临时会议审议通过了《关于会计政策变更的议案》，公司</w:t>
      </w:r>
      <w:r>
        <w:rPr>
          <w:spacing w:val="-76"/>
        </w:rPr>
        <w:t> </w:t>
      </w:r>
      <w:r>
        <w:rPr>
          <w:spacing w:val="-76"/>
        </w:rPr>
      </w:r>
      <w:r>
        <w:rPr/>
        <w:t>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01</w:t>
      </w:r>
      <w:r>
        <w:rPr/>
        <w:t>月</w:t>
      </w:r>
      <w:r>
        <w:rPr>
          <w:rFonts w:ascii="Times New Roman" w:hAnsi="Times New Roman" w:cs="Times New Roman" w:eastAsia="Times New Roman" w:hint="default"/>
        </w:rPr>
        <w:t>01</w:t>
      </w:r>
      <w:r>
        <w:rPr/>
        <w:t>日起执行上述新金融工具准则，本次会计政策变更不涉及以前年度的追溯调整，不影响公司</w:t>
      </w:r>
      <w:r>
        <w:rPr>
          <w:rFonts w:ascii="Times New Roman" w:hAnsi="Times New Roman" w:cs="Times New Roman" w:eastAsia="Times New Roman" w:hint="default"/>
        </w:rPr>
        <w:t>2018</w:t>
      </w:r>
      <w:r>
        <w:rPr/>
        <w:t>年度相关</w:t>
      </w:r>
      <w:r>
        <w:rPr>
          <w:spacing w:val="-76"/>
        </w:rPr>
        <w:t> </w:t>
      </w:r>
      <w:r>
        <w:rPr>
          <w:spacing w:val="-76"/>
        </w:rPr>
      </w:r>
      <w:r>
        <w:rPr/>
        <w:t>财务指标。</w:t>
      </w:r>
    </w:p>
    <w:p>
      <w:pPr>
        <w:spacing w:line="240" w:lineRule="auto" w:before="13"/>
        <w:rPr>
          <w:rFonts w:ascii="宋体" w:hAnsi="宋体" w:cs="宋体" w:eastAsia="宋体" w:hint="default"/>
          <w:sz w:val="25"/>
          <w:szCs w:val="25"/>
        </w:rPr>
      </w:pPr>
    </w:p>
    <w:p>
      <w:pPr>
        <w:pStyle w:val="BodyText"/>
        <w:spacing w:line="240" w:lineRule="auto" w:before="44"/>
        <w:ind w:right="2602"/>
        <w:jc w:val="left"/>
      </w:pPr>
      <w:r>
        <w:rPr/>
        <w:t>母公司资产负债表</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656"/>
        <w:gridCol w:w="1713"/>
        <w:gridCol w:w="1844"/>
        <w:gridCol w:w="1344"/>
      </w:tblGrid>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558,421,739.12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558,421,739.12</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1,225,312,519.11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1,225,312,519.11</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3,655,089.52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3,655,089.52</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616,147,057.16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616,147,057.16</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1,099,434,078.59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1,099,434,078.59</w:t>
            </w:r>
          </w:p>
        </w:tc>
        <w:tc>
          <w:tcPr>
            <w:tcW w:w="134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656"/>
        <w:gridCol w:w="1713"/>
        <w:gridCol w:w="1844"/>
        <w:gridCol w:w="1344"/>
      </w:tblGrid>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9,127,491.98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9,127,491.98</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3,512,097,975.48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3,512,097,975.48</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299,558,717.02</w:t>
            </w: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-299,558,717.02</w:t>
            </w: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22,916,135.33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22,916,135.33</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1,848,548,338.60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1,848,548,338.60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350,366,018.19</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350,366,018.19</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18,446,605.10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18,446,605.10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321,821,538.59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321,821,538.59</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34,651,570.96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34,651,570.96</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656,642,865.26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656,642,865.26</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257,718,675.88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257,718,675.88</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6,632,488.11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6,632,488.11</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24,657,000.00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24,657,000.00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3,491,593,934.85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3,542,401,236.02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50,807,301.17</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7,003,691,910.33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7,054,499,211.50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50,807,301.17</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2,458,384,838.20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2,458,384,838.20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652"/>
        <w:gridCol w:w="1716"/>
        <w:gridCol w:w="1844"/>
        <w:gridCol w:w="1344"/>
      </w:tblGrid>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161,259,154.94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161,259,154.94</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9,202,934.69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9,202,934.69</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90,680,827.64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90,680,827.64</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234,319,455.14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234,319,455.14</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9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119,950,032.56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119,950,032.56</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3,073,797,243.17</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3,073,797,243.17</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7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482,109,515.74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482,109,515.74</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23,342,763.42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23,342,763.42</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7,621,095.18</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7" w:right="0"/>
              <w:jc w:val="left"/>
              <w:rPr>
                <w:rFonts w:ascii="Times New Roman" w:hAnsi="Times New Roman" w:cs="Times New Roman" w:eastAsia="Times New Roman" w:hint="default"/>
                <w:sz w:val="18"/>
                <w:szCs w:val="18"/>
              </w:rPr>
            </w:pPr>
            <w:r>
              <w:rPr>
                <w:rFonts w:ascii="Times New Roman"/>
                <w:sz w:val="18"/>
              </w:rPr>
              <w:t>7,621,095.18</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505,452,279.16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513,073,374.34</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7" w:right="0"/>
              <w:jc w:val="left"/>
              <w:rPr>
                <w:rFonts w:ascii="Times New Roman" w:hAnsi="Times New Roman" w:cs="Times New Roman" w:eastAsia="Times New Roman" w:hint="default"/>
                <w:sz w:val="18"/>
                <w:szCs w:val="18"/>
              </w:rPr>
            </w:pPr>
            <w:r>
              <w:rPr>
                <w:rFonts w:ascii="Times New Roman"/>
                <w:sz w:val="18"/>
              </w:rPr>
              <w:t>7,621,095.18</w:t>
            </w:r>
          </w:p>
        </w:tc>
      </w:tr>
      <w:tr>
        <w:trPr>
          <w:trHeight w:val="403"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3,579,249,522.33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3,586,870,617.51</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67" w:right="0"/>
              <w:jc w:val="left"/>
              <w:rPr>
                <w:rFonts w:ascii="Times New Roman" w:hAnsi="Times New Roman" w:cs="Times New Roman" w:eastAsia="Times New Roman" w:hint="default"/>
                <w:sz w:val="18"/>
                <w:szCs w:val="18"/>
              </w:rPr>
            </w:pPr>
            <w:r>
              <w:rPr>
                <w:rFonts w:ascii="Times New Roman"/>
                <w:sz w:val="18"/>
              </w:rPr>
              <w:t>7,621,095.18</w:t>
            </w: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7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1,099,449,688.00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1,099,449,688.00</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716"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7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1,228,381,164.27</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1,228,381,164.27</w:t>
            </w:r>
          </w:p>
        </w:tc>
        <w:tc>
          <w:tcPr>
            <w:tcW w:w="134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4656"/>
        <w:gridCol w:w="1713"/>
        <w:gridCol w:w="1844"/>
        <w:gridCol w:w="1344"/>
      </w:tblGrid>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2,363,526.48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2,363,526.48</w:t>
            </w: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713" w:type="dxa"/>
            <w:tcBorders>
              <w:top w:val="single" w:sz="4" w:space="0" w:color="000000"/>
              <w:left w:val="single" w:sz="10" w:space="0" w:color="D2D2D2"/>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145,834,602.82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150,153,223.42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4,318,620.60</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948,413,406.43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987,280,991.82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38,867,585.39</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3,424,442,388.00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3,467,628,593.99</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43,186,205.99</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7,003,691,910.33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7,054,499,211.50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50,807,301.17</w:t>
            </w:r>
          </w:p>
        </w:tc>
      </w:tr>
    </w:tbl>
    <w:p>
      <w:pPr>
        <w:pStyle w:val="BodyText"/>
        <w:spacing w:line="240" w:lineRule="auto" w:before="49"/>
        <w:ind w:right="0"/>
        <w:jc w:val="both"/>
      </w:pPr>
      <w:r>
        <w:rPr/>
        <w:t>调整情况说明</w:t>
      </w:r>
    </w:p>
    <w:p>
      <w:pPr>
        <w:pStyle w:val="BodyText"/>
        <w:spacing w:line="240" w:lineRule="auto" w:before="94"/>
        <w:ind w:left="558" w:right="0"/>
        <w:jc w:val="left"/>
      </w:pPr>
      <w:r>
        <w:rPr/>
        <w:t>根据财政部发布的《关于印发修订</w:t>
      </w:r>
      <w:r>
        <w:rPr>
          <w:rFonts w:ascii="Times New Roman" w:hAnsi="Times New Roman" w:cs="Times New Roman" w:eastAsia="Times New Roman" w:hint="default"/>
        </w:rPr>
        <w:t>&lt;</w:t>
      </w:r>
      <w:r>
        <w:rPr/>
        <w:t>企业会计准则第 </w:t>
      </w:r>
      <w:r>
        <w:rPr>
          <w:rFonts w:ascii="Times New Roman" w:hAnsi="Times New Roman" w:cs="Times New Roman" w:eastAsia="Times New Roman" w:hint="default"/>
        </w:rPr>
        <w:t>22  </w:t>
      </w:r>
      <w:r>
        <w:rPr>
          <w:spacing w:val="-4"/>
        </w:rPr>
        <w:t>号</w:t>
      </w:r>
      <w:r>
        <w:rPr>
          <w:rFonts w:ascii="Times New Roman" w:hAnsi="Times New Roman" w:cs="Times New Roman" w:eastAsia="Times New Roman" w:hint="default"/>
          <w:spacing w:val="-4"/>
        </w:rPr>
        <w:t>—</w:t>
      </w:r>
      <w:r>
        <w:rPr>
          <w:spacing w:val="-4"/>
        </w:rPr>
        <w:t>金融工具确认和计量</w:t>
      </w:r>
      <w:r>
        <w:rPr>
          <w:rFonts w:ascii="Times New Roman" w:hAnsi="Times New Roman" w:cs="Times New Roman" w:eastAsia="Times New Roman" w:hint="default"/>
          <w:spacing w:val="-4"/>
        </w:rPr>
        <w:t>&gt;</w:t>
      </w:r>
      <w:r>
        <w:rPr>
          <w:spacing w:val="-4"/>
        </w:rPr>
        <w:t>的通知》（财会</w:t>
      </w:r>
      <w:r>
        <w:rPr>
          <w:spacing w:val="-4"/>
          <w:sz w:val="21"/>
          <w:szCs w:val="21"/>
        </w:rPr>
        <w:t>〔</w:t>
      </w:r>
      <w:r>
        <w:rPr>
          <w:rFonts w:ascii="Times New Roman" w:hAnsi="Times New Roman" w:cs="Times New Roman" w:eastAsia="Times New Roman" w:hint="default"/>
          <w:spacing w:val="-4"/>
          <w:sz w:val="21"/>
          <w:szCs w:val="21"/>
        </w:rPr>
        <w:t>2017</w:t>
      </w:r>
      <w:r>
        <w:rPr>
          <w:spacing w:val="-4"/>
          <w:sz w:val="21"/>
          <w:szCs w:val="21"/>
        </w:rPr>
        <w:t>〕</w:t>
      </w:r>
      <w:r>
        <w:rPr>
          <w:rFonts w:ascii="Times New Roman" w:hAnsi="Times New Roman" w:cs="Times New Roman" w:eastAsia="Times New Roman" w:hint="default"/>
          <w:spacing w:val="-4"/>
        </w:rPr>
        <w:t>7 </w:t>
      </w:r>
      <w:r>
        <w:rPr>
          <w:rFonts w:ascii="Times New Roman" w:hAnsi="Times New Roman" w:cs="Times New Roman" w:eastAsia="Times New Roman" w:hint="default"/>
          <w:spacing w:val="27"/>
        </w:rPr>
        <w:t> </w:t>
      </w:r>
      <w:r>
        <w:rPr>
          <w:spacing w:val="-4"/>
        </w:rPr>
        <w:t>号）、</w:t>
      </w:r>
    </w:p>
    <w:p>
      <w:pPr>
        <w:pStyle w:val="BodyText"/>
        <w:spacing w:line="264" w:lineRule="auto" w:before="22"/>
        <w:ind w:left="229" w:right="1126"/>
        <w:jc w:val="both"/>
      </w:pPr>
      <w:r>
        <w:rPr/>
        <w:t>《关于印发修订</w:t>
      </w:r>
      <w:r>
        <w:rPr>
          <w:rFonts w:ascii="Times New Roman" w:hAnsi="Times New Roman" w:cs="Times New Roman" w:eastAsia="Times New Roman" w:hint="default"/>
        </w:rPr>
        <w:t>&lt;</w:t>
      </w:r>
      <w:r>
        <w:rPr/>
        <w:t>企业会计准则第 </w:t>
      </w:r>
      <w:r>
        <w:rPr>
          <w:rFonts w:ascii="Times New Roman" w:hAnsi="Times New Roman" w:cs="Times New Roman" w:eastAsia="Times New Roman" w:hint="default"/>
        </w:rPr>
        <w:t>23 </w:t>
      </w:r>
      <w:r>
        <w:rPr/>
        <w:t>号 </w:t>
      </w:r>
      <w:r>
        <w:rPr>
          <w:rFonts w:ascii="Times New Roman" w:hAnsi="Times New Roman" w:cs="Times New Roman" w:eastAsia="Times New Roman" w:hint="default"/>
        </w:rPr>
        <w:t>—</w:t>
      </w:r>
      <w:r>
        <w:rPr/>
        <w:t>金融资产转移</w:t>
      </w:r>
      <w:r>
        <w:rPr>
          <w:rFonts w:ascii="Times New Roman" w:hAnsi="Times New Roman" w:cs="Times New Roman" w:eastAsia="Times New Roman" w:hint="default"/>
        </w:rPr>
        <w:t>&gt;</w:t>
      </w:r>
      <w:r>
        <w:rPr/>
        <w:t>的通知》（财会</w:t>
      </w:r>
      <w:r>
        <w:rPr>
          <w:sz w:val="21"/>
          <w:szCs w:val="21"/>
        </w:rPr>
        <w:t>〔</w:t>
      </w:r>
      <w:r>
        <w:rPr>
          <w:rFonts w:ascii="Times New Roman" w:hAnsi="Times New Roman" w:cs="Times New Roman" w:eastAsia="Times New Roman" w:hint="default"/>
          <w:sz w:val="21"/>
          <w:szCs w:val="21"/>
        </w:rPr>
        <w:t>2017</w:t>
      </w:r>
      <w:r>
        <w:rPr>
          <w:sz w:val="21"/>
          <w:szCs w:val="21"/>
        </w:rPr>
        <w:t>〕</w:t>
      </w:r>
      <w:r>
        <w:rPr>
          <w:rFonts w:ascii="Times New Roman" w:hAnsi="Times New Roman" w:cs="Times New Roman" w:eastAsia="Times New Roman" w:hint="default"/>
        </w:rPr>
        <w:t>8</w:t>
      </w:r>
      <w:r>
        <w:rPr>
          <w:rFonts w:ascii="Times New Roman" w:hAnsi="Times New Roman" w:cs="Times New Roman" w:eastAsia="Times New Roman" w:hint="default"/>
          <w:spacing w:val="36"/>
        </w:rPr>
        <w:t> </w:t>
      </w:r>
      <w:r>
        <w:rPr/>
        <w:t>号）、《关于印发修订</w:t>
      </w:r>
      <w:r>
        <w:rPr>
          <w:rFonts w:ascii="Times New Roman" w:hAnsi="Times New Roman" w:cs="Times New Roman" w:eastAsia="Times New Roman" w:hint="default"/>
        </w:rPr>
        <w:t>&lt;</w:t>
      </w:r>
      <w:r>
        <w:rPr/>
        <w:t>企业会计 准则第 </w:t>
      </w:r>
      <w:r>
        <w:rPr>
          <w:rFonts w:ascii="Times New Roman" w:hAnsi="Times New Roman" w:cs="Times New Roman" w:eastAsia="Times New Roman" w:hint="default"/>
        </w:rPr>
        <w:t>24 </w:t>
      </w:r>
      <w:r>
        <w:rPr>
          <w:spacing w:val="-3"/>
        </w:rPr>
        <w:t>号</w:t>
      </w:r>
      <w:r>
        <w:rPr>
          <w:rFonts w:ascii="Times New Roman" w:hAnsi="Times New Roman" w:cs="Times New Roman" w:eastAsia="Times New Roman" w:hint="default"/>
          <w:spacing w:val="-3"/>
        </w:rPr>
        <w:t>—</w:t>
      </w:r>
      <w:r>
        <w:rPr>
          <w:spacing w:val="-3"/>
        </w:rPr>
        <w:t>套期会计</w:t>
      </w:r>
      <w:r>
        <w:rPr>
          <w:rFonts w:ascii="Times New Roman" w:hAnsi="Times New Roman" w:cs="Times New Roman" w:eastAsia="Times New Roman" w:hint="default"/>
          <w:spacing w:val="-3"/>
        </w:rPr>
        <w:t>&gt;</w:t>
      </w:r>
      <w:r>
        <w:rPr>
          <w:spacing w:val="-3"/>
        </w:rPr>
        <w:t>的通知》（财会</w:t>
      </w:r>
      <w:r>
        <w:rPr>
          <w:spacing w:val="-3"/>
          <w:sz w:val="21"/>
          <w:szCs w:val="21"/>
        </w:rPr>
        <w:t>〔</w:t>
      </w:r>
      <w:r>
        <w:rPr>
          <w:rFonts w:ascii="Times New Roman" w:hAnsi="Times New Roman" w:cs="Times New Roman" w:eastAsia="Times New Roman" w:hint="default"/>
          <w:spacing w:val="-3"/>
          <w:sz w:val="21"/>
          <w:szCs w:val="21"/>
        </w:rPr>
        <w:t>2017</w:t>
      </w:r>
      <w:r>
        <w:rPr>
          <w:spacing w:val="-3"/>
          <w:sz w:val="21"/>
          <w:szCs w:val="21"/>
        </w:rPr>
        <w:t>〕</w:t>
      </w:r>
      <w:r>
        <w:rPr>
          <w:rFonts w:ascii="Times New Roman" w:hAnsi="Times New Roman" w:cs="Times New Roman" w:eastAsia="Times New Roman" w:hint="default"/>
          <w:spacing w:val="-3"/>
        </w:rPr>
        <w:t>9 </w:t>
      </w:r>
      <w:r>
        <w:rPr/>
        <w:t>号）、《关于印发修订</w:t>
      </w:r>
      <w:r>
        <w:rPr>
          <w:rFonts w:ascii="Times New Roman" w:hAnsi="Times New Roman" w:cs="Times New Roman" w:eastAsia="Times New Roman" w:hint="default"/>
        </w:rPr>
        <w:t>&lt;</w:t>
      </w:r>
      <w:r>
        <w:rPr/>
        <w:t>企业会计准则第 </w:t>
      </w:r>
      <w:r>
        <w:rPr>
          <w:rFonts w:ascii="Times New Roman" w:hAnsi="Times New Roman" w:cs="Times New Roman" w:eastAsia="Times New Roman" w:hint="default"/>
        </w:rPr>
        <w:t>37</w:t>
      </w:r>
      <w:r>
        <w:rPr>
          <w:rFonts w:ascii="Times New Roman" w:hAnsi="Times New Roman" w:cs="Times New Roman" w:eastAsia="Times New Roman" w:hint="default"/>
          <w:spacing w:val="22"/>
        </w:rPr>
        <w:t> </w:t>
      </w:r>
      <w:r>
        <w:rPr/>
        <w:t>号</w:t>
      </w:r>
      <w:r>
        <w:rPr>
          <w:rFonts w:ascii="Times New Roman" w:hAnsi="Times New Roman" w:cs="Times New Roman" w:eastAsia="Times New Roman" w:hint="default"/>
        </w:rPr>
        <w:t>—</w:t>
      </w:r>
      <w:r>
        <w:rPr/>
        <w:t>金融工具列报</w:t>
      </w:r>
      <w:r>
        <w:rPr>
          <w:rFonts w:ascii="Times New Roman" w:hAnsi="Times New Roman" w:cs="Times New Roman" w:eastAsia="Times New Roman" w:hint="default"/>
        </w:rPr>
        <w:t>&gt;</w:t>
      </w:r>
      <w:r>
        <w:rPr/>
        <w:t>的 通知》（财会</w:t>
      </w:r>
      <w:r>
        <w:rPr>
          <w:sz w:val="21"/>
          <w:szCs w:val="21"/>
        </w:rPr>
        <w:t>〔</w:t>
      </w:r>
      <w:r>
        <w:rPr>
          <w:rFonts w:ascii="Times New Roman" w:hAnsi="Times New Roman" w:cs="Times New Roman" w:eastAsia="Times New Roman" w:hint="default"/>
          <w:sz w:val="21"/>
          <w:szCs w:val="21"/>
        </w:rPr>
        <w:t>2017</w:t>
      </w:r>
      <w:r>
        <w:rPr>
          <w:sz w:val="21"/>
          <w:szCs w:val="21"/>
        </w:rPr>
        <w:t>〕</w:t>
      </w:r>
      <w:r>
        <w:rPr>
          <w:rFonts w:ascii="Times New Roman" w:hAnsi="Times New Roman" w:cs="Times New Roman" w:eastAsia="Times New Roman" w:hint="default"/>
        </w:rPr>
        <w:t>14 </w:t>
      </w:r>
      <w:r>
        <w:rPr/>
        <w:t>号）的规定，要求单独在境内上市企业自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01</w:t>
      </w:r>
      <w:r>
        <w:rPr/>
        <w:t>月</w:t>
      </w:r>
      <w:r>
        <w:rPr>
          <w:rFonts w:ascii="Times New Roman" w:hAnsi="Times New Roman" w:cs="Times New Roman" w:eastAsia="Times New Roman" w:hint="default"/>
        </w:rPr>
        <w:t>01</w:t>
      </w:r>
      <w:r>
        <w:rPr/>
        <w:t>日起施行。本公司于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日召</w:t>
      </w:r>
      <w:r>
        <w:rPr>
          <w:spacing w:val="-66"/>
        </w:rPr>
        <w:t> </w:t>
      </w:r>
      <w:r>
        <w:rPr/>
        <w:t>开第六届董事会</w:t>
      </w:r>
      <w:r>
        <w:rPr>
          <w:rFonts w:ascii="Times New Roman" w:hAnsi="Times New Roman" w:cs="Times New Roman" w:eastAsia="Times New Roman" w:hint="default"/>
        </w:rPr>
        <w:t>2019</w:t>
      </w:r>
      <w:r>
        <w:rPr/>
        <w:t>年第八次临时会议及第六届监事会</w:t>
      </w:r>
      <w:r>
        <w:rPr>
          <w:rFonts w:ascii="Times New Roman" w:hAnsi="Times New Roman" w:cs="Times New Roman" w:eastAsia="Times New Roman" w:hint="default"/>
        </w:rPr>
        <w:t>2019</w:t>
      </w:r>
      <w:r>
        <w:rPr/>
        <w:t>年第二次临时会议审议通过了《关于会计政策变更的议案》，</w:t>
      </w:r>
    </w:p>
    <w:p>
      <w:pPr>
        <w:pStyle w:val="BodyText"/>
        <w:spacing w:line="300" w:lineRule="auto" w:before="43"/>
        <w:ind w:left="229" w:right="0"/>
        <w:jc w:val="left"/>
      </w:pPr>
      <w:r>
        <w:rPr/>
        <w:t>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01</w:t>
      </w:r>
      <w:r>
        <w:rPr/>
        <w:t>月</w:t>
      </w:r>
      <w:r>
        <w:rPr>
          <w:rFonts w:ascii="Times New Roman" w:hAnsi="Times New Roman" w:cs="Times New Roman" w:eastAsia="Times New Roman" w:hint="default"/>
        </w:rPr>
        <w:t>01</w:t>
      </w:r>
      <w:r>
        <w:rPr/>
        <w:t>日起执行上述新金融工具准则，本次会计政策变更不涉及以前年度的追溯调整，不影响公司</w:t>
      </w:r>
      <w:r>
        <w:rPr>
          <w:rFonts w:ascii="Times New Roman" w:hAnsi="Times New Roman" w:cs="Times New Roman" w:eastAsia="Times New Roman" w:hint="default"/>
        </w:rPr>
        <w:t>2018</w:t>
      </w:r>
      <w:r>
        <w:rPr/>
        <w:t>年度</w:t>
      </w:r>
      <w:r>
        <w:rPr>
          <w:spacing w:val="-79"/>
        </w:rPr>
        <w:t> </w:t>
      </w:r>
      <w:r>
        <w:rPr/>
        <w:t>相关财务指标。</w:t>
      </w:r>
    </w:p>
    <w:p>
      <w:pPr>
        <w:spacing w:line="240" w:lineRule="auto" w:before="10"/>
        <w:rPr>
          <w:rFonts w:ascii="宋体" w:hAnsi="宋体" w:cs="宋体" w:eastAsia="宋体" w:hint="default"/>
          <w:sz w:val="23"/>
          <w:szCs w:val="23"/>
        </w:rPr>
      </w:pPr>
    </w:p>
    <w:p>
      <w:pPr>
        <w:pStyle w:val="Heading3"/>
        <w:spacing w:line="240" w:lineRule="auto"/>
        <w:ind w:right="0"/>
        <w:jc w:val="both"/>
        <w:rPr>
          <w:b w:val="0"/>
          <w:bCs w:val="0"/>
        </w:rPr>
      </w:pPr>
      <w:bookmarkStart w:name="（4）2019年起执行新金融工具准则或新租赁准则追溯调整前期比较数据说明" w:id="236"/>
      <w:bookmarkEnd w:id="236"/>
      <w:r>
        <w:rPr>
          <w:b w:val="0"/>
          <w:bCs w:val="0"/>
        </w:rPr>
      </w: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年起执行新金融工具准则或新租赁准则追溯调整前期比较数据说明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3"/>
        <w:spacing w:line="240" w:lineRule="auto"/>
        <w:ind w:right="0"/>
        <w:jc w:val="both"/>
        <w:rPr>
          <w:b w:val="0"/>
          <w:bCs w:val="0"/>
        </w:rPr>
      </w:pPr>
      <w:bookmarkStart w:name="45、其他" w:id="237"/>
      <w:bookmarkEnd w:id="237"/>
      <w:r>
        <w:rPr>
          <w:b w:val="0"/>
          <w:bCs w:val="0"/>
        </w:rPr>
      </w:r>
      <w:r>
        <w:rPr>
          <w:rFonts w:ascii="Times New Roman" w:hAnsi="Times New Roman" w:cs="Times New Roman" w:eastAsia="Times New Roman" w:hint="default"/>
        </w:rPr>
        <w:t>45</w:t>
      </w:r>
      <w:r>
        <w:rPr/>
        <w:t>、其他</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0" w:right="9566"/>
        <w:jc w:val="center"/>
      </w:pPr>
      <w:r>
        <w:rPr>
          <w:w w:val="100"/>
        </w:rPr>
        <w:t>无</w:t>
      </w:r>
    </w:p>
    <w:p>
      <w:pPr>
        <w:spacing w:line="240" w:lineRule="auto" w:before="11"/>
        <w:rPr>
          <w:rFonts w:ascii="宋体" w:hAnsi="宋体" w:cs="宋体" w:eastAsia="宋体" w:hint="default"/>
          <w:sz w:val="23"/>
          <w:szCs w:val="23"/>
        </w:rPr>
      </w:pPr>
    </w:p>
    <w:p>
      <w:pPr>
        <w:pStyle w:val="Heading2"/>
        <w:spacing w:line="240" w:lineRule="auto"/>
        <w:ind w:right="0"/>
        <w:jc w:val="both"/>
        <w:rPr>
          <w:b w:val="0"/>
          <w:bCs w:val="0"/>
        </w:rPr>
      </w:pPr>
      <w:bookmarkStart w:name="六、税项" w:id="238"/>
      <w:bookmarkEnd w:id="238"/>
      <w:r>
        <w:rPr>
          <w:b w:val="0"/>
          <w:bCs w:val="0"/>
        </w:rPr>
      </w:r>
      <w:r>
        <w:rPr/>
        <w:t>六、税项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bookmarkStart w:name="1、主要税种及税率" w:id="239"/>
      <w:bookmarkEnd w:id="239"/>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73"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319" w:lineRule="auto" w:before="49"/>
              <w:ind w:left="17" w:right="94"/>
              <w:jc w:val="both"/>
              <w:rPr>
                <w:rFonts w:ascii="宋体" w:hAnsi="宋体" w:cs="宋体" w:eastAsia="宋体" w:hint="default"/>
                <w:sz w:val="18"/>
                <w:szCs w:val="18"/>
              </w:rPr>
            </w:pPr>
            <w:r>
              <w:rPr>
                <w:rFonts w:ascii="宋体" w:hAnsi="宋体" w:cs="宋体" w:eastAsia="宋体" w:hint="default"/>
                <w:sz w:val="18"/>
                <w:szCs w:val="18"/>
              </w:rPr>
              <w:t>按税法规定计算的销售货物和应税劳务 收入为基础计算销项税额，在扣除当期 允许抵扣的进项税额后，差额部分为应 交增值税</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w w:val="99"/>
                <w:sz w:val="18"/>
                <w:szCs w:val="18"/>
              </w:rPr>
              <w:t>3</w:t>
            </w:r>
            <w:r>
              <w:rPr>
                <w:rFonts w:ascii="Times New Roman" w:hAnsi="Times New Roman" w:cs="Times New Roman" w:eastAsia="Times New Roman" w:hint="default"/>
                <w:spacing w:val="-11"/>
                <w:w w:val="99"/>
                <w:sz w:val="18"/>
                <w:szCs w:val="18"/>
              </w:rPr>
              <w:t>%</w:t>
            </w:r>
            <w:r>
              <w:rPr>
                <w:rFonts w:ascii="宋体" w:hAnsi="宋体" w:cs="宋体" w:eastAsia="宋体" w:hint="default"/>
                <w:w w:val="99"/>
                <w:sz w:val="18"/>
                <w:szCs w:val="18"/>
              </w:rPr>
              <w:t>（注</w:t>
            </w:r>
            <w:r>
              <w:rPr>
                <w:rFonts w:ascii="宋体" w:hAnsi="宋体" w:cs="宋体" w:eastAsia="宋体" w:hint="default"/>
                <w:spacing w:val="-45"/>
                <w:w w:val="99"/>
                <w:sz w:val="18"/>
                <w:szCs w:val="18"/>
              </w:rPr>
              <w:t> </w:t>
            </w:r>
            <w:r>
              <w:rPr>
                <w:rFonts w:ascii="Times New Roman" w:hAnsi="Times New Roman" w:cs="Times New Roman" w:eastAsia="Times New Roman" w:hint="default"/>
                <w:spacing w:val="1"/>
                <w:w w:val="99"/>
                <w:sz w:val="18"/>
                <w:szCs w:val="18"/>
              </w:rPr>
              <w:t>1</w:t>
            </w:r>
            <w:r>
              <w:rPr>
                <w:rFonts w:ascii="宋体" w:hAnsi="宋体" w:cs="宋体" w:eastAsia="宋体" w:hint="default"/>
                <w:spacing w:val="-92"/>
                <w:w w:val="99"/>
                <w:sz w:val="18"/>
                <w:szCs w:val="18"/>
              </w:rPr>
              <w:t>）</w:t>
            </w:r>
            <w:r>
              <w:rPr>
                <w:rFonts w:ascii="宋体" w:hAnsi="宋体" w:cs="宋体" w:eastAsia="宋体" w:hint="default"/>
                <w:spacing w:val="-10"/>
                <w:w w:val="99"/>
                <w:sz w:val="18"/>
                <w:szCs w:val="18"/>
              </w:rPr>
              <w:t>、</w:t>
            </w:r>
            <w:r>
              <w:rPr>
                <w:rFonts w:ascii="Times New Roman" w:hAnsi="Times New Roman" w:cs="Times New Roman" w:eastAsia="Times New Roman" w:hint="default"/>
                <w:spacing w:val="1"/>
                <w:w w:val="99"/>
                <w:sz w:val="18"/>
                <w:szCs w:val="18"/>
              </w:rPr>
              <w:t>6</w:t>
            </w:r>
            <w:r>
              <w:rPr>
                <w:rFonts w:ascii="Times New Roman" w:hAnsi="Times New Roman" w:cs="Times New Roman" w:eastAsia="Times New Roman" w:hint="default"/>
                <w:spacing w:val="-2"/>
                <w:w w:val="99"/>
                <w:sz w:val="18"/>
                <w:szCs w:val="18"/>
              </w:rPr>
              <w:t>%</w:t>
            </w:r>
            <w:r>
              <w:rPr>
                <w:rFonts w:ascii="宋体" w:hAnsi="宋体" w:cs="宋体" w:eastAsia="宋体" w:hint="default"/>
                <w:spacing w:val="-9"/>
                <w:w w:val="99"/>
                <w:sz w:val="18"/>
                <w:szCs w:val="18"/>
              </w:rPr>
              <w:t>、</w:t>
            </w:r>
            <w:r>
              <w:rPr>
                <w:rFonts w:ascii="Times New Roman" w:hAnsi="Times New Roman" w:cs="Times New Roman" w:eastAsia="Times New Roman" w:hint="default"/>
                <w:spacing w:val="1"/>
                <w:w w:val="99"/>
                <w:sz w:val="18"/>
                <w:szCs w:val="18"/>
              </w:rPr>
              <w:t>9</w:t>
            </w:r>
            <w:r>
              <w:rPr>
                <w:rFonts w:ascii="Times New Roman" w:hAnsi="Times New Roman" w:cs="Times New Roman" w:eastAsia="Times New Roman" w:hint="default"/>
                <w:spacing w:val="-2"/>
                <w:w w:val="99"/>
                <w:sz w:val="18"/>
                <w:szCs w:val="18"/>
              </w:rPr>
              <w:t>%</w:t>
            </w:r>
            <w:r>
              <w:rPr>
                <w:rFonts w:ascii="宋体" w:hAnsi="宋体" w:cs="宋体" w:eastAsia="宋体" w:hint="default"/>
                <w:spacing w:val="-12"/>
                <w:w w:val="99"/>
                <w:sz w:val="18"/>
                <w:szCs w:val="18"/>
              </w:rPr>
              <w:t>、</w:t>
            </w:r>
            <w:r>
              <w:rPr>
                <w:rFonts w:ascii="Times New Roman" w:hAnsi="Times New Roman" w:cs="Times New Roman" w:eastAsia="Times New Roman" w:hint="default"/>
                <w:spacing w:val="1"/>
                <w:w w:val="99"/>
                <w:sz w:val="18"/>
                <w:szCs w:val="18"/>
              </w:rPr>
              <w:t>10</w:t>
            </w:r>
            <w:r>
              <w:rPr>
                <w:rFonts w:ascii="Times New Roman" w:hAnsi="Times New Roman" w:cs="Times New Roman" w:eastAsia="Times New Roman" w:hint="default"/>
                <w:spacing w:val="-2"/>
                <w:w w:val="99"/>
                <w:sz w:val="18"/>
                <w:szCs w:val="18"/>
              </w:rPr>
              <w:t>%</w:t>
            </w:r>
            <w:r>
              <w:rPr>
                <w:rFonts w:ascii="宋体" w:hAnsi="宋体" w:cs="宋体" w:eastAsia="宋体" w:hint="default"/>
                <w:spacing w:val="-10"/>
                <w:w w:val="99"/>
                <w:sz w:val="18"/>
                <w:szCs w:val="18"/>
              </w:rPr>
              <w:t>、</w:t>
            </w:r>
            <w:r>
              <w:rPr>
                <w:rFonts w:ascii="Times New Roman" w:hAnsi="Times New Roman" w:cs="Times New Roman" w:eastAsia="Times New Roman" w:hint="default"/>
                <w:spacing w:val="-2"/>
                <w:w w:val="99"/>
                <w:sz w:val="18"/>
                <w:szCs w:val="18"/>
              </w:rPr>
              <w:t>1</w:t>
            </w:r>
            <w:r>
              <w:rPr>
                <w:rFonts w:ascii="Times New Roman" w:hAnsi="Times New Roman" w:cs="Times New Roman" w:eastAsia="Times New Roman" w:hint="default"/>
                <w:spacing w:val="1"/>
                <w:w w:val="99"/>
                <w:sz w:val="18"/>
                <w:szCs w:val="18"/>
              </w:rPr>
              <w:t>3</w:t>
            </w:r>
            <w:r>
              <w:rPr>
                <w:rFonts w:ascii="Times New Roman" w:hAnsi="Times New Roman" w:cs="Times New Roman" w:eastAsia="Times New Roman" w:hint="default"/>
                <w:spacing w:val="-1"/>
                <w:w w:val="99"/>
                <w:sz w:val="18"/>
                <w:szCs w:val="18"/>
              </w:rPr>
              <w:t>%</w:t>
            </w:r>
            <w:r>
              <w:rPr>
                <w:rFonts w:ascii="宋体" w:hAnsi="宋体" w:cs="宋体" w:eastAsia="宋体" w:hint="default"/>
                <w:spacing w:val="-10"/>
                <w:w w:val="99"/>
                <w:sz w:val="18"/>
                <w:szCs w:val="18"/>
              </w:rPr>
              <w:t>、</w:t>
            </w:r>
            <w:r>
              <w:rPr>
                <w:rFonts w:ascii="Times New Roman" w:hAnsi="Times New Roman" w:cs="Times New Roman" w:eastAsia="Times New Roman" w:hint="default"/>
                <w:spacing w:val="1"/>
                <w:w w:val="99"/>
                <w:sz w:val="18"/>
                <w:szCs w:val="18"/>
              </w:rPr>
              <w:t>16%</w:t>
            </w:r>
            <w:r>
              <w:rPr>
                <w:rFonts w:ascii="Times New Roman" w:hAnsi="Times New Roman" w:cs="Times New Roman" w:eastAsia="Times New Roman" w:hint="default"/>
                <w:sz w:val="18"/>
                <w:szCs w:val="18"/>
              </w:rPr>
            </w:r>
          </w:p>
        </w:tc>
      </w:tr>
      <w:tr>
        <w:trPr>
          <w:trHeight w:val="394"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473"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z w:val="18"/>
                <w:szCs w:val="18"/>
              </w:rPr>
              <w:t>按实际缴纳的增值税及消费税计缴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bl>
    <w:p>
      <w:pPr>
        <w:pStyle w:val="BodyText"/>
        <w:spacing w:line="240" w:lineRule="auto" w:before="49"/>
        <w:ind w:right="2602"/>
        <w:jc w:val="left"/>
      </w:pPr>
      <w:r>
        <w:rPr/>
        <w:t>存在不同企业所得税税率纳税主体的，披露情况说明</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万达信息股份有限公司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深圳市万达信息有限公司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南京爱递吉供应链管理服务有限公司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上海万达信息服务有限公司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上海卫生信息工程技术研究中心有限公司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天津万达信息技术有限责任公司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北京万达全城信息系统有限公司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上海格言管理有限公司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上海华奕医疗信息技术有限公司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宁波金唐软件有限公司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上海复高计算机科技有限公司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湖南凯歌医疗信息技术有限公司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上海市民信箱信息服务有限公司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湖南万达智慧城市信息技术有限公司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永州潇湘云技术有限公司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万达云医疗科技健康产业（上海）有限公司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四川万达智城云数据有限公司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四川万达健康数据有限公司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宁波市万达数据应用服务有限公司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万达志翔医疗科技（北京）有限责任公司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上海耀学信息科技有限公司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上海慈铭智能网络科技有限责任公司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上海爱可及医疗科技有限公司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上海大亿精诚智能网络科技有限责任公司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3" w:right="0"/>
              <w:jc w:val="lef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上海振民智能网络科技有限责任公司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税收优惠" w:id="240"/>
      <w:bookmarkEnd w:id="240"/>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7"/>
        <w:rPr>
          <w:rFonts w:ascii="宋体" w:hAnsi="宋体" w:cs="宋体" w:eastAsia="宋体" w:hint="default"/>
          <w:b/>
          <w:bCs/>
          <w:sz w:val="24"/>
          <w:szCs w:val="24"/>
        </w:rPr>
      </w:pPr>
    </w:p>
    <w:p>
      <w:pPr>
        <w:pStyle w:val="Heading4"/>
        <w:spacing w:line="264" w:lineRule="auto" w:before="0"/>
        <w:ind w:right="1126" w:firstLine="420"/>
        <w:jc w:val="both"/>
      </w:pPr>
      <w:r>
        <w:rPr/>
        <w:t>根据财税字〔</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111</w:t>
      </w:r>
      <w:r>
        <w:rPr/>
        <w:t>号财政部、国家税务总局《关于在上海市开展交通运输业和部分现代服务业</w:t>
      </w:r>
      <w:r>
        <w:rPr>
          <w:w w:val="100"/>
        </w:rPr>
        <w:t> </w:t>
      </w:r>
      <w:r>
        <w:rPr>
          <w:spacing w:val="-2"/>
        </w:rPr>
        <w:t>营业税改征增值税试点的通知》，主管税务机关对本公司部分符合技术合同免征条件的营业收入免征增值</w:t>
      </w:r>
      <w:r>
        <w:rPr>
          <w:spacing w:val="-43"/>
        </w:rPr>
        <w:t> </w:t>
      </w:r>
      <w:r>
        <w:rPr>
          <w:spacing w:val="-43"/>
        </w:rPr>
      </w:r>
      <w:r>
        <w:rPr/>
        <w:t>税。</w:t>
      </w:r>
    </w:p>
    <w:p>
      <w:pPr>
        <w:pStyle w:val="Heading4"/>
        <w:spacing w:line="240" w:lineRule="auto" w:before="16"/>
        <w:ind w:left="573" w:right="0"/>
        <w:jc w:val="left"/>
      </w:pPr>
      <w:r>
        <w:rPr>
          <w:spacing w:val="-3"/>
        </w:rPr>
        <w:t>根据《财政部国家税务总局关于软件产品增值税政策的通知》（财税</w:t>
      </w:r>
      <w:r>
        <w:rPr>
          <w:rFonts w:ascii="Times New Roman" w:hAnsi="Times New Roman" w:cs="Times New Roman" w:eastAsia="Times New Roman" w:hint="default"/>
          <w:spacing w:val="-3"/>
        </w:rPr>
        <w:t>[2011]100</w:t>
      </w:r>
      <w:r>
        <w:rPr>
          <w:spacing w:val="-3"/>
        </w:rPr>
        <w:t>号），增值税一般纳税</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56" w:lineRule="auto" w:before="36"/>
        <w:ind w:right="0"/>
        <w:jc w:val="left"/>
      </w:pPr>
      <w:r>
        <w:rPr>
          <w:spacing w:val="-4"/>
        </w:rPr>
        <w:t>人销售其自行开发生产的软件产品，按照适用税率征收增值税后，对其增值税实际税负超过</w:t>
      </w:r>
      <w:r>
        <w:rPr>
          <w:rFonts w:ascii="Times New Roman" w:hAnsi="Times New Roman" w:cs="Times New Roman" w:eastAsia="Times New Roman" w:hint="default"/>
          <w:spacing w:val="-4"/>
        </w:rPr>
        <w:t>3%</w:t>
      </w:r>
      <w:r>
        <w:rPr>
          <w:spacing w:val="-4"/>
        </w:rPr>
        <w:t>的部分实行</w:t>
      </w:r>
      <w:r>
        <w:rPr>
          <w:spacing w:val="-20"/>
        </w:rPr>
        <w:t> </w:t>
      </w:r>
      <w:r>
        <w:rPr>
          <w:spacing w:val="-20"/>
        </w:rPr>
      </w:r>
      <w:r>
        <w:rPr/>
        <w:t>即征即退政策。</w:t>
      </w:r>
    </w:p>
    <w:p>
      <w:pPr>
        <w:pStyle w:val="Heading4"/>
        <w:spacing w:line="264" w:lineRule="auto" w:before="22"/>
        <w:ind w:right="1126" w:firstLine="420"/>
        <w:jc w:val="both"/>
      </w:pPr>
      <w:r>
        <w:rPr>
          <w:spacing w:val="-2"/>
        </w:rPr>
        <w:t>根据《中华人民共和国企业所得税法》、《中华人民共和国企业所得税法实施条例》、《高科技企业</w:t>
      </w:r>
      <w:r>
        <w:rPr>
          <w:w w:val="100"/>
        </w:rPr>
        <w:t> </w:t>
      </w:r>
      <w:r>
        <w:rPr>
          <w:spacing w:val="-2"/>
        </w:rPr>
        <w:t>认定管理办法》以及《高新技术企业认定管理工作指引》规定，经认定的高新技术企业，减按</w:t>
      </w:r>
      <w:r>
        <w:rPr>
          <w:rFonts w:ascii="Times New Roman" w:hAnsi="Times New Roman" w:cs="Times New Roman" w:eastAsia="Times New Roman" w:hint="default"/>
          <w:spacing w:val="-2"/>
        </w:rPr>
        <w:t>15%</w:t>
      </w:r>
      <w:r>
        <w:rPr>
          <w:spacing w:val="-2"/>
        </w:rPr>
        <w:t>的税率</w:t>
      </w:r>
      <w:r>
        <w:rPr>
          <w:spacing w:val="-5"/>
        </w:rPr>
        <w:t> </w:t>
      </w:r>
      <w:r>
        <w:rPr>
          <w:spacing w:val="-5"/>
        </w:rPr>
      </w:r>
      <w:r>
        <w:rPr/>
        <w:t>征收企业所得税。</w:t>
      </w:r>
    </w:p>
    <w:p>
      <w:pPr>
        <w:pStyle w:val="Heading4"/>
        <w:spacing w:line="256" w:lineRule="auto" w:before="16"/>
        <w:ind w:right="1126" w:firstLine="42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10</w:t>
      </w:r>
      <w:r>
        <w:rPr>
          <w:spacing w:val="-2"/>
        </w:rPr>
        <w:t>月本公司取得了上海市科学技术委员会、上海市财政局、上海市国家税务局、上海市地方税</w:t>
      </w:r>
      <w:r>
        <w:rPr>
          <w:w w:val="100"/>
        </w:rPr>
        <w:t> </w:t>
      </w:r>
      <w:r>
        <w:rPr/>
        <w:t>务局联合颁发的《高新技术企业证书》，认定有效期三年。</w:t>
      </w:r>
    </w:p>
    <w:p>
      <w:pPr>
        <w:pStyle w:val="Heading4"/>
        <w:spacing w:line="256" w:lineRule="auto" w:before="22"/>
        <w:ind w:right="1126" w:firstLine="42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月子公司上海万达信息系统有限公司于取得了由上海市科学技术委员会、上海市财政局、上</w:t>
      </w:r>
      <w:r>
        <w:rPr>
          <w:w w:val="100"/>
        </w:rPr>
        <w:t> </w:t>
      </w:r>
      <w:r>
        <w:rPr/>
        <w:t>海市国家税务局、上海市地方税务局联合颁发的《高新技术企业证书》，认定有效期三年。</w:t>
      </w:r>
    </w:p>
    <w:p>
      <w:pPr>
        <w:pStyle w:val="Heading4"/>
        <w:spacing w:line="256" w:lineRule="auto" w:before="22"/>
        <w:ind w:right="1134" w:firstLine="42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月子公司四川浩特通信有限公司取得了四川省科学技术厅、四川省财政厅、四川省国家税务</w:t>
      </w:r>
      <w:r>
        <w:rPr>
          <w:w w:val="100"/>
        </w:rPr>
        <w:t> </w:t>
      </w:r>
      <w:r>
        <w:rPr/>
        <w:t>局、四川省地方税务局联合颁发的《高新技术企业证书》，认定有效期三年。</w:t>
      </w:r>
    </w:p>
    <w:p>
      <w:pPr>
        <w:pStyle w:val="Heading4"/>
        <w:spacing w:line="259" w:lineRule="auto" w:before="22"/>
        <w:ind w:right="1126" w:firstLine="42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月子公司宁波金唐软件有限公司取得了宁波市科学技术局、宁波市财政局、宁波市国家税务</w:t>
      </w:r>
      <w:r>
        <w:rPr>
          <w:w w:val="100"/>
        </w:rPr>
        <w:t> </w:t>
      </w:r>
      <w:r>
        <w:rPr/>
        <w:t>局、宁波市地方税务局联合颁发的《高新技术企业证书》，认定有效期三年。</w:t>
      </w:r>
    </w:p>
    <w:p>
      <w:pPr>
        <w:pStyle w:val="Heading4"/>
        <w:spacing w:line="256" w:lineRule="auto" w:before="20"/>
        <w:ind w:right="1126" w:firstLine="420"/>
        <w:jc w:val="both"/>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11</w:t>
      </w:r>
      <w:r>
        <w:rPr>
          <w:spacing w:val="-2"/>
        </w:rPr>
        <w:t>月子公司上海复高计算机科技有限公司取得了上海市科学技术委员会、上海市财政局、上海</w:t>
      </w:r>
      <w:r>
        <w:rPr>
          <w:w w:val="100"/>
        </w:rPr>
        <w:t> </w:t>
      </w:r>
      <w:r>
        <w:rPr>
          <w:spacing w:val="-2"/>
        </w:rPr>
        <w:t>市国家税务局、上海市地方税务局联合颁发的《高新技术企业证书》，认定有效期三年。并于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spacing w:val="-40"/>
        </w:rPr>
        <w:t> </w:t>
      </w:r>
      <w:r>
        <w:rPr/>
        <w:t>通过复审。</w:t>
      </w:r>
    </w:p>
    <w:p>
      <w:pPr>
        <w:pStyle w:val="Heading4"/>
        <w:spacing w:line="256" w:lineRule="auto" w:before="22"/>
        <w:ind w:right="1134" w:firstLine="42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月子公司湖南凯歌医疗信息技术有限公司复审取得了湖南省科学技术厅、湖南省财政局、湖</w:t>
      </w:r>
      <w:r>
        <w:rPr>
          <w:w w:val="100"/>
        </w:rPr>
        <w:t> </w:t>
      </w:r>
      <w:r>
        <w:rPr/>
        <w:t>南省国家税务局、湖南省地方税务局联合颁发的《高新技术企业证书》，认定有效期三年。</w:t>
      </w:r>
    </w:p>
    <w:p>
      <w:pPr>
        <w:pStyle w:val="Heading4"/>
        <w:spacing w:line="266" w:lineRule="auto" w:before="22"/>
        <w:ind w:right="0" w:firstLine="420"/>
        <w:jc w:val="left"/>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11</w:t>
      </w:r>
      <w:r>
        <w:rPr>
          <w:spacing w:val="-2"/>
        </w:rPr>
        <w:t>月子公司上海市民信箱信息服务有限公司复审取得了上海市科学技术委员会、上海市财政局、</w:t>
      </w:r>
      <w:r>
        <w:rPr>
          <w:w w:val="100"/>
        </w:rPr>
        <w:t> </w:t>
      </w:r>
      <w:r>
        <w:rPr/>
        <w:t>上海市国家税务局、上海市地方税务局联合颁发的《高新技术企业证书》，认定有效期三年。</w:t>
      </w:r>
      <w:r>
        <w:rPr>
          <w:w w:val="100"/>
        </w:rPr>
        <w:t> </w:t>
      </w:r>
      <w:r>
        <w:rPr/>
        <w:t>子公司宁波万达信息系统有限公司企业所得税按应税所得额乘所得率核定征收，税务机关核定的应税所得</w:t>
      </w:r>
      <w:r>
        <w:rPr>
          <w:w w:val="100"/>
        </w:rPr>
        <w:t> </w:t>
      </w:r>
      <w:r>
        <w:rPr/>
        <w:t>率为应税收入额的</w:t>
      </w:r>
      <w:r>
        <w:rPr>
          <w:rFonts w:ascii="Times New Roman" w:hAnsi="Times New Roman" w:cs="Times New Roman" w:eastAsia="Times New Roman" w:hint="default"/>
        </w:rPr>
        <w:t>10%</w:t>
      </w:r>
      <w:r>
        <w:rPr/>
        <w:t>。</w:t>
      </w:r>
    </w:p>
    <w:p>
      <w:pPr>
        <w:pStyle w:val="Heading4"/>
        <w:spacing w:line="256" w:lineRule="auto" w:before="0"/>
        <w:ind w:right="1128" w:firstLine="420"/>
        <w:jc w:val="both"/>
      </w:pPr>
      <w:r>
        <w:rPr/>
        <w:t>根据</w:t>
      </w:r>
      <w:r>
        <w:rPr>
          <w:rFonts w:ascii="Times New Roman" w:hAnsi="Times New Roman" w:cs="Times New Roman" w:eastAsia="Times New Roman" w:hint="default"/>
        </w:rPr>
        <w:t>(</w:t>
      </w:r>
      <w:r>
        <w:rPr/>
        <w:t>财税〔</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13</w:t>
      </w:r>
      <w:r>
        <w:rPr/>
        <w:t>号</w:t>
      </w:r>
      <w:r>
        <w:rPr>
          <w:rFonts w:ascii="Times New Roman" w:hAnsi="Times New Roman" w:cs="Times New Roman" w:eastAsia="Times New Roman" w:hint="default"/>
        </w:rPr>
        <w:t>)</w:t>
      </w:r>
      <w:r>
        <w:rPr/>
        <w:t>《财政部国家税务总局关于实施小微企业普惠性税收减免政策的通知》，自</w:t>
      </w:r>
      <w:r>
        <w:rPr>
          <w:w w:val="100"/>
        </w:rPr>
        <w:t> </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1</w:t>
      </w:r>
      <w:r>
        <w:rPr>
          <w:spacing w:val="-3"/>
        </w:rPr>
        <w:t>日至</w:t>
      </w:r>
      <w:r>
        <w:rPr>
          <w:rFonts w:ascii="Times New Roman" w:hAnsi="Times New Roman" w:cs="Times New Roman" w:eastAsia="Times New Roman" w:hint="default"/>
          <w:spacing w:val="-3"/>
        </w:rPr>
        <w:t>2021</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日，对小型微利企业年应纳税所得额不超过</w:t>
      </w:r>
      <w:r>
        <w:rPr>
          <w:rFonts w:ascii="Times New Roman" w:hAnsi="Times New Roman" w:cs="Times New Roman" w:eastAsia="Times New Roman" w:hint="default"/>
          <w:spacing w:val="-3"/>
        </w:rPr>
        <w:t>100</w:t>
      </w:r>
      <w:r>
        <w:rPr>
          <w:spacing w:val="-3"/>
        </w:rPr>
        <w:t>万元的部分，减按</w:t>
      </w:r>
      <w:r>
        <w:rPr>
          <w:rFonts w:ascii="Times New Roman" w:hAnsi="Times New Roman" w:cs="Times New Roman" w:eastAsia="Times New Roman" w:hint="default"/>
          <w:spacing w:val="-3"/>
        </w:rPr>
        <w:t>25%</w:t>
      </w:r>
      <w:r>
        <w:rPr>
          <w:spacing w:val="-3"/>
        </w:rPr>
        <w:t>计入应</w:t>
      </w:r>
      <w:r>
        <w:rPr>
          <w:spacing w:val="-47"/>
        </w:rPr>
        <w:t> </w:t>
      </w:r>
      <w:r>
        <w:rPr>
          <w:spacing w:val="-1"/>
        </w:rPr>
        <w:t>纳税所得额，按</w:t>
      </w:r>
      <w:r>
        <w:rPr>
          <w:rFonts w:ascii="Times New Roman" w:hAnsi="Times New Roman" w:cs="Times New Roman" w:eastAsia="Times New Roman" w:hint="default"/>
          <w:spacing w:val="-1"/>
        </w:rPr>
        <w:t>20%</w:t>
      </w:r>
      <w:r>
        <w:rPr>
          <w:spacing w:val="-1"/>
        </w:rPr>
        <w:t>的税率缴纳企业所得税；对年应纳税所得额超过</w:t>
      </w:r>
      <w:r>
        <w:rPr>
          <w:rFonts w:ascii="Times New Roman" w:hAnsi="Times New Roman" w:cs="Times New Roman" w:eastAsia="Times New Roman" w:hint="default"/>
          <w:spacing w:val="-1"/>
        </w:rPr>
        <w:t>100</w:t>
      </w:r>
      <w:r>
        <w:rPr>
          <w:spacing w:val="-1"/>
        </w:rPr>
        <w:t>万元但不超过</w:t>
      </w:r>
      <w:r>
        <w:rPr>
          <w:rFonts w:ascii="Times New Roman" w:hAnsi="Times New Roman" w:cs="Times New Roman" w:eastAsia="Times New Roman" w:hint="default"/>
          <w:spacing w:val="-1"/>
        </w:rPr>
        <w:t>300</w:t>
      </w:r>
      <w:r>
        <w:rPr>
          <w:spacing w:val="-1"/>
        </w:rPr>
        <w:t>万元的部分，减</w:t>
      </w:r>
      <w:r>
        <w:rPr>
          <w:spacing w:val="-49"/>
        </w:rPr>
        <w:t> </w:t>
      </w:r>
      <w:r>
        <w:rPr>
          <w:spacing w:val="-49"/>
        </w:rPr>
      </w:r>
      <w:r>
        <w:rPr/>
        <w:t>按</w:t>
      </w:r>
      <w:r>
        <w:rPr>
          <w:rFonts w:ascii="Times New Roman" w:hAnsi="Times New Roman" w:cs="Times New Roman" w:eastAsia="Times New Roman" w:hint="default"/>
        </w:rPr>
        <w:t>50%</w:t>
      </w:r>
      <w:r>
        <w:rPr/>
        <w:t>计入应纳税所得额，按</w:t>
      </w:r>
      <w:r>
        <w:rPr>
          <w:rFonts w:ascii="Times New Roman" w:hAnsi="Times New Roman" w:cs="Times New Roman" w:eastAsia="Times New Roman" w:hint="default"/>
        </w:rPr>
        <w:t>20%</w:t>
      </w:r>
      <w:r>
        <w:rPr/>
        <w:t>的税率缴纳企业所得税。</w:t>
      </w:r>
    </w:p>
    <w:p>
      <w:pPr>
        <w:spacing w:line="240" w:lineRule="auto" w:before="4"/>
        <w:rPr>
          <w:rFonts w:ascii="宋体" w:hAnsi="宋体" w:cs="宋体" w:eastAsia="宋体" w:hint="default"/>
          <w:sz w:val="23"/>
          <w:szCs w:val="23"/>
        </w:rPr>
      </w:pPr>
    </w:p>
    <w:p>
      <w:pPr>
        <w:pStyle w:val="Heading3"/>
        <w:spacing w:line="240" w:lineRule="auto"/>
        <w:ind w:right="2602"/>
        <w:jc w:val="left"/>
        <w:rPr>
          <w:b w:val="0"/>
          <w:bCs w:val="0"/>
        </w:rPr>
      </w:pPr>
      <w:bookmarkStart w:name="3、其他" w:id="241"/>
      <w:bookmarkEnd w:id="241"/>
      <w:r>
        <w:rPr>
          <w:b w:val="0"/>
          <w:bCs w:val="0"/>
        </w:rPr>
      </w:r>
      <w:r>
        <w:rPr>
          <w:rFonts w:ascii="Times New Roman" w:hAnsi="Times New Roman" w:cs="Times New Roman" w:eastAsia="Times New Roman" w:hint="default"/>
        </w:rPr>
        <w:t>3</w:t>
      </w:r>
      <w:r>
        <w:rPr/>
        <w:t>、其他</w:t>
      </w:r>
      <w:r>
        <w:rPr>
          <w:b w:val="0"/>
          <w:bCs w:val="0"/>
        </w:rPr>
      </w:r>
    </w:p>
    <w:p>
      <w:pPr>
        <w:spacing w:line="240" w:lineRule="auto" w:before="10"/>
        <w:rPr>
          <w:rFonts w:ascii="宋体" w:hAnsi="宋体" w:cs="宋体" w:eastAsia="宋体" w:hint="default"/>
          <w:b/>
          <w:bCs/>
          <w:sz w:val="24"/>
          <w:szCs w:val="24"/>
        </w:rPr>
      </w:pPr>
    </w:p>
    <w:p>
      <w:pPr>
        <w:pStyle w:val="Heading4"/>
        <w:spacing w:line="256" w:lineRule="auto" w:before="0"/>
        <w:ind w:left="573" w:right="2602"/>
        <w:jc w:val="left"/>
      </w:pPr>
      <w:r>
        <w:rPr/>
        <w:t>注</w:t>
      </w:r>
      <w:r>
        <w:rPr>
          <w:rFonts w:ascii="Times New Roman" w:hAnsi="Times New Roman" w:cs="Times New Roman" w:eastAsia="Times New Roman" w:hint="default"/>
        </w:rPr>
        <w:t>1</w:t>
      </w:r>
      <w:r>
        <w:rPr/>
        <w:t>：小规模纳税人按</w:t>
      </w:r>
      <w:r>
        <w:rPr>
          <w:rFonts w:ascii="Times New Roman" w:hAnsi="Times New Roman" w:cs="Times New Roman" w:eastAsia="Times New Roman" w:hint="default"/>
        </w:rPr>
        <w:t>3%</w:t>
      </w:r>
      <w:r>
        <w:rPr/>
        <w:t>计缴增值税。</w:t>
      </w:r>
      <w:r>
        <w:rPr>
          <w:w w:val="100"/>
        </w:rPr>
        <w:t> </w:t>
      </w:r>
      <w:r>
        <w:rPr>
          <w:spacing w:val="-2"/>
        </w:rPr>
        <w:t>注</w:t>
      </w:r>
      <w:r>
        <w:rPr>
          <w:rFonts w:ascii="Times New Roman" w:hAnsi="Times New Roman" w:cs="Times New Roman" w:eastAsia="Times New Roman" w:hint="default"/>
          <w:spacing w:val="-2"/>
        </w:rPr>
        <w:t>2</w:t>
      </w:r>
      <w:r>
        <w:rPr>
          <w:spacing w:val="-2"/>
        </w:rPr>
        <w:t>：子公司</w:t>
      </w:r>
      <w:r>
        <w:rPr>
          <w:rFonts w:ascii="Times New Roman" w:hAnsi="Times New Roman" w:cs="Times New Roman" w:eastAsia="Times New Roman" w:hint="default"/>
          <w:spacing w:val="-2"/>
        </w:rPr>
        <w:t>WondersInfoCorp.</w:t>
      </w:r>
      <w:r>
        <w:rPr>
          <w:spacing w:val="-2"/>
        </w:rPr>
        <w:t>美国万达信息有限公司按当地税率缴纳利得税。</w:t>
      </w:r>
    </w:p>
    <w:p>
      <w:pPr>
        <w:spacing w:line="240" w:lineRule="auto" w:before="5"/>
        <w:rPr>
          <w:rFonts w:ascii="宋体" w:hAnsi="宋体" w:cs="宋体" w:eastAsia="宋体" w:hint="default"/>
          <w:sz w:val="21"/>
          <w:szCs w:val="21"/>
        </w:rPr>
      </w:pPr>
    </w:p>
    <w:p>
      <w:pPr>
        <w:pStyle w:val="Heading2"/>
        <w:spacing w:line="240" w:lineRule="auto"/>
        <w:ind w:right="2602"/>
        <w:jc w:val="left"/>
        <w:rPr>
          <w:b w:val="0"/>
          <w:bCs w:val="0"/>
        </w:rPr>
      </w:pPr>
      <w:bookmarkStart w:name="七、合并财务报表项目注释" w:id="242"/>
      <w:bookmarkEnd w:id="242"/>
      <w:r>
        <w:rPr>
          <w:b w:val="0"/>
          <w:bCs w:val="0"/>
        </w:rPr>
      </w:r>
      <w:r>
        <w:rPr/>
        <w:t>七、合并财务报表项目注释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2602"/>
        <w:jc w:val="left"/>
        <w:rPr>
          <w:b w:val="0"/>
          <w:bCs w:val="0"/>
        </w:rPr>
      </w:pPr>
      <w:bookmarkStart w:name="1、货币资金" w:id="243"/>
      <w:bookmarkEnd w:id="243"/>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656"/>
        <w:gridCol w:w="2565"/>
        <w:gridCol w:w="2338"/>
      </w:tblGrid>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140"/>
              <w:jc w:val="right"/>
              <w:rPr>
                <w:rFonts w:ascii="宋体" w:hAnsi="宋体" w:cs="宋体" w:eastAsia="宋体" w:hint="default"/>
                <w:sz w:val="18"/>
                <w:szCs w:val="18"/>
              </w:rPr>
            </w:pPr>
            <w:r>
              <w:rPr>
                <w:rFonts w:ascii="宋体" w:hAnsi="宋体" w:cs="宋体" w:eastAsia="宋体" w:hint="default"/>
                <w:sz w:val="18"/>
                <w:szCs w:val="18"/>
              </w:rPr>
              <w:t>项目</w:t>
            </w:r>
          </w:p>
        </w:tc>
        <w:tc>
          <w:tcPr>
            <w:tcW w:w="2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256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118,348.78</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298,523.67</w:t>
            </w: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256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1,621,571,597.89</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1,043,863,322.37</w:t>
            </w: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256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327,438.83</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730,962.39</w:t>
            </w:r>
          </w:p>
        </w:tc>
      </w:tr>
      <w:tr>
        <w:trPr>
          <w:trHeight w:val="403"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6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1,622,017,385.50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1,044,892,808.43</w:t>
            </w:r>
          </w:p>
        </w:tc>
      </w:tr>
      <w:tr>
        <w:trPr>
          <w:trHeight w:val="401"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111"/>
              <w:jc w:val="righ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256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236,709.44</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434,721.95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4656"/>
        <w:gridCol w:w="2565"/>
        <w:gridCol w:w="2338"/>
      </w:tblGrid>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4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因抵押、质押或冻结等对使用有限制的款项总额</w:t>
            </w:r>
          </w:p>
        </w:tc>
        <w:tc>
          <w:tcPr>
            <w:tcW w:w="256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1578" w:right="0"/>
              <w:jc w:val="left"/>
              <w:rPr>
                <w:rFonts w:ascii="Times New Roman" w:hAnsi="Times New Roman" w:cs="Times New Roman" w:eastAsia="Times New Roman" w:hint="default"/>
                <w:sz w:val="18"/>
                <w:szCs w:val="18"/>
              </w:rPr>
            </w:pPr>
            <w:r>
              <w:rPr>
                <w:rFonts w:ascii="Times New Roman"/>
                <w:sz w:val="18"/>
              </w:rPr>
              <w:t>1,805,124.60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61" w:right="0"/>
              <w:jc w:val="left"/>
              <w:rPr>
                <w:rFonts w:ascii="Times New Roman" w:hAnsi="Times New Roman" w:cs="Times New Roman" w:eastAsia="Times New Roman" w:hint="default"/>
                <w:sz w:val="18"/>
                <w:szCs w:val="18"/>
              </w:rPr>
            </w:pPr>
            <w:r>
              <w:rPr>
                <w:rFonts w:ascii="Times New Roman"/>
                <w:sz w:val="18"/>
              </w:rPr>
              <w:t>3,783,647.27</w:t>
            </w:r>
          </w:p>
        </w:tc>
      </w:tr>
    </w:tbl>
    <w:p>
      <w:pPr>
        <w:pStyle w:val="BodyText"/>
        <w:spacing w:line="240" w:lineRule="auto" w:before="49"/>
        <w:ind w:right="2602"/>
        <w:jc w:val="left"/>
      </w:pPr>
      <w:r>
        <w:rPr/>
        <w:t>其他说明</w:t>
      </w:r>
    </w:p>
    <w:p>
      <w:pPr>
        <w:pStyle w:val="Heading4"/>
        <w:spacing w:line="240" w:lineRule="auto" w:before="94"/>
        <w:ind w:left="573" w:right="0"/>
        <w:jc w:val="left"/>
      </w:pPr>
      <w:r>
        <w:rPr/>
        <w:t>其中因抵押、质押或冻结等对使用有限制，以及放在境外且资金汇回受到限制的货币资金明细如下：</w:t>
      </w:r>
    </w:p>
    <w:p>
      <w:pPr>
        <w:spacing w:line="240" w:lineRule="auto" w:before="10"/>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4127"/>
        <w:gridCol w:w="2768"/>
        <w:gridCol w:w="2765"/>
      </w:tblGrid>
      <w:tr>
        <w:trPr>
          <w:trHeight w:val="343" w:hRule="exact"/>
        </w:trPr>
        <w:tc>
          <w:tcPr>
            <w:tcW w:w="4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877"/>
              <w:jc w:val="right"/>
              <w:rPr>
                <w:rFonts w:ascii="宋体" w:hAnsi="宋体" w:cs="宋体" w:eastAsia="宋体" w:hint="default"/>
                <w:sz w:val="18"/>
                <w:szCs w:val="18"/>
              </w:rPr>
            </w:pPr>
            <w:r>
              <w:rPr>
                <w:rFonts w:ascii="宋体" w:hAnsi="宋体" w:cs="宋体" w:eastAsia="宋体" w:hint="default"/>
                <w:sz w:val="18"/>
                <w:szCs w:val="18"/>
              </w:rPr>
              <w:t>项目</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38" w:right="0"/>
              <w:jc w:val="left"/>
              <w:rPr>
                <w:rFonts w:ascii="宋体" w:hAnsi="宋体" w:cs="宋体" w:eastAsia="宋体" w:hint="default"/>
                <w:sz w:val="18"/>
                <w:szCs w:val="18"/>
              </w:rPr>
            </w:pPr>
            <w:r>
              <w:rPr>
                <w:rFonts w:ascii="宋体" w:hAnsi="宋体" w:cs="宋体" w:eastAsia="宋体" w:hint="default"/>
                <w:sz w:val="18"/>
                <w:szCs w:val="18"/>
              </w:rPr>
              <w:t>上年年末余额</w:t>
            </w:r>
          </w:p>
        </w:tc>
      </w:tr>
      <w:tr>
        <w:trPr>
          <w:trHeight w:val="341" w:hRule="exact"/>
        </w:trPr>
        <w:tc>
          <w:tcPr>
            <w:tcW w:w="4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银行存款（注）</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1,805,124.60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3,783,647.27</w:t>
            </w:r>
          </w:p>
        </w:tc>
      </w:tr>
      <w:tr>
        <w:trPr>
          <w:trHeight w:val="343" w:hRule="exact"/>
        </w:trPr>
        <w:tc>
          <w:tcPr>
            <w:tcW w:w="4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877"/>
              <w:jc w:val="right"/>
              <w:rPr>
                <w:rFonts w:ascii="宋体" w:hAnsi="宋体" w:cs="宋体" w:eastAsia="宋体" w:hint="default"/>
                <w:sz w:val="18"/>
                <w:szCs w:val="18"/>
              </w:rPr>
            </w:pPr>
            <w:r>
              <w:rPr>
                <w:rFonts w:ascii="宋体" w:hAnsi="宋体" w:cs="宋体" w:eastAsia="宋体" w:hint="default"/>
                <w:sz w:val="18"/>
                <w:szCs w:val="18"/>
              </w:rPr>
              <w:t>合计</w:t>
            </w:r>
          </w:p>
        </w:tc>
        <w:tc>
          <w:tcPr>
            <w:tcW w:w="2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1,805,124.60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3,783,647.27</w:t>
            </w:r>
          </w:p>
        </w:tc>
      </w:tr>
    </w:tbl>
    <w:p>
      <w:pPr>
        <w:pStyle w:val="Heading4"/>
        <w:spacing w:line="264" w:lineRule="auto" w:before="0"/>
        <w:ind w:right="1126" w:firstLine="420"/>
        <w:jc w:val="both"/>
      </w:pPr>
      <w:r>
        <w:rPr>
          <w:spacing w:val="-2"/>
        </w:rPr>
        <w:t>注：成都立元智能交通技术有限公司就其诉四川浩特通信有限公司买卖合同纠纷案，向四川自由贸易</w:t>
      </w:r>
      <w:r>
        <w:rPr>
          <w:w w:val="100"/>
        </w:rPr>
        <w:t> </w:t>
      </w:r>
      <w:r>
        <w:rPr>
          <w:spacing w:val="-3"/>
        </w:rPr>
        <w:t>试验区人民法院申请对四川浩特通信有限公司名下价值为</w:t>
      </w:r>
      <w:r>
        <w:rPr>
          <w:rFonts w:ascii="Times New Roman" w:hAnsi="Times New Roman" w:cs="Times New Roman" w:eastAsia="Times New Roman" w:hint="default"/>
          <w:spacing w:val="-3"/>
        </w:rPr>
        <w:t>1,805,124.60</w:t>
      </w:r>
      <w:r>
        <w:rPr>
          <w:spacing w:val="-3"/>
        </w:rPr>
        <w:t>元的财产采取保全措施，该案件已审</w:t>
      </w:r>
      <w:r>
        <w:rPr>
          <w:spacing w:val="-31"/>
        </w:rPr>
        <w:t> </w:t>
      </w:r>
      <w:r>
        <w:rPr>
          <w:spacing w:val="-31"/>
        </w:rPr>
      </w:r>
      <w:r>
        <w:rPr/>
        <w:t>结，该笔银行存款已于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24</w:t>
      </w:r>
      <w:r>
        <w:rPr/>
        <w:t>日解冻。</w:t>
      </w:r>
    </w:p>
    <w:p>
      <w:pPr>
        <w:spacing w:line="240" w:lineRule="auto" w:before="11"/>
        <w:rPr>
          <w:rFonts w:ascii="宋体" w:hAnsi="宋体" w:cs="宋体" w:eastAsia="宋体" w:hint="default"/>
          <w:sz w:val="22"/>
          <w:szCs w:val="22"/>
        </w:rPr>
      </w:pPr>
    </w:p>
    <w:p>
      <w:pPr>
        <w:pStyle w:val="Heading3"/>
        <w:spacing w:line="240" w:lineRule="auto"/>
        <w:ind w:right="2602"/>
        <w:jc w:val="left"/>
        <w:rPr>
          <w:b w:val="0"/>
          <w:bCs w:val="0"/>
        </w:rPr>
      </w:pPr>
      <w:bookmarkStart w:name="2、交易性金融资产" w:id="244"/>
      <w:bookmarkEnd w:id="244"/>
      <w:r>
        <w:rPr>
          <w:b w:val="0"/>
          <w:bCs w:val="0"/>
        </w:rPr>
      </w:r>
      <w:r>
        <w:rPr>
          <w:rFonts w:ascii="Times New Roman" w:hAnsi="Times New Roman" w:cs="Times New Roman" w:eastAsia="Times New Roman" w:hint="default"/>
        </w:rPr>
        <w:t>2</w:t>
      </w:r>
      <w:r>
        <w:rPr/>
        <w:t>、交易性金融资产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100"/>
        <w:gridCol w:w="2704"/>
        <w:gridCol w:w="2765"/>
      </w:tblGrid>
      <w:tr>
        <w:trPr>
          <w:trHeight w:val="403"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70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9,501,891.35</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17,495,234.23</w:t>
            </w:r>
          </w:p>
        </w:tc>
      </w:tr>
      <w:tr>
        <w:trPr>
          <w:trHeight w:val="402" w:hRule="exact"/>
        </w:trPr>
        <w:tc>
          <w:tcPr>
            <w:tcW w:w="4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0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9,501,891.35</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17,495,234.23</w:t>
            </w:r>
          </w:p>
        </w:tc>
      </w:tr>
    </w:tbl>
    <w:p>
      <w:pPr>
        <w:spacing w:line="240" w:lineRule="auto" w:before="3"/>
        <w:rPr>
          <w:rFonts w:ascii="宋体" w:hAnsi="宋体" w:cs="宋体" w:eastAsia="宋体" w:hint="default"/>
          <w:sz w:val="19"/>
          <w:szCs w:val="19"/>
        </w:rPr>
      </w:pPr>
    </w:p>
    <w:p>
      <w:pPr>
        <w:pStyle w:val="Heading3"/>
        <w:spacing w:line="506" w:lineRule="auto" w:before="36"/>
        <w:ind w:left="573" w:right="9173" w:hanging="421"/>
        <w:jc w:val="left"/>
        <w:rPr>
          <w:rFonts w:ascii="宋体" w:hAnsi="宋体" w:cs="宋体" w:eastAsia="宋体" w:hint="default"/>
          <w:b w:val="0"/>
          <w:bCs w:val="0"/>
        </w:rPr>
      </w:pPr>
      <w:bookmarkStart w:name="3、衍生金融资产" w:id="245"/>
      <w:bookmarkEnd w:id="245"/>
      <w:r>
        <w:rPr>
          <w:b w:val="0"/>
          <w:bCs w:val="0"/>
        </w:rPr>
      </w:r>
      <w:r>
        <w:rPr>
          <w:rFonts w:ascii="Times New Roman" w:hAnsi="Times New Roman" w:cs="Times New Roman" w:eastAsia="Times New Roman" w:hint="default"/>
        </w:rPr>
        <w:t>3</w:t>
      </w:r>
      <w:r>
        <w:rPr/>
        <w:t>、衍生金融资产</w:t>
      </w:r>
      <w:r>
        <w:rPr>
          <w:spacing w:val="-103"/>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应收票据" w:id="246"/>
      <w:bookmarkEnd w:id="246"/>
      <w:r>
        <w:rPr>
          <w:b w:val="0"/>
          <w:bCs w:val="0"/>
        </w:rPr>
      </w:r>
      <w:r>
        <w:rPr>
          <w:rFonts w:ascii="Times New Roman" w:hAnsi="Times New Roman" w:cs="Times New Roman" w:eastAsia="Times New Roman" w:hint="default"/>
        </w:rPr>
        <w:t>4</w:t>
      </w:r>
      <w:r>
        <w:rPr/>
        <w:t>、应收票据</w:t>
      </w:r>
      <w:r>
        <w:rPr>
          <w:b w:val="0"/>
          <w:bCs w:val="0"/>
        </w:rPr>
      </w:r>
    </w:p>
    <w:p>
      <w:pPr>
        <w:spacing w:line="240" w:lineRule="auto" w:before="7"/>
        <w:rPr>
          <w:rFonts w:ascii="宋体" w:hAnsi="宋体" w:cs="宋体" w:eastAsia="宋体" w:hint="default"/>
          <w:b/>
          <w:bCs/>
          <w:sz w:val="24"/>
          <w:szCs w:val="24"/>
        </w:rPr>
      </w:pPr>
    </w:p>
    <w:p>
      <w:pPr>
        <w:pStyle w:val="Heading3"/>
        <w:spacing w:line="506" w:lineRule="auto"/>
        <w:ind w:left="573" w:right="8541" w:hanging="421"/>
        <w:jc w:val="left"/>
        <w:rPr>
          <w:rFonts w:ascii="宋体" w:hAnsi="宋体" w:cs="宋体" w:eastAsia="宋体" w:hint="default"/>
          <w:b w:val="0"/>
          <w:bCs w:val="0"/>
        </w:rPr>
      </w:pPr>
      <w:bookmarkStart w:name="（1）应收票据分类列示" w:id="247"/>
      <w:bookmarkEnd w:id="247"/>
      <w:r>
        <w:rPr>
          <w:b w:val="0"/>
          <w:bCs w:val="0"/>
        </w:rPr>
      </w:r>
      <w:r>
        <w:rPr/>
        <w:t>（</w:t>
      </w:r>
      <w:r>
        <w:rPr>
          <w:rFonts w:ascii="Times New Roman" w:hAnsi="Times New Roman" w:cs="Times New Roman" w:eastAsia="Times New Roman" w:hint="default"/>
        </w:rPr>
        <w:t>1</w:t>
      </w:r>
      <w:r>
        <w:rPr/>
        <w:t>）应收票据分类列示</w:t>
      </w:r>
      <w:r>
        <w:rPr>
          <w:w w:val="100"/>
        </w:rPr>
        <w:t> </w:t>
      </w:r>
      <w:r>
        <w:rPr>
          <w:rFonts w:ascii="宋体" w:hAnsi="宋体" w:cs="宋体" w:eastAsia="宋体" w:hint="default"/>
          <w:b w:val="0"/>
          <w:bCs w:val="0"/>
        </w:rPr>
        <w:t>无</w:t>
      </w:r>
    </w:p>
    <w:p>
      <w:pPr>
        <w:pStyle w:val="Heading3"/>
        <w:spacing w:line="506" w:lineRule="auto" w:before="104"/>
        <w:ind w:left="573" w:right="6614" w:hanging="421"/>
        <w:jc w:val="left"/>
        <w:rPr>
          <w:rFonts w:ascii="宋体" w:hAnsi="宋体" w:cs="宋体" w:eastAsia="宋体" w:hint="default"/>
          <w:b w:val="0"/>
          <w:bCs w:val="0"/>
        </w:rPr>
      </w:pPr>
      <w:bookmarkStart w:name="（2）本期计提、收回或转回的坏账准备情况" w:id="248"/>
      <w:bookmarkEnd w:id="248"/>
      <w:r>
        <w:rPr>
          <w:b w:val="0"/>
          <w:bCs w:val="0"/>
        </w:rPr>
      </w:r>
      <w:r>
        <w:rPr>
          <w:spacing w:val="-1"/>
        </w:rPr>
        <w:t>（</w:t>
      </w:r>
      <w:r>
        <w:rPr>
          <w:rFonts w:ascii="Times New Roman" w:hAnsi="Times New Roman" w:cs="Times New Roman" w:eastAsia="Times New Roman" w:hint="default"/>
          <w:spacing w:val="-1"/>
        </w:rPr>
        <w:t>2</w:t>
      </w:r>
      <w:r>
        <w:rPr>
          <w:spacing w:val="-1"/>
        </w:rPr>
        <w:t>）本期计提、收回或转回的坏账准备情况</w:t>
      </w:r>
      <w:r>
        <w:rPr>
          <w:spacing w:val="-85"/>
        </w:rPr>
        <w:t> </w:t>
      </w:r>
      <w:r>
        <w:rPr>
          <w:spacing w:val="-85"/>
        </w:rPr>
      </w:r>
      <w:r>
        <w:rPr>
          <w:rFonts w:ascii="宋体" w:hAnsi="宋体" w:cs="宋体" w:eastAsia="宋体" w:hint="default"/>
          <w:b w:val="0"/>
          <w:bCs w:val="0"/>
        </w:rPr>
        <w:t>无</w:t>
      </w:r>
    </w:p>
    <w:p>
      <w:pPr>
        <w:pStyle w:val="Heading3"/>
        <w:spacing w:line="508" w:lineRule="auto" w:before="104"/>
        <w:ind w:left="573" w:right="7712" w:hanging="421"/>
        <w:jc w:val="left"/>
        <w:rPr>
          <w:rFonts w:ascii="宋体" w:hAnsi="宋体" w:cs="宋体" w:eastAsia="宋体" w:hint="default"/>
          <w:b w:val="0"/>
          <w:bCs w:val="0"/>
        </w:rPr>
      </w:pPr>
      <w:bookmarkStart w:name="（3）期末公司已质押的应收票据" w:id="249"/>
      <w:bookmarkEnd w:id="249"/>
      <w:r>
        <w:rPr>
          <w:b w:val="0"/>
          <w:bCs w:val="0"/>
        </w:rPr>
      </w:r>
      <w:r>
        <w:rPr>
          <w:spacing w:val="-1"/>
        </w:rPr>
        <w:t>（</w:t>
      </w:r>
      <w:r>
        <w:rPr>
          <w:rFonts w:ascii="Times New Roman" w:hAnsi="Times New Roman" w:cs="Times New Roman" w:eastAsia="Times New Roman" w:hint="default"/>
          <w:spacing w:val="-1"/>
        </w:rPr>
        <w:t>3</w:t>
      </w:r>
      <w:r>
        <w:rPr>
          <w:spacing w:val="-1"/>
        </w:rPr>
        <w:t>）期末公司已质押的应收票据</w:t>
      </w:r>
      <w:r>
        <w:rPr>
          <w:spacing w:val="-92"/>
        </w:rPr>
        <w:t> </w:t>
      </w:r>
      <w:r>
        <w:rPr>
          <w:spacing w:val="-92"/>
        </w:rPr>
      </w:r>
      <w:r>
        <w:rPr>
          <w:rFonts w:ascii="宋体" w:hAnsi="宋体" w:cs="宋体" w:eastAsia="宋体" w:hint="default"/>
          <w:b w:val="0"/>
          <w:bCs w:val="0"/>
        </w:rPr>
        <w:t>无</w:t>
      </w:r>
    </w:p>
    <w:p>
      <w:pPr>
        <w:pStyle w:val="Heading3"/>
        <w:spacing w:line="506" w:lineRule="auto" w:before="102"/>
        <w:ind w:left="573" w:right="4395" w:hanging="421"/>
        <w:jc w:val="left"/>
        <w:rPr>
          <w:rFonts w:ascii="宋体" w:hAnsi="宋体" w:cs="宋体" w:eastAsia="宋体" w:hint="default"/>
          <w:b w:val="0"/>
          <w:bCs w:val="0"/>
        </w:rPr>
      </w:pPr>
      <w:bookmarkStart w:name="（4）期末公司已背书或贴现且在资产负债表日尚未到期的应收票据" w:id="250"/>
      <w:bookmarkEnd w:id="250"/>
      <w:r>
        <w:rPr>
          <w:b w:val="0"/>
          <w:bCs w:val="0"/>
        </w:rPr>
      </w:r>
      <w:r>
        <w:rPr>
          <w:spacing w:val="-1"/>
        </w:rPr>
        <w:t>（</w:t>
      </w:r>
      <w:r>
        <w:rPr>
          <w:rFonts w:ascii="Times New Roman" w:hAnsi="Times New Roman" w:cs="Times New Roman" w:eastAsia="Times New Roman" w:hint="default"/>
          <w:spacing w:val="-1"/>
        </w:rPr>
        <w:t>4</w:t>
      </w:r>
      <w:r>
        <w:rPr>
          <w:spacing w:val="-1"/>
        </w:rPr>
        <w:t>）期末公司已背书或贴现且在资产负债表日尚未到期的应收票据</w:t>
      </w:r>
      <w:r>
        <w:rPr>
          <w:spacing w:val="-78"/>
        </w:rPr>
        <w:t> </w:t>
      </w:r>
      <w:r>
        <w:rPr>
          <w:spacing w:val="-78"/>
        </w:rPr>
      </w:r>
      <w:r>
        <w:rPr>
          <w:rFonts w:ascii="宋体" w:hAnsi="宋体" w:cs="宋体" w:eastAsia="宋体" w:hint="default"/>
          <w:b w:val="0"/>
          <w:bCs w:val="0"/>
        </w:rPr>
        <w:t>无</w:t>
      </w:r>
    </w:p>
    <w:p>
      <w:pPr>
        <w:pStyle w:val="Heading3"/>
        <w:spacing w:line="506" w:lineRule="auto" w:before="104"/>
        <w:ind w:left="573" w:right="5444" w:hanging="421"/>
        <w:jc w:val="left"/>
        <w:rPr>
          <w:rFonts w:ascii="宋体" w:hAnsi="宋体" w:cs="宋体" w:eastAsia="宋体" w:hint="default"/>
          <w:b w:val="0"/>
          <w:bCs w:val="0"/>
        </w:rPr>
      </w:pPr>
      <w:bookmarkStart w:name="（5）期末公司因出票人未履约而将其转应收账款的票据" w:id="251"/>
      <w:bookmarkEnd w:id="251"/>
      <w:r>
        <w:rPr>
          <w:b w:val="0"/>
          <w:bCs w:val="0"/>
        </w:rPr>
      </w:r>
      <w:r>
        <w:rPr>
          <w:spacing w:val="-1"/>
        </w:rPr>
        <w:t>（</w:t>
      </w:r>
      <w:r>
        <w:rPr>
          <w:rFonts w:ascii="Times New Roman" w:hAnsi="Times New Roman" w:cs="Times New Roman" w:eastAsia="Times New Roman" w:hint="default"/>
          <w:spacing w:val="-1"/>
        </w:rPr>
        <w:t>5</w:t>
      </w:r>
      <w:r>
        <w:rPr>
          <w:spacing w:val="-1"/>
        </w:rPr>
        <w:t>）期末公司因出票人未履约而将其转应收账款的票据</w:t>
      </w:r>
      <w:r>
        <w:rPr>
          <w:spacing w:val="-85"/>
        </w:rPr>
        <w:t> </w:t>
      </w:r>
      <w:r>
        <w:rPr>
          <w:spacing w:val="-85"/>
        </w:rPr>
      </w:r>
      <w:r>
        <w:rPr>
          <w:rFonts w:ascii="宋体" w:hAnsi="宋体" w:cs="宋体" w:eastAsia="宋体" w:hint="default"/>
          <w:b w:val="0"/>
          <w:bCs w:val="0"/>
        </w:rPr>
        <w:t>无</w:t>
      </w:r>
    </w:p>
    <w:p>
      <w:pPr>
        <w:spacing w:after="0" w:line="506" w:lineRule="auto"/>
        <w:jc w:val="left"/>
        <w:rPr>
          <w:rFonts w:ascii="宋体" w:hAnsi="宋体" w:cs="宋体" w:eastAsia="宋体" w:hint="default"/>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506" w:lineRule="auto" w:before="36"/>
        <w:ind w:left="573" w:right="7460" w:hanging="421"/>
        <w:jc w:val="left"/>
        <w:rPr>
          <w:rFonts w:ascii="宋体" w:hAnsi="宋体" w:cs="宋体" w:eastAsia="宋体" w:hint="default"/>
          <w:b w:val="0"/>
          <w:bCs w:val="0"/>
        </w:rPr>
      </w:pPr>
      <w:bookmarkStart w:name="（6）本期实际核销的应收票据情况" w:id="252"/>
      <w:bookmarkEnd w:id="252"/>
      <w:r>
        <w:rPr>
          <w:b w:val="0"/>
          <w:bCs w:val="0"/>
        </w:rPr>
      </w:r>
      <w:r>
        <w:rPr>
          <w:spacing w:val="-1"/>
        </w:rPr>
        <w:t>（</w:t>
      </w:r>
      <w:r>
        <w:rPr>
          <w:rFonts w:ascii="Times New Roman" w:hAnsi="Times New Roman" w:cs="Times New Roman" w:eastAsia="Times New Roman" w:hint="default"/>
          <w:spacing w:val="-1"/>
        </w:rPr>
        <w:t>6</w:t>
      </w:r>
      <w:r>
        <w:rPr>
          <w:spacing w:val="-1"/>
        </w:rPr>
        <w:t>）本期实际核销的应收票据情况</w:t>
      </w:r>
      <w:r>
        <w:rPr>
          <w:spacing w:val="-91"/>
        </w:rPr>
        <w:t> </w:t>
      </w:r>
      <w:r>
        <w:rPr>
          <w:spacing w:val="-91"/>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5、应收账款" w:id="253"/>
      <w:bookmarkEnd w:id="253"/>
      <w:r>
        <w:rPr>
          <w:b w:val="0"/>
          <w:bCs w:val="0"/>
        </w:rPr>
      </w:r>
      <w:r>
        <w:rPr>
          <w:rFonts w:ascii="Times New Roman" w:hAnsi="Times New Roman" w:cs="Times New Roman" w:eastAsia="Times New Roman" w:hint="default"/>
        </w:rPr>
        <w:t>5</w:t>
      </w:r>
      <w:r>
        <w:rPr/>
        <w:t>、应收账款</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应收账款分类披露" w:id="254"/>
      <w:bookmarkEnd w:id="254"/>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12"/>
        <w:gridCol w:w="774"/>
        <w:gridCol w:w="764"/>
        <w:gridCol w:w="761"/>
        <w:gridCol w:w="763"/>
        <w:gridCol w:w="790"/>
        <w:gridCol w:w="775"/>
        <w:gridCol w:w="797"/>
        <w:gridCol w:w="800"/>
        <w:gridCol w:w="790"/>
        <w:gridCol w:w="931"/>
      </w:tblGrid>
      <w:tr>
        <w:trPr>
          <w:trHeight w:val="398"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385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2" w:type="dxa"/>
            <w:vMerge/>
            <w:tcBorders>
              <w:left w:val="single" w:sz="4" w:space="0" w:color="000000"/>
              <w:bottom w:val="nil" w:sz="6" w:space="0" w:color="auto"/>
              <w:right w:val="single" w:sz="4" w:space="0" w:color="000000"/>
            </w:tcBorders>
            <w:shd w:val="clear" w:color="auto" w:fill="D2D2D2"/>
          </w:tcPr>
          <w:p>
            <w:pPr/>
          </w:p>
        </w:tc>
        <w:tc>
          <w:tcPr>
            <w:tcW w:w="153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57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0" w:hRule="exact"/>
        </w:trPr>
        <w:tc>
          <w:tcPr>
            <w:tcW w:w="16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38"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572" w:type="dxa"/>
            <w:gridSpan w:val="2"/>
            <w:vMerge/>
            <w:tcBorders>
              <w:left w:val="single" w:sz="4" w:space="0" w:color="000000"/>
              <w:bottom w:val="single" w:sz="4" w:space="0" w:color="000000"/>
              <w:right w:val="single" w:sz="4" w:space="0" w:color="000000"/>
            </w:tcBorders>
            <w:shd w:val="clear" w:color="auto" w:fill="D2D2D2"/>
          </w:tcPr>
          <w:p>
            <w:pPr/>
          </w:p>
        </w:tc>
        <w:tc>
          <w:tcPr>
            <w:tcW w:w="1589"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2"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7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800"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5" w:hRule="exact"/>
        </w:trPr>
        <w:tc>
          <w:tcPr>
            <w:tcW w:w="1612"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7"/>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7"/>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7"/>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7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0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1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1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3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800" w:type="dxa"/>
            <w:vMerge/>
            <w:tcBorders>
              <w:left w:val="single" w:sz="4" w:space="0" w:color="000000"/>
              <w:bottom w:val="nil" w:sz="6" w:space="0" w:color="auto"/>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800" w:type="dxa"/>
            <w:tcBorders>
              <w:top w:val="nil" w:sz="6" w:space="0" w:color="auto"/>
              <w:left w:val="single" w:sz="4" w:space="0" w:color="000000"/>
              <w:bottom w:val="single" w:sz="4" w:space="0" w:color="000000"/>
              <w:right w:val="single" w:sz="4" w:space="0" w:color="000000"/>
            </w:tcBorders>
            <w:shd w:val="clear" w:color="auto" w:fill="D2D2D2"/>
          </w:tcPr>
          <w:p>
            <w:pPr/>
          </w:p>
        </w:tc>
        <w:tc>
          <w:tcPr>
            <w:tcW w:w="790"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left"/>
              <w:rPr>
                <w:rFonts w:ascii="宋体" w:hAnsi="宋体" w:cs="宋体" w:eastAsia="宋体" w:hint="default"/>
                <w:sz w:val="18"/>
                <w:szCs w:val="18"/>
              </w:rPr>
            </w:pPr>
            <w:r>
              <w:rPr>
                <w:rFonts w:ascii="宋体" w:hAnsi="宋体" w:cs="宋体" w:eastAsia="宋体" w:hint="default"/>
                <w:sz w:val="18"/>
                <w:szCs w:val="18"/>
              </w:rPr>
              <w:t>按单项计提坏账准 备的应收账款</w:t>
            </w:r>
          </w:p>
        </w:tc>
        <w:tc>
          <w:tcPr>
            <w:tcW w:w="77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421" w:right="0"/>
              <w:jc w:val="left"/>
              <w:rPr>
                <w:rFonts w:ascii="Times New Roman" w:hAnsi="Times New Roman" w:cs="Times New Roman" w:eastAsia="Times New Roman" w:hint="default"/>
                <w:sz w:val="18"/>
                <w:szCs w:val="18"/>
              </w:rPr>
            </w:pPr>
            <w:r>
              <w:rPr>
                <w:rFonts w:ascii="Times New Roman"/>
                <w:sz w:val="18"/>
              </w:rPr>
              <w:t>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0.07%</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 w:right="0"/>
              <w:jc w:val="center"/>
              <w:rPr>
                <w:rFonts w:ascii="Times New Roman" w:hAnsi="Times New Roman" w:cs="Times New Roman" w:eastAsia="Times New Roman" w:hint="default"/>
                <w:sz w:val="18"/>
                <w:szCs w:val="18"/>
              </w:rPr>
            </w:pPr>
            <w:r>
              <w:rPr>
                <w:rFonts w:ascii="Times New Roman"/>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7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3"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left"/>
              <w:rPr>
                <w:rFonts w:ascii="宋体" w:hAnsi="宋体" w:cs="宋体" w:eastAsia="宋体" w:hint="default"/>
                <w:sz w:val="18"/>
                <w:szCs w:val="18"/>
              </w:rPr>
            </w:pPr>
            <w:r>
              <w:rPr>
                <w:rFonts w:ascii="宋体" w:hAnsi="宋体" w:cs="宋体" w:eastAsia="宋体" w:hint="default"/>
                <w:sz w:val="18"/>
                <w:szCs w:val="18"/>
              </w:rPr>
              <w:t>按组合计提坏账准 备的应收账款</w:t>
            </w:r>
          </w:p>
        </w:tc>
        <w:tc>
          <w:tcPr>
            <w:tcW w:w="77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1,477,20</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5,305.55</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99.93%</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 w:right="0"/>
              <w:jc w:val="center"/>
              <w:rPr>
                <w:rFonts w:ascii="Times New Roman" w:hAnsi="Times New Roman" w:cs="Times New Roman" w:eastAsia="Times New Roman" w:hint="default"/>
                <w:sz w:val="18"/>
                <w:szCs w:val="18"/>
              </w:rPr>
            </w:pPr>
            <w:r>
              <w:rPr>
                <w:rFonts w:ascii="Times New Roman"/>
                <w:sz w:val="18"/>
              </w:rPr>
              <w:t>152,917,</w:t>
            </w:r>
          </w:p>
          <w:p>
            <w:pPr>
              <w:pStyle w:val="TableParagraph"/>
              <w:spacing w:line="240" w:lineRule="auto" w:before="105"/>
              <w:ind w:left="214" w:right="0"/>
              <w:jc w:val="center"/>
              <w:rPr>
                <w:rFonts w:ascii="Times New Roman" w:hAnsi="Times New Roman" w:cs="Times New Roman" w:eastAsia="Times New Roman" w:hint="default"/>
                <w:sz w:val="18"/>
                <w:szCs w:val="18"/>
              </w:rPr>
            </w:pPr>
            <w:r>
              <w:rPr>
                <w:rFonts w:ascii="Times New Roman"/>
                <w:sz w:val="18"/>
              </w:rPr>
              <w:t>063.47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9" w:right="0"/>
              <w:jc w:val="center"/>
              <w:rPr>
                <w:rFonts w:ascii="Times New Roman" w:hAnsi="Times New Roman" w:cs="Times New Roman" w:eastAsia="Times New Roman" w:hint="default"/>
                <w:sz w:val="18"/>
                <w:szCs w:val="18"/>
              </w:rPr>
            </w:pPr>
            <w:r>
              <w:rPr>
                <w:rFonts w:ascii="Times New Roman"/>
                <w:sz w:val="18"/>
              </w:rPr>
              <w:t>10.35%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1,324,288</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,242.08</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1,656,438</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,497.72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100.00%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126,403,7</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59.70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7.63%</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1,530,034,7</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38.02</w:t>
            </w:r>
          </w:p>
        </w:tc>
      </w:tr>
      <w:tr>
        <w:trPr>
          <w:trHeight w:val="403"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7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61" w:hRule="exact"/>
        </w:trPr>
        <w:tc>
          <w:tcPr>
            <w:tcW w:w="16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10" w:space="0" w:color="D2D2D2"/>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1,478,20</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5,305.55</w:t>
            </w:r>
          </w:p>
        </w:tc>
        <w:tc>
          <w:tcPr>
            <w:tcW w:w="7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91"/>
              <w:ind w:left="77" w:right="0"/>
              <w:jc w:val="center"/>
              <w:rPr>
                <w:rFonts w:ascii="Times New Roman" w:hAnsi="Times New Roman" w:cs="Times New Roman" w:eastAsia="Times New Roman" w:hint="default"/>
                <w:sz w:val="18"/>
                <w:szCs w:val="18"/>
              </w:rPr>
            </w:pPr>
            <w:r>
              <w:rPr>
                <w:rFonts w:ascii="Times New Roman"/>
                <w:sz w:val="18"/>
              </w:rPr>
              <w:t>153,917,</w:t>
            </w:r>
          </w:p>
          <w:p>
            <w:pPr>
              <w:pStyle w:val="TableParagraph"/>
              <w:spacing w:line="240" w:lineRule="auto" w:before="105"/>
              <w:ind w:left="214" w:right="0"/>
              <w:jc w:val="center"/>
              <w:rPr>
                <w:rFonts w:ascii="Times New Roman" w:hAnsi="Times New Roman" w:cs="Times New Roman" w:eastAsia="Times New Roman" w:hint="default"/>
                <w:sz w:val="18"/>
                <w:szCs w:val="18"/>
              </w:rPr>
            </w:pPr>
            <w:r>
              <w:rPr>
                <w:rFonts w:ascii="Times New Roman"/>
                <w:sz w:val="18"/>
              </w:rPr>
              <w:t>063.47</w:t>
            </w:r>
          </w:p>
        </w:tc>
        <w:tc>
          <w:tcPr>
            <w:tcW w:w="763"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1,324,288</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,242.08</w:t>
            </w:r>
          </w:p>
        </w:tc>
        <w:tc>
          <w:tcPr>
            <w:tcW w:w="775" w:type="dxa"/>
            <w:vMerge w:val="restart"/>
            <w:tcBorders>
              <w:top w:val="single" w:sz="4" w:space="0" w:color="000000"/>
              <w:left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1,656,438</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,497.72</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100.00%</w:t>
            </w:r>
          </w:p>
        </w:tc>
        <w:tc>
          <w:tcPr>
            <w:tcW w:w="800"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126,403,7</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59.70</w:t>
            </w:r>
          </w:p>
        </w:tc>
        <w:tc>
          <w:tcPr>
            <w:tcW w:w="790"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1,530,034,7</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38.02</w:t>
            </w:r>
          </w:p>
        </w:tc>
      </w:tr>
      <w:tr>
        <w:trPr>
          <w:trHeight w:val="391" w:hRule="exact"/>
        </w:trPr>
        <w:tc>
          <w:tcPr>
            <w:tcW w:w="16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10" w:space="0" w:color="D2D2D2"/>
              <w:right w:val="single" w:sz="4" w:space="0" w:color="000000"/>
            </w:tcBorders>
          </w:tcPr>
          <w:p>
            <w:pPr/>
          </w:p>
        </w:tc>
        <w:tc>
          <w:tcPr>
            <w:tcW w:w="764"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77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800"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10" w:space="0" w:color="D2D2D2"/>
              <w:bottom w:val="single" w:sz="4" w:space="0" w:color="000000"/>
              <w:right w:val="single" w:sz="4" w:space="0" w:color="000000"/>
            </w:tcBorders>
          </w:tcPr>
          <w:p>
            <w:pPr/>
          </w:p>
        </w:tc>
        <w:tc>
          <w:tcPr>
            <w:tcW w:w="764"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77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800"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pStyle w:val="BodyText"/>
        <w:spacing w:line="240" w:lineRule="auto" w:before="49"/>
        <w:ind w:right="2602"/>
        <w:jc w:val="left"/>
      </w:pPr>
      <w:r>
        <w:rPr/>
        <w:t>按单项计提坏账准备：</w:t>
      </w:r>
    </w:p>
    <w:p>
      <w:pPr>
        <w:pStyle w:val="BodyText"/>
        <w:spacing w:line="240" w:lineRule="auto" w:before="117"/>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6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77"/>
              <w:jc w:val="left"/>
              <w:rPr>
                <w:rFonts w:ascii="宋体" w:hAnsi="宋体" w:cs="宋体" w:eastAsia="宋体" w:hint="default"/>
                <w:sz w:val="18"/>
                <w:szCs w:val="18"/>
              </w:rPr>
            </w:pPr>
            <w:r>
              <w:rPr>
                <w:rFonts w:ascii="宋体" w:hAnsi="宋体" w:cs="宋体" w:eastAsia="宋体" w:hint="default"/>
                <w:sz w:val="18"/>
                <w:szCs w:val="18"/>
              </w:rPr>
              <w:t>上海久事智慧体育有限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35" w:right="0"/>
              <w:jc w:val="left"/>
              <w:rPr>
                <w:rFonts w:ascii="Times New Roman" w:hAnsi="Times New Roman" w:cs="Times New Roman" w:eastAsia="Times New Roman" w:hint="default"/>
                <w:sz w:val="18"/>
                <w:szCs w:val="18"/>
              </w:rPr>
            </w:pPr>
            <w:r>
              <w:rPr>
                <w:rFonts w:ascii="Times New Roman"/>
                <w:sz w:val="18"/>
              </w:rPr>
              <w:t>100.00%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超额亏损联营企业</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1,000,000.00</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2602"/>
        <w:jc w:val="left"/>
      </w:pPr>
      <w:r>
        <w:rPr/>
        <w:t>按组合计提坏账准备：账龄组合</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1"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个月以内（含</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个月）</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440,381,204.36</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r>
              <w:rPr>
                <w:rFonts w:ascii="Times New Roman" w:hAnsi="Times New Roman" w:cs="Times New Roman" w:eastAsia="Times New Roman" w:hint="default"/>
                <w:sz w:val="18"/>
                <w:szCs w:val="18"/>
              </w:rPr>
              <w:t>-1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441,362,776.98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13,240,883.31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260,480,059.25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13,024,003.01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177,830,633.76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17,783,064.67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42,072,317.60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8,414,463.52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29,247,329.32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14,623,664.68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2"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85,830,984.28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85,830,984.28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1,477,205,305.55</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3"/>
              <w:ind w:right="10"/>
              <w:jc w:val="right"/>
              <w:rPr>
                <w:rFonts w:ascii="Times New Roman" w:hAnsi="Times New Roman" w:cs="Times New Roman" w:eastAsia="Times New Roman" w:hint="default"/>
                <w:sz w:val="18"/>
                <w:szCs w:val="18"/>
              </w:rPr>
            </w:pPr>
            <w:r>
              <w:rPr>
                <w:rFonts w:ascii="Times New Roman"/>
                <w:spacing w:val="-1"/>
                <w:sz w:val="18"/>
              </w:rPr>
              <w:t>152,917,063.47</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80" w:top="1060" w:bottom="1160" w:left="980" w:right="0"/>
        </w:sectPr>
      </w:pPr>
    </w:p>
    <w:p>
      <w:pPr>
        <w:pStyle w:val="BodyText"/>
        <w:spacing w:line="240" w:lineRule="auto" w:before="49"/>
        <w:ind w:right="0"/>
        <w:jc w:val="left"/>
      </w:pPr>
      <w:r>
        <w:rPr/>
        <w:t>确定该组合依据的说明：</w:t>
      </w:r>
    </w:p>
    <w:p>
      <w:pPr>
        <w:pStyle w:val="Heading4"/>
        <w:spacing w:line="240" w:lineRule="auto" w:before="94"/>
        <w:ind w:left="573" w:right="0"/>
        <w:jc w:val="left"/>
      </w:pPr>
      <w:r>
        <w:rPr>
          <w:spacing w:val="-2"/>
        </w:rPr>
        <w:t>相同账龄的应收账款具有类似的信用风险特征。</w:t>
      </w:r>
    </w:p>
    <w:p>
      <w:pPr>
        <w:pStyle w:val="BodyText"/>
        <w:spacing w:line="240" w:lineRule="auto" w:before="98"/>
        <w:ind w:right="0"/>
        <w:jc w:val="left"/>
      </w:pPr>
      <w:r>
        <w:rPr/>
        <w:t>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988" w:space="3841"/>
            <w:col w:w="2101"/>
          </w:cols>
        </w:sectPr>
      </w:pP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881,743,981.34</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85"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个月以内（含</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440,381,204.36</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个月</w:t>
            </w:r>
            <w:r>
              <w:rPr>
                <w:rFonts w:ascii="Times New Roman" w:hAnsi="Times New Roman" w:cs="Times New Roman" w:eastAsia="Times New Roman" w:hint="default"/>
                <w:sz w:val="18"/>
                <w:szCs w:val="18"/>
              </w:rPr>
              <w:t>-1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441,362,776.98</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261,480,059.25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177,830,633.76</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157,150,631.20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42,072,317.60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29,247,329.32</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85,830,984.28</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1,478,205,305.55</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本期计提、收回或转回的坏账准备情况" w:id="255"/>
      <w:bookmarkEnd w:id="255"/>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t>本期计提坏账准备情况：</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127"/>
        <w:gridCol w:w="1702"/>
        <w:gridCol w:w="1416"/>
        <w:gridCol w:w="1135"/>
        <w:gridCol w:w="991"/>
        <w:gridCol w:w="833"/>
        <w:gridCol w:w="1368"/>
      </w:tblGrid>
      <w:tr>
        <w:trPr>
          <w:trHeight w:val="403" w:hRule="exact"/>
        </w:trPr>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3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702" w:type="dxa"/>
            <w:vMerge/>
            <w:tcBorders>
              <w:left w:val="single" w:sz="4" w:space="0" w:color="000000"/>
              <w:bottom w:val="single" w:sz="4" w:space="0" w:color="000000"/>
              <w:right w:val="single" w:sz="4" w:space="0" w:color="000000"/>
            </w:tcBorders>
            <w:shd w:val="clear" w:color="auto" w:fill="D2D2D2"/>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1"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应收账款坏账准备</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126,403,759.70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27,513,303.77</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83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153,917,063.47</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126,403,759.70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27,513,303.77</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83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153,917,063.47</w:t>
            </w:r>
          </w:p>
        </w:tc>
      </w:tr>
    </w:tbl>
    <w:p>
      <w:pPr>
        <w:spacing w:line="240" w:lineRule="auto" w:before="3"/>
        <w:rPr>
          <w:rFonts w:ascii="宋体" w:hAnsi="宋体" w:cs="宋体" w:eastAsia="宋体" w:hint="default"/>
          <w:sz w:val="19"/>
          <w:szCs w:val="19"/>
        </w:rPr>
      </w:pPr>
    </w:p>
    <w:p>
      <w:pPr>
        <w:pStyle w:val="Heading3"/>
        <w:spacing w:line="506" w:lineRule="auto" w:before="36"/>
        <w:ind w:left="573" w:right="7460" w:hanging="421"/>
        <w:jc w:val="left"/>
        <w:rPr>
          <w:rFonts w:ascii="宋体" w:hAnsi="宋体" w:cs="宋体" w:eastAsia="宋体" w:hint="default"/>
          <w:b w:val="0"/>
          <w:bCs w:val="0"/>
        </w:rPr>
      </w:pPr>
      <w:bookmarkStart w:name="（3）本期实际核销的应收账款情况" w:id="256"/>
      <w:bookmarkEnd w:id="256"/>
      <w:r>
        <w:rPr>
          <w:b w:val="0"/>
          <w:bCs w:val="0"/>
        </w:rPr>
      </w:r>
      <w:r>
        <w:rPr>
          <w:spacing w:val="-1"/>
        </w:rPr>
        <w:t>（</w:t>
      </w:r>
      <w:r>
        <w:rPr>
          <w:rFonts w:ascii="Times New Roman" w:hAnsi="Times New Roman" w:cs="Times New Roman" w:eastAsia="Times New Roman" w:hint="default"/>
          <w:spacing w:val="-1"/>
        </w:rPr>
        <w:t>3</w:t>
      </w:r>
      <w:r>
        <w:rPr>
          <w:spacing w:val="-1"/>
        </w:rPr>
        <w:t>）本期实际核销的应收账款情况</w:t>
      </w:r>
      <w:r>
        <w:rPr>
          <w:spacing w:val="-91"/>
        </w:rPr>
        <w:t> </w:t>
      </w:r>
      <w:r>
        <w:rPr>
          <w:spacing w:val="-91"/>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按欠款方归集的期末余额前五名的应收账款情况" w:id="257"/>
      <w:bookmarkEnd w:id="257"/>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261"/>
        <w:gridCol w:w="1558"/>
        <w:gridCol w:w="2979"/>
        <w:gridCol w:w="1769"/>
      </w:tblGrid>
      <w:tr>
        <w:trPr>
          <w:trHeight w:val="402" w:hRule="exact"/>
        </w:trPr>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9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4" w:right="0"/>
              <w:jc w:val="left"/>
              <w:rPr>
                <w:rFonts w:ascii="宋体" w:hAnsi="宋体" w:cs="宋体" w:eastAsia="宋体" w:hint="default"/>
                <w:sz w:val="18"/>
                <w:szCs w:val="18"/>
              </w:rPr>
            </w:pPr>
            <w:r>
              <w:rPr>
                <w:rFonts w:ascii="宋体" w:hAnsi="宋体" w:cs="宋体" w:eastAsia="宋体" w:hint="default"/>
                <w:sz w:val="18"/>
                <w:szCs w:val="18"/>
              </w:rPr>
              <w:t>占应收账款期末余额合计数的比例</w:t>
            </w:r>
          </w:p>
        </w:tc>
        <w:tc>
          <w:tcPr>
            <w:tcW w:w="17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0"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263"/>
        <w:gridCol w:w="1558"/>
        <w:gridCol w:w="2979"/>
        <w:gridCol w:w="1769"/>
      </w:tblGrid>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上海市卫生健康委员会</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45,279,989.70</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3.06%</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43,763,271.89</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上海市医疗保险事业管理中心</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39,830,000.00</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2.69%</w:t>
            </w: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上海市人力资源和社会保障局信息中心</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36,826,037.74</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2.49%</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1,244,376.00</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上海申康医院发展中心</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35,432,070.76</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2.40%</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1,771,603.54</w:t>
            </w:r>
          </w:p>
        </w:tc>
      </w:tr>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上海交通大学医学院附属仁济医院</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21,730,400.00</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1,847,186.00</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179,098,498.20</w:t>
            </w:r>
          </w:p>
        </w:tc>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12.11%</w:t>
            </w:r>
          </w:p>
        </w:tc>
        <w:tc>
          <w:tcPr>
            <w:tcW w:w="1769"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3"/>
        <w:spacing w:line="506" w:lineRule="auto" w:before="36"/>
        <w:ind w:left="573" w:right="6614" w:hanging="421"/>
        <w:jc w:val="left"/>
        <w:rPr>
          <w:rFonts w:ascii="宋体" w:hAnsi="宋体" w:cs="宋体" w:eastAsia="宋体" w:hint="default"/>
          <w:b w:val="0"/>
          <w:bCs w:val="0"/>
        </w:rPr>
      </w:pPr>
      <w:bookmarkStart w:name="（5）因金融资产转移而终止确认的应收账款" w:id="258"/>
      <w:bookmarkEnd w:id="258"/>
      <w:r>
        <w:rPr>
          <w:b w:val="0"/>
          <w:bCs w:val="0"/>
        </w:rPr>
      </w:r>
      <w:r>
        <w:rPr>
          <w:spacing w:val="-1"/>
        </w:rPr>
        <w:t>（</w:t>
      </w:r>
      <w:r>
        <w:rPr>
          <w:rFonts w:ascii="Times New Roman" w:hAnsi="Times New Roman" w:cs="Times New Roman" w:eastAsia="Times New Roman" w:hint="default"/>
          <w:spacing w:val="-1"/>
        </w:rPr>
        <w:t>5</w:t>
      </w:r>
      <w:r>
        <w:rPr>
          <w:spacing w:val="-1"/>
        </w:rPr>
        <w:t>）因金融资产转移而终止确认的应收账款</w:t>
      </w:r>
      <w:r>
        <w:rPr>
          <w:spacing w:val="-85"/>
        </w:rPr>
        <w:t> </w:t>
      </w:r>
      <w:r>
        <w:rPr>
          <w:spacing w:val="-85"/>
        </w:rPr>
      </w:r>
      <w:r>
        <w:rPr>
          <w:rFonts w:ascii="宋体" w:hAnsi="宋体" w:cs="宋体" w:eastAsia="宋体" w:hint="default"/>
          <w:b w:val="0"/>
          <w:bCs w:val="0"/>
        </w:rPr>
        <w:t>无</w:t>
      </w:r>
    </w:p>
    <w:p>
      <w:pPr>
        <w:pStyle w:val="Heading3"/>
        <w:spacing w:line="506" w:lineRule="auto" w:before="104"/>
        <w:ind w:left="573" w:right="5714" w:hanging="421"/>
        <w:jc w:val="left"/>
        <w:rPr>
          <w:rFonts w:ascii="宋体" w:hAnsi="宋体" w:cs="宋体" w:eastAsia="宋体" w:hint="default"/>
          <w:b w:val="0"/>
          <w:bCs w:val="0"/>
        </w:rPr>
      </w:pPr>
      <w:bookmarkStart w:name="（6）转移应收账款且继续涉入形成的资产、负债金额" w:id="259"/>
      <w:bookmarkEnd w:id="259"/>
      <w:r>
        <w:rPr>
          <w:b w:val="0"/>
          <w:bCs w:val="0"/>
        </w:rPr>
      </w:r>
      <w:r>
        <w:rPr>
          <w:spacing w:val="-1"/>
        </w:rPr>
        <w:t>（</w:t>
      </w:r>
      <w:r>
        <w:rPr>
          <w:rFonts w:ascii="Times New Roman" w:hAnsi="Times New Roman" w:cs="Times New Roman" w:eastAsia="Times New Roman" w:hint="default"/>
          <w:spacing w:val="-1"/>
        </w:rPr>
        <w:t>6</w:t>
      </w:r>
      <w:r>
        <w:rPr>
          <w:spacing w:val="-1"/>
        </w:rPr>
        <w:t>）转移应收账款且继续涉入形成的资产、负债金额</w:t>
      </w:r>
      <w:r>
        <w:rPr>
          <w:spacing w:val="-86"/>
        </w:rPr>
        <w:t> </w:t>
      </w:r>
      <w:r>
        <w:rPr>
          <w:spacing w:val="-86"/>
        </w:rPr>
      </w:r>
      <w:r>
        <w:rPr>
          <w:rFonts w:ascii="宋体" w:hAnsi="宋体" w:cs="宋体" w:eastAsia="宋体" w:hint="default"/>
          <w:b w:val="0"/>
          <w:bCs w:val="0"/>
        </w:rPr>
        <w:t>无</w:t>
      </w:r>
    </w:p>
    <w:p>
      <w:pPr>
        <w:pStyle w:val="Heading3"/>
        <w:spacing w:line="506" w:lineRule="auto" w:before="104"/>
        <w:ind w:left="573" w:right="9173" w:hanging="421"/>
        <w:jc w:val="left"/>
        <w:rPr>
          <w:rFonts w:ascii="宋体" w:hAnsi="宋体" w:cs="宋体" w:eastAsia="宋体" w:hint="default"/>
          <w:b w:val="0"/>
          <w:bCs w:val="0"/>
        </w:rPr>
      </w:pPr>
      <w:bookmarkStart w:name="6、应收款项融资" w:id="260"/>
      <w:bookmarkEnd w:id="260"/>
      <w:r>
        <w:rPr>
          <w:b w:val="0"/>
          <w:bCs w:val="0"/>
        </w:rPr>
      </w:r>
      <w:r>
        <w:rPr>
          <w:rFonts w:ascii="Times New Roman" w:hAnsi="Times New Roman" w:cs="Times New Roman" w:eastAsia="Times New Roman" w:hint="default"/>
        </w:rPr>
        <w:t>6</w:t>
      </w:r>
      <w:r>
        <w:rPr/>
        <w:t>、应收款项融资</w:t>
      </w:r>
      <w:r>
        <w:rPr>
          <w:spacing w:val="-103"/>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7、预付款项" w:id="261"/>
      <w:bookmarkEnd w:id="261"/>
      <w:r>
        <w:rPr>
          <w:b w:val="0"/>
          <w:bCs w:val="0"/>
        </w:rPr>
      </w:r>
      <w:r>
        <w:rPr>
          <w:rFonts w:ascii="Times New Roman" w:hAnsi="Times New Roman" w:cs="Times New Roman" w:eastAsia="Times New Roman" w:hint="default"/>
        </w:rPr>
        <w:t>7</w:t>
      </w:r>
      <w:r>
        <w:rPr/>
        <w:t>、预付款项</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预付款项按账龄列示" w:id="262"/>
      <w:bookmarkEnd w:id="262"/>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3"/>
        <w:gridCol w:w="1915"/>
        <w:gridCol w:w="1916"/>
      </w:tblGrid>
      <w:tr>
        <w:trPr>
          <w:trHeight w:val="204"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1"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12,235,192.17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97.05%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12,578,164.11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99.67%</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340,199.04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41,383.04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0.33%</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31,143.04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0.25%</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12,606,534.25</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12,619,547.15</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按预付对象归集的期末余额前五名的预付款情况" w:id="263"/>
      <w:bookmarkEnd w:id="263"/>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7"/>
        <w:rPr>
          <w:rFonts w:ascii="宋体" w:hAnsi="宋体" w:cs="宋体" w:eastAsia="宋体" w:hint="default"/>
          <w:b/>
          <w:bCs/>
          <w:sz w:val="25"/>
          <w:szCs w:val="25"/>
        </w:rPr>
      </w:pPr>
    </w:p>
    <w:tbl>
      <w:tblPr>
        <w:tblW w:w="0" w:type="auto"/>
        <w:jc w:val="left"/>
        <w:tblInd w:w="138" w:type="dxa"/>
        <w:tblLayout w:type="fixed"/>
        <w:tblCellMar>
          <w:top w:w="0" w:type="dxa"/>
          <w:left w:w="0" w:type="dxa"/>
          <w:bottom w:w="0" w:type="dxa"/>
          <w:right w:w="0" w:type="dxa"/>
        </w:tblCellMar>
        <w:tblLook w:val="01E0"/>
      </w:tblPr>
      <w:tblGrid>
        <w:gridCol w:w="3555"/>
        <w:gridCol w:w="2693"/>
        <w:gridCol w:w="3411"/>
      </w:tblGrid>
      <w:tr>
        <w:trPr>
          <w:trHeight w:val="329" w:hRule="exact"/>
        </w:trPr>
        <w:tc>
          <w:tcPr>
            <w:tcW w:w="3555"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预付对象</w:t>
            </w:r>
          </w:p>
        </w:tc>
        <w:tc>
          <w:tcPr>
            <w:tcW w:w="2693"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11"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20"/>
              <w:ind w:left="21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占预付款项期末余额合计数的比例</w:t>
            </w:r>
            <w:r>
              <w:rPr>
                <w:rFonts w:ascii="Times New Roman" w:hAnsi="Times New Roman" w:cs="Times New Roman" w:eastAsia="Times New Roman" w:hint="default"/>
                <w:sz w:val="18"/>
                <w:szCs w:val="18"/>
              </w:rPr>
              <w:t>(%)</w:t>
            </w:r>
          </w:p>
        </w:tc>
      </w:tr>
      <w:tr>
        <w:trPr>
          <w:trHeight w:val="355"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 w:right="0"/>
              <w:jc w:val="left"/>
              <w:rPr>
                <w:rFonts w:ascii="宋体" w:hAnsi="宋体" w:cs="宋体" w:eastAsia="宋体" w:hint="default"/>
                <w:sz w:val="18"/>
                <w:szCs w:val="18"/>
              </w:rPr>
            </w:pPr>
            <w:r>
              <w:rPr>
                <w:rFonts w:ascii="宋体" w:hAnsi="宋体" w:cs="宋体" w:eastAsia="宋体" w:hint="default"/>
                <w:sz w:val="18"/>
                <w:szCs w:val="18"/>
              </w:rPr>
              <w:t>杭州图辰信息技术有限公司</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
              <w:jc w:val="right"/>
              <w:rPr>
                <w:rFonts w:ascii="Times New Roman" w:hAnsi="Times New Roman" w:cs="Times New Roman" w:eastAsia="Times New Roman" w:hint="default"/>
                <w:sz w:val="18"/>
                <w:szCs w:val="18"/>
              </w:rPr>
            </w:pPr>
            <w:r>
              <w:rPr>
                <w:rFonts w:ascii="Times New Roman"/>
                <w:spacing w:val="-1"/>
                <w:sz w:val="18"/>
              </w:rPr>
              <w:t>1,156,500.00</w:t>
            </w:r>
          </w:p>
        </w:tc>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2"/>
              <w:jc w:val="right"/>
              <w:rPr>
                <w:rFonts w:ascii="Times New Roman" w:hAnsi="Times New Roman" w:cs="Times New Roman" w:eastAsia="Times New Roman" w:hint="default"/>
                <w:sz w:val="18"/>
                <w:szCs w:val="18"/>
              </w:rPr>
            </w:pPr>
            <w:r>
              <w:rPr>
                <w:rFonts w:ascii="Times New Roman"/>
                <w:spacing w:val="-1"/>
                <w:sz w:val="18"/>
              </w:rPr>
              <w:t>9.17</w:t>
            </w:r>
          </w:p>
        </w:tc>
      </w:tr>
      <w:tr>
        <w:trPr>
          <w:trHeight w:val="343"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上海文妍装饰装潢工程有限公司</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750,000.00</w:t>
            </w:r>
          </w:p>
        </w:tc>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5.95</w:t>
            </w:r>
          </w:p>
        </w:tc>
      </w:tr>
      <w:tr>
        <w:trPr>
          <w:trHeight w:val="341"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新华三技术有限公司</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468,104.00</w:t>
            </w:r>
          </w:p>
        </w:tc>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3.71</w:t>
            </w:r>
          </w:p>
        </w:tc>
      </w:tr>
      <w:tr>
        <w:trPr>
          <w:trHeight w:val="343"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黑龙江国光建筑装饰工程有限公司</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266,106.04</w:t>
            </w:r>
          </w:p>
        </w:tc>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2.11</w:t>
            </w:r>
          </w:p>
        </w:tc>
      </w:tr>
      <w:tr>
        <w:trPr>
          <w:trHeight w:val="341"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深圳中电长城信息安全系统有限公司</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176,400.00</w:t>
            </w:r>
          </w:p>
        </w:tc>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1.40</w:t>
            </w:r>
          </w:p>
        </w:tc>
      </w:tr>
      <w:tr>
        <w:trPr>
          <w:trHeight w:val="343"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2,817,110.04</w:t>
            </w:r>
          </w:p>
        </w:tc>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z w:val="18"/>
              </w:rPr>
              <w:t>22.34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b/>
          <w:bCs/>
          <w:sz w:val="24"/>
          <w:szCs w:val="24"/>
        </w:rPr>
      </w:pPr>
    </w:p>
    <w:p>
      <w:pPr>
        <w:pStyle w:val="Heading3"/>
        <w:spacing w:line="240" w:lineRule="auto" w:before="36"/>
        <w:ind w:right="2602"/>
        <w:jc w:val="left"/>
        <w:rPr>
          <w:b w:val="0"/>
          <w:bCs w:val="0"/>
        </w:rPr>
      </w:pPr>
      <w:bookmarkStart w:name="8、其他应收款" w:id="264"/>
      <w:bookmarkEnd w:id="264"/>
      <w:r>
        <w:rPr>
          <w:b w:val="0"/>
          <w:bCs w:val="0"/>
        </w:rPr>
      </w:r>
      <w:r>
        <w:rPr>
          <w:rFonts w:ascii="Times New Roman" w:hAnsi="Times New Roman" w:cs="Times New Roman" w:eastAsia="Times New Roman" w:hint="default"/>
        </w:rPr>
        <w:t>8</w:t>
      </w:r>
      <w:r>
        <w:rPr/>
        <w:t>、其他应收款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151,785,890.06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169,255,836.49</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151,785,890.06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169,255,836.49</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1）应收利息" w:id="265"/>
      <w:bookmarkEnd w:id="265"/>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7"/>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1"/>
        <w:rPr>
          <w:rFonts w:ascii="宋体" w:hAnsi="宋体" w:cs="宋体" w:eastAsia="宋体" w:hint="default"/>
          <w:sz w:val="25"/>
          <w:szCs w:val="25"/>
        </w:rPr>
      </w:pPr>
    </w:p>
    <w:p>
      <w:pPr>
        <w:pStyle w:val="Heading3"/>
        <w:spacing w:line="240" w:lineRule="auto"/>
        <w:ind w:right="2602"/>
        <w:jc w:val="left"/>
        <w:rPr>
          <w:b w:val="0"/>
          <w:bCs w:val="0"/>
        </w:rPr>
      </w:pPr>
      <w:bookmarkStart w:name="（2）应收股利" w:id="266"/>
      <w:bookmarkEnd w:id="266"/>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240" w:lineRule="auto"/>
        <w:ind w:right="2602"/>
        <w:jc w:val="left"/>
        <w:rPr>
          <w:b w:val="0"/>
          <w:bCs w:val="0"/>
        </w:rPr>
      </w:pPr>
      <w:bookmarkStart w:name="（3）其他应收款" w:id="267"/>
      <w:bookmarkEnd w:id="267"/>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其他应收款按款项性质分类情况" w:id="268"/>
      <w:bookmarkEnd w:id="268"/>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23,708,362.32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19,010,424.89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项目往来款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171,244,883.46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186,513,837.42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194,953,245.78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205,524,262.31</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坏账准备计提情况" w:id="269"/>
      <w:bookmarkEnd w:id="269"/>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87"/>
        <w:gridCol w:w="1713"/>
        <w:gridCol w:w="2127"/>
        <w:gridCol w:w="2127"/>
        <w:gridCol w:w="1205"/>
      </w:tblGrid>
      <w:tr>
        <w:trPr>
          <w:trHeight w:val="403" w:hRule="exact"/>
        </w:trPr>
        <w:tc>
          <w:tcPr>
            <w:tcW w:w="2387" w:type="dxa"/>
            <w:tcBorders>
              <w:top w:val="single" w:sz="4" w:space="0" w:color="000000"/>
              <w:left w:val="single" w:sz="4" w:space="0" w:color="000000"/>
              <w:bottom w:val="nil" w:sz="6" w:space="0" w:color="auto"/>
              <w:right w:val="single" w:sz="4" w:space="0" w:color="000000"/>
            </w:tcBorders>
            <w:shd w:val="clear" w:color="auto" w:fill="D2D2D2"/>
          </w:tcPr>
          <w:p>
            <w:pP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6"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8"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8"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2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50" w:hRule="exact"/>
        </w:trPr>
        <w:tc>
          <w:tcPr>
            <w:tcW w:w="238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713" w:type="dxa"/>
            <w:vMerge w:val="restart"/>
            <w:tcBorders>
              <w:top w:val="single" w:sz="4" w:space="0" w:color="000000"/>
              <w:left w:val="single" w:sz="4" w:space="0" w:color="000000"/>
              <w:right w:val="single" w:sz="4" w:space="0" w:color="000000"/>
            </w:tcBorders>
            <w:shd w:val="clear" w:color="auto" w:fill="D2D2D2"/>
          </w:tcPr>
          <w:p>
            <w:pPr>
              <w:pStyle w:val="TableParagraph"/>
              <w:spacing w:line="297" w:lineRule="auto" w:before="49"/>
              <w:ind w:left="587" w:right="77" w:hanging="498"/>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 用损失</w:t>
            </w:r>
          </w:p>
        </w:tc>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4"/>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4"/>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205" w:type="dxa"/>
            <w:vMerge/>
            <w:tcBorders>
              <w:left w:val="single" w:sz="4" w:space="0" w:color="000000"/>
              <w:right w:val="single" w:sz="4" w:space="0" w:color="000000"/>
            </w:tcBorders>
            <w:shd w:val="clear" w:color="auto" w:fill="D2D2D2"/>
          </w:tcPr>
          <w:p>
            <w:pPr/>
          </w:p>
        </w:tc>
      </w:tr>
      <w:tr>
        <w:trPr>
          <w:trHeight w:val="362" w:hRule="exact"/>
        </w:trPr>
        <w:tc>
          <w:tcPr>
            <w:tcW w:w="2387" w:type="dxa"/>
            <w:tcBorders>
              <w:top w:val="nil" w:sz="6" w:space="0" w:color="auto"/>
              <w:left w:val="single" w:sz="4" w:space="0" w:color="000000"/>
              <w:bottom w:val="single" w:sz="4" w:space="0" w:color="000000"/>
              <w:right w:val="single" w:sz="4" w:space="0" w:color="000000"/>
            </w:tcBorders>
            <w:shd w:val="clear" w:color="auto" w:fill="D2D2D2"/>
          </w:tcPr>
          <w:p>
            <w:pPr/>
          </w:p>
        </w:tc>
        <w:tc>
          <w:tcPr>
            <w:tcW w:w="1713" w:type="dxa"/>
            <w:vMerge/>
            <w:tcBorders>
              <w:left w:val="single" w:sz="4" w:space="0" w:color="000000"/>
              <w:bottom w:val="single" w:sz="4" w:space="0" w:color="000000"/>
              <w:right w:val="single" w:sz="4" w:space="0" w:color="000000"/>
            </w:tcBorders>
            <w:shd w:val="clear" w:color="auto" w:fill="D2D2D2"/>
          </w:tcPr>
          <w:p>
            <w:pPr/>
          </w:p>
        </w:tc>
        <w:tc>
          <w:tcPr>
            <w:tcW w:w="2127" w:type="dxa"/>
            <w:vMerge/>
            <w:tcBorders>
              <w:left w:val="single" w:sz="4" w:space="0" w:color="000000"/>
              <w:bottom w:val="single" w:sz="4" w:space="0" w:color="000000"/>
              <w:right w:val="single" w:sz="4" w:space="0" w:color="000000"/>
            </w:tcBorders>
            <w:shd w:val="clear" w:color="auto" w:fill="D2D2D2"/>
          </w:tcPr>
          <w:p>
            <w:pPr/>
          </w:p>
        </w:tc>
        <w:tc>
          <w:tcPr>
            <w:tcW w:w="2127" w:type="dxa"/>
            <w:vMerge/>
            <w:tcBorders>
              <w:left w:val="single" w:sz="4" w:space="0" w:color="000000"/>
              <w:bottom w:val="single" w:sz="4" w:space="0" w:color="000000"/>
              <w:right w:val="single" w:sz="4" w:space="0" w:color="000000"/>
            </w:tcBorders>
            <w:shd w:val="clear" w:color="auto" w:fill="D2D2D2"/>
          </w:tcPr>
          <w:p>
            <w:pPr/>
          </w:p>
        </w:tc>
        <w:tc>
          <w:tcPr>
            <w:tcW w:w="120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547,055.92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35,721,369.90</w:t>
            </w:r>
          </w:p>
        </w:tc>
        <w:tc>
          <w:tcPr>
            <w:tcW w:w="212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36,268,425.82</w:t>
            </w:r>
          </w:p>
        </w:tc>
      </w:tr>
      <w:tr>
        <w:trPr>
          <w:trHeight w:val="401"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日余额在本期</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转入第二阶段</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-547,055.92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547,055.92</w:t>
            </w:r>
          </w:p>
        </w:tc>
        <w:tc>
          <w:tcPr>
            <w:tcW w:w="212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转入第三阶段</w:t>
            </w:r>
          </w:p>
        </w:tc>
        <w:tc>
          <w:tcPr>
            <w:tcW w:w="1713" w:type="dxa"/>
            <w:tcBorders>
              <w:top w:val="single" w:sz="4" w:space="0" w:color="000000"/>
              <w:left w:val="single" w:sz="10"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-800,000.00</w:t>
            </w:r>
            <w:r>
              <w:rPr>
                <w:rFonts w:ascii="Times New Roman"/>
                <w:sz w:val="18"/>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800,000.00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667,382.77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4,426,463.34</w:t>
            </w:r>
            <w:r>
              <w:rPr>
                <w:rFonts w:ascii="Times New Roman"/>
                <w:sz w:val="18"/>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1,805,083.79</w:t>
            </w:r>
            <w:r>
              <w:rPr>
                <w:rFonts w:ascii="Times New Roman"/>
                <w:sz w:val="18"/>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6,898,929.90</w:t>
            </w:r>
            <w:r>
              <w:rPr>
                <w:rFonts w:ascii="Times New Roman"/>
                <w:sz w:val="18"/>
              </w:rPr>
            </w:r>
          </w:p>
        </w:tc>
      </w:tr>
      <w:tr>
        <w:trPr>
          <w:trHeight w:val="401"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713" w:type="dxa"/>
            <w:tcBorders>
              <w:top w:val="single" w:sz="4" w:space="0" w:color="000000"/>
              <w:left w:val="single" w:sz="10"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日余额</w:t>
            </w:r>
          </w:p>
        </w:tc>
        <w:tc>
          <w:tcPr>
            <w:tcW w:w="171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667,382.77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39,894,889.16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2,605,083.79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43,167,355.72</w:t>
            </w:r>
          </w:p>
        </w:tc>
      </w:tr>
    </w:tbl>
    <w:p>
      <w:pPr>
        <w:pStyle w:val="BodyText"/>
        <w:spacing w:line="240" w:lineRule="auto" w:before="49"/>
        <w:ind w:right="2602"/>
        <w:jc w:val="left"/>
      </w:pPr>
      <w:r>
        <w:rPr/>
        <w:t>损失准备本期变动金额重大的账面余额变动情况</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745" w:footer="980" w:top="1060" w:bottom="1160" w:left="980" w:right="0"/>
        </w:sectPr>
      </w:pPr>
    </w:p>
    <w:p>
      <w:pPr>
        <w:pStyle w:val="BodyText"/>
        <w:spacing w:line="3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534" w:space="7295"/>
            <w:col w:w="2101"/>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57,493,885.13</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个月以内（含</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31,878,997.36</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个月</w:t>
            </w:r>
            <w:r>
              <w:rPr>
                <w:rFonts w:ascii="Times New Roman" w:hAnsi="Times New Roman" w:cs="Times New Roman" w:eastAsia="Times New Roman" w:hint="default"/>
                <w:sz w:val="18"/>
                <w:szCs w:val="18"/>
              </w:rPr>
              <w:t>-1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25,614,887.77</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43,727,357.51</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45,867,058.39</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47,864,944.75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10,347,965.55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8,378,010.82</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29,138,968.38</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194,953,245.78</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本期计提、收回或转回的坏账准备情况" w:id="270"/>
      <w:bookmarkEnd w:id="270"/>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2602"/>
        <w:jc w:val="left"/>
      </w:pPr>
      <w:r>
        <w:rPr/>
        <w:t>本期计提坏账准备情况：</w:t>
      </w:r>
    </w:p>
    <w:p>
      <w:pPr>
        <w:pStyle w:val="BodyText"/>
        <w:spacing w:line="240" w:lineRule="auto" w:before="117"/>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127"/>
        <w:gridCol w:w="1419"/>
        <w:gridCol w:w="1274"/>
        <w:gridCol w:w="1277"/>
        <w:gridCol w:w="850"/>
        <w:gridCol w:w="896"/>
        <w:gridCol w:w="1726"/>
      </w:tblGrid>
      <w:tr>
        <w:trPr>
          <w:trHeight w:val="401" w:hRule="exact"/>
        </w:trPr>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29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7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9"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8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6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2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其他应收坏账准备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36,268,425.82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6,898,929.90</w:t>
            </w: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9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43,167,355.72</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36,268,425.82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6,898,929.90</w:t>
            </w: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96"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43,167,355.72</w:t>
            </w:r>
          </w:p>
        </w:tc>
      </w:tr>
    </w:tbl>
    <w:p>
      <w:pPr>
        <w:spacing w:line="240" w:lineRule="auto" w:before="3"/>
        <w:rPr>
          <w:rFonts w:ascii="宋体" w:hAnsi="宋体" w:cs="宋体" w:eastAsia="宋体" w:hint="default"/>
          <w:sz w:val="19"/>
          <w:szCs w:val="19"/>
        </w:rPr>
      </w:pPr>
    </w:p>
    <w:p>
      <w:pPr>
        <w:pStyle w:val="Heading3"/>
        <w:spacing w:line="506" w:lineRule="auto" w:before="36"/>
        <w:ind w:left="573" w:right="7460" w:hanging="421"/>
        <w:jc w:val="left"/>
        <w:rPr>
          <w:rFonts w:ascii="宋体" w:hAnsi="宋体" w:cs="宋体" w:eastAsia="宋体" w:hint="default"/>
          <w:b w:val="0"/>
          <w:bCs w:val="0"/>
        </w:rPr>
      </w:pPr>
      <w:bookmarkStart w:name="4）本期实际核销的其他应收款情况" w:id="271"/>
      <w:bookmarkEnd w:id="271"/>
      <w:r>
        <w:rPr>
          <w:b w:val="0"/>
          <w:bCs w:val="0"/>
        </w:rPr>
      </w:r>
      <w:r>
        <w:rPr>
          <w:rFonts w:ascii="Times New Roman" w:hAnsi="Times New Roman" w:cs="Times New Roman" w:eastAsia="Times New Roman" w:hint="default"/>
          <w:spacing w:val="-1"/>
        </w:rPr>
        <w:t>4</w:t>
      </w:r>
      <w:r>
        <w:rPr>
          <w:spacing w:val="-1"/>
        </w:rPr>
        <w:t>）本期实际核销的其他应收款情况</w:t>
      </w:r>
      <w:r>
        <w:rPr>
          <w:spacing w:val="-90"/>
        </w:rPr>
        <w:t> </w:t>
      </w:r>
      <w:r>
        <w:rPr>
          <w:spacing w:val="-90"/>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5）按欠款方归集的期末余额前五名的其他应收款情况" w:id="272"/>
      <w:bookmarkEnd w:id="272"/>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383"/>
        <w:gridCol w:w="1277"/>
        <w:gridCol w:w="2552"/>
        <w:gridCol w:w="1561"/>
        <w:gridCol w:w="1202"/>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7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55" w:right="53"/>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417" w:right="53" w:hanging="360"/>
              <w:jc w:val="left"/>
              <w:rPr>
                <w:rFonts w:ascii="宋体" w:hAnsi="宋体" w:cs="宋体" w:eastAsia="宋体" w:hint="default"/>
                <w:sz w:val="18"/>
                <w:szCs w:val="18"/>
              </w:rPr>
            </w:pPr>
            <w:r>
              <w:rPr>
                <w:rFonts w:ascii="宋体" w:hAnsi="宋体" w:cs="宋体" w:eastAsia="宋体" w:hint="default"/>
                <w:sz w:val="18"/>
                <w:szCs w:val="18"/>
              </w:rPr>
              <w:t>坏账准备期末 余额</w:t>
            </w: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上海恒基浦业资产 管理有限公司</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股权转让尾款</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1" w:right="0"/>
              <w:jc w:val="left"/>
              <w:rPr>
                <w:rFonts w:ascii="Times New Roman" w:hAnsi="Times New Roman" w:cs="Times New Roman" w:eastAsia="Times New Roman" w:hint="default"/>
                <w:sz w:val="18"/>
                <w:szCs w:val="18"/>
              </w:rPr>
            </w:pPr>
            <w:r>
              <w:rPr>
                <w:rFonts w:ascii="Times New Roman"/>
                <w:sz w:val="18"/>
              </w:rPr>
              <w:t>16,000,000.00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8.21%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2,605,083.79</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长江联合金融租赁 有限公司</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融资租赁保证金</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11" w:right="0"/>
              <w:jc w:val="left"/>
              <w:rPr>
                <w:rFonts w:ascii="Times New Roman" w:hAnsi="Times New Roman" w:cs="Times New Roman" w:eastAsia="Times New Roman" w:hint="default"/>
                <w:sz w:val="18"/>
                <w:szCs w:val="18"/>
              </w:rPr>
            </w:pPr>
            <w:r>
              <w:rPr>
                <w:rFonts w:ascii="Times New Roman"/>
                <w:sz w:val="18"/>
              </w:rPr>
              <w:t>12,000,000.00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1,200,000.00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4"/>
              <w:jc w:val="center"/>
              <w:rPr>
                <w:rFonts w:ascii="宋体" w:hAnsi="宋体" w:cs="宋体" w:eastAsia="宋体" w:hint="default"/>
                <w:sz w:val="18"/>
                <w:szCs w:val="18"/>
              </w:rPr>
            </w:pPr>
            <w:r>
              <w:rPr>
                <w:rFonts w:ascii="宋体" w:hAnsi="宋体" w:cs="宋体" w:eastAsia="宋体" w:hint="default"/>
                <w:sz w:val="18"/>
                <w:szCs w:val="18"/>
              </w:rPr>
              <w:t>上海浦东发展银行</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银行保函保证金</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5" w:right="0"/>
              <w:jc w:val="left"/>
              <w:rPr>
                <w:rFonts w:ascii="Times New Roman" w:hAnsi="Times New Roman" w:cs="Times New Roman" w:eastAsia="Times New Roman" w:hint="default"/>
                <w:sz w:val="18"/>
                <w:szCs w:val="18"/>
              </w:rPr>
            </w:pPr>
            <w:r>
              <w:rPr>
                <w:rFonts w:ascii="Times New Roman"/>
                <w:sz w:val="18"/>
              </w:rPr>
              <w:t>11,350,000.00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5.82%</w:t>
            </w:r>
          </w:p>
        </w:tc>
        <w:tc>
          <w:tcPr>
            <w:tcW w:w="1202"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4"/>
        <w:gridCol w:w="1383"/>
        <w:gridCol w:w="1277"/>
        <w:gridCol w:w="2552"/>
        <w:gridCol w:w="1561"/>
        <w:gridCol w:w="1202"/>
      </w:tblGrid>
      <w:tr>
        <w:trPr>
          <w:trHeight w:val="36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空港支行</w:t>
            </w:r>
          </w:p>
        </w:tc>
        <w:tc>
          <w:tcPr>
            <w:tcW w:w="13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浙江浣江传媒集团 有限公司</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项目保证金</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9,000,000.00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个月</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270,000.00</w:t>
            </w:r>
          </w:p>
        </w:tc>
      </w:tr>
      <w:tr>
        <w:trPr>
          <w:trHeight w:val="188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上海市人民检察院</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项目保证金</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spacing w:val="-1"/>
                <w:sz w:val="18"/>
              </w:rPr>
              <w:t>8,313,303.35</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个月以内</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901,054.80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379,100.00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207,800.00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1,065,133.40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251,600.00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5,508,615.15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0"/>
              <w:jc w:val="right"/>
              <w:rPr>
                <w:rFonts w:ascii="Times New Roman" w:hAnsi="Times New Roman" w:cs="Times New Roman" w:eastAsia="Times New Roman" w:hint="default"/>
                <w:sz w:val="18"/>
                <w:szCs w:val="18"/>
              </w:rPr>
            </w:pPr>
            <w:r>
              <w:rPr>
                <w:rFonts w:ascii="Times New Roman"/>
                <w:sz w:val="18"/>
              </w:rPr>
              <w:t>4.26%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spacing w:val="-1"/>
                <w:sz w:val="18"/>
              </w:rPr>
              <w:t>5,887,176.83</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2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56,663,303.35</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156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29.07%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9,962,260.62</w:t>
            </w:r>
          </w:p>
        </w:tc>
      </w:tr>
    </w:tbl>
    <w:p>
      <w:pPr>
        <w:spacing w:line="240" w:lineRule="auto" w:before="3"/>
        <w:rPr>
          <w:rFonts w:ascii="宋体" w:hAnsi="宋体" w:cs="宋体" w:eastAsia="宋体" w:hint="default"/>
          <w:sz w:val="19"/>
          <w:szCs w:val="19"/>
        </w:rPr>
      </w:pPr>
    </w:p>
    <w:p>
      <w:pPr>
        <w:pStyle w:val="Heading3"/>
        <w:spacing w:line="508" w:lineRule="auto" w:before="36"/>
        <w:ind w:left="573" w:right="8132" w:hanging="421"/>
        <w:jc w:val="left"/>
        <w:rPr>
          <w:rFonts w:ascii="宋体" w:hAnsi="宋体" w:cs="宋体" w:eastAsia="宋体" w:hint="default"/>
          <w:b w:val="0"/>
          <w:bCs w:val="0"/>
        </w:rPr>
      </w:pPr>
      <w:bookmarkStart w:name="6）涉及政府补助的应收款项" w:id="273"/>
      <w:bookmarkEnd w:id="273"/>
      <w:r>
        <w:rPr>
          <w:b w:val="0"/>
          <w:bCs w:val="0"/>
        </w:rPr>
      </w:r>
      <w:r>
        <w:rPr>
          <w:rFonts w:ascii="Times New Roman" w:hAnsi="Times New Roman" w:cs="Times New Roman" w:eastAsia="Times New Roman" w:hint="default"/>
          <w:spacing w:val="-1"/>
        </w:rPr>
        <w:t>6</w:t>
      </w:r>
      <w:r>
        <w:rPr>
          <w:spacing w:val="-1"/>
        </w:rPr>
        <w:t>）涉及政府补助的应收款项</w:t>
      </w:r>
      <w:r>
        <w:rPr>
          <w:spacing w:val="-94"/>
        </w:rPr>
        <w:t> </w:t>
      </w:r>
      <w:r>
        <w:rPr>
          <w:spacing w:val="-94"/>
        </w:rPr>
      </w:r>
      <w:r>
        <w:rPr>
          <w:rFonts w:ascii="宋体" w:hAnsi="宋体" w:cs="宋体" w:eastAsia="宋体" w:hint="default"/>
          <w:b w:val="0"/>
          <w:bCs w:val="0"/>
        </w:rPr>
        <w:t>无</w:t>
      </w:r>
    </w:p>
    <w:p>
      <w:pPr>
        <w:pStyle w:val="Heading3"/>
        <w:spacing w:line="506" w:lineRule="auto" w:before="102"/>
        <w:ind w:left="573" w:right="6614" w:hanging="421"/>
        <w:jc w:val="left"/>
        <w:rPr>
          <w:rFonts w:ascii="宋体" w:hAnsi="宋体" w:cs="宋体" w:eastAsia="宋体" w:hint="default"/>
          <w:b w:val="0"/>
          <w:bCs w:val="0"/>
        </w:rPr>
      </w:pPr>
      <w:bookmarkStart w:name="7）因金融资产转移而终止确认的其他应收款" w:id="274"/>
      <w:bookmarkEnd w:id="274"/>
      <w:r>
        <w:rPr>
          <w:b w:val="0"/>
          <w:bCs w:val="0"/>
        </w:rPr>
      </w:r>
      <w:r>
        <w:rPr>
          <w:rFonts w:ascii="Times New Roman" w:hAnsi="Times New Roman" w:cs="Times New Roman" w:eastAsia="Times New Roman" w:hint="default"/>
          <w:spacing w:val="-1"/>
        </w:rPr>
        <w:t>7</w:t>
      </w:r>
      <w:r>
        <w:rPr>
          <w:spacing w:val="-1"/>
        </w:rPr>
        <w:t>）因金融资产转移而终止确认的其他应收款</w:t>
      </w:r>
      <w:r>
        <w:rPr>
          <w:spacing w:val="-84"/>
        </w:rPr>
        <w:t> </w:t>
      </w:r>
      <w:r>
        <w:rPr>
          <w:spacing w:val="-84"/>
        </w:rPr>
      </w:r>
      <w:r>
        <w:rPr>
          <w:rFonts w:ascii="宋体" w:hAnsi="宋体" w:cs="宋体" w:eastAsia="宋体" w:hint="default"/>
          <w:b w:val="0"/>
          <w:bCs w:val="0"/>
        </w:rPr>
        <w:t>无</w:t>
      </w:r>
    </w:p>
    <w:p>
      <w:pPr>
        <w:pStyle w:val="Heading3"/>
        <w:spacing w:line="506" w:lineRule="auto" w:before="104"/>
        <w:ind w:left="573" w:right="5714" w:hanging="421"/>
        <w:jc w:val="left"/>
        <w:rPr>
          <w:rFonts w:ascii="宋体" w:hAnsi="宋体" w:cs="宋体" w:eastAsia="宋体" w:hint="default"/>
          <w:b w:val="0"/>
          <w:bCs w:val="0"/>
        </w:rPr>
      </w:pPr>
      <w:bookmarkStart w:name="8）转移其他应收款且继续涉入形成的资产、负债金额" w:id="275"/>
      <w:bookmarkEnd w:id="275"/>
      <w:r>
        <w:rPr>
          <w:b w:val="0"/>
          <w:bCs w:val="0"/>
        </w:rPr>
      </w:r>
      <w:r>
        <w:rPr>
          <w:rFonts w:ascii="Times New Roman" w:hAnsi="Times New Roman" w:cs="Times New Roman" w:eastAsia="Times New Roman" w:hint="default"/>
          <w:spacing w:val="-1"/>
        </w:rPr>
        <w:t>8</w:t>
      </w:r>
      <w:r>
        <w:rPr>
          <w:spacing w:val="-1"/>
        </w:rPr>
        <w:t>）转移其他应收款且继续涉入形成的资产、负债金额</w:t>
      </w:r>
      <w:r>
        <w:rPr>
          <w:spacing w:val="-85"/>
        </w:rPr>
        <w:t> </w:t>
      </w:r>
      <w:r>
        <w:rPr>
          <w:spacing w:val="-85"/>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9、存货" w:id="276"/>
      <w:bookmarkEnd w:id="276"/>
      <w:r>
        <w:rPr>
          <w:b w:val="0"/>
          <w:bCs w:val="0"/>
        </w:rPr>
      </w:r>
      <w:r>
        <w:rPr>
          <w:rFonts w:ascii="Times New Roman" w:hAnsi="Times New Roman" w:cs="Times New Roman" w:eastAsia="Times New Roman" w:hint="default"/>
        </w:rPr>
        <w:t>9</w:t>
      </w:r>
      <w:r>
        <w:rPr/>
        <w:t>、存货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2602"/>
        <w:jc w:val="left"/>
      </w:pPr>
      <w:r>
        <w:rPr/>
        <w:t>是否已执行新收入准则</w:t>
      </w:r>
    </w:p>
    <w:p>
      <w:pPr>
        <w:pStyle w:val="BodyText"/>
        <w:spacing w:line="240" w:lineRule="auto" w:before="117"/>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1）存货分类" w:id="277"/>
      <w:bookmarkEnd w:id="277"/>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833"/>
        <w:gridCol w:w="1430"/>
        <w:gridCol w:w="1274"/>
        <w:gridCol w:w="1277"/>
        <w:gridCol w:w="1418"/>
        <w:gridCol w:w="973"/>
        <w:gridCol w:w="1368"/>
      </w:tblGrid>
      <w:tr>
        <w:trPr>
          <w:trHeight w:val="206" w:hRule="exact"/>
        </w:trPr>
        <w:tc>
          <w:tcPr>
            <w:tcW w:w="1833" w:type="dxa"/>
            <w:tcBorders>
              <w:top w:val="single" w:sz="4" w:space="0" w:color="000000"/>
              <w:left w:val="single" w:sz="4" w:space="0" w:color="000000"/>
              <w:bottom w:val="nil" w:sz="6" w:space="0" w:color="auto"/>
              <w:right w:val="single" w:sz="4" w:space="0" w:color="000000"/>
            </w:tcBorders>
            <w:shd w:val="clear" w:color="auto" w:fill="D2D2D2"/>
          </w:tcPr>
          <w:p>
            <w:pPr/>
          </w:p>
        </w:tc>
        <w:tc>
          <w:tcPr>
            <w:tcW w:w="398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75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83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981" w:type="dxa"/>
            <w:gridSpan w:val="3"/>
            <w:vMerge/>
            <w:tcBorders>
              <w:left w:val="single" w:sz="4" w:space="0" w:color="000000"/>
              <w:bottom w:val="single" w:sz="4" w:space="0" w:color="000000"/>
              <w:right w:val="single" w:sz="4" w:space="0" w:color="000000"/>
            </w:tcBorders>
            <w:shd w:val="clear" w:color="auto" w:fill="D2D2D2"/>
          </w:tcPr>
          <w:p>
            <w:pPr/>
          </w:p>
        </w:tc>
        <w:tc>
          <w:tcPr>
            <w:tcW w:w="3759"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833" w:type="dxa"/>
            <w:vMerge/>
            <w:tcBorders>
              <w:left w:val="single" w:sz="4" w:space="0" w:color="000000"/>
              <w:bottom w:val="nil" w:sz="6" w:space="0" w:color="auto"/>
              <w:right w:val="single" w:sz="4" w:space="0" w:color="000000"/>
            </w:tcBorders>
            <w:shd w:val="clear" w:color="auto" w:fill="D2D2D2"/>
          </w:tcPr>
          <w:p>
            <w:pPr/>
          </w:p>
        </w:tc>
        <w:tc>
          <w:tcPr>
            <w:tcW w:w="143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5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833" w:type="dxa"/>
            <w:tcBorders>
              <w:top w:val="nil" w:sz="6" w:space="0" w:color="auto"/>
              <w:left w:val="single" w:sz="4" w:space="0" w:color="000000"/>
              <w:bottom w:val="single" w:sz="4" w:space="0" w:color="000000"/>
              <w:right w:val="single" w:sz="4" w:space="0" w:color="000000"/>
            </w:tcBorders>
            <w:shd w:val="clear" w:color="auto" w:fill="D2D2D2"/>
          </w:tcPr>
          <w:p>
            <w:pPr/>
          </w:p>
        </w:tc>
        <w:tc>
          <w:tcPr>
            <w:tcW w:w="1430"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c>
          <w:tcPr>
            <w:tcW w:w="973"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4"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3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16,172,610.37</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16,172,610.37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15,687,363.14</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15,687,363.14</w:t>
            </w: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43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29,024.83</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29,024.83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17,094.02</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17,094.02</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43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4,294,073.20</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4,294,073.20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6,053,907.12</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6,053,907.12</w:t>
            </w:r>
          </w:p>
        </w:tc>
      </w:tr>
      <w:tr>
        <w:trPr>
          <w:trHeight w:val="71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
              <w:jc w:val="left"/>
              <w:rPr>
                <w:rFonts w:ascii="宋体" w:hAnsi="宋体" w:cs="宋体" w:eastAsia="宋体" w:hint="default"/>
                <w:sz w:val="18"/>
                <w:szCs w:val="18"/>
              </w:rPr>
            </w:pPr>
            <w:r>
              <w:rPr>
                <w:rFonts w:ascii="宋体" w:hAnsi="宋体" w:cs="宋体" w:eastAsia="宋体" w:hint="default"/>
                <w:sz w:val="18"/>
                <w:szCs w:val="18"/>
              </w:rPr>
              <w:t>建造合同形成的已完工 未结算资产</w:t>
            </w:r>
          </w:p>
        </w:tc>
        <w:tc>
          <w:tcPr>
            <w:tcW w:w="143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11,672,967.08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11,672,967.08</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36,230,017.75</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36,230,017.75</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开发成本</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1,287,162,366.09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772,325,755.09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514,836,611.00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1,084,668,855.58</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1,084,668,855.58</w:t>
            </w: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1,319,331,041.57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783,998,722.17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535,332,319.40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1,142,657,237.61</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1,142,657,237.61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2）存货跌价准备" w:id="278"/>
      <w:bookmarkEnd w:id="278"/>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844"/>
        <w:gridCol w:w="1419"/>
        <w:gridCol w:w="1274"/>
        <w:gridCol w:w="1277"/>
        <w:gridCol w:w="1418"/>
        <w:gridCol w:w="973"/>
        <w:gridCol w:w="1368"/>
      </w:tblGrid>
      <w:tr>
        <w:trPr>
          <w:trHeight w:val="206" w:hRule="exact"/>
        </w:trPr>
        <w:tc>
          <w:tcPr>
            <w:tcW w:w="1844"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9" w:type="dxa"/>
            <w:tcBorders>
              <w:top w:val="single" w:sz="4" w:space="0" w:color="000000"/>
              <w:left w:val="single" w:sz="4" w:space="0" w:color="000000"/>
              <w:bottom w:val="nil" w:sz="6" w:space="0" w:color="auto"/>
              <w:right w:val="single" w:sz="4" w:space="0" w:color="000000"/>
            </w:tcBorders>
            <w:shd w:val="clear" w:color="auto" w:fill="D2D2D2"/>
          </w:tcPr>
          <w:p>
            <w:pPr/>
          </w:p>
        </w:tc>
        <w:tc>
          <w:tcPr>
            <w:tcW w:w="255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39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184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4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552" w:type="dxa"/>
            <w:gridSpan w:val="2"/>
            <w:vMerge/>
            <w:tcBorders>
              <w:left w:val="single" w:sz="4" w:space="0" w:color="000000"/>
              <w:bottom w:val="single" w:sz="4" w:space="0" w:color="000000"/>
              <w:right w:val="single" w:sz="4" w:space="0" w:color="000000"/>
            </w:tcBorders>
            <w:shd w:val="clear" w:color="auto" w:fill="D2D2D2"/>
          </w:tcPr>
          <w:p>
            <w:pPr/>
          </w:p>
        </w:tc>
        <w:tc>
          <w:tcPr>
            <w:tcW w:w="2391" w:type="dxa"/>
            <w:gridSpan w:val="2"/>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right w:val="single" w:sz="4" w:space="0" w:color="000000"/>
            </w:tcBorders>
            <w:shd w:val="clear" w:color="auto" w:fill="D2D2D2"/>
          </w:tcPr>
          <w:p>
            <w:pPr/>
          </w:p>
        </w:tc>
      </w:tr>
      <w:tr>
        <w:trPr>
          <w:trHeight w:val="199" w:hRule="exact"/>
        </w:trPr>
        <w:tc>
          <w:tcPr>
            <w:tcW w:w="1844" w:type="dxa"/>
            <w:vMerge/>
            <w:tcBorders>
              <w:left w:val="single" w:sz="4" w:space="0" w:color="000000"/>
              <w:bottom w:val="nil" w:sz="6" w:space="0" w:color="auto"/>
              <w:right w:val="single" w:sz="4" w:space="0" w:color="000000"/>
            </w:tcBorders>
            <w:shd w:val="clear" w:color="auto" w:fill="D2D2D2"/>
          </w:tcPr>
          <w:p>
            <w:pPr/>
          </w:p>
        </w:tc>
        <w:tc>
          <w:tcPr>
            <w:tcW w:w="1419" w:type="dxa"/>
            <w:vMerge/>
            <w:tcBorders>
              <w:left w:val="single" w:sz="4" w:space="0" w:color="000000"/>
              <w:bottom w:val="nil" w:sz="6" w:space="0" w:color="auto"/>
              <w:right w:val="single" w:sz="4" w:space="0" w:color="000000"/>
            </w:tcBorders>
            <w:shd w:val="clear" w:color="auto" w:fill="D2D2D2"/>
          </w:tcPr>
          <w:p>
            <w:pP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4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54"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9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right w:val="single" w:sz="4" w:space="0" w:color="000000"/>
            </w:tcBorders>
            <w:shd w:val="clear" w:color="auto" w:fill="D2D2D2"/>
          </w:tcPr>
          <w:p>
            <w:pPr/>
          </w:p>
        </w:tc>
      </w:tr>
      <w:tr>
        <w:trPr>
          <w:trHeight w:val="206" w:hRule="exact"/>
        </w:trPr>
        <w:tc>
          <w:tcPr>
            <w:tcW w:w="1844"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9"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c>
          <w:tcPr>
            <w:tcW w:w="973"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
              <w:jc w:val="left"/>
              <w:rPr>
                <w:rFonts w:ascii="宋体" w:hAnsi="宋体" w:cs="宋体" w:eastAsia="宋体" w:hint="default"/>
                <w:sz w:val="18"/>
                <w:szCs w:val="18"/>
              </w:rPr>
            </w:pPr>
            <w:r>
              <w:rPr>
                <w:rFonts w:ascii="宋体" w:hAnsi="宋体" w:cs="宋体" w:eastAsia="宋体" w:hint="default"/>
                <w:sz w:val="18"/>
                <w:szCs w:val="18"/>
              </w:rPr>
              <w:t>建造合同形成的已完工 未结算资产</w:t>
            </w:r>
          </w:p>
        </w:tc>
        <w:tc>
          <w:tcPr>
            <w:tcW w:w="1419" w:type="dxa"/>
            <w:tcBorders>
              <w:top w:val="single" w:sz="4" w:space="0" w:color="000000"/>
              <w:left w:val="single" w:sz="9" w:space="0" w:color="D2D2D2"/>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11,672,967.08</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11,672,967.08</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开发项目</w:t>
            </w: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772,325,755.09</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772,325,755.09</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783,998,722.17</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783,998,722.17</w:t>
            </w:r>
          </w:p>
        </w:tc>
      </w:tr>
    </w:tbl>
    <w:p>
      <w:pPr>
        <w:spacing w:line="240" w:lineRule="auto" w:before="3"/>
        <w:rPr>
          <w:rFonts w:ascii="宋体" w:hAnsi="宋体" w:cs="宋体" w:eastAsia="宋体" w:hint="default"/>
          <w:sz w:val="19"/>
          <w:szCs w:val="19"/>
        </w:rPr>
      </w:pPr>
    </w:p>
    <w:p>
      <w:pPr>
        <w:pStyle w:val="Heading3"/>
        <w:spacing w:line="506" w:lineRule="auto" w:before="36"/>
        <w:ind w:left="573" w:right="5864" w:hanging="421"/>
        <w:jc w:val="left"/>
        <w:rPr>
          <w:rFonts w:ascii="宋体" w:hAnsi="宋体" w:cs="宋体" w:eastAsia="宋体" w:hint="default"/>
          <w:b w:val="0"/>
          <w:bCs w:val="0"/>
        </w:rPr>
      </w:pPr>
      <w:bookmarkStart w:name="（3）存货期末余额含有借款费用资本化金额的说明" w:id="279"/>
      <w:bookmarkEnd w:id="279"/>
      <w:r>
        <w:rPr>
          <w:b w:val="0"/>
          <w:bCs w:val="0"/>
        </w:rPr>
      </w:r>
      <w:r>
        <w:rPr>
          <w:spacing w:val="-1"/>
        </w:rPr>
        <w:t>（</w:t>
      </w:r>
      <w:r>
        <w:rPr>
          <w:rFonts w:ascii="Times New Roman" w:hAnsi="Times New Roman" w:cs="Times New Roman" w:eastAsia="Times New Roman" w:hint="default"/>
          <w:spacing w:val="-1"/>
        </w:rPr>
        <w:t>3</w:t>
      </w:r>
      <w:r>
        <w:rPr>
          <w:spacing w:val="-1"/>
        </w:rPr>
        <w:t>）存货期末余额含有借款费用资本化金额的说明</w:t>
      </w:r>
      <w:r>
        <w:rPr>
          <w:spacing w:val="-84"/>
        </w:rPr>
        <w:t> </w:t>
      </w:r>
      <w:r>
        <w:rPr>
          <w:spacing w:val="-84"/>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期末建造合同形成的已完工未结算资产情况" w:id="280"/>
      <w:bookmarkEnd w:id="280"/>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累计已发生成本</w:t>
            </w:r>
          </w:p>
        </w:tc>
        <w:tc>
          <w:tcPr>
            <w:tcW w:w="47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56,971,218.10</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累计已确认毛利</w:t>
            </w:r>
          </w:p>
        </w:tc>
        <w:tc>
          <w:tcPr>
            <w:tcW w:w="47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20,897,300.71</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减：预计损失</w:t>
            </w:r>
          </w:p>
        </w:tc>
        <w:tc>
          <w:tcPr>
            <w:tcW w:w="47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11,672,967.08</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已办理结算的金额</w:t>
            </w:r>
          </w:p>
        </w:tc>
        <w:tc>
          <w:tcPr>
            <w:tcW w:w="47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66,195,551.73</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10、合同资产" w:id="281"/>
      <w:bookmarkEnd w:id="281"/>
      <w:r>
        <w:rPr>
          <w:b w:val="0"/>
          <w:bCs w:val="0"/>
        </w:rPr>
      </w:r>
      <w:r>
        <w:rPr>
          <w:rFonts w:ascii="Times New Roman" w:hAnsi="Times New Roman" w:cs="Times New Roman" w:eastAsia="Times New Roman" w:hint="default"/>
        </w:rPr>
        <w:t>10</w:t>
      </w:r>
      <w:r>
        <w:rPr/>
        <w:t>、合同资产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506" w:lineRule="auto"/>
        <w:ind w:left="573" w:right="9068" w:hanging="421"/>
        <w:jc w:val="left"/>
        <w:rPr>
          <w:rFonts w:ascii="宋体" w:hAnsi="宋体" w:cs="宋体" w:eastAsia="宋体" w:hint="default"/>
          <w:b w:val="0"/>
          <w:bCs w:val="0"/>
        </w:rPr>
      </w:pPr>
      <w:bookmarkStart w:name="11、持有待售资产" w:id="282"/>
      <w:bookmarkEnd w:id="282"/>
      <w:r>
        <w:rPr>
          <w:b w:val="0"/>
          <w:bCs w:val="0"/>
        </w:rPr>
      </w:r>
      <w:r>
        <w:rPr>
          <w:rFonts w:ascii="Times New Roman" w:hAnsi="Times New Roman" w:cs="Times New Roman" w:eastAsia="Times New Roman" w:hint="default"/>
        </w:rPr>
        <w:t>11</w:t>
      </w:r>
      <w:r>
        <w:rPr/>
        <w:t>、持有待售资产</w:t>
      </w:r>
      <w:r>
        <w:rPr>
          <w:w w:val="100"/>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12、一年内到期的非流动资产" w:id="283"/>
      <w:bookmarkEnd w:id="283"/>
      <w:r>
        <w:rPr>
          <w:b w:val="0"/>
          <w:bCs w:val="0"/>
        </w:rPr>
      </w:r>
      <w:r>
        <w:rPr>
          <w:rFonts w:ascii="Times New Roman" w:hAnsi="Times New Roman" w:cs="Times New Roman" w:eastAsia="Times New Roman" w:hint="default"/>
        </w:rPr>
        <w:t>12</w:t>
      </w:r>
      <w:r>
        <w:rPr/>
        <w:t>、一年内到期的非流动资产</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一年内到期的长期应收款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214,085,331.43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187,319,160.72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214,085,331.43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187,319,160.72</w:t>
            </w:r>
          </w:p>
        </w:tc>
      </w:tr>
    </w:tbl>
    <w:p>
      <w:pPr>
        <w:pStyle w:val="Heading4"/>
        <w:spacing w:line="278" w:lineRule="exact" w:before="0"/>
        <w:ind w:left="573" w:right="0"/>
        <w:jc w:val="left"/>
      </w:pPr>
      <w:r>
        <w:rPr>
          <w:spacing w:val="-5"/>
        </w:rPr>
        <w:t>注：期末已对外质押一年内到期的长期应收款金额为</w:t>
      </w:r>
      <w:r>
        <w:rPr>
          <w:rFonts w:ascii="Times New Roman" w:hAnsi="Times New Roman" w:cs="Times New Roman" w:eastAsia="Times New Roman" w:hint="default"/>
          <w:spacing w:val="-5"/>
        </w:rPr>
        <w:t>43,264,331.11</w:t>
      </w:r>
      <w:r>
        <w:rPr>
          <w:spacing w:val="-5"/>
        </w:rPr>
        <w:t>元，具体信息详见本章节十四（一）</w:t>
      </w:r>
    </w:p>
    <w:p>
      <w:pPr>
        <w:pStyle w:val="Heading4"/>
        <w:spacing w:line="240" w:lineRule="auto" w:before="21"/>
        <w:ind w:right="2602"/>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5</w:t>
      </w:r>
      <w:r>
        <w:rPr/>
        <w:t>）。</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13、其他流动资产" w:id="284"/>
      <w:bookmarkEnd w:id="284"/>
      <w:r>
        <w:rPr>
          <w:b w:val="0"/>
          <w:bCs w:val="0"/>
        </w:rPr>
      </w:r>
      <w:r>
        <w:rPr>
          <w:rFonts w:ascii="Times New Roman" w:hAnsi="Times New Roman" w:cs="Times New Roman" w:eastAsia="Times New Roman" w:hint="default"/>
        </w:rPr>
        <w:t>13</w:t>
      </w:r>
      <w:r>
        <w:rPr/>
        <w:t>、其他流动资产</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是否已执行新收入准则</w:t>
      </w:r>
    </w:p>
    <w:p>
      <w:pPr>
        <w:pStyle w:val="BodyText"/>
        <w:spacing w:line="240" w:lineRule="auto" w:before="115"/>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953" w:space="6876"/>
            <w:col w:w="210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留抵增值税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60,547,418.48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43,633,886.76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预缴企业所得税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3,405,529.16</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63,952,947.64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43,633,886.76</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14、债权投资" w:id="285"/>
      <w:bookmarkEnd w:id="285"/>
      <w:r>
        <w:rPr>
          <w:b w:val="0"/>
          <w:bCs w:val="0"/>
        </w:rPr>
      </w:r>
      <w:r>
        <w:rPr>
          <w:rFonts w:ascii="Times New Roman" w:hAnsi="Times New Roman" w:cs="Times New Roman" w:eastAsia="Times New Roman" w:hint="default"/>
        </w:rPr>
        <w:t>14</w:t>
      </w:r>
      <w:r>
        <w:rPr/>
        <w:t>、债权投资</w:t>
      </w:r>
      <w:r>
        <w:rPr>
          <w:b w:val="0"/>
          <w:bCs w:val="0"/>
        </w:rPr>
      </w:r>
    </w:p>
    <w:p>
      <w:pPr>
        <w:spacing w:line="240" w:lineRule="auto" w:before="8"/>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506" w:lineRule="auto"/>
        <w:ind w:left="573" w:right="9068" w:hanging="421"/>
        <w:jc w:val="left"/>
        <w:rPr>
          <w:rFonts w:ascii="宋体" w:hAnsi="宋体" w:cs="宋体" w:eastAsia="宋体" w:hint="default"/>
          <w:b w:val="0"/>
          <w:bCs w:val="0"/>
        </w:rPr>
      </w:pPr>
      <w:bookmarkStart w:name="15、其他债权投资" w:id="286"/>
      <w:bookmarkEnd w:id="286"/>
      <w:r>
        <w:rPr>
          <w:b w:val="0"/>
          <w:bCs w:val="0"/>
        </w:rPr>
      </w:r>
      <w:r>
        <w:rPr>
          <w:rFonts w:ascii="Times New Roman" w:hAnsi="Times New Roman" w:cs="Times New Roman" w:eastAsia="Times New Roman" w:hint="default"/>
        </w:rPr>
        <w:t>15</w:t>
      </w:r>
      <w:r>
        <w:rPr/>
        <w:t>、其他债权投资</w:t>
      </w:r>
      <w:r>
        <w:rPr>
          <w:w w:val="100"/>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16、长期应收款" w:id="287"/>
      <w:bookmarkEnd w:id="287"/>
      <w:r>
        <w:rPr>
          <w:b w:val="0"/>
          <w:bCs w:val="0"/>
        </w:rPr>
      </w:r>
      <w:r>
        <w:rPr>
          <w:rFonts w:ascii="Times New Roman" w:hAnsi="Times New Roman" w:cs="Times New Roman" w:eastAsia="Times New Roman" w:hint="default"/>
        </w:rPr>
        <w:t>16</w:t>
      </w:r>
      <w:r>
        <w:rPr/>
        <w:t>、长期应收款</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长期应收款情况" w:id="288"/>
      <w:bookmarkEnd w:id="288"/>
      <w:r>
        <w:rPr>
          <w:b w:val="0"/>
          <w:bCs w:val="0"/>
        </w:rPr>
      </w:r>
      <w:r>
        <w:rPr/>
        <w:t>（</w:t>
      </w:r>
      <w:r>
        <w:rPr>
          <w:rFonts w:ascii="Times New Roman" w:hAnsi="Times New Roman" w:cs="Times New Roman" w:eastAsia="Times New Roman" w:hint="default"/>
        </w:rPr>
        <w:t>1</w:t>
      </w:r>
      <w:r>
        <w:rPr/>
        <w:t>）长期应收款情况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60"/>
        <w:gridCol w:w="1275"/>
        <w:gridCol w:w="1135"/>
        <w:gridCol w:w="1275"/>
        <w:gridCol w:w="1277"/>
        <w:gridCol w:w="1135"/>
        <w:gridCol w:w="1275"/>
        <w:gridCol w:w="638"/>
      </w:tblGrid>
      <w:tr>
        <w:trPr>
          <w:trHeight w:val="204" w:hRule="exact"/>
        </w:trPr>
        <w:tc>
          <w:tcPr>
            <w:tcW w:w="1560" w:type="dxa"/>
            <w:tcBorders>
              <w:top w:val="single" w:sz="4" w:space="0" w:color="000000"/>
              <w:left w:val="single" w:sz="4" w:space="0" w:color="000000"/>
              <w:bottom w:val="nil" w:sz="6" w:space="0" w:color="auto"/>
              <w:right w:val="single" w:sz="4" w:space="0" w:color="000000"/>
            </w:tcBorders>
            <w:shd w:val="clear" w:color="auto" w:fill="D2D2D2"/>
          </w:tcPr>
          <w:p>
            <w:pPr/>
          </w:p>
        </w:tc>
        <w:tc>
          <w:tcPr>
            <w:tcW w:w="368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8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63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2"/>
              <w:ind w:left="134" w:right="41" w:hanging="89"/>
              <w:jc w:val="left"/>
              <w:rPr>
                <w:rFonts w:ascii="宋体" w:hAnsi="宋体" w:cs="宋体" w:eastAsia="宋体" w:hint="default"/>
                <w:sz w:val="18"/>
                <w:szCs w:val="18"/>
              </w:rPr>
            </w:pPr>
            <w:r>
              <w:rPr>
                <w:rFonts w:ascii="宋体" w:hAnsi="宋体" w:cs="宋体" w:eastAsia="宋体" w:hint="default"/>
                <w:sz w:val="18"/>
                <w:szCs w:val="18"/>
              </w:rPr>
              <w:t>折现率 区间</w:t>
            </w:r>
          </w:p>
        </w:tc>
      </w:tr>
      <w:tr>
        <w:trPr>
          <w:trHeight w:val="192" w:hRule="exact"/>
        </w:trPr>
        <w:tc>
          <w:tcPr>
            <w:tcW w:w="156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85" w:type="dxa"/>
            <w:gridSpan w:val="3"/>
            <w:vMerge/>
            <w:tcBorders>
              <w:left w:val="single" w:sz="4" w:space="0" w:color="000000"/>
              <w:bottom w:val="single" w:sz="4" w:space="0" w:color="000000"/>
              <w:right w:val="single" w:sz="4" w:space="0" w:color="000000"/>
            </w:tcBorders>
            <w:shd w:val="clear" w:color="auto" w:fill="D2D2D2"/>
          </w:tcPr>
          <w:p>
            <w:pPr/>
          </w:p>
        </w:tc>
        <w:tc>
          <w:tcPr>
            <w:tcW w:w="3687" w:type="dxa"/>
            <w:gridSpan w:val="3"/>
            <w:vMerge/>
            <w:tcBorders>
              <w:left w:val="single" w:sz="4" w:space="0" w:color="000000"/>
              <w:bottom w:val="single" w:sz="4" w:space="0" w:color="000000"/>
              <w:right w:val="single" w:sz="4" w:space="0" w:color="000000"/>
            </w:tcBorders>
            <w:shd w:val="clear" w:color="auto" w:fill="D2D2D2"/>
          </w:tcPr>
          <w:p>
            <w:pPr/>
          </w:p>
        </w:tc>
        <w:tc>
          <w:tcPr>
            <w:tcW w:w="638" w:type="dxa"/>
            <w:vMerge/>
            <w:tcBorders>
              <w:left w:val="single" w:sz="4" w:space="0" w:color="000000"/>
              <w:right w:val="single" w:sz="4" w:space="0" w:color="000000"/>
            </w:tcBorders>
            <w:shd w:val="clear" w:color="auto" w:fill="D2D2D2"/>
          </w:tcPr>
          <w:p>
            <w:pPr/>
          </w:p>
        </w:tc>
      </w:tr>
      <w:tr>
        <w:trPr>
          <w:trHeight w:val="202" w:hRule="exact"/>
        </w:trPr>
        <w:tc>
          <w:tcPr>
            <w:tcW w:w="1560" w:type="dxa"/>
            <w:vMerge/>
            <w:tcBorders>
              <w:left w:val="single" w:sz="4" w:space="0" w:color="000000"/>
              <w:bottom w:val="nil" w:sz="6" w:space="0" w:color="auto"/>
              <w:right w:val="single" w:sz="4" w:space="0" w:color="000000"/>
            </w:tcBorders>
            <w:shd w:val="clear" w:color="auto" w:fill="D2D2D2"/>
          </w:tcPr>
          <w:p>
            <w:pPr/>
          </w:p>
        </w:tc>
        <w:tc>
          <w:tcPr>
            <w:tcW w:w="127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0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0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38" w:type="dxa"/>
            <w:vMerge/>
            <w:tcBorders>
              <w:left w:val="single" w:sz="4" w:space="0" w:color="000000"/>
              <w:right w:val="single" w:sz="4" w:space="0" w:color="000000"/>
            </w:tcBorders>
            <w:shd w:val="clear" w:color="auto" w:fill="D2D2D2"/>
          </w:tcPr>
          <w:p>
            <w:pPr/>
          </w:p>
        </w:tc>
      </w:tr>
      <w:tr>
        <w:trPr>
          <w:trHeight w:val="206" w:hRule="exact"/>
        </w:trPr>
        <w:tc>
          <w:tcPr>
            <w:tcW w:w="156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5" w:type="dxa"/>
            <w:vMerge/>
            <w:tcBorders>
              <w:left w:val="single" w:sz="4" w:space="0" w:color="000000"/>
              <w:bottom w:val="single" w:sz="4" w:space="0" w:color="000000"/>
              <w:right w:val="single" w:sz="4" w:space="0" w:color="000000"/>
            </w:tcBorders>
            <w:shd w:val="clear" w:color="auto" w:fill="D2D2D2"/>
          </w:tcPr>
          <w:p>
            <w:pPr/>
          </w:p>
        </w:tc>
        <w:tc>
          <w:tcPr>
            <w:tcW w:w="1135" w:type="dxa"/>
            <w:vMerge/>
            <w:tcBorders>
              <w:left w:val="single" w:sz="4" w:space="0" w:color="000000"/>
              <w:bottom w:val="single" w:sz="4" w:space="0" w:color="000000"/>
              <w:right w:val="single" w:sz="4" w:space="0" w:color="000000"/>
            </w:tcBorders>
            <w:shd w:val="clear" w:color="auto" w:fill="D2D2D2"/>
          </w:tcPr>
          <w:p>
            <w:pPr/>
          </w:p>
        </w:tc>
        <w:tc>
          <w:tcPr>
            <w:tcW w:w="1275"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135" w:type="dxa"/>
            <w:vMerge/>
            <w:tcBorders>
              <w:left w:val="single" w:sz="4" w:space="0" w:color="000000"/>
              <w:bottom w:val="single" w:sz="4" w:space="0" w:color="000000"/>
              <w:right w:val="single" w:sz="4" w:space="0" w:color="000000"/>
            </w:tcBorders>
            <w:shd w:val="clear" w:color="auto" w:fill="D2D2D2"/>
          </w:tcPr>
          <w:p>
            <w:pPr/>
          </w:p>
        </w:tc>
        <w:tc>
          <w:tcPr>
            <w:tcW w:w="1275" w:type="dxa"/>
            <w:vMerge/>
            <w:tcBorders>
              <w:left w:val="single" w:sz="4" w:space="0" w:color="000000"/>
              <w:bottom w:val="single" w:sz="4" w:space="0" w:color="000000"/>
              <w:right w:val="single" w:sz="4" w:space="0" w:color="000000"/>
            </w:tcBorders>
            <w:shd w:val="clear" w:color="auto" w:fill="D2D2D2"/>
          </w:tcPr>
          <w:p>
            <w:pPr/>
          </w:p>
        </w:tc>
        <w:tc>
          <w:tcPr>
            <w:tcW w:w="63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分期收款销售商品</w:t>
            </w:r>
          </w:p>
        </w:tc>
        <w:tc>
          <w:tcPr>
            <w:tcW w:w="127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89" w:right="0"/>
              <w:jc w:val="center"/>
              <w:rPr>
                <w:rFonts w:ascii="Times New Roman" w:hAnsi="Times New Roman" w:cs="Times New Roman" w:eastAsia="Times New Roman" w:hint="default"/>
                <w:sz w:val="18"/>
                <w:szCs w:val="18"/>
              </w:rPr>
            </w:pPr>
            <w:r>
              <w:rPr>
                <w:rFonts w:ascii="Times New Roman"/>
                <w:sz w:val="18"/>
              </w:rPr>
              <w:t>740,147,010.80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 w:right="0"/>
              <w:jc w:val="center"/>
              <w:rPr>
                <w:rFonts w:ascii="Times New Roman" w:hAnsi="Times New Roman" w:cs="Times New Roman" w:eastAsia="Times New Roman" w:hint="default"/>
                <w:sz w:val="18"/>
                <w:szCs w:val="18"/>
              </w:rPr>
            </w:pPr>
            <w:r>
              <w:rPr>
                <w:rFonts w:ascii="Times New Roman"/>
                <w:sz w:val="18"/>
              </w:rPr>
              <w:t>36,275,311.75</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center"/>
              <w:rPr>
                <w:rFonts w:ascii="Times New Roman" w:hAnsi="Times New Roman" w:cs="Times New Roman" w:eastAsia="Times New Roman" w:hint="default"/>
                <w:sz w:val="18"/>
                <w:szCs w:val="18"/>
              </w:rPr>
            </w:pPr>
            <w:r>
              <w:rPr>
                <w:rFonts w:ascii="Times New Roman"/>
                <w:sz w:val="18"/>
              </w:rPr>
              <w:t>703,871,699.05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center"/>
              <w:rPr>
                <w:rFonts w:ascii="Times New Roman" w:hAnsi="Times New Roman" w:cs="Times New Roman" w:eastAsia="Times New Roman" w:hint="default"/>
                <w:sz w:val="18"/>
                <w:szCs w:val="18"/>
              </w:rPr>
            </w:pPr>
            <w:r>
              <w:rPr>
                <w:rFonts w:ascii="Times New Roman"/>
                <w:sz w:val="18"/>
              </w:rPr>
              <w:t>832,533,189.53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10,785,799.19</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6" w:right="0"/>
              <w:jc w:val="center"/>
              <w:rPr>
                <w:rFonts w:ascii="Times New Roman" w:hAnsi="Times New Roman" w:cs="Times New Roman" w:eastAsia="Times New Roman" w:hint="default"/>
                <w:sz w:val="18"/>
                <w:szCs w:val="18"/>
              </w:rPr>
            </w:pPr>
            <w:r>
              <w:rPr>
                <w:rFonts w:ascii="Times New Roman"/>
                <w:sz w:val="18"/>
              </w:rPr>
              <w:t>821,747,390.34</w:t>
            </w:r>
          </w:p>
        </w:tc>
        <w:tc>
          <w:tcPr>
            <w:tcW w:w="638" w:type="dxa"/>
            <w:tcBorders>
              <w:top w:val="single" w:sz="18" w:space="0" w:color="D2D2D2"/>
              <w:left w:val="single" w:sz="4" w:space="0" w:color="000000"/>
              <w:bottom w:val="single" w:sz="4" w:space="0" w:color="000000"/>
              <w:right w:val="single" w:sz="4" w:space="0" w:color="000000"/>
            </w:tcBorders>
          </w:tcPr>
          <w:p>
            <w:pP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89" w:right="0"/>
              <w:jc w:val="center"/>
              <w:rPr>
                <w:rFonts w:ascii="Times New Roman" w:hAnsi="Times New Roman" w:cs="Times New Roman" w:eastAsia="Times New Roman" w:hint="default"/>
                <w:sz w:val="18"/>
                <w:szCs w:val="18"/>
              </w:rPr>
            </w:pPr>
            <w:r>
              <w:rPr>
                <w:rFonts w:ascii="Times New Roman"/>
                <w:sz w:val="18"/>
              </w:rPr>
              <w:t>740,147,010.80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 w:right="0"/>
              <w:jc w:val="center"/>
              <w:rPr>
                <w:rFonts w:ascii="Times New Roman" w:hAnsi="Times New Roman" w:cs="Times New Roman" w:eastAsia="Times New Roman" w:hint="default"/>
                <w:sz w:val="18"/>
                <w:szCs w:val="18"/>
              </w:rPr>
            </w:pPr>
            <w:r>
              <w:rPr>
                <w:rFonts w:ascii="Times New Roman"/>
                <w:sz w:val="18"/>
              </w:rPr>
              <w:t>36,275,311.75</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center"/>
              <w:rPr>
                <w:rFonts w:ascii="Times New Roman" w:hAnsi="Times New Roman" w:cs="Times New Roman" w:eastAsia="Times New Roman" w:hint="default"/>
                <w:sz w:val="18"/>
                <w:szCs w:val="18"/>
              </w:rPr>
            </w:pPr>
            <w:r>
              <w:rPr>
                <w:rFonts w:ascii="Times New Roman"/>
                <w:sz w:val="18"/>
              </w:rPr>
              <w:t>703,871,699.05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center"/>
              <w:rPr>
                <w:rFonts w:ascii="Times New Roman" w:hAnsi="Times New Roman" w:cs="Times New Roman" w:eastAsia="Times New Roman" w:hint="default"/>
                <w:sz w:val="18"/>
                <w:szCs w:val="18"/>
              </w:rPr>
            </w:pPr>
            <w:r>
              <w:rPr>
                <w:rFonts w:ascii="Times New Roman"/>
                <w:sz w:val="18"/>
              </w:rPr>
              <w:t>832,533,189.53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10,785,799.19</w:t>
            </w:r>
          </w:p>
        </w:tc>
        <w:tc>
          <w:tcPr>
            <w:tcW w:w="1275"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left="108" w:right="0"/>
              <w:jc w:val="center"/>
              <w:rPr>
                <w:rFonts w:ascii="Times New Roman" w:hAnsi="Times New Roman" w:cs="Times New Roman" w:eastAsia="Times New Roman" w:hint="default"/>
                <w:sz w:val="18"/>
                <w:szCs w:val="18"/>
              </w:rPr>
            </w:pPr>
            <w:r>
              <w:rPr>
                <w:rFonts w:ascii="Times New Roman"/>
                <w:sz w:val="18"/>
              </w:rPr>
              <w:t>821,747,390.34</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506" w:lineRule="auto" w:before="36"/>
        <w:ind w:left="573" w:right="6434" w:hanging="421"/>
        <w:jc w:val="left"/>
        <w:rPr>
          <w:rFonts w:ascii="宋体" w:hAnsi="宋体" w:cs="宋体" w:eastAsia="宋体" w:hint="default"/>
          <w:b w:val="0"/>
          <w:bCs w:val="0"/>
        </w:rPr>
      </w:pPr>
      <w:bookmarkStart w:name="（2）因金融资产转移而终止确认的长期应收款" w:id="289"/>
      <w:bookmarkEnd w:id="289"/>
      <w:r>
        <w:rPr>
          <w:b w:val="0"/>
          <w:bCs w:val="0"/>
        </w:rPr>
      </w:r>
      <w:r>
        <w:rPr>
          <w:spacing w:val="-1"/>
        </w:rPr>
        <w:t>（</w:t>
      </w:r>
      <w:r>
        <w:rPr>
          <w:rFonts w:ascii="Times New Roman" w:hAnsi="Times New Roman" w:cs="Times New Roman" w:eastAsia="Times New Roman" w:hint="default"/>
          <w:spacing w:val="-1"/>
        </w:rPr>
        <w:t>2</w:t>
      </w:r>
      <w:r>
        <w:rPr>
          <w:spacing w:val="-1"/>
        </w:rPr>
        <w:t>）因金融资产转移而终止确认的长期应收款</w:t>
      </w:r>
      <w:r>
        <w:rPr>
          <w:spacing w:val="-84"/>
        </w:rPr>
        <w:t> </w:t>
      </w:r>
      <w:r>
        <w:rPr>
          <w:spacing w:val="-84"/>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转移长期应收款且继续涉入形成的资产、负债金额" w:id="290"/>
      <w:bookmarkEnd w:id="290"/>
      <w:r>
        <w:rPr>
          <w:b w:val="0"/>
          <w:bCs w:val="0"/>
        </w:rPr>
      </w: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0" w:right="1131"/>
        <w:jc w:val="right"/>
      </w:pPr>
      <w:r>
        <w:rPr>
          <w:spacing w:val="-1"/>
        </w:rPr>
        <w:t>期末已对外质押长期应收款金额为</w:t>
      </w:r>
      <w:r>
        <w:rPr>
          <w:rFonts w:ascii="Times New Roman" w:hAnsi="Times New Roman" w:cs="Times New Roman" w:eastAsia="Times New Roman" w:hint="default"/>
          <w:spacing w:val="-1"/>
        </w:rPr>
        <w:t>101,864,110.77</w:t>
      </w:r>
      <w:r>
        <w:rPr>
          <w:spacing w:val="-1"/>
        </w:rPr>
        <w:t>元，具体信息详见本章节十四（一）</w:t>
      </w: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3</w:t>
      </w:r>
      <w:r>
        <w:rPr>
          <w:spacing w:val="-1"/>
        </w:rPr>
        <w:t>）（</w:t>
      </w:r>
      <w:r>
        <w:rPr>
          <w:rFonts w:ascii="Times New Roman" w:hAnsi="Times New Roman" w:cs="Times New Roman" w:eastAsia="Times New Roman" w:hint="default"/>
          <w:spacing w:val="-1"/>
        </w:rPr>
        <w:t>4</w:t>
      </w:r>
      <w:r>
        <w:rPr>
          <w:spacing w:val="-1"/>
        </w:rPr>
        <w:t>）</w:t>
      </w:r>
    </w:p>
    <w:p>
      <w:pPr>
        <w:pStyle w:val="Heading4"/>
        <w:spacing w:line="240" w:lineRule="auto" w:before="21"/>
        <w:ind w:right="2602"/>
        <w:jc w:val="left"/>
      </w:pPr>
      <w:r>
        <w:rPr/>
        <w:t>（</w:t>
      </w:r>
      <w:r>
        <w:rPr>
          <w:rFonts w:ascii="Times New Roman" w:hAnsi="Times New Roman" w:cs="Times New Roman" w:eastAsia="Times New Roman" w:hint="default"/>
        </w:rPr>
        <w:t>5</w:t>
      </w:r>
      <w:r>
        <w:rPr/>
        <w:t>）。</w:t>
      </w:r>
    </w:p>
    <w:p>
      <w:pPr>
        <w:spacing w:line="240" w:lineRule="auto" w:before="7"/>
        <w:rPr>
          <w:rFonts w:ascii="宋体" w:hAnsi="宋体" w:cs="宋体" w:eastAsia="宋体" w:hint="default"/>
          <w:sz w:val="24"/>
          <w:szCs w:val="24"/>
        </w:rPr>
      </w:pPr>
    </w:p>
    <w:p>
      <w:pPr>
        <w:pStyle w:val="Heading3"/>
        <w:spacing w:line="240" w:lineRule="auto"/>
        <w:ind w:right="2602"/>
        <w:jc w:val="left"/>
        <w:rPr>
          <w:b w:val="0"/>
          <w:bCs w:val="0"/>
        </w:rPr>
      </w:pPr>
      <w:bookmarkStart w:name="17、长期股权投资" w:id="291"/>
      <w:bookmarkEnd w:id="291"/>
      <w:r>
        <w:rPr>
          <w:b w:val="0"/>
          <w:bCs w:val="0"/>
        </w:rPr>
      </w:r>
      <w:r>
        <w:rPr>
          <w:rFonts w:ascii="Times New Roman" w:hAnsi="Times New Roman" w:cs="Times New Roman" w:eastAsia="Times New Roman" w:hint="default"/>
        </w:rPr>
        <w:t>17</w:t>
      </w:r>
      <w:r>
        <w:rPr/>
        <w:t>、长期股权投资</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993"/>
        <w:gridCol w:w="1133"/>
        <w:gridCol w:w="5814"/>
        <w:gridCol w:w="1133"/>
        <w:gridCol w:w="499"/>
      </w:tblGrid>
      <w:tr>
        <w:trPr>
          <w:trHeight w:val="402" w:hRule="exact"/>
        </w:trPr>
        <w:tc>
          <w:tcPr>
            <w:tcW w:w="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81"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w:t>
            </w:r>
          </w:p>
        </w:tc>
        <w:tc>
          <w:tcPr>
            <w:tcW w:w="5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4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64" w:right="0"/>
              <w:jc w:val="left"/>
              <w:rPr>
                <w:rFonts w:ascii="宋体" w:hAnsi="宋体" w:cs="宋体" w:eastAsia="宋体" w:hint="default"/>
                <w:sz w:val="18"/>
                <w:szCs w:val="18"/>
              </w:rPr>
            </w:pPr>
            <w:r>
              <w:rPr>
                <w:rFonts w:ascii="宋体" w:hAnsi="宋体" w:cs="宋体" w:eastAsia="宋体" w:hint="default"/>
                <w:sz w:val="18"/>
                <w:szCs w:val="18"/>
              </w:rPr>
              <w:t>减值</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994"/>
        <w:gridCol w:w="1139"/>
        <w:gridCol w:w="1130"/>
        <w:gridCol w:w="856"/>
        <w:gridCol w:w="1128"/>
        <w:gridCol w:w="568"/>
        <w:gridCol w:w="425"/>
        <w:gridCol w:w="850"/>
        <w:gridCol w:w="568"/>
        <w:gridCol w:w="278"/>
        <w:gridCol w:w="1139"/>
        <w:gridCol w:w="499"/>
      </w:tblGrid>
      <w:tr>
        <w:trPr>
          <w:trHeight w:val="161" w:hRule="exact"/>
        </w:trPr>
        <w:tc>
          <w:tcPr>
            <w:tcW w:w="994" w:type="dxa"/>
            <w:vMerge w:val="restart"/>
            <w:tcBorders>
              <w:top w:val="single" w:sz="4" w:space="0" w:color="000000"/>
              <w:left w:val="single" w:sz="4" w:space="0" w:color="000000"/>
              <w:right w:val="single" w:sz="4" w:space="0" w:color="000000"/>
            </w:tcBorders>
            <w:shd w:val="clear" w:color="auto" w:fill="D2D2D2"/>
          </w:tcPr>
          <w:p>
            <w:pPr/>
          </w:p>
        </w:tc>
        <w:tc>
          <w:tcPr>
            <w:tcW w:w="113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left="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面价值</w:t>
            </w:r>
            <w:r>
              <w:rPr>
                <w:rFonts w:ascii="Times New Roman" w:hAnsi="Times New Roman" w:cs="Times New Roman" w:eastAsia="Times New Roman" w:hint="default"/>
                <w:sz w:val="18"/>
                <w:szCs w:val="18"/>
              </w:rPr>
              <w:t>)</w:t>
            </w:r>
          </w:p>
        </w:tc>
        <w:tc>
          <w:tcPr>
            <w:tcW w:w="1130" w:type="dxa"/>
            <w:vMerge w:val="restart"/>
            <w:tcBorders>
              <w:top w:val="single" w:sz="4" w:space="0" w:color="000000"/>
              <w:left w:val="single" w:sz="4" w:space="0" w:color="000000"/>
              <w:right w:val="single" w:sz="4" w:space="0" w:color="000000"/>
            </w:tcBorders>
            <w:shd w:val="clear" w:color="auto" w:fill="D2D2D2"/>
          </w:tcPr>
          <w:p>
            <w:pPr/>
          </w:p>
        </w:tc>
        <w:tc>
          <w:tcPr>
            <w:tcW w:w="856" w:type="dxa"/>
            <w:vMerge w:val="restart"/>
            <w:tcBorders>
              <w:top w:val="single" w:sz="4" w:space="0" w:color="000000"/>
              <w:left w:val="single" w:sz="4" w:space="0" w:color="000000"/>
              <w:right w:val="single" w:sz="4" w:space="0" w:color="000000"/>
            </w:tcBorders>
            <w:shd w:val="clear" w:color="auto" w:fill="D2D2D2"/>
          </w:tcPr>
          <w:p>
            <w:pPr/>
          </w:p>
        </w:tc>
        <w:tc>
          <w:tcPr>
            <w:tcW w:w="112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106" w:right="111"/>
              <w:jc w:val="center"/>
              <w:rPr>
                <w:rFonts w:ascii="宋体" w:hAnsi="宋体" w:cs="宋体" w:eastAsia="宋体" w:hint="default"/>
                <w:sz w:val="18"/>
                <w:szCs w:val="18"/>
              </w:rPr>
            </w:pPr>
            <w:r>
              <w:rPr>
                <w:rFonts w:ascii="宋体" w:hAnsi="宋体" w:cs="宋体" w:eastAsia="宋体" w:hint="default"/>
                <w:sz w:val="18"/>
                <w:szCs w:val="18"/>
              </w:rPr>
              <w:t>权益法下确 认的投资损 益</w:t>
            </w:r>
          </w:p>
        </w:tc>
        <w:tc>
          <w:tcPr>
            <w:tcW w:w="56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10" w:right="5"/>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42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28" w:right="26"/>
              <w:jc w:val="both"/>
              <w:rPr>
                <w:rFonts w:ascii="宋体" w:hAnsi="宋体" w:cs="宋体" w:eastAsia="宋体" w:hint="default"/>
                <w:sz w:val="18"/>
                <w:szCs w:val="18"/>
              </w:rPr>
            </w:pPr>
            <w:r>
              <w:rPr>
                <w:rFonts w:ascii="宋体" w:hAnsi="宋体" w:cs="宋体" w:eastAsia="宋体" w:hint="default"/>
                <w:sz w:val="18"/>
                <w:szCs w:val="18"/>
              </w:rPr>
              <w:t>其他 权益 变动</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61" w:right="56"/>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56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97" w:right="98"/>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27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9" w:type="dxa"/>
            <w:vMerge w:val="restart"/>
            <w:tcBorders>
              <w:top w:val="single" w:sz="4" w:space="0" w:color="000000"/>
              <w:left w:val="single" w:sz="10" w:space="0" w:color="D2D2D2"/>
              <w:right w:val="single" w:sz="4" w:space="0" w:color="000000"/>
            </w:tcBorders>
          </w:tcPr>
          <w:p>
            <w:pPr>
              <w:pStyle w:val="TableParagraph"/>
              <w:spacing w:line="240" w:lineRule="auto" w:before="8"/>
              <w:ind w:left="14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账面价值</w:t>
            </w:r>
            <w:r>
              <w:rPr>
                <w:rFonts w:ascii="Times New Roman" w:hAnsi="Times New Roman" w:cs="Times New Roman" w:eastAsia="Times New Roman" w:hint="default"/>
                <w:sz w:val="18"/>
                <w:szCs w:val="18"/>
              </w:rPr>
              <w:t>)</w:t>
            </w:r>
          </w:p>
        </w:tc>
        <w:tc>
          <w:tcPr>
            <w:tcW w:w="499" w:type="dxa"/>
            <w:vMerge w:val="restart"/>
            <w:tcBorders>
              <w:top w:val="single" w:sz="4" w:space="0" w:color="000000"/>
              <w:left w:val="single" w:sz="4" w:space="0" w:color="000000"/>
              <w:right w:val="single" w:sz="4" w:space="0" w:color="000000"/>
            </w:tcBorders>
          </w:tcPr>
          <w:p>
            <w:pPr>
              <w:pStyle w:val="TableParagraph"/>
              <w:spacing w:line="319" w:lineRule="auto" w:before="8"/>
              <w:ind w:left="64" w:right="62"/>
              <w:jc w:val="both"/>
              <w:rPr>
                <w:rFonts w:ascii="宋体" w:hAnsi="宋体" w:cs="宋体" w:eastAsia="宋体" w:hint="default"/>
                <w:sz w:val="18"/>
                <w:szCs w:val="18"/>
              </w:rPr>
            </w:pPr>
            <w:r>
              <w:rPr>
                <w:rFonts w:ascii="宋体" w:hAnsi="宋体" w:cs="宋体" w:eastAsia="宋体" w:hint="default"/>
                <w:sz w:val="18"/>
                <w:szCs w:val="18"/>
              </w:rPr>
              <w:t>准备 期末 余额</w:t>
            </w:r>
          </w:p>
        </w:tc>
      </w:tr>
      <w:tr>
        <w:trPr>
          <w:trHeight w:val="156" w:hRule="exact"/>
        </w:trPr>
        <w:tc>
          <w:tcPr>
            <w:tcW w:w="994" w:type="dxa"/>
            <w:vMerge/>
            <w:tcBorders>
              <w:left w:val="single" w:sz="4" w:space="0" w:color="000000"/>
              <w:right w:val="single" w:sz="4" w:space="0" w:color="000000"/>
            </w:tcBorders>
            <w:shd w:val="clear" w:color="auto" w:fill="D2D2D2"/>
          </w:tcPr>
          <w:p>
            <w:pPr/>
          </w:p>
        </w:tc>
        <w:tc>
          <w:tcPr>
            <w:tcW w:w="1139" w:type="dxa"/>
            <w:vMerge/>
            <w:tcBorders>
              <w:left w:val="single" w:sz="4" w:space="0" w:color="000000"/>
              <w:bottom w:val="nil" w:sz="6" w:space="0" w:color="auto"/>
              <w:right w:val="single" w:sz="4" w:space="0" w:color="000000"/>
            </w:tcBorders>
            <w:shd w:val="clear" w:color="auto" w:fill="D2D2D2"/>
          </w:tcPr>
          <w:p>
            <w:pPr/>
          </w:p>
        </w:tc>
        <w:tc>
          <w:tcPr>
            <w:tcW w:w="1130" w:type="dxa"/>
            <w:vMerge/>
            <w:tcBorders>
              <w:left w:val="single" w:sz="4" w:space="0" w:color="000000"/>
              <w:bottom w:val="nil" w:sz="6" w:space="0" w:color="auto"/>
              <w:right w:val="single" w:sz="4" w:space="0" w:color="000000"/>
            </w:tcBorders>
            <w:shd w:val="clear" w:color="auto" w:fill="D2D2D2"/>
          </w:tcPr>
          <w:p>
            <w:pPr/>
          </w:p>
        </w:tc>
        <w:tc>
          <w:tcPr>
            <w:tcW w:w="856" w:type="dxa"/>
            <w:vMerge/>
            <w:tcBorders>
              <w:left w:val="single" w:sz="4" w:space="0" w:color="000000"/>
              <w:bottom w:val="nil" w:sz="6" w:space="0" w:color="auto"/>
              <w:right w:val="single" w:sz="4" w:space="0" w:color="000000"/>
            </w:tcBorders>
            <w:shd w:val="clear" w:color="auto" w:fill="D2D2D2"/>
          </w:tcPr>
          <w:p>
            <w:pPr/>
          </w:p>
        </w:tc>
        <w:tc>
          <w:tcPr>
            <w:tcW w:w="1128"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425"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2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48" w:right="37"/>
              <w:jc w:val="left"/>
              <w:rPr>
                <w:rFonts w:ascii="宋体" w:hAnsi="宋体" w:cs="宋体" w:eastAsia="宋体" w:hint="default"/>
                <w:sz w:val="18"/>
                <w:szCs w:val="18"/>
              </w:rPr>
            </w:pPr>
            <w:r>
              <w:rPr>
                <w:rFonts w:ascii="宋体" w:hAnsi="宋体" w:cs="宋体" w:eastAsia="宋体" w:hint="default"/>
                <w:sz w:val="18"/>
                <w:szCs w:val="18"/>
              </w:rPr>
              <w:t>其 他</w:t>
            </w:r>
          </w:p>
        </w:tc>
        <w:tc>
          <w:tcPr>
            <w:tcW w:w="1139" w:type="dxa"/>
            <w:vMerge/>
            <w:tcBorders>
              <w:left w:val="single" w:sz="10" w:space="0" w:color="D2D2D2"/>
              <w:right w:val="single" w:sz="4" w:space="0" w:color="000000"/>
            </w:tcBorders>
          </w:tcPr>
          <w:p>
            <w:pPr/>
          </w:p>
        </w:tc>
        <w:tc>
          <w:tcPr>
            <w:tcW w:w="499" w:type="dxa"/>
            <w:vMerge/>
            <w:tcBorders>
              <w:left w:val="single" w:sz="4" w:space="0" w:color="000000"/>
              <w:right w:val="single" w:sz="4" w:space="0" w:color="000000"/>
            </w:tcBorders>
          </w:tcPr>
          <w:p>
            <w:pPr/>
          </w:p>
        </w:tc>
      </w:tr>
      <w:tr>
        <w:trPr>
          <w:trHeight w:val="392" w:hRule="exact"/>
        </w:trPr>
        <w:tc>
          <w:tcPr>
            <w:tcW w:w="994" w:type="dxa"/>
            <w:vMerge/>
            <w:tcBorders>
              <w:left w:val="single" w:sz="4" w:space="0" w:color="000000"/>
              <w:right w:val="single" w:sz="4" w:space="0" w:color="000000"/>
            </w:tcBorders>
            <w:shd w:val="clear" w:color="auto" w:fill="D2D2D2"/>
          </w:tcPr>
          <w:p>
            <w:pPr/>
          </w:p>
        </w:tc>
        <w:tc>
          <w:tcPr>
            <w:tcW w:w="1139" w:type="dxa"/>
            <w:vMerge w:val="restart"/>
            <w:tcBorders>
              <w:top w:val="nil" w:sz="6" w:space="0" w:color="auto"/>
              <w:left w:val="single" w:sz="4" w:space="0" w:color="000000"/>
              <w:right w:val="single" w:sz="4" w:space="0" w:color="000000"/>
            </w:tcBorders>
            <w:shd w:val="clear" w:color="auto" w:fill="D2D2D2"/>
          </w:tcPr>
          <w:p>
            <w:pPr/>
          </w:p>
        </w:tc>
        <w:tc>
          <w:tcPr>
            <w:tcW w:w="11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85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减少投资</w:t>
            </w:r>
          </w:p>
        </w:tc>
        <w:tc>
          <w:tcPr>
            <w:tcW w:w="1128"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425"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278" w:type="dxa"/>
            <w:vMerge/>
            <w:tcBorders>
              <w:left w:val="single" w:sz="4" w:space="0" w:color="000000"/>
              <w:right w:val="single" w:sz="4" w:space="0" w:color="000000"/>
            </w:tcBorders>
            <w:shd w:val="clear" w:color="auto" w:fill="D2D2D2"/>
          </w:tcPr>
          <w:p>
            <w:pPr/>
          </w:p>
        </w:tc>
        <w:tc>
          <w:tcPr>
            <w:tcW w:w="1139" w:type="dxa"/>
            <w:vMerge/>
            <w:tcBorders>
              <w:left w:val="single" w:sz="10" w:space="0" w:color="D2D2D2"/>
              <w:right w:val="single" w:sz="4" w:space="0" w:color="000000"/>
            </w:tcBorders>
          </w:tcPr>
          <w:p>
            <w:pPr/>
          </w:p>
        </w:tc>
        <w:tc>
          <w:tcPr>
            <w:tcW w:w="499" w:type="dxa"/>
            <w:vMerge/>
            <w:tcBorders>
              <w:left w:val="single" w:sz="4" w:space="0" w:color="000000"/>
              <w:right w:val="single" w:sz="4" w:space="0" w:color="000000"/>
            </w:tcBorders>
          </w:tcPr>
          <w:p>
            <w:pPr/>
          </w:p>
        </w:tc>
      </w:tr>
      <w:tr>
        <w:trPr>
          <w:trHeight w:val="156" w:hRule="exact"/>
        </w:trPr>
        <w:tc>
          <w:tcPr>
            <w:tcW w:w="994" w:type="dxa"/>
            <w:vMerge/>
            <w:tcBorders>
              <w:left w:val="single" w:sz="4" w:space="0" w:color="000000"/>
              <w:right w:val="single" w:sz="4" w:space="0" w:color="000000"/>
            </w:tcBorders>
            <w:shd w:val="clear" w:color="auto" w:fill="D2D2D2"/>
          </w:tcPr>
          <w:p>
            <w:pPr/>
          </w:p>
        </w:tc>
        <w:tc>
          <w:tcPr>
            <w:tcW w:w="1139" w:type="dxa"/>
            <w:vMerge/>
            <w:tcBorders>
              <w:left w:val="single" w:sz="4" w:space="0" w:color="000000"/>
              <w:right w:val="single" w:sz="4" w:space="0" w:color="000000"/>
            </w:tcBorders>
            <w:shd w:val="clear" w:color="auto" w:fill="D2D2D2"/>
          </w:tcPr>
          <w:p>
            <w:pPr/>
          </w:p>
        </w:tc>
        <w:tc>
          <w:tcPr>
            <w:tcW w:w="1130" w:type="dxa"/>
            <w:vMerge w:val="restart"/>
            <w:tcBorders>
              <w:top w:val="nil" w:sz="6" w:space="0" w:color="auto"/>
              <w:left w:val="single" w:sz="4" w:space="0" w:color="000000"/>
              <w:right w:val="single" w:sz="4" w:space="0" w:color="000000"/>
            </w:tcBorders>
            <w:shd w:val="clear" w:color="auto" w:fill="D2D2D2"/>
          </w:tcPr>
          <w:p>
            <w:pPr/>
          </w:p>
        </w:tc>
        <w:tc>
          <w:tcPr>
            <w:tcW w:w="856" w:type="dxa"/>
            <w:vMerge w:val="restart"/>
            <w:tcBorders>
              <w:top w:val="nil" w:sz="6" w:space="0" w:color="auto"/>
              <w:left w:val="single" w:sz="4" w:space="0" w:color="000000"/>
              <w:right w:val="single" w:sz="4" w:space="0" w:color="000000"/>
            </w:tcBorders>
            <w:shd w:val="clear" w:color="auto" w:fill="D2D2D2"/>
          </w:tcPr>
          <w:p>
            <w:pPr/>
          </w:p>
        </w:tc>
        <w:tc>
          <w:tcPr>
            <w:tcW w:w="1128"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425"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278" w:type="dxa"/>
            <w:vMerge/>
            <w:tcBorders>
              <w:left w:val="single" w:sz="4" w:space="0" w:color="000000"/>
              <w:bottom w:val="nil" w:sz="6" w:space="0" w:color="auto"/>
              <w:right w:val="single" w:sz="4" w:space="0" w:color="000000"/>
            </w:tcBorders>
            <w:shd w:val="clear" w:color="auto" w:fill="D2D2D2"/>
          </w:tcPr>
          <w:p>
            <w:pPr/>
          </w:p>
        </w:tc>
        <w:tc>
          <w:tcPr>
            <w:tcW w:w="1139" w:type="dxa"/>
            <w:vMerge/>
            <w:tcBorders>
              <w:left w:val="single" w:sz="10" w:space="0" w:color="D2D2D2"/>
              <w:right w:val="single" w:sz="4" w:space="0" w:color="000000"/>
            </w:tcBorders>
          </w:tcPr>
          <w:p>
            <w:pPr/>
          </w:p>
        </w:tc>
        <w:tc>
          <w:tcPr>
            <w:tcW w:w="499" w:type="dxa"/>
            <w:vMerge/>
            <w:tcBorders>
              <w:left w:val="single" w:sz="4" w:space="0" w:color="000000"/>
              <w:right w:val="single" w:sz="4" w:space="0" w:color="000000"/>
            </w:tcBorders>
          </w:tcPr>
          <w:p>
            <w:pPr/>
          </w:p>
        </w:tc>
      </w:tr>
      <w:tr>
        <w:trPr>
          <w:trHeight w:val="162" w:hRule="exact"/>
        </w:trPr>
        <w:tc>
          <w:tcPr>
            <w:tcW w:w="994" w:type="dxa"/>
            <w:vMerge/>
            <w:tcBorders>
              <w:left w:val="single" w:sz="4" w:space="0" w:color="000000"/>
              <w:bottom w:val="single" w:sz="4" w:space="0" w:color="000000"/>
              <w:right w:val="single" w:sz="4" w:space="0" w:color="000000"/>
            </w:tcBorders>
            <w:shd w:val="clear" w:color="auto" w:fill="D2D2D2"/>
          </w:tcPr>
          <w:p>
            <w:pPr/>
          </w:p>
        </w:tc>
        <w:tc>
          <w:tcPr>
            <w:tcW w:w="1139" w:type="dxa"/>
            <w:vMerge/>
            <w:tcBorders>
              <w:left w:val="single" w:sz="4" w:space="0" w:color="000000"/>
              <w:bottom w:val="single" w:sz="4" w:space="0" w:color="000000"/>
              <w:right w:val="single" w:sz="4" w:space="0" w:color="000000"/>
            </w:tcBorders>
            <w:shd w:val="clear" w:color="auto" w:fill="D2D2D2"/>
          </w:tcPr>
          <w:p>
            <w:pPr/>
          </w:p>
        </w:tc>
        <w:tc>
          <w:tcPr>
            <w:tcW w:w="1130" w:type="dxa"/>
            <w:vMerge/>
            <w:tcBorders>
              <w:left w:val="single" w:sz="4" w:space="0" w:color="000000"/>
              <w:bottom w:val="single" w:sz="4" w:space="0" w:color="000000"/>
              <w:right w:val="single" w:sz="4" w:space="0" w:color="000000"/>
            </w:tcBorders>
            <w:shd w:val="clear" w:color="auto" w:fill="D2D2D2"/>
          </w:tcPr>
          <w:p>
            <w:pPr/>
          </w:p>
        </w:tc>
        <w:tc>
          <w:tcPr>
            <w:tcW w:w="856" w:type="dxa"/>
            <w:vMerge/>
            <w:tcBorders>
              <w:left w:val="single" w:sz="4" w:space="0" w:color="000000"/>
              <w:bottom w:val="single" w:sz="4" w:space="0" w:color="000000"/>
              <w:right w:val="single" w:sz="4" w:space="0" w:color="000000"/>
            </w:tcBorders>
            <w:shd w:val="clear" w:color="auto" w:fill="D2D2D2"/>
          </w:tcPr>
          <w:p>
            <w:pPr/>
          </w:p>
        </w:tc>
        <w:tc>
          <w:tcPr>
            <w:tcW w:w="1128" w:type="dxa"/>
            <w:vMerge/>
            <w:tcBorders>
              <w:left w:val="single" w:sz="4" w:space="0" w:color="000000"/>
              <w:bottom w:val="single" w:sz="4" w:space="0" w:color="000000"/>
              <w:right w:val="single" w:sz="4" w:space="0" w:color="000000"/>
            </w:tcBorders>
            <w:shd w:val="clear" w:color="auto" w:fill="D2D2D2"/>
          </w:tcPr>
          <w:p>
            <w:pPr/>
          </w:p>
        </w:tc>
        <w:tc>
          <w:tcPr>
            <w:tcW w:w="568" w:type="dxa"/>
            <w:vMerge/>
            <w:tcBorders>
              <w:left w:val="single" w:sz="4" w:space="0" w:color="000000"/>
              <w:bottom w:val="single" w:sz="4" w:space="0" w:color="000000"/>
              <w:right w:val="single" w:sz="4" w:space="0" w:color="000000"/>
            </w:tcBorders>
            <w:shd w:val="clear" w:color="auto" w:fill="D2D2D2"/>
          </w:tcPr>
          <w:p>
            <w:pPr/>
          </w:p>
        </w:tc>
        <w:tc>
          <w:tcPr>
            <w:tcW w:w="425"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568" w:type="dxa"/>
            <w:vMerge/>
            <w:tcBorders>
              <w:left w:val="single" w:sz="4" w:space="0" w:color="000000"/>
              <w:bottom w:val="single" w:sz="4" w:space="0" w:color="000000"/>
              <w:right w:val="single" w:sz="4" w:space="0" w:color="000000"/>
            </w:tcBorders>
            <w:shd w:val="clear" w:color="auto" w:fill="D2D2D2"/>
          </w:tcPr>
          <w:p>
            <w:pPr/>
          </w:p>
        </w:tc>
        <w:tc>
          <w:tcPr>
            <w:tcW w:w="27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9" w:type="dxa"/>
            <w:vMerge/>
            <w:tcBorders>
              <w:left w:val="single" w:sz="10" w:space="0" w:color="D2D2D2"/>
              <w:bottom w:val="single" w:sz="4" w:space="0" w:color="000000"/>
              <w:right w:val="single" w:sz="4" w:space="0" w:color="000000"/>
            </w:tcBorders>
          </w:tcPr>
          <w:p>
            <w:pPr/>
          </w:p>
        </w:tc>
        <w:tc>
          <w:tcPr>
            <w:tcW w:w="499" w:type="dxa"/>
            <w:vMerge/>
            <w:tcBorders>
              <w:left w:val="single" w:sz="4" w:space="0" w:color="000000"/>
              <w:bottom w:val="single" w:sz="4" w:space="0" w:color="000000"/>
              <w:right w:val="single" w:sz="4" w:space="0" w:color="000000"/>
            </w:tcBorders>
          </w:tcPr>
          <w:p>
            <w:pPr/>
          </w:p>
        </w:tc>
      </w:tr>
      <w:tr>
        <w:trPr>
          <w:trHeight w:val="402"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上海浦江科 技投资有限 公司</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12,237,272.50</w:t>
            </w:r>
          </w:p>
        </w:tc>
        <w:tc>
          <w:tcPr>
            <w:tcW w:w="1130"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1,055,843.21</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13,293,115.71</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上海全程玖 玖健康服务 有限公司</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26,107,466.68</w:t>
            </w:r>
          </w:p>
        </w:tc>
        <w:tc>
          <w:tcPr>
            <w:tcW w:w="1130"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1,071,932.63</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27,179,399.31</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4" w:right="58"/>
              <w:jc w:val="both"/>
              <w:rPr>
                <w:rFonts w:ascii="宋体" w:hAnsi="宋体" w:cs="宋体" w:eastAsia="宋体" w:hint="default"/>
                <w:sz w:val="18"/>
                <w:szCs w:val="18"/>
              </w:rPr>
            </w:pPr>
            <w:r>
              <w:rPr>
                <w:rFonts w:ascii="宋体" w:hAnsi="宋体" w:cs="宋体" w:eastAsia="宋体" w:hint="default"/>
                <w:sz w:val="18"/>
                <w:szCs w:val="18"/>
              </w:rPr>
              <w:t>上海昕鼎网 络科技有限 公司</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35,375,673.64</w:t>
            </w:r>
          </w:p>
        </w:tc>
        <w:tc>
          <w:tcPr>
            <w:tcW w:w="1130"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1,563,020.46</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36,938,694.10</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上海达保贵 生信息科技 股份有限公 司</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5"/>
              <w:jc w:val="right"/>
              <w:rPr>
                <w:rFonts w:ascii="Times New Roman" w:hAnsi="Times New Roman" w:cs="Times New Roman" w:eastAsia="Times New Roman" w:hint="default"/>
                <w:sz w:val="18"/>
                <w:szCs w:val="18"/>
              </w:rPr>
            </w:pPr>
            <w:r>
              <w:rPr>
                <w:rFonts w:ascii="Times New Roman"/>
                <w:spacing w:val="-1"/>
                <w:sz w:val="18"/>
              </w:rPr>
              <w:t>8,332,913.85</w:t>
            </w:r>
          </w:p>
        </w:tc>
        <w:tc>
          <w:tcPr>
            <w:tcW w:w="1130"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-185,950.58</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8,146,963.27</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上海久事智 慧体育有限 公司</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3,957,807.49</w:t>
            </w:r>
          </w:p>
        </w:tc>
        <w:tc>
          <w:tcPr>
            <w:tcW w:w="1130"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-3,957,807.49</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上海万达健 青网络科技 有限公司</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171,031.13</w:t>
            </w:r>
          </w:p>
        </w:tc>
        <w:tc>
          <w:tcPr>
            <w:tcW w:w="1130"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2" w:right="0"/>
              <w:jc w:val="center"/>
              <w:rPr>
                <w:rFonts w:ascii="Times New Roman" w:hAnsi="Times New Roman" w:cs="Times New Roman" w:eastAsia="Times New Roman" w:hint="default"/>
                <w:sz w:val="18"/>
                <w:szCs w:val="18"/>
              </w:rPr>
            </w:pPr>
            <w:r>
              <w:rPr>
                <w:rFonts w:ascii="Times New Roman"/>
                <w:sz w:val="18"/>
              </w:rPr>
              <w:t>-9,501.73</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3,284.98</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164,814.38</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成都天府市 民云服务有 限公司</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4,998,565.12</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3,600,000.00</w:t>
            </w: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1,166,351.63</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9,764,916.75</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宁夏智慧医 疗科技股份 有限公司</w:t>
            </w:r>
          </w:p>
        </w:tc>
        <w:tc>
          <w:tcPr>
            <w:tcW w:w="1139"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632,250.00</w:t>
            </w: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-146,427.72</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485,822.28</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长沙市民云 信息服务有 限公司</w:t>
            </w:r>
          </w:p>
        </w:tc>
        <w:tc>
          <w:tcPr>
            <w:tcW w:w="1139"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2,450,000.00</w:t>
            </w: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-960,892.50</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1,489,107.50</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both"/>
              <w:rPr>
                <w:rFonts w:ascii="宋体" w:hAnsi="宋体" w:cs="宋体" w:eastAsia="宋体" w:hint="default"/>
                <w:sz w:val="18"/>
                <w:szCs w:val="18"/>
              </w:rPr>
            </w:pPr>
            <w:r>
              <w:rPr>
                <w:rFonts w:ascii="宋体" w:hAnsi="宋体" w:cs="宋体" w:eastAsia="宋体" w:hint="default"/>
                <w:sz w:val="18"/>
                <w:szCs w:val="18"/>
              </w:rPr>
              <w:t>驻马店天中 市民云服务 有限公司</w:t>
            </w:r>
          </w:p>
        </w:tc>
        <w:tc>
          <w:tcPr>
            <w:tcW w:w="1139"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980,000.00</w:t>
            </w:r>
          </w:p>
        </w:tc>
        <w:tc>
          <w:tcPr>
            <w:tcW w:w="856"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238,255.52</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1,218,255.52</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5"/>
              <w:jc w:val="right"/>
              <w:rPr>
                <w:rFonts w:ascii="Times New Roman" w:hAnsi="Times New Roman" w:cs="Times New Roman" w:eastAsia="Times New Roman" w:hint="default"/>
                <w:sz w:val="18"/>
                <w:szCs w:val="18"/>
              </w:rPr>
            </w:pPr>
            <w:r>
              <w:rPr>
                <w:rFonts w:ascii="Times New Roman"/>
                <w:spacing w:val="-1"/>
                <w:sz w:val="18"/>
              </w:rPr>
              <w:t>91,180,730.41</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7,662,250.00</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2" w:right="0"/>
              <w:jc w:val="center"/>
              <w:rPr>
                <w:rFonts w:ascii="Times New Roman" w:hAnsi="Times New Roman" w:cs="Times New Roman" w:eastAsia="Times New Roman" w:hint="default"/>
                <w:sz w:val="18"/>
                <w:szCs w:val="18"/>
              </w:rPr>
            </w:pPr>
            <w:r>
              <w:rPr>
                <w:rFonts w:ascii="Times New Roman"/>
                <w:sz w:val="18"/>
              </w:rPr>
              <w:t>-9,501.73</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-152,389.86</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98,681,088.82</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91,180,730.41</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7,662,250.00</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center"/>
              <w:rPr>
                <w:rFonts w:ascii="Times New Roman" w:hAnsi="Times New Roman" w:cs="Times New Roman" w:eastAsia="Times New Roman" w:hint="default"/>
                <w:sz w:val="18"/>
                <w:szCs w:val="18"/>
              </w:rPr>
            </w:pPr>
            <w:r>
              <w:rPr>
                <w:rFonts w:ascii="Times New Roman"/>
                <w:sz w:val="18"/>
              </w:rPr>
              <w:t>-9,501.73</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-152,389.86</w:t>
            </w:r>
          </w:p>
        </w:tc>
        <w:tc>
          <w:tcPr>
            <w:tcW w:w="56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278" w:type="dxa"/>
            <w:tcBorders>
              <w:top w:val="single" w:sz="4" w:space="0" w:color="000000"/>
              <w:left w:val="single" w:sz="4" w:space="0" w:color="000000"/>
              <w:bottom w:val="single" w:sz="4" w:space="0" w:color="000000"/>
              <w:right w:val="single" w:sz="4" w:space="0" w:color="000000"/>
            </w:tcBorders>
          </w:tcPr>
          <w:p>
            <w:pP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98,681,088.82</w:t>
            </w:r>
          </w:p>
        </w:tc>
        <w:tc>
          <w:tcPr>
            <w:tcW w:w="4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2"/>
        <w:rPr>
          <w:rFonts w:ascii="Times New Roman" w:hAnsi="Times New Roman" w:cs="Times New Roman" w:eastAsia="Times New Roman" w:hint="default"/>
          <w:sz w:val="28"/>
          <w:szCs w:val="28"/>
        </w:rPr>
      </w:pPr>
    </w:p>
    <w:p>
      <w:pPr>
        <w:pStyle w:val="Heading3"/>
        <w:spacing w:line="506" w:lineRule="auto" w:before="36"/>
        <w:ind w:left="573" w:right="8647" w:hanging="421"/>
        <w:jc w:val="left"/>
        <w:rPr>
          <w:rFonts w:ascii="宋体" w:hAnsi="宋体" w:cs="宋体" w:eastAsia="宋体" w:hint="default"/>
          <w:b w:val="0"/>
          <w:bCs w:val="0"/>
        </w:rPr>
      </w:pPr>
      <w:bookmarkStart w:name="18、其他权益工具投资" w:id="292"/>
      <w:bookmarkEnd w:id="292"/>
      <w:r>
        <w:rPr>
          <w:b w:val="0"/>
          <w:bCs w:val="0"/>
        </w:rPr>
      </w:r>
      <w:r>
        <w:rPr>
          <w:rFonts w:ascii="Times New Roman" w:hAnsi="Times New Roman" w:cs="Times New Roman" w:eastAsia="Times New Roman" w:hint="default"/>
        </w:rPr>
        <w:t>18</w:t>
      </w:r>
      <w:r>
        <w:rPr/>
        <w:t>、其他权益工具投资</w:t>
      </w:r>
      <w:r>
        <w:rPr>
          <w:spacing w:val="-104"/>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19、其他非流动金融资产" w:id="293"/>
      <w:bookmarkEnd w:id="293"/>
      <w:r>
        <w:rPr>
          <w:b w:val="0"/>
          <w:bCs w:val="0"/>
        </w:rPr>
      </w:r>
      <w:r>
        <w:rPr>
          <w:rFonts w:ascii="Times New Roman" w:hAnsi="Times New Roman" w:cs="Times New Roman" w:eastAsia="Times New Roman" w:hint="default"/>
        </w:rPr>
        <w:t>19</w:t>
      </w:r>
      <w:r>
        <w:rPr/>
        <w:t>、其他非流动金融资产</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537"/>
        <w:gridCol w:w="2552"/>
        <w:gridCol w:w="2482"/>
      </w:tblGrid>
      <w:tr>
        <w:trPr>
          <w:trHeight w:val="401" w:hRule="exact"/>
        </w:trPr>
        <w:tc>
          <w:tcPr>
            <w:tcW w:w="4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357,615,751.00</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350,366,018.19</w:t>
            </w:r>
          </w:p>
        </w:tc>
      </w:tr>
      <w:tr>
        <w:trPr>
          <w:trHeight w:val="401" w:hRule="exact"/>
        </w:trPr>
        <w:tc>
          <w:tcPr>
            <w:tcW w:w="4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357,615,751.00</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350,366,018.19</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0、投资性房地产" w:id="294"/>
      <w:bookmarkEnd w:id="294"/>
      <w:r>
        <w:rPr>
          <w:b w:val="0"/>
          <w:bCs w:val="0"/>
        </w:rPr>
      </w:r>
      <w:r>
        <w:rPr>
          <w:rFonts w:ascii="Times New Roman" w:hAnsi="Times New Roman" w:cs="Times New Roman" w:eastAsia="Times New Roman" w:hint="default"/>
        </w:rPr>
        <w:t>20</w:t>
      </w:r>
      <w:r>
        <w:rPr/>
        <w:t>、投资性房地产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采用成本计量模式的投资性房地产" w:id="295"/>
      <w:bookmarkEnd w:id="295"/>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40"/>
        <w:gridCol w:w="1852"/>
        <w:gridCol w:w="1702"/>
        <w:gridCol w:w="1277"/>
        <w:gridCol w:w="1490"/>
      </w:tblGrid>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7"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8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26,633,388.03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1,225,000.00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27,858,388.03</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）存货</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8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26,633,388.03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1,225,000.00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27,858,388.03</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二、累计折旧和累计摊销</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8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4,753,916.50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19,547.87</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4,773,464.37</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8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1,041,065.88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26,063.88</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1,067,129.76</w:t>
            </w:r>
          </w:p>
        </w:tc>
      </w:tr>
      <w:tr>
        <w:trPr>
          <w:trHeight w:val="404"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8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1,041,065.88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26,063.88</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1,067,129.76</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8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5,794,982.38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45,611.75</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5,840,594.13</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240"/>
        <w:gridCol w:w="1852"/>
        <w:gridCol w:w="1702"/>
        <w:gridCol w:w="1277"/>
        <w:gridCol w:w="1490"/>
      </w:tblGrid>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7"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852"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8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20,838,405.65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1,179,388.25</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22,017,793.90</w:t>
            </w:r>
          </w:p>
        </w:tc>
      </w:tr>
      <w:tr>
        <w:trPr>
          <w:trHeight w:val="404"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8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21,879,471.53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1,205,452.13</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23,084,923.66</w:t>
            </w:r>
          </w:p>
        </w:tc>
      </w:tr>
    </w:tbl>
    <w:p>
      <w:pPr>
        <w:spacing w:line="240" w:lineRule="auto" w:before="3"/>
        <w:rPr>
          <w:rFonts w:ascii="宋体" w:hAnsi="宋体" w:cs="宋体" w:eastAsia="宋体" w:hint="default"/>
          <w:sz w:val="19"/>
          <w:szCs w:val="19"/>
        </w:rPr>
      </w:pPr>
    </w:p>
    <w:p>
      <w:pPr>
        <w:pStyle w:val="Heading3"/>
        <w:spacing w:line="506" w:lineRule="auto" w:before="36"/>
        <w:ind w:left="573" w:right="6614" w:hanging="421"/>
        <w:jc w:val="left"/>
        <w:rPr>
          <w:rFonts w:ascii="宋体" w:hAnsi="宋体" w:cs="宋体" w:eastAsia="宋体" w:hint="default"/>
          <w:b w:val="0"/>
          <w:bCs w:val="0"/>
        </w:rPr>
      </w:pPr>
      <w:bookmarkStart w:name="（2）采用公允价值计量模式的投资性房地产" w:id="296"/>
      <w:bookmarkEnd w:id="296"/>
      <w:r>
        <w:rPr>
          <w:b w:val="0"/>
          <w:bCs w:val="0"/>
        </w:rPr>
      </w:r>
      <w:r>
        <w:rPr>
          <w:spacing w:val="-1"/>
        </w:rPr>
        <w:t>（</w:t>
      </w:r>
      <w:r>
        <w:rPr>
          <w:rFonts w:ascii="Times New Roman" w:hAnsi="Times New Roman" w:cs="Times New Roman" w:eastAsia="Times New Roman" w:hint="default"/>
          <w:spacing w:val="-1"/>
        </w:rPr>
        <w:t>2</w:t>
      </w:r>
      <w:r>
        <w:rPr>
          <w:spacing w:val="-1"/>
        </w:rPr>
        <w:t>）采用公允价值计量模式的投资性房地产</w:t>
      </w:r>
      <w:r>
        <w:rPr>
          <w:spacing w:val="-85"/>
        </w:rPr>
        <w:t> </w:t>
      </w:r>
      <w:r>
        <w:rPr>
          <w:spacing w:val="-85"/>
        </w:rPr>
      </w:r>
      <w:r>
        <w:rPr>
          <w:rFonts w:ascii="宋体" w:hAnsi="宋体" w:cs="宋体" w:eastAsia="宋体" w:hint="default"/>
          <w:b w:val="0"/>
          <w:bCs w:val="0"/>
        </w:rPr>
        <w:t>无</w:t>
      </w:r>
    </w:p>
    <w:p>
      <w:pPr>
        <w:pStyle w:val="Heading3"/>
        <w:spacing w:line="506" w:lineRule="auto" w:before="104"/>
        <w:ind w:left="573" w:right="6793" w:hanging="421"/>
        <w:jc w:val="left"/>
        <w:rPr>
          <w:rFonts w:ascii="宋体" w:hAnsi="宋体" w:cs="宋体" w:eastAsia="宋体" w:hint="default"/>
          <w:b w:val="0"/>
          <w:bCs w:val="0"/>
        </w:rPr>
      </w:pPr>
      <w:bookmarkStart w:name="（3）未办妥产权证书的投资性房地产情况" w:id="297"/>
      <w:bookmarkEnd w:id="297"/>
      <w:r>
        <w:rPr>
          <w:b w:val="0"/>
          <w:bCs w:val="0"/>
        </w:rPr>
      </w:r>
      <w:r>
        <w:rPr>
          <w:spacing w:val="-1"/>
        </w:rPr>
        <w:t>（</w:t>
      </w:r>
      <w:r>
        <w:rPr>
          <w:rFonts w:ascii="Times New Roman" w:hAnsi="Times New Roman" w:cs="Times New Roman" w:eastAsia="Times New Roman" w:hint="default"/>
          <w:spacing w:val="-1"/>
        </w:rPr>
        <w:t>3</w:t>
      </w:r>
      <w:r>
        <w:rPr>
          <w:spacing w:val="-1"/>
        </w:rPr>
        <w:t>）未办妥产权证书的投资性房地产情况</w:t>
      </w:r>
      <w:r>
        <w:rPr>
          <w:spacing w:val="-87"/>
        </w:rPr>
        <w:t> </w:t>
      </w:r>
      <w:r>
        <w:rPr>
          <w:spacing w:val="-87"/>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21、固定资产" w:id="298"/>
      <w:bookmarkEnd w:id="298"/>
      <w:r>
        <w:rPr>
          <w:b w:val="0"/>
          <w:bCs w:val="0"/>
        </w:rPr>
      </w:r>
      <w:r>
        <w:rPr>
          <w:rFonts w:ascii="Times New Roman" w:hAnsi="Times New Roman" w:cs="Times New Roman" w:eastAsia="Times New Roman" w:hint="default"/>
        </w:rPr>
        <w:t>21</w:t>
      </w:r>
      <w:r>
        <w:rPr/>
        <w:t>、固定资产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432,175,794.96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379,524,704.21</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432,175,794.96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379,524,704.21</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1）固定资产情况" w:id="299"/>
      <w:bookmarkEnd w:id="299"/>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62"/>
        <w:gridCol w:w="1288"/>
        <w:gridCol w:w="1133"/>
        <w:gridCol w:w="1277"/>
        <w:gridCol w:w="1416"/>
        <w:gridCol w:w="1277"/>
        <w:gridCol w:w="1205"/>
      </w:tblGrid>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5"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288" w:type="dxa"/>
            <w:tcBorders>
              <w:top w:val="single" w:sz="4" w:space="0" w:color="000000"/>
              <w:left w:val="single" w:sz="9" w:space="0" w:color="D2D2D2"/>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28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397,229,843.82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19,288,984.85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49,939,478.01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155,161,007.14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40,095,383.09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661,714,696.91</w:t>
            </w:r>
          </w:p>
        </w:tc>
      </w:tr>
      <w:tr>
        <w:trPr>
          <w:trHeight w:val="401"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288" w:type="dxa"/>
            <w:tcBorders>
              <w:top w:val="single" w:sz="4" w:space="0" w:color="000000"/>
              <w:left w:val="single" w:sz="9" w:space="0" w:color="D2D2D2"/>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2,021,897.14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24,527,389.55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79,318,043.60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464,449.36</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106,331,779.65</w:t>
            </w:r>
          </w:p>
        </w:tc>
      </w:tr>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288" w:type="dxa"/>
            <w:tcBorders>
              <w:top w:val="single" w:sz="4" w:space="0" w:color="000000"/>
              <w:left w:val="single" w:sz="9" w:space="0" w:color="D2D2D2"/>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2,021,897.14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109,678.25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9,738,821.25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464,449.36</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12,334,846.00</w:t>
            </w:r>
          </w:p>
        </w:tc>
      </w:tr>
      <w:tr>
        <w:trPr>
          <w:trHeight w:val="401"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7"/>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）在建工程转入</w:t>
            </w:r>
          </w:p>
        </w:tc>
        <w:tc>
          <w:tcPr>
            <w:tcW w:w="1288" w:type="dxa"/>
            <w:tcBorders>
              <w:top w:val="single" w:sz="4" w:space="0" w:color="000000"/>
              <w:left w:val="single" w:sz="9" w:space="0" w:color="D2D2D2"/>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24,417,711.30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1,759,810.94</w:t>
            </w:r>
          </w:p>
        </w:tc>
        <w:tc>
          <w:tcPr>
            <w:tcW w:w="127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26,177,522.24</w:t>
            </w:r>
          </w:p>
        </w:tc>
      </w:tr>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7"/>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288" w:type="dxa"/>
            <w:tcBorders>
              <w:top w:val="single" w:sz="4" w:space="0" w:color="000000"/>
              <w:left w:val="single" w:sz="9" w:space="0" w:color="D2D2D2"/>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4"/>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）开发支出转入</w:t>
            </w:r>
          </w:p>
        </w:tc>
        <w:tc>
          <w:tcPr>
            <w:tcW w:w="1288" w:type="dxa"/>
            <w:tcBorders>
              <w:top w:val="single" w:sz="4" w:space="0" w:color="000000"/>
              <w:left w:val="single" w:sz="9" w:space="0" w:color="D2D2D2"/>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67,819,411.41</w:t>
            </w:r>
          </w:p>
        </w:tc>
        <w:tc>
          <w:tcPr>
            <w:tcW w:w="127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67,819,411.41</w:t>
            </w:r>
          </w:p>
        </w:tc>
      </w:tr>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288" w:type="dxa"/>
            <w:tcBorders>
              <w:top w:val="single" w:sz="4" w:space="0" w:color="000000"/>
              <w:left w:val="single" w:sz="9" w:space="0" w:color="D2D2D2"/>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769,951.45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7,248.29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735,624.63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454,960.15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1,967,784.52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84"/>
        <w:gridCol w:w="1277"/>
        <w:gridCol w:w="1133"/>
        <w:gridCol w:w="1277"/>
        <w:gridCol w:w="1416"/>
        <w:gridCol w:w="1277"/>
        <w:gridCol w:w="1205"/>
      </w:tblGrid>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37"/>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769,951.45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7,248.29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735,624.63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454,960.15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1,967,784.52</w:t>
            </w: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397,229,843.82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20,540,930.54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74,459,619.27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233,743,426.11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40,104,872.30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766,078,692.04</w:t>
            </w: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86,528,117.98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13,551,205.79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28,279,719.32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120,366,449.01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33,464,500.60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282,189,992.70</w:t>
            </w: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15,266,576.97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1,692,091.62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9,772,812.85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25,096,583.76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1,708,638.70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53,536,703.90</w:t>
            </w: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15,266,576.97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1,692,091.62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9,772,812.85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25,096,583.76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1,708,638.70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53,536,703.90</w:t>
            </w: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739,153.39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5,161.91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684,345.91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395,138.31</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1,823,799.52</w:t>
            </w: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37"/>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739,153.39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5,161.91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684,345.91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395,138.31</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1,823,799.52</w:t>
            </w: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101,794,694.95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14,504,144.02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38,047,370.26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144,778,686.86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34,778,000.99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333,902,897.08</w:t>
            </w:r>
          </w:p>
        </w:tc>
      </w:tr>
      <w:tr>
        <w:trPr>
          <w:trHeight w:val="404"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295,435,148.87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6,036,786.52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36,412,249.01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88,964,739.25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5,326,871.31</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432,175,794.96</w:t>
            </w: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310,701,725.84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5,737,779.06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21,659,758.69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34,794,558.13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6,630,882.49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379,524,704.21</w:t>
            </w:r>
          </w:p>
        </w:tc>
      </w:tr>
    </w:tbl>
    <w:p>
      <w:pPr>
        <w:spacing w:line="240" w:lineRule="auto" w:before="3"/>
        <w:rPr>
          <w:rFonts w:ascii="宋体" w:hAnsi="宋体" w:cs="宋体" w:eastAsia="宋体" w:hint="default"/>
          <w:sz w:val="19"/>
          <w:szCs w:val="19"/>
        </w:rPr>
      </w:pPr>
    </w:p>
    <w:p>
      <w:pPr>
        <w:pStyle w:val="Heading3"/>
        <w:spacing w:line="506" w:lineRule="auto" w:before="36"/>
        <w:ind w:left="573" w:right="7922" w:hanging="421"/>
        <w:jc w:val="left"/>
        <w:rPr>
          <w:rFonts w:ascii="宋体" w:hAnsi="宋体" w:cs="宋体" w:eastAsia="宋体" w:hint="default"/>
          <w:b w:val="0"/>
          <w:bCs w:val="0"/>
        </w:rPr>
      </w:pPr>
      <w:bookmarkStart w:name="（2）暂时闲置的固定资产情况" w:id="300"/>
      <w:bookmarkEnd w:id="300"/>
      <w:r>
        <w:rPr>
          <w:b w:val="0"/>
          <w:bCs w:val="0"/>
        </w:rPr>
      </w:r>
      <w:r>
        <w:rPr>
          <w:spacing w:val="-1"/>
        </w:rPr>
        <w:t>（</w:t>
      </w:r>
      <w:r>
        <w:rPr>
          <w:rFonts w:ascii="Times New Roman" w:hAnsi="Times New Roman" w:cs="Times New Roman" w:eastAsia="Times New Roman" w:hint="default"/>
          <w:spacing w:val="-1"/>
        </w:rPr>
        <w:t>2</w:t>
      </w:r>
      <w:r>
        <w:rPr>
          <w:spacing w:val="-1"/>
        </w:rPr>
        <w:t>）暂时闲置的固定资产情况</w:t>
      </w:r>
      <w:r>
        <w:rPr>
          <w:spacing w:val="-94"/>
        </w:rPr>
        <w:t> </w:t>
      </w:r>
      <w:r>
        <w:rPr>
          <w:spacing w:val="-94"/>
        </w:rPr>
      </w:r>
      <w:r>
        <w:rPr>
          <w:rFonts w:ascii="宋体" w:hAnsi="宋体" w:cs="宋体" w:eastAsia="宋体" w:hint="default"/>
          <w:b w:val="0"/>
          <w:bCs w:val="0"/>
        </w:rPr>
        <w:t>无</w:t>
      </w:r>
    </w:p>
    <w:p>
      <w:pPr>
        <w:pStyle w:val="Heading3"/>
        <w:spacing w:line="506" w:lineRule="auto" w:before="104"/>
        <w:ind w:left="573" w:right="6974" w:hanging="421"/>
        <w:jc w:val="left"/>
        <w:rPr>
          <w:rFonts w:ascii="宋体" w:hAnsi="宋体" w:cs="宋体" w:eastAsia="宋体" w:hint="default"/>
          <w:b w:val="0"/>
          <w:bCs w:val="0"/>
        </w:rPr>
      </w:pPr>
      <w:bookmarkStart w:name="（3）通过融资租赁租入的固定资产情况" w:id="301"/>
      <w:bookmarkEnd w:id="301"/>
      <w:r>
        <w:rPr>
          <w:b w:val="0"/>
          <w:bCs w:val="0"/>
        </w:rPr>
      </w:r>
      <w:r>
        <w:rPr>
          <w:spacing w:val="-1"/>
        </w:rPr>
        <w:t>（</w:t>
      </w:r>
      <w:r>
        <w:rPr>
          <w:rFonts w:ascii="Times New Roman" w:hAnsi="Times New Roman" w:cs="Times New Roman" w:eastAsia="Times New Roman" w:hint="default"/>
          <w:spacing w:val="-1"/>
        </w:rPr>
        <w:t>3</w:t>
      </w:r>
      <w:r>
        <w:rPr>
          <w:spacing w:val="-1"/>
        </w:rPr>
        <w:t>）通过融资租赁租入的固定资产情况</w:t>
      </w:r>
      <w:r>
        <w:rPr>
          <w:spacing w:val="-88"/>
        </w:rPr>
        <w:t> </w:t>
      </w:r>
      <w:r>
        <w:rPr>
          <w:spacing w:val="-88"/>
        </w:rPr>
      </w:r>
      <w:r>
        <w:rPr>
          <w:rFonts w:ascii="宋体" w:hAnsi="宋体" w:cs="宋体" w:eastAsia="宋体" w:hint="default"/>
          <w:b w:val="0"/>
          <w:bCs w:val="0"/>
        </w:rPr>
        <w:t>无</w:t>
      </w:r>
    </w:p>
    <w:p>
      <w:pPr>
        <w:pStyle w:val="Heading3"/>
        <w:spacing w:line="506" w:lineRule="auto" w:before="104"/>
        <w:ind w:left="573" w:right="7460" w:hanging="421"/>
        <w:jc w:val="left"/>
        <w:rPr>
          <w:rFonts w:ascii="宋体" w:hAnsi="宋体" w:cs="宋体" w:eastAsia="宋体" w:hint="default"/>
          <w:b w:val="0"/>
          <w:bCs w:val="0"/>
        </w:rPr>
      </w:pPr>
      <w:bookmarkStart w:name="（4）通过经营租赁租出的固定资产" w:id="302"/>
      <w:bookmarkEnd w:id="302"/>
      <w:r>
        <w:rPr>
          <w:b w:val="0"/>
          <w:bCs w:val="0"/>
        </w:rPr>
      </w:r>
      <w:r>
        <w:rPr>
          <w:spacing w:val="-1"/>
        </w:rPr>
        <w:t>（</w:t>
      </w:r>
      <w:r>
        <w:rPr>
          <w:rFonts w:ascii="Times New Roman" w:hAnsi="Times New Roman" w:cs="Times New Roman" w:eastAsia="Times New Roman" w:hint="default"/>
          <w:spacing w:val="-1"/>
        </w:rPr>
        <w:t>4</w:t>
      </w:r>
      <w:r>
        <w:rPr>
          <w:spacing w:val="-1"/>
        </w:rPr>
        <w:t>）通过经营租赁租出的固定资产</w:t>
      </w:r>
      <w:r>
        <w:rPr>
          <w:spacing w:val="-91"/>
        </w:rPr>
        <w:t> </w:t>
      </w:r>
      <w:r>
        <w:rPr>
          <w:spacing w:val="-91"/>
        </w:rPr>
      </w:r>
      <w:r>
        <w:rPr>
          <w:rFonts w:ascii="宋体" w:hAnsi="宋体" w:cs="宋体" w:eastAsia="宋体" w:hint="default"/>
          <w:b w:val="0"/>
          <w:bCs w:val="0"/>
        </w:rPr>
        <w:t>无</w:t>
      </w:r>
    </w:p>
    <w:p>
      <w:pPr>
        <w:pStyle w:val="Heading3"/>
        <w:spacing w:line="506" w:lineRule="auto" w:before="104"/>
        <w:ind w:left="573" w:right="7154" w:hanging="421"/>
        <w:jc w:val="left"/>
        <w:rPr>
          <w:rFonts w:ascii="宋体" w:hAnsi="宋体" w:cs="宋体" w:eastAsia="宋体" w:hint="default"/>
          <w:b w:val="0"/>
          <w:bCs w:val="0"/>
        </w:rPr>
      </w:pPr>
      <w:bookmarkStart w:name="（5）未办妥产权证书的固定资产情况" w:id="303"/>
      <w:bookmarkEnd w:id="303"/>
      <w:r>
        <w:rPr>
          <w:b w:val="0"/>
          <w:bCs w:val="0"/>
        </w:rPr>
      </w:r>
      <w:r>
        <w:rPr>
          <w:spacing w:val="-1"/>
        </w:rPr>
        <w:t>（</w:t>
      </w:r>
      <w:r>
        <w:rPr>
          <w:rFonts w:ascii="Times New Roman" w:hAnsi="Times New Roman" w:cs="Times New Roman" w:eastAsia="Times New Roman" w:hint="default"/>
          <w:spacing w:val="-1"/>
        </w:rPr>
        <w:t>5</w:t>
      </w:r>
      <w:r>
        <w:rPr>
          <w:spacing w:val="-1"/>
        </w:rPr>
        <w:t>）未办妥产权证书的固定资产情况</w:t>
      </w:r>
      <w:r>
        <w:rPr>
          <w:spacing w:val="-90"/>
        </w:rPr>
        <w:t> </w:t>
      </w:r>
      <w:r>
        <w:rPr>
          <w:spacing w:val="-90"/>
        </w:rPr>
      </w:r>
      <w:r>
        <w:rPr>
          <w:rFonts w:ascii="宋体" w:hAnsi="宋体" w:cs="宋体" w:eastAsia="宋体" w:hint="default"/>
          <w:b w:val="0"/>
          <w:bCs w:val="0"/>
        </w:rPr>
        <w:t>无</w:t>
      </w:r>
    </w:p>
    <w:p>
      <w:pPr>
        <w:pStyle w:val="Heading3"/>
        <w:spacing w:line="506" w:lineRule="auto" w:before="104"/>
        <w:ind w:left="573" w:right="8962" w:hanging="421"/>
        <w:jc w:val="left"/>
        <w:rPr>
          <w:rFonts w:ascii="宋体" w:hAnsi="宋体" w:cs="宋体" w:eastAsia="宋体" w:hint="default"/>
          <w:b w:val="0"/>
          <w:bCs w:val="0"/>
        </w:rPr>
      </w:pPr>
      <w:bookmarkStart w:name="（6）固定资产清理" w:id="304"/>
      <w:bookmarkEnd w:id="304"/>
      <w:r>
        <w:rPr>
          <w:b w:val="0"/>
          <w:bCs w:val="0"/>
        </w:rPr>
      </w:r>
      <w:r>
        <w:rPr/>
        <w:t>（</w:t>
      </w:r>
      <w:r>
        <w:rPr>
          <w:rFonts w:ascii="Times New Roman" w:hAnsi="Times New Roman" w:cs="Times New Roman" w:eastAsia="Times New Roman" w:hint="default"/>
        </w:rPr>
        <w:t>6</w:t>
      </w:r>
      <w:r>
        <w:rPr/>
        <w:t>）固定资产清理</w:t>
      </w:r>
      <w:r>
        <w:rPr>
          <w:spacing w:val="-104"/>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22、在建工程" w:id="305"/>
      <w:bookmarkEnd w:id="305"/>
      <w:r>
        <w:rPr>
          <w:b w:val="0"/>
          <w:bCs w:val="0"/>
        </w:rPr>
      </w:r>
      <w:r>
        <w:rPr>
          <w:rFonts w:ascii="Times New Roman" w:hAnsi="Times New Roman" w:cs="Times New Roman" w:eastAsia="Times New Roman" w:hint="default"/>
        </w:rPr>
        <w:t>22</w:t>
      </w:r>
      <w:r>
        <w:rPr/>
        <w:t>、在建工程</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7,871,649.97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41,238,721.58</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7,871,649.97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41,238,721.58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1）在建工程情况" w:id="306"/>
      <w:bookmarkEnd w:id="306"/>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127"/>
        <w:gridCol w:w="1561"/>
        <w:gridCol w:w="991"/>
        <w:gridCol w:w="1277"/>
        <w:gridCol w:w="1416"/>
        <w:gridCol w:w="994"/>
        <w:gridCol w:w="1207"/>
      </w:tblGrid>
      <w:tr>
        <w:trPr>
          <w:trHeight w:val="403" w:hRule="exact"/>
        </w:trPr>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2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1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127" w:type="dxa"/>
            <w:vMerge/>
            <w:tcBorders>
              <w:left w:val="single" w:sz="4" w:space="0" w:color="000000"/>
              <w:bottom w:val="single" w:sz="4" w:space="0" w:color="000000"/>
              <w:right w:val="single" w:sz="4" w:space="0" w:color="000000"/>
            </w:tcBorders>
            <w:shd w:val="clear" w:color="auto" w:fill="D2D2D2"/>
          </w:tcPr>
          <w:p>
            <w:pP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市民云零星设备及服务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5,087,115.76</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5,087,115.76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497,548.54</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497,548.54</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彭山天网项目</w:t>
            </w:r>
          </w:p>
        </w:tc>
        <w:tc>
          <w:tcPr>
            <w:tcW w:w="156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228,950.45</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228,950.45</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平安医院项目</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2,499,579.05</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2,499,579.05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1,815,525.94</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1,815,525.94</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自贡贡井雪亮工程</w:t>
            </w:r>
          </w:p>
        </w:tc>
        <w:tc>
          <w:tcPr>
            <w:tcW w:w="156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1,781,315.58</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1,781,315.58</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汶川雪亮工程项目</w:t>
            </w:r>
          </w:p>
        </w:tc>
        <w:tc>
          <w:tcPr>
            <w:tcW w:w="156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816,919.31</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816,919.31</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自贡贡井雪亮工程二期</w:t>
            </w:r>
          </w:p>
        </w:tc>
        <w:tc>
          <w:tcPr>
            <w:tcW w:w="156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1,446,890.80</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1,446,890.80</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云服务上海基地</w:t>
            </w:r>
          </w:p>
        </w:tc>
        <w:tc>
          <w:tcPr>
            <w:tcW w:w="156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31,929,385.92</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31,929,385.92</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待安装零星工程及设备</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284,955.16</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284,955.16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2,722,185.04</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2,722,185.04</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7,871,649.97</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7,871,649.97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41,238,721.58</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41,238,721.58</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重要在建工程项目本期变动情况" w:id="307"/>
      <w:bookmarkEnd w:id="307"/>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36"/>
        <w:gridCol w:w="850"/>
        <w:gridCol w:w="711"/>
        <w:gridCol w:w="708"/>
        <w:gridCol w:w="708"/>
        <w:gridCol w:w="708"/>
        <w:gridCol w:w="711"/>
        <w:gridCol w:w="708"/>
        <w:gridCol w:w="708"/>
        <w:gridCol w:w="710"/>
        <w:gridCol w:w="709"/>
        <w:gridCol w:w="708"/>
        <w:gridCol w:w="492"/>
      </w:tblGrid>
      <w:tr>
        <w:trPr>
          <w:trHeight w:val="1340"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59" w:right="80"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79" w:right="77"/>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79" w:right="77"/>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59" w:right="8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26"/>
                <w:szCs w:val="26"/>
              </w:rPr>
            </w:pPr>
          </w:p>
          <w:p>
            <w:pPr>
              <w:pStyle w:val="TableParagraph"/>
              <w:spacing w:line="357" w:lineRule="auto"/>
              <w:ind w:left="170" w:right="167"/>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79" w:right="79"/>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19" w:hanging="56"/>
              <w:jc w:val="both"/>
              <w:rPr>
                <w:rFonts w:ascii="宋体" w:hAnsi="宋体" w:cs="宋体" w:eastAsia="宋体" w:hint="default"/>
                <w:sz w:val="18"/>
                <w:szCs w:val="18"/>
              </w:rPr>
            </w:pPr>
            <w:r>
              <w:rPr>
                <w:rFonts w:ascii="宋体" w:hAnsi="宋体" w:cs="宋体" w:eastAsia="宋体" w:hint="default"/>
                <w:spacing w:val="-17"/>
                <w:sz w:val="18"/>
                <w:szCs w:val="18"/>
              </w:rPr>
              <w:t>其中：本</w:t>
            </w:r>
            <w:r>
              <w:rPr>
                <w:rFonts w:ascii="宋体" w:hAnsi="宋体" w:cs="宋体" w:eastAsia="宋体" w:hint="default"/>
                <w:sz w:val="18"/>
                <w:szCs w:val="18"/>
              </w:rPr>
              <w:t> 期利息 资本化 金额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79" w:right="77"/>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62" w:right="59"/>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713"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市民云零星 设备及服务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6,500,000.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497,548.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5,087,11</w:t>
            </w:r>
          </w:p>
          <w:p>
            <w:pPr>
              <w:pStyle w:val="TableParagraph"/>
              <w:spacing w:line="240" w:lineRule="auto" w:before="102"/>
              <w:ind w:left="362" w:right="0"/>
              <w:jc w:val="left"/>
              <w:rPr>
                <w:rFonts w:ascii="Times New Roman" w:hAnsi="Times New Roman" w:cs="Times New Roman" w:eastAsia="Times New Roman" w:hint="default"/>
                <w:sz w:val="18"/>
                <w:szCs w:val="18"/>
              </w:rPr>
            </w:pPr>
            <w:r>
              <w:rPr>
                <w:rFonts w:ascii="Times New Roman"/>
                <w:sz w:val="18"/>
              </w:rPr>
              <w:t>5.76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497,548.</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54</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5,087,11</w:t>
            </w:r>
          </w:p>
          <w:p>
            <w:pPr>
              <w:pStyle w:val="TableParagraph"/>
              <w:spacing w:line="240" w:lineRule="auto" w:before="102"/>
              <w:ind w:left="362" w:right="0"/>
              <w:jc w:val="left"/>
              <w:rPr>
                <w:rFonts w:ascii="Times New Roman" w:hAnsi="Times New Roman" w:cs="Times New Roman" w:eastAsia="Times New Roman" w:hint="default"/>
                <w:sz w:val="18"/>
                <w:szCs w:val="18"/>
              </w:rPr>
            </w:pPr>
            <w:r>
              <w:rPr>
                <w:rFonts w:ascii="Times New Roman"/>
                <w:sz w:val="18"/>
              </w:rPr>
              <w:t>5.76</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80.00%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715"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彭山天网项 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8,500,000.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228,950.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1,455,66</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5.49</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1,684,61</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5.94</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713"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平安医院项 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7,600,000.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1,815,52</w:t>
            </w:r>
          </w:p>
          <w:p>
            <w:pPr>
              <w:pStyle w:val="TableParagraph"/>
              <w:spacing w:line="240" w:lineRule="auto" w:before="102"/>
              <w:ind w:left="362" w:right="0"/>
              <w:jc w:val="left"/>
              <w:rPr>
                <w:rFonts w:ascii="Times New Roman" w:hAnsi="Times New Roman" w:cs="Times New Roman" w:eastAsia="Times New Roman" w:hint="default"/>
                <w:sz w:val="18"/>
                <w:szCs w:val="18"/>
              </w:rPr>
            </w:pPr>
            <w:r>
              <w:rPr>
                <w:rFonts w:ascii="Times New Roman"/>
                <w:sz w:val="18"/>
              </w:rPr>
              <w:t>5.94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684,053.</w:t>
            </w:r>
          </w:p>
          <w:p>
            <w:pPr>
              <w:pStyle w:val="TableParagraph"/>
              <w:spacing w:line="240" w:lineRule="auto" w:before="102"/>
              <w:ind w:right="24"/>
              <w:jc w:val="right"/>
              <w:rPr>
                <w:rFonts w:ascii="Times New Roman" w:hAnsi="Times New Roman" w:cs="Times New Roman" w:eastAsia="Times New Roman" w:hint="default"/>
                <w:sz w:val="18"/>
                <w:szCs w:val="18"/>
              </w:rPr>
            </w:pPr>
            <w:r>
              <w:rPr>
                <w:rFonts w:ascii="Times New Roman"/>
                <w:spacing w:val="-6"/>
                <w:w w:val="95"/>
                <w:sz w:val="18"/>
              </w:rPr>
              <w:t>11</w:t>
            </w:r>
            <w:r>
              <w:rPr>
                <w:rFonts w:ascii="Times New Roman"/>
                <w:w w:val="95"/>
                <w:sz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2,499,57</w:t>
            </w:r>
          </w:p>
          <w:p>
            <w:pPr>
              <w:pStyle w:val="TableParagraph"/>
              <w:spacing w:line="240" w:lineRule="auto" w:before="102"/>
              <w:ind w:left="362" w:right="0"/>
              <w:jc w:val="left"/>
              <w:rPr>
                <w:rFonts w:ascii="Times New Roman" w:hAnsi="Times New Roman" w:cs="Times New Roman" w:eastAsia="Times New Roman" w:hint="default"/>
                <w:sz w:val="18"/>
                <w:szCs w:val="18"/>
              </w:rPr>
            </w:pPr>
            <w:r>
              <w:rPr>
                <w:rFonts w:ascii="Times New Roman"/>
                <w:sz w:val="18"/>
              </w:rPr>
              <w:t>9.05</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92.56%</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715"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自贡贡井雪 亮工程</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6,116,900.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1,781,31</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5.58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356,170.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2,137,48</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6.38</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713"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汶川雪亮工 程项目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1,880,200.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816,919.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966,061.</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1,782,98</w:t>
            </w:r>
          </w:p>
          <w:p>
            <w:pPr>
              <w:pStyle w:val="TableParagraph"/>
              <w:spacing w:line="240" w:lineRule="auto" w:before="102"/>
              <w:ind w:left="362" w:right="0"/>
              <w:jc w:val="left"/>
              <w:rPr>
                <w:rFonts w:ascii="Times New Roman" w:hAnsi="Times New Roman" w:cs="Times New Roman" w:eastAsia="Times New Roman" w:hint="default"/>
                <w:sz w:val="18"/>
                <w:szCs w:val="18"/>
              </w:rPr>
            </w:pPr>
            <w:r>
              <w:rPr>
                <w:rFonts w:ascii="Times New Roman"/>
                <w:sz w:val="18"/>
              </w:rPr>
              <w:t>0.66</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715"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自贡贡井雪 亮工程二期</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3,141,225.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1,446,89</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0.80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1,083,98</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0.56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2,530,87</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1.36</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713"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新都新建天 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800 </w:t>
            </w:r>
            <w:r>
              <w:rPr>
                <w:rFonts w:ascii="宋体" w:hAnsi="宋体" w:cs="宋体" w:eastAsia="宋体" w:hint="default"/>
                <w:sz w:val="18"/>
                <w:szCs w:val="18"/>
              </w:rPr>
              <w:t>点</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17,330,38</w:t>
            </w:r>
          </w:p>
          <w:p>
            <w:pPr>
              <w:pStyle w:val="TableParagraph"/>
              <w:spacing w:line="240" w:lineRule="auto" w:before="102"/>
              <w:ind w:left="503" w:right="0"/>
              <w:jc w:val="left"/>
              <w:rPr>
                <w:rFonts w:ascii="Times New Roman" w:hAnsi="Times New Roman" w:cs="Times New Roman" w:eastAsia="Times New Roman" w:hint="default"/>
                <w:sz w:val="18"/>
                <w:szCs w:val="18"/>
              </w:rPr>
            </w:pPr>
            <w:r>
              <w:rPr>
                <w:rFonts w:ascii="Times New Roman"/>
                <w:sz w:val="18"/>
              </w:rPr>
              <w:t>2.06</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13,291,4</w:t>
            </w:r>
          </w:p>
          <w:p>
            <w:pPr>
              <w:pStyle w:val="TableParagraph"/>
              <w:spacing w:line="240" w:lineRule="auto" w:before="102"/>
              <w:ind w:left="271" w:right="0"/>
              <w:jc w:val="left"/>
              <w:rPr>
                <w:rFonts w:ascii="Times New Roman" w:hAnsi="Times New Roman" w:cs="Times New Roman" w:eastAsia="Times New Roman" w:hint="default"/>
                <w:sz w:val="18"/>
                <w:szCs w:val="18"/>
              </w:rPr>
            </w:pPr>
            <w:r>
              <w:rPr>
                <w:rFonts w:ascii="Times New Roman"/>
                <w:sz w:val="18"/>
              </w:rPr>
              <w:t>19.27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13,291,4</w:t>
            </w:r>
          </w:p>
          <w:p>
            <w:pPr>
              <w:pStyle w:val="TableParagraph"/>
              <w:spacing w:line="240" w:lineRule="auto" w:before="102"/>
              <w:ind w:left="271" w:right="0"/>
              <w:jc w:val="left"/>
              <w:rPr>
                <w:rFonts w:ascii="Times New Roman" w:hAnsi="Times New Roman" w:cs="Times New Roman" w:eastAsia="Times New Roman" w:hint="default"/>
                <w:sz w:val="18"/>
                <w:szCs w:val="18"/>
              </w:rPr>
            </w:pPr>
            <w:r>
              <w:rPr>
                <w:rFonts w:ascii="Times New Roman"/>
                <w:sz w:val="18"/>
              </w:rPr>
              <w:t>19.27</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715"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新都新建</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个卡口</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6,838,105.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37</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4,674,95</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3.63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4,674,95</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3.63</w:t>
            </w: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136"/>
        <w:gridCol w:w="850"/>
        <w:gridCol w:w="711"/>
        <w:gridCol w:w="708"/>
        <w:gridCol w:w="708"/>
        <w:gridCol w:w="708"/>
        <w:gridCol w:w="711"/>
        <w:gridCol w:w="708"/>
        <w:gridCol w:w="708"/>
        <w:gridCol w:w="710"/>
        <w:gridCol w:w="709"/>
        <w:gridCol w:w="708"/>
        <w:gridCol w:w="492"/>
      </w:tblGrid>
      <w:tr>
        <w:trPr>
          <w:trHeight w:val="1337"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59" w:right="80"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79" w:right="77"/>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9" w:right="77"/>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59" w:right="8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26"/>
                <w:szCs w:val="26"/>
              </w:rPr>
            </w:pPr>
          </w:p>
          <w:p>
            <w:pPr>
              <w:pStyle w:val="TableParagraph"/>
              <w:spacing w:line="357" w:lineRule="auto"/>
              <w:ind w:left="170" w:right="167"/>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9" w:right="79"/>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19" w:hanging="56"/>
              <w:jc w:val="both"/>
              <w:rPr>
                <w:rFonts w:ascii="宋体" w:hAnsi="宋体" w:cs="宋体" w:eastAsia="宋体" w:hint="default"/>
                <w:sz w:val="18"/>
                <w:szCs w:val="18"/>
              </w:rPr>
            </w:pPr>
            <w:r>
              <w:rPr>
                <w:rFonts w:ascii="宋体" w:hAnsi="宋体" w:cs="宋体" w:eastAsia="宋体" w:hint="default"/>
                <w:spacing w:val="-17"/>
                <w:sz w:val="18"/>
                <w:szCs w:val="18"/>
              </w:rPr>
              <w:t>其中：本</w:t>
            </w:r>
            <w:r>
              <w:rPr>
                <w:rFonts w:ascii="宋体" w:hAnsi="宋体" w:cs="宋体" w:eastAsia="宋体" w:hint="default"/>
                <w:sz w:val="18"/>
                <w:szCs w:val="18"/>
              </w:rPr>
              <w:t> 期利息 资本化 金额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9" w:right="77"/>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62" w:right="59"/>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车道</w:t>
            </w:r>
          </w:p>
        </w:tc>
        <w:tc>
          <w:tcPr>
            <w:tcW w:w="850"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105"/>
              <w:jc w:val="left"/>
              <w:rPr>
                <w:rFonts w:ascii="宋体" w:hAnsi="宋体" w:cs="宋体" w:eastAsia="宋体" w:hint="default"/>
                <w:sz w:val="18"/>
                <w:szCs w:val="18"/>
              </w:rPr>
            </w:pPr>
            <w:r>
              <w:rPr>
                <w:rFonts w:ascii="宋体" w:hAnsi="宋体" w:cs="宋体" w:eastAsia="宋体" w:hint="default"/>
                <w:sz w:val="18"/>
                <w:szCs w:val="18"/>
              </w:rPr>
              <w:t>眉山交警支 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违停 自动抓拍</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706,561.1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706,240.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47</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706,240.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47</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72"/>
              <w:jc w:val="center"/>
              <w:rPr>
                <w:rFonts w:ascii="宋体" w:hAnsi="宋体" w:cs="宋体" w:eastAsia="宋体" w:hint="default"/>
                <w:sz w:val="18"/>
                <w:szCs w:val="18"/>
              </w:rPr>
            </w:pPr>
            <w:r>
              <w:rPr>
                <w:rFonts w:ascii="宋体" w:hAnsi="宋体" w:cs="宋体" w:eastAsia="宋体" w:hint="default"/>
                <w:sz w:val="18"/>
                <w:szCs w:val="18"/>
              </w:rPr>
              <w:t>其他</w:t>
            </w:r>
          </w:p>
        </w:tc>
      </w:tr>
      <w:tr>
        <w:trPr>
          <w:trHeight w:val="713"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云服务上海 基地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70,000,00</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0.00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31,929,3</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85.92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4,319,75</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3.65</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36,249,1</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39.57</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49.91%</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2"/>
              <w:jc w:val="center"/>
              <w:rPr>
                <w:rFonts w:ascii="宋体" w:hAnsi="宋体" w:cs="宋体" w:eastAsia="宋体" w:hint="default"/>
                <w:sz w:val="18"/>
                <w:szCs w:val="18"/>
              </w:rPr>
            </w:pPr>
            <w:r>
              <w:rPr>
                <w:rFonts w:ascii="宋体" w:hAnsi="宋体" w:cs="宋体" w:eastAsia="宋体" w:hint="default"/>
                <w:sz w:val="18"/>
                <w:szCs w:val="18"/>
              </w:rPr>
              <w:t>其他</w:t>
            </w:r>
          </w:p>
        </w:tc>
      </w:tr>
      <w:tr>
        <w:trPr>
          <w:trHeight w:val="716"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201"/>
              <w:jc w:val="left"/>
              <w:rPr>
                <w:rFonts w:ascii="宋体" w:hAnsi="宋体" w:cs="宋体" w:eastAsia="宋体" w:hint="default"/>
                <w:sz w:val="18"/>
                <w:szCs w:val="18"/>
              </w:rPr>
            </w:pPr>
            <w:r>
              <w:rPr>
                <w:rFonts w:ascii="宋体" w:hAnsi="宋体" w:cs="宋体" w:eastAsia="宋体" w:hint="default"/>
                <w:sz w:val="18"/>
                <w:szCs w:val="18"/>
              </w:rPr>
              <w:t>待安装零星 工程及设备</w:t>
            </w:r>
          </w:p>
        </w:tc>
        <w:tc>
          <w:tcPr>
            <w:tcW w:w="850"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2,722,18</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5.04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284,955.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1,262,26</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2.40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1,459,92</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2.64</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284,955.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16</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128,613,3</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74.37</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41,238,7</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21.58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32,910,3</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69.25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26,177,5</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22.24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40,099,9</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18.62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7,871,64</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9.97</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71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line="506" w:lineRule="auto" w:before="36"/>
        <w:ind w:left="573" w:right="2602" w:hanging="421"/>
        <w:jc w:val="left"/>
        <w:rPr>
          <w:rFonts w:ascii="宋体" w:hAnsi="宋体" w:cs="宋体" w:eastAsia="宋体" w:hint="default"/>
          <w:sz w:val="21"/>
          <w:szCs w:val="21"/>
        </w:rPr>
      </w:pPr>
      <w:bookmarkStart w:name="（3）本期计提在建工程减值准备情况" w:id="308"/>
      <w:bookmarkEnd w:id="30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）本期计提在建工程减值准备情况</w:t>
      </w:r>
      <w:r>
        <w:rPr>
          <w:rFonts w:ascii="宋体" w:hAnsi="宋体" w:cs="宋体" w:eastAsia="宋体" w:hint="default"/>
          <w:b/>
          <w:bCs/>
          <w:w w:val="100"/>
          <w:sz w:val="21"/>
          <w:szCs w:val="21"/>
        </w:rPr>
        <w:t> </w:t>
      </w:r>
      <w:r>
        <w:rPr>
          <w:rFonts w:ascii="宋体" w:hAnsi="宋体" w:cs="宋体" w:eastAsia="宋体" w:hint="default"/>
          <w:spacing w:val="-2"/>
          <w:sz w:val="21"/>
          <w:szCs w:val="21"/>
        </w:rPr>
        <w:t>注：本期其他减少金额中包括结转至长期待摊费用</w:t>
      </w:r>
      <w:r>
        <w:rPr>
          <w:rFonts w:ascii="Times New Roman" w:hAnsi="Times New Roman" w:cs="Times New Roman" w:eastAsia="Times New Roman" w:hint="default"/>
          <w:spacing w:val="-2"/>
          <w:sz w:val="21"/>
          <w:szCs w:val="21"/>
        </w:rPr>
        <w:t>38,687,702.40</w:t>
      </w:r>
      <w:r>
        <w:rPr>
          <w:rFonts w:ascii="宋体" w:hAnsi="宋体" w:cs="宋体" w:eastAsia="宋体" w:hint="default"/>
          <w:spacing w:val="-2"/>
          <w:sz w:val="21"/>
          <w:szCs w:val="21"/>
        </w:rPr>
        <w:t>元。</w:t>
      </w:r>
      <w:r>
        <w:rPr>
          <w:rFonts w:ascii="宋体" w:hAnsi="宋体" w:cs="宋体" w:eastAsia="宋体" w:hint="default"/>
          <w:sz w:val="21"/>
          <w:szCs w:val="21"/>
        </w:rPr>
      </w:r>
    </w:p>
    <w:p>
      <w:pPr>
        <w:pStyle w:val="Heading3"/>
        <w:spacing w:line="240" w:lineRule="auto" w:before="63"/>
        <w:ind w:right="2602"/>
        <w:jc w:val="left"/>
        <w:rPr>
          <w:b w:val="0"/>
          <w:bCs w:val="0"/>
        </w:rPr>
      </w:pPr>
      <w:bookmarkStart w:name="（4）工程物资" w:id="309"/>
      <w:bookmarkEnd w:id="309"/>
      <w:r>
        <w:rPr>
          <w:b w:val="0"/>
          <w:bCs w:val="0"/>
        </w:rPr>
      </w:r>
      <w:r>
        <w:rPr/>
        <w:t>（</w:t>
      </w:r>
      <w:r>
        <w:rPr>
          <w:rFonts w:ascii="Times New Roman" w:hAnsi="Times New Roman" w:cs="Times New Roman" w:eastAsia="Times New Roman" w:hint="default"/>
        </w:rPr>
        <w:t>4</w:t>
      </w:r>
      <w:r>
        <w:rPr/>
        <w:t>）工程物资</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506" w:lineRule="auto"/>
        <w:ind w:left="573" w:right="8857" w:hanging="421"/>
        <w:jc w:val="left"/>
        <w:rPr>
          <w:rFonts w:ascii="宋体" w:hAnsi="宋体" w:cs="宋体" w:eastAsia="宋体" w:hint="default"/>
          <w:b w:val="0"/>
          <w:bCs w:val="0"/>
        </w:rPr>
      </w:pPr>
      <w:bookmarkStart w:name="23、生产性生物资产" w:id="310"/>
      <w:bookmarkEnd w:id="310"/>
      <w:r>
        <w:rPr>
          <w:b w:val="0"/>
          <w:bCs w:val="0"/>
        </w:rPr>
      </w:r>
      <w:r>
        <w:rPr>
          <w:rFonts w:ascii="Times New Roman" w:hAnsi="Times New Roman" w:cs="Times New Roman" w:eastAsia="Times New Roman" w:hint="default"/>
        </w:rPr>
        <w:t>23</w:t>
      </w:r>
      <w:r>
        <w:rPr/>
        <w:t>、生产性生物资产</w:t>
      </w:r>
      <w:r>
        <w:rPr>
          <w:spacing w:val="-104"/>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24、油气资产" w:id="311"/>
      <w:bookmarkEnd w:id="311"/>
      <w:r>
        <w:rPr>
          <w:b w:val="0"/>
          <w:bCs w:val="0"/>
        </w:rPr>
      </w:r>
      <w:r>
        <w:rPr>
          <w:rFonts w:ascii="Times New Roman" w:hAnsi="Times New Roman" w:cs="Times New Roman" w:eastAsia="Times New Roman" w:hint="default"/>
        </w:rPr>
        <w:t>24</w:t>
      </w:r>
      <w:r>
        <w:rPr/>
        <w:t>、油气资产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506" w:lineRule="auto"/>
        <w:ind w:left="573" w:right="9279" w:hanging="421"/>
        <w:jc w:val="left"/>
        <w:rPr>
          <w:rFonts w:ascii="宋体" w:hAnsi="宋体" w:cs="宋体" w:eastAsia="宋体" w:hint="default"/>
          <w:b w:val="0"/>
          <w:bCs w:val="0"/>
        </w:rPr>
      </w:pPr>
      <w:bookmarkStart w:name="25、使用权资产" w:id="312"/>
      <w:bookmarkEnd w:id="312"/>
      <w:r>
        <w:rPr>
          <w:b w:val="0"/>
          <w:bCs w:val="0"/>
        </w:rPr>
      </w:r>
      <w:r>
        <w:rPr>
          <w:rFonts w:ascii="Times New Roman" w:hAnsi="Times New Roman" w:cs="Times New Roman" w:eastAsia="Times New Roman" w:hint="default"/>
        </w:rPr>
        <w:t>25</w:t>
      </w:r>
      <w:r>
        <w:rPr/>
        <w:t>、使用权资产</w:t>
      </w:r>
      <w:r>
        <w:rPr>
          <w:w w:val="100"/>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26、无形资产" w:id="313"/>
      <w:bookmarkEnd w:id="313"/>
      <w:r>
        <w:rPr>
          <w:b w:val="0"/>
          <w:bCs w:val="0"/>
        </w:rPr>
      </w:r>
      <w:r>
        <w:rPr>
          <w:rFonts w:ascii="Times New Roman" w:hAnsi="Times New Roman" w:cs="Times New Roman" w:eastAsia="Times New Roman" w:hint="default"/>
        </w:rPr>
        <w:t>26</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无形资产情况" w:id="314"/>
      <w:bookmarkEnd w:id="314"/>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679"/>
        <w:gridCol w:w="1144"/>
        <w:gridCol w:w="1135"/>
        <w:gridCol w:w="994"/>
        <w:gridCol w:w="1133"/>
        <w:gridCol w:w="1135"/>
        <w:gridCol w:w="1141"/>
        <w:gridCol w:w="1198"/>
      </w:tblGrid>
      <w:tr>
        <w:trPr>
          <w:trHeight w:val="401"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3"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2"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1"/>
              <w:jc w:val="right"/>
              <w:rPr>
                <w:rFonts w:ascii="宋体" w:hAnsi="宋体" w:cs="宋体" w:eastAsia="宋体" w:hint="default"/>
                <w:sz w:val="18"/>
                <w:szCs w:val="18"/>
              </w:rPr>
            </w:pPr>
            <w:r>
              <w:rPr>
                <w:rFonts w:ascii="宋体" w:hAnsi="宋体" w:cs="宋体" w:eastAsia="宋体" w:hint="default"/>
                <w:sz w:val="18"/>
                <w:szCs w:val="18"/>
              </w:rPr>
              <w:t>非专利技术</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特许专营权</w:t>
            </w:r>
          </w:p>
        </w:tc>
        <w:tc>
          <w:tcPr>
            <w:tcW w:w="11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67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44"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14,333,895.00</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13,879,993.56</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347,621.40</w:t>
            </w:r>
          </w:p>
        </w:tc>
        <w:tc>
          <w:tcPr>
            <w:tcW w:w="1133" w:type="dxa"/>
            <w:vMerge w:val="restart"/>
            <w:tcBorders>
              <w:top w:val="single" w:sz="4" w:space="0" w:color="000000"/>
              <w:left w:val="single" w:sz="4" w:space="0" w:color="000000"/>
              <w:right w:val="single" w:sz="4" w:space="0" w:color="000000"/>
            </w:tcBorders>
          </w:tcPr>
          <w:p>
            <w:pPr>
              <w:pStyle w:val="TableParagraph"/>
              <w:spacing w:line="240" w:lineRule="auto" w:before="91"/>
              <w:ind w:right="-5"/>
              <w:jc w:val="right"/>
              <w:rPr>
                <w:rFonts w:ascii="Times New Roman" w:hAnsi="Times New Roman" w:cs="Times New Roman" w:eastAsia="Times New Roman" w:hint="default"/>
                <w:sz w:val="18"/>
                <w:szCs w:val="18"/>
              </w:rPr>
            </w:pPr>
            <w:r>
              <w:rPr>
                <w:rFonts w:ascii="Times New Roman"/>
                <w:spacing w:val="-1"/>
                <w:sz w:val="18"/>
              </w:rPr>
              <w:t>1,009,664,092.</w:t>
            </w:r>
          </w:p>
          <w:p>
            <w:pPr>
              <w:pStyle w:val="TableParagraph"/>
              <w:spacing w:line="240" w:lineRule="auto" w:before="105"/>
              <w:ind w:right="-8"/>
              <w:jc w:val="right"/>
              <w:rPr>
                <w:rFonts w:ascii="Times New Roman" w:hAnsi="Times New Roman" w:cs="Times New Roman" w:eastAsia="Times New Roman" w:hint="default"/>
                <w:sz w:val="18"/>
                <w:szCs w:val="18"/>
              </w:rPr>
            </w:pPr>
            <w:r>
              <w:rPr>
                <w:rFonts w:ascii="Times New Roman"/>
                <w:sz w:val="18"/>
              </w:rPr>
              <w:t>84</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40,888,878.10</w:t>
            </w:r>
          </w:p>
        </w:tc>
        <w:tc>
          <w:tcPr>
            <w:tcW w:w="114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40,152,000.00</w:t>
            </w:r>
          </w:p>
        </w:tc>
        <w:tc>
          <w:tcPr>
            <w:tcW w:w="1198"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1,119,266,480.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90</w:t>
            </w:r>
          </w:p>
        </w:tc>
      </w:tr>
      <w:tr>
        <w:trPr>
          <w:trHeight w:val="391" w:hRule="exact"/>
        </w:trPr>
        <w:tc>
          <w:tcPr>
            <w:tcW w:w="16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144" w:type="dxa"/>
            <w:vMerge/>
            <w:tcBorders>
              <w:left w:val="single" w:sz="9" w:space="0" w:color="D2D2D2"/>
              <w:right w:val="single" w:sz="4" w:space="0" w:color="000000"/>
            </w:tcBorders>
          </w:tcPr>
          <w:p>
            <w:pPr/>
          </w:p>
        </w:tc>
        <w:tc>
          <w:tcPr>
            <w:tcW w:w="1135"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1133" w:type="dxa"/>
            <w:vMerge/>
            <w:tcBorders>
              <w:left w:val="single" w:sz="4" w:space="0" w:color="000000"/>
              <w:right w:val="single" w:sz="4" w:space="0" w:color="000000"/>
            </w:tcBorders>
          </w:tcPr>
          <w:p>
            <w:pPr/>
          </w:p>
        </w:tc>
        <w:tc>
          <w:tcPr>
            <w:tcW w:w="1135" w:type="dxa"/>
            <w:vMerge/>
            <w:tcBorders>
              <w:left w:val="single" w:sz="4" w:space="0" w:color="000000"/>
              <w:right w:val="single" w:sz="4" w:space="0" w:color="000000"/>
            </w:tcBorders>
          </w:tcPr>
          <w:p>
            <w:pPr/>
          </w:p>
        </w:tc>
        <w:tc>
          <w:tcPr>
            <w:tcW w:w="1141"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r>
      <w:tr>
        <w:trPr>
          <w:trHeight w:val="161" w:hRule="exact"/>
        </w:trPr>
        <w:tc>
          <w:tcPr>
            <w:tcW w:w="167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44" w:type="dxa"/>
            <w:vMerge/>
            <w:tcBorders>
              <w:left w:val="single" w:sz="9" w:space="0" w:color="D2D2D2"/>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1133" w:type="dxa"/>
            <w:vMerge/>
            <w:tcBorders>
              <w:left w:val="single" w:sz="4" w:space="0" w:color="000000"/>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1141" w:type="dxa"/>
            <w:vMerge/>
            <w:tcBorders>
              <w:left w:val="single" w:sz="4" w:space="0" w:color="000000"/>
              <w:bottom w:val="single" w:sz="4" w:space="0" w:color="000000"/>
              <w:right w:val="single" w:sz="4" w:space="0" w:color="000000"/>
            </w:tcBorders>
          </w:tcPr>
          <w:p>
            <w:pPr/>
          </w:p>
        </w:tc>
        <w:tc>
          <w:tcPr>
            <w:tcW w:w="1198" w:type="dxa"/>
            <w:vMerge/>
            <w:tcBorders>
              <w:left w:val="single" w:sz="4" w:space="0" w:color="000000"/>
              <w:bottom w:val="single" w:sz="4" w:space="0" w:color="000000"/>
              <w:right w:val="single" w:sz="4" w:space="0" w:color="000000"/>
            </w:tcBorders>
          </w:tcPr>
          <w:p>
            <w:pP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5"/>
              <w:jc w:val="center"/>
              <w:rPr>
                <w:rFonts w:ascii="Times New Roman" w:hAnsi="Times New Roman" w:cs="Times New Roman" w:eastAsia="Times New Roman" w:hint="default"/>
                <w:sz w:val="18"/>
                <w:szCs w:val="18"/>
              </w:rPr>
            </w:pPr>
            <w:r>
              <w:rPr>
                <w:rFonts w:ascii="Times New Roman"/>
                <w:sz w:val="18"/>
              </w:rPr>
              <w:t>340,399,377.65</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340,399,377.65</w:t>
            </w:r>
          </w:p>
        </w:tc>
      </w:tr>
      <w:tr>
        <w:trPr>
          <w:trHeight w:val="401"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）内部研发</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5"/>
              <w:jc w:val="center"/>
              <w:rPr>
                <w:rFonts w:ascii="Times New Roman" w:hAnsi="Times New Roman" w:cs="Times New Roman" w:eastAsia="Times New Roman" w:hint="default"/>
                <w:sz w:val="18"/>
                <w:szCs w:val="18"/>
              </w:rPr>
            </w:pPr>
            <w:r>
              <w:rPr>
                <w:rFonts w:ascii="Times New Roman"/>
                <w:sz w:val="18"/>
              </w:rPr>
              <w:t>340,399,377.65</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340,399,377.65</w:t>
            </w: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16,570,440.00</w:t>
            </w: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16,570,440.00</w:t>
            </w:r>
          </w:p>
        </w:tc>
      </w:tr>
      <w:tr>
        <w:trPr>
          <w:trHeight w:val="161" w:hRule="exact"/>
        </w:trPr>
        <w:tc>
          <w:tcPr>
            <w:tcW w:w="167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44"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14,333,895.00</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13,879,993.56</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347,621.40</w:t>
            </w:r>
          </w:p>
        </w:tc>
        <w:tc>
          <w:tcPr>
            <w:tcW w:w="1133" w:type="dxa"/>
            <w:vMerge w:val="restart"/>
            <w:tcBorders>
              <w:top w:val="single" w:sz="4" w:space="0" w:color="000000"/>
              <w:left w:val="single" w:sz="4" w:space="0" w:color="000000"/>
              <w:right w:val="single" w:sz="4" w:space="0" w:color="000000"/>
            </w:tcBorders>
          </w:tcPr>
          <w:p>
            <w:pPr>
              <w:pStyle w:val="TableParagraph"/>
              <w:spacing w:line="240" w:lineRule="auto" w:before="91"/>
              <w:ind w:right="-5"/>
              <w:jc w:val="right"/>
              <w:rPr>
                <w:rFonts w:ascii="Times New Roman" w:hAnsi="Times New Roman" w:cs="Times New Roman" w:eastAsia="Times New Roman" w:hint="default"/>
                <w:sz w:val="18"/>
                <w:szCs w:val="18"/>
              </w:rPr>
            </w:pPr>
            <w:r>
              <w:rPr>
                <w:rFonts w:ascii="Times New Roman"/>
                <w:spacing w:val="-1"/>
                <w:sz w:val="18"/>
              </w:rPr>
              <w:t>1,350,063,470.</w:t>
            </w:r>
          </w:p>
          <w:p>
            <w:pPr>
              <w:pStyle w:val="TableParagraph"/>
              <w:spacing w:line="240" w:lineRule="auto" w:before="105"/>
              <w:ind w:right="-8"/>
              <w:jc w:val="right"/>
              <w:rPr>
                <w:rFonts w:ascii="Times New Roman" w:hAnsi="Times New Roman" w:cs="Times New Roman" w:eastAsia="Times New Roman" w:hint="default"/>
                <w:sz w:val="18"/>
                <w:szCs w:val="18"/>
              </w:rPr>
            </w:pPr>
            <w:r>
              <w:rPr>
                <w:rFonts w:ascii="Times New Roman"/>
                <w:sz w:val="18"/>
              </w:rPr>
              <w:t>49</w:t>
            </w:r>
          </w:p>
        </w:tc>
        <w:tc>
          <w:tcPr>
            <w:tcW w:w="113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24,318,438.10</w:t>
            </w:r>
          </w:p>
        </w:tc>
        <w:tc>
          <w:tcPr>
            <w:tcW w:w="114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40,152,000.00</w:t>
            </w:r>
          </w:p>
        </w:tc>
        <w:tc>
          <w:tcPr>
            <w:tcW w:w="1198"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1,443,095,418.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55</w:t>
            </w:r>
          </w:p>
        </w:tc>
      </w:tr>
      <w:tr>
        <w:trPr>
          <w:trHeight w:val="391" w:hRule="exact"/>
        </w:trPr>
        <w:tc>
          <w:tcPr>
            <w:tcW w:w="16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144" w:type="dxa"/>
            <w:vMerge/>
            <w:tcBorders>
              <w:left w:val="single" w:sz="9" w:space="0" w:color="D2D2D2"/>
              <w:right w:val="single" w:sz="4" w:space="0" w:color="000000"/>
            </w:tcBorders>
          </w:tcPr>
          <w:p>
            <w:pPr/>
          </w:p>
        </w:tc>
        <w:tc>
          <w:tcPr>
            <w:tcW w:w="1135"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1133" w:type="dxa"/>
            <w:vMerge/>
            <w:tcBorders>
              <w:left w:val="single" w:sz="4" w:space="0" w:color="000000"/>
              <w:right w:val="single" w:sz="4" w:space="0" w:color="000000"/>
            </w:tcBorders>
          </w:tcPr>
          <w:p>
            <w:pPr/>
          </w:p>
        </w:tc>
        <w:tc>
          <w:tcPr>
            <w:tcW w:w="1135" w:type="dxa"/>
            <w:vMerge/>
            <w:tcBorders>
              <w:left w:val="single" w:sz="4" w:space="0" w:color="000000"/>
              <w:right w:val="single" w:sz="4" w:space="0" w:color="000000"/>
            </w:tcBorders>
          </w:tcPr>
          <w:p>
            <w:pPr/>
          </w:p>
        </w:tc>
        <w:tc>
          <w:tcPr>
            <w:tcW w:w="1141"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r>
      <w:tr>
        <w:trPr>
          <w:trHeight w:val="161" w:hRule="exact"/>
        </w:trPr>
        <w:tc>
          <w:tcPr>
            <w:tcW w:w="167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44" w:type="dxa"/>
            <w:vMerge/>
            <w:tcBorders>
              <w:left w:val="single" w:sz="9" w:space="0" w:color="D2D2D2"/>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1133" w:type="dxa"/>
            <w:vMerge/>
            <w:tcBorders>
              <w:left w:val="single" w:sz="4" w:space="0" w:color="000000"/>
              <w:bottom w:val="single" w:sz="4" w:space="0" w:color="000000"/>
              <w:right w:val="single" w:sz="4" w:space="0" w:color="000000"/>
            </w:tcBorders>
          </w:tcPr>
          <w:p>
            <w:pPr/>
          </w:p>
        </w:tc>
        <w:tc>
          <w:tcPr>
            <w:tcW w:w="1135" w:type="dxa"/>
            <w:vMerge/>
            <w:tcBorders>
              <w:left w:val="single" w:sz="4" w:space="0" w:color="000000"/>
              <w:bottom w:val="single" w:sz="4" w:space="0" w:color="000000"/>
              <w:right w:val="single" w:sz="4" w:space="0" w:color="000000"/>
            </w:tcBorders>
          </w:tcPr>
          <w:p>
            <w:pPr/>
          </w:p>
        </w:tc>
        <w:tc>
          <w:tcPr>
            <w:tcW w:w="1141" w:type="dxa"/>
            <w:vMerge/>
            <w:tcBorders>
              <w:left w:val="single" w:sz="4" w:space="0" w:color="000000"/>
              <w:bottom w:val="single" w:sz="4" w:space="0" w:color="000000"/>
              <w:right w:val="single" w:sz="4" w:space="0" w:color="000000"/>
            </w:tcBorders>
          </w:tcPr>
          <w:p>
            <w:pPr/>
          </w:p>
        </w:tc>
        <w:tc>
          <w:tcPr>
            <w:tcW w:w="1198" w:type="dxa"/>
            <w:vMerge/>
            <w:tcBorders>
              <w:left w:val="single" w:sz="4" w:space="0" w:color="000000"/>
              <w:bottom w:val="single" w:sz="4" w:space="0" w:color="000000"/>
              <w:right w:val="single" w:sz="4" w:space="0" w:color="000000"/>
            </w:tcBorders>
          </w:tcPr>
          <w:p>
            <w:pP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1,629,123.78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5,017,420.08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347,621.40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5"/>
              <w:jc w:val="center"/>
              <w:rPr>
                <w:rFonts w:ascii="Times New Roman" w:hAnsi="Times New Roman" w:cs="Times New Roman" w:eastAsia="Times New Roman" w:hint="default"/>
                <w:sz w:val="18"/>
                <w:szCs w:val="18"/>
              </w:rPr>
            </w:pPr>
            <w:r>
              <w:rPr>
                <w:rFonts w:ascii="Times New Roman"/>
                <w:sz w:val="18"/>
              </w:rPr>
              <w:t>318,048,830.52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10,011,598.41</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38,467,502.57</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373,522,096.76</w:t>
            </w: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344,925.86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2,578,051.95</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5"/>
              <w:jc w:val="center"/>
              <w:rPr>
                <w:rFonts w:ascii="Times New Roman" w:hAnsi="Times New Roman" w:cs="Times New Roman" w:eastAsia="Times New Roman" w:hint="default"/>
                <w:sz w:val="18"/>
                <w:szCs w:val="18"/>
              </w:rPr>
            </w:pPr>
            <w:r>
              <w:rPr>
                <w:rFonts w:ascii="Times New Roman"/>
                <w:sz w:val="18"/>
              </w:rPr>
              <w:t>227,186,180.83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4,286,101.62</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1,684,497.43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236,079,757.69</w:t>
            </w:r>
          </w:p>
        </w:tc>
      </w:tr>
      <w:tr>
        <w:trPr>
          <w:trHeight w:val="401"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344,925.86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2,578,051.95</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5"/>
              <w:jc w:val="center"/>
              <w:rPr>
                <w:rFonts w:ascii="Times New Roman" w:hAnsi="Times New Roman" w:cs="Times New Roman" w:eastAsia="Times New Roman" w:hint="default"/>
                <w:sz w:val="18"/>
                <w:szCs w:val="18"/>
              </w:rPr>
            </w:pPr>
            <w:r>
              <w:rPr>
                <w:rFonts w:ascii="Times New Roman"/>
                <w:sz w:val="18"/>
              </w:rPr>
              <w:t>227,186,180.83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4,286,101.62</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1,684,497.43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236,079,757.69</w:t>
            </w: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6,776,167.65</w:t>
            </w: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6,776,167.65</w:t>
            </w:r>
          </w:p>
        </w:tc>
      </w:tr>
      <w:tr>
        <w:trPr>
          <w:trHeight w:val="401"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1,974,049.64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7,595,472.03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347,621.40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5"/>
              <w:jc w:val="center"/>
              <w:rPr>
                <w:rFonts w:ascii="Times New Roman" w:hAnsi="Times New Roman" w:cs="Times New Roman" w:eastAsia="Times New Roman" w:hint="default"/>
                <w:sz w:val="18"/>
                <w:szCs w:val="18"/>
              </w:rPr>
            </w:pPr>
            <w:r>
              <w:rPr>
                <w:rFonts w:ascii="Times New Roman"/>
                <w:spacing w:val="-1"/>
                <w:sz w:val="18"/>
              </w:rPr>
              <w:t>545,235,011.35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7,521,532.38</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40,152,000.00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602,825,686.80</w:t>
            </w: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5,373,550.85</w:t>
            </w: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5,373,550.85</w:t>
            </w: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5,373,550.85</w:t>
            </w: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5,373,550.85</w:t>
            </w:r>
          </w:p>
        </w:tc>
      </w:tr>
      <w:tr>
        <w:trPr>
          <w:trHeight w:val="401"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144" w:type="dxa"/>
            <w:tcBorders>
              <w:top w:val="single" w:sz="4" w:space="0" w:color="000000"/>
              <w:left w:val="single" w:sz="12" w:space="0" w:color="D2D2D2"/>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12,359,845.36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6,284,521.53</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5"/>
              <w:jc w:val="center"/>
              <w:rPr>
                <w:rFonts w:ascii="Times New Roman" w:hAnsi="Times New Roman" w:cs="Times New Roman" w:eastAsia="Times New Roman" w:hint="default"/>
                <w:sz w:val="18"/>
                <w:szCs w:val="18"/>
              </w:rPr>
            </w:pPr>
            <w:r>
              <w:rPr>
                <w:rFonts w:ascii="Times New Roman"/>
                <w:sz w:val="18"/>
              </w:rPr>
              <w:t>804,828,459.14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11,423,354.87</w:t>
            </w:r>
          </w:p>
        </w:tc>
        <w:tc>
          <w:tcPr>
            <w:tcW w:w="1141"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834,896,180.90</w:t>
            </w:r>
          </w:p>
        </w:tc>
      </w:tr>
      <w:tr>
        <w:trPr>
          <w:trHeight w:val="403" w:hRule="exact"/>
        </w:trPr>
        <w:tc>
          <w:tcPr>
            <w:tcW w:w="1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8"/>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14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12,704,771.22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8,862,573.48</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5"/>
              <w:jc w:val="center"/>
              <w:rPr>
                <w:rFonts w:ascii="Times New Roman" w:hAnsi="Times New Roman" w:cs="Times New Roman" w:eastAsia="Times New Roman" w:hint="default"/>
                <w:sz w:val="18"/>
                <w:szCs w:val="18"/>
              </w:rPr>
            </w:pPr>
            <w:r>
              <w:rPr>
                <w:rFonts w:ascii="Times New Roman"/>
                <w:sz w:val="18"/>
              </w:rPr>
              <w:t>691,615,262.32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25,503,728.84</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1,684,497.43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740,370,833.29</w:t>
            </w:r>
          </w:p>
        </w:tc>
      </w:tr>
    </w:tbl>
    <w:p>
      <w:pPr>
        <w:pStyle w:val="BodyText"/>
        <w:spacing w:line="240" w:lineRule="auto" w:before="49"/>
        <w:ind w:right="2602"/>
        <w:jc w:val="left"/>
      </w:pPr>
      <w:r>
        <w:rPr/>
        <w:t>本期末通过公司内部研发形成的无形资产占无形资产余额的比例。</w:t>
      </w:r>
    </w:p>
    <w:p>
      <w:pPr>
        <w:spacing w:line="240" w:lineRule="auto" w:before="0"/>
        <w:rPr>
          <w:rFonts w:ascii="宋体" w:hAnsi="宋体" w:cs="宋体" w:eastAsia="宋体" w:hint="default"/>
          <w:sz w:val="18"/>
          <w:szCs w:val="18"/>
        </w:rPr>
      </w:pPr>
    </w:p>
    <w:p>
      <w:pPr>
        <w:pStyle w:val="Heading3"/>
        <w:spacing w:line="506" w:lineRule="auto" w:before="118"/>
        <w:ind w:left="573" w:right="6974" w:hanging="421"/>
        <w:jc w:val="left"/>
        <w:rPr>
          <w:rFonts w:ascii="宋体" w:hAnsi="宋体" w:cs="宋体" w:eastAsia="宋体" w:hint="default"/>
          <w:b w:val="0"/>
          <w:bCs w:val="0"/>
        </w:rPr>
      </w:pPr>
      <w:bookmarkStart w:name="（2）未办妥产权证书的土地使用权情况" w:id="315"/>
      <w:bookmarkEnd w:id="315"/>
      <w:r>
        <w:rPr>
          <w:b w:val="0"/>
          <w:bCs w:val="0"/>
        </w:rPr>
      </w:r>
      <w:r>
        <w:rPr>
          <w:spacing w:val="-1"/>
        </w:rPr>
        <w:t>（</w:t>
      </w:r>
      <w:r>
        <w:rPr>
          <w:rFonts w:ascii="Times New Roman" w:hAnsi="Times New Roman" w:cs="Times New Roman" w:eastAsia="Times New Roman" w:hint="default"/>
          <w:spacing w:val="-1"/>
        </w:rPr>
        <w:t>2</w:t>
      </w:r>
      <w:r>
        <w:rPr>
          <w:spacing w:val="-1"/>
        </w:rPr>
        <w:t>）未办妥产权证书的土地使用权情况</w:t>
      </w:r>
      <w:r>
        <w:rPr>
          <w:spacing w:val="-88"/>
        </w:rPr>
        <w:t> </w:t>
      </w:r>
      <w:r>
        <w:rPr>
          <w:spacing w:val="-88"/>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27、开发支出" w:id="316"/>
      <w:bookmarkEnd w:id="316"/>
      <w:r>
        <w:rPr>
          <w:b w:val="0"/>
          <w:bCs w:val="0"/>
        </w:rPr>
      </w:r>
      <w:r>
        <w:rPr>
          <w:rFonts w:ascii="Times New Roman" w:hAnsi="Times New Roman" w:cs="Times New Roman" w:eastAsia="Times New Roman" w:hint="default"/>
        </w:rPr>
        <w:t>27</w:t>
      </w:r>
      <w:r>
        <w:rPr/>
        <w:t>、开发支出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pict>
          <v:group style="position:absolute;margin-left:170.419998pt;margin-top:82.967712pt;width:63.3pt;height:28.05pt;mso-position-horizontal-relative:page;mso-position-vertical-relative:paragraph;z-index:-1333312" coordorigin="3408,1659" coordsize="1266,561">
            <v:group style="position:absolute;left:3419;top:1670;width:2;height:394" coordorigin="3419,1670" coordsize="2,394">
              <v:shape style="position:absolute;left:3419;top:1670;width:2;height:394" coordorigin="3419,1670" coordsize="0,394" path="m3419,1670l3419,2064e" filled="false" stroked="true" strokeweight="1.08pt" strokecolor="#ffffff">
                <v:path arrowok="t"/>
              </v:shape>
            </v:group>
            <v:group style="position:absolute;left:3408;top:2064;width:1266;height:156" coordorigin="3408,2064" coordsize="1266,156">
              <v:shape style="position:absolute;left:3408;top:2064;width:1266;height:156" coordorigin="3408,2064" coordsize="1266,156" path="m3408,2220l4674,2220,4674,2064,3408,2064,3408,2220xe" filled="true" fillcolor="#ffffff" stroked="false">
                <v:path arrowok="t"/>
                <v:fill type="solid"/>
              </v:shape>
            </v:group>
            <v:group style="position:absolute;left:3430;top:1670;width:1220;height:394" coordorigin="3430,1670" coordsize="1220,394">
              <v:shape style="position:absolute;left:3430;top:1670;width:1220;height:394" coordorigin="3430,1670" coordsize="1220,394" path="m3430,2064l4650,2064,4650,1670,3430,1670,3430,2064xe" filled="true" fillcolor="#ffffff" stroked="false">
                <v:path arrowok="t"/>
                <v:fill type="solid"/>
              </v:shape>
            </v:group>
            <w10:wrap type="none"/>
          </v:group>
        </w:pict>
      </w: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256"/>
        <w:gridCol w:w="1277"/>
        <w:gridCol w:w="1274"/>
        <w:gridCol w:w="319"/>
        <w:gridCol w:w="119"/>
        <w:gridCol w:w="1264"/>
        <w:gridCol w:w="850"/>
        <w:gridCol w:w="983"/>
        <w:gridCol w:w="1213"/>
      </w:tblGrid>
      <w:tr>
        <w:trPr>
          <w:trHeight w:val="403" w:hRule="exact"/>
        </w:trPr>
        <w:tc>
          <w:tcPr>
            <w:tcW w:w="225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shd w:val="clear" w:color="auto" w:fill="D2D2D2"/>
          </w:tcPr>
          <w:p>
            <w:pPr/>
          </w:p>
        </w:tc>
        <w:tc>
          <w:tcPr>
            <w:tcW w:w="171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09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4"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21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61" w:hRule="exact"/>
        </w:trPr>
        <w:tc>
          <w:tcPr>
            <w:tcW w:w="225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12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7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274"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47" w:right="79"/>
              <w:jc w:val="left"/>
              <w:rPr>
                <w:rFonts w:ascii="宋体" w:hAnsi="宋体" w:cs="宋体" w:eastAsia="宋体" w:hint="default"/>
                <w:sz w:val="18"/>
                <w:szCs w:val="18"/>
              </w:rPr>
            </w:pPr>
            <w:r>
              <w:rPr>
                <w:rFonts w:ascii="宋体" w:hAnsi="宋体" w:cs="宋体" w:eastAsia="宋体" w:hint="default"/>
                <w:sz w:val="18"/>
                <w:szCs w:val="18"/>
              </w:rPr>
              <w:t>其 他</w:t>
            </w:r>
          </w:p>
        </w:tc>
        <w:tc>
          <w:tcPr>
            <w:tcW w:w="119"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4"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531" w:right="89" w:hanging="449"/>
              <w:jc w:val="left"/>
              <w:rPr>
                <w:rFonts w:ascii="宋体" w:hAnsi="宋体" w:cs="宋体" w:eastAsia="宋体" w:hint="default"/>
                <w:sz w:val="18"/>
                <w:szCs w:val="18"/>
              </w:rPr>
            </w:pPr>
            <w:r>
              <w:rPr>
                <w:rFonts w:ascii="宋体" w:hAnsi="宋体" w:cs="宋体" w:eastAsia="宋体" w:hint="default"/>
                <w:sz w:val="18"/>
                <w:szCs w:val="18"/>
              </w:rPr>
              <w:t>确认为无形资 产</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239" w:right="59" w:hanging="180"/>
              <w:jc w:val="left"/>
              <w:rPr>
                <w:rFonts w:ascii="宋体" w:hAnsi="宋体" w:cs="宋体" w:eastAsia="宋体" w:hint="default"/>
                <w:sz w:val="18"/>
                <w:szCs w:val="18"/>
              </w:rPr>
            </w:pPr>
            <w:r>
              <w:rPr>
                <w:rFonts w:ascii="宋体" w:hAnsi="宋体" w:cs="宋体" w:eastAsia="宋体" w:hint="default"/>
                <w:sz w:val="18"/>
                <w:szCs w:val="18"/>
              </w:rPr>
              <w:t>转入当期 损益</w:t>
            </w:r>
          </w:p>
        </w:tc>
        <w:tc>
          <w:tcPr>
            <w:tcW w:w="98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312" w:right="30" w:hanging="272"/>
              <w:jc w:val="left"/>
              <w:rPr>
                <w:rFonts w:ascii="宋体" w:hAnsi="宋体" w:cs="宋体" w:eastAsia="宋体" w:hint="default"/>
                <w:sz w:val="18"/>
                <w:szCs w:val="18"/>
              </w:rPr>
            </w:pPr>
            <w:r>
              <w:rPr>
                <w:rFonts w:ascii="宋体" w:hAnsi="宋体" w:cs="宋体" w:eastAsia="宋体" w:hint="default"/>
                <w:sz w:val="18"/>
                <w:szCs w:val="18"/>
              </w:rPr>
              <w:t>确认为固定 资产</w:t>
            </w:r>
          </w:p>
        </w:tc>
        <w:tc>
          <w:tcPr>
            <w:tcW w:w="12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4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0" w:hRule="exact"/>
        </w:trPr>
        <w:tc>
          <w:tcPr>
            <w:tcW w:w="2256" w:type="dxa"/>
            <w:vMerge/>
            <w:tcBorders>
              <w:left w:val="single" w:sz="4" w:space="0" w:color="000000"/>
              <w:bottom w:val="nil" w:sz="6" w:space="0" w:color="auto"/>
              <w:right w:val="single" w:sz="4" w:space="0" w:color="000000"/>
            </w:tcBorders>
            <w:shd w:val="clear" w:color="auto" w:fill="D2D2D2"/>
          </w:tcPr>
          <w:p>
            <w:pPr/>
          </w:p>
        </w:tc>
        <w:tc>
          <w:tcPr>
            <w:tcW w:w="1277" w:type="dxa"/>
            <w:vMerge/>
            <w:tcBorders>
              <w:left w:val="single" w:sz="4" w:space="0" w:color="000000"/>
              <w:bottom w:val="nil" w:sz="6" w:space="0" w:color="auto"/>
              <w:right w:val="single" w:sz="4" w:space="0" w:color="000000"/>
            </w:tcBorders>
            <w:shd w:val="clear" w:color="auto" w:fill="D2D2D2"/>
          </w:tcPr>
          <w:p>
            <w:pPr/>
          </w:p>
        </w:tc>
        <w:tc>
          <w:tcPr>
            <w:tcW w:w="12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93" w:right="0"/>
              <w:jc w:val="left"/>
              <w:rPr>
                <w:rFonts w:ascii="宋体" w:hAnsi="宋体" w:cs="宋体" w:eastAsia="宋体" w:hint="default"/>
                <w:sz w:val="18"/>
                <w:szCs w:val="18"/>
              </w:rPr>
            </w:pPr>
            <w:r>
              <w:rPr>
                <w:rFonts w:ascii="宋体" w:hAnsi="宋体" w:cs="宋体" w:eastAsia="宋体" w:hint="default"/>
                <w:sz w:val="18"/>
                <w:szCs w:val="18"/>
              </w:rPr>
              <w:t>内部开发支出</w:t>
            </w:r>
          </w:p>
        </w:tc>
        <w:tc>
          <w:tcPr>
            <w:tcW w:w="319" w:type="dxa"/>
            <w:vMerge/>
            <w:tcBorders>
              <w:left w:val="single" w:sz="4" w:space="0" w:color="000000"/>
              <w:right w:val="single" w:sz="4" w:space="0" w:color="000000"/>
            </w:tcBorders>
            <w:shd w:val="clear" w:color="auto" w:fill="D2D2D2"/>
          </w:tcPr>
          <w:p>
            <w:pPr/>
          </w:p>
        </w:tc>
        <w:tc>
          <w:tcPr>
            <w:tcW w:w="119" w:type="dxa"/>
            <w:vMerge w:val="restart"/>
            <w:tcBorders>
              <w:top w:val="nil" w:sz="6" w:space="0" w:color="auto"/>
              <w:left w:val="single" w:sz="4" w:space="0" w:color="000000"/>
              <w:right w:val="single" w:sz="4" w:space="0" w:color="000000"/>
            </w:tcBorders>
            <w:shd w:val="clear" w:color="auto" w:fill="D2D2D2"/>
          </w:tcPr>
          <w:p>
            <w:pPr/>
          </w:p>
        </w:tc>
        <w:tc>
          <w:tcPr>
            <w:tcW w:w="1264"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983" w:type="dxa"/>
            <w:vMerge/>
            <w:tcBorders>
              <w:left w:val="single" w:sz="4" w:space="0" w:color="000000"/>
              <w:right w:val="single" w:sz="4" w:space="0" w:color="000000"/>
            </w:tcBorders>
            <w:shd w:val="clear" w:color="auto" w:fill="D2D2D2"/>
          </w:tcPr>
          <w:p>
            <w:pPr/>
          </w:p>
        </w:tc>
        <w:tc>
          <w:tcPr>
            <w:tcW w:w="1213"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2256" w:type="dxa"/>
            <w:vMerge w:val="restart"/>
            <w:tcBorders>
              <w:top w:val="nil" w:sz="6" w:space="0" w:color="auto"/>
              <w:left w:val="single" w:sz="4" w:space="0" w:color="000000"/>
              <w:right w:val="single" w:sz="4" w:space="0" w:color="000000"/>
            </w:tcBorders>
            <w:shd w:val="clear" w:color="auto" w:fill="D2D2D2"/>
          </w:tcPr>
          <w:p>
            <w:pPr/>
          </w:p>
        </w:tc>
        <w:tc>
          <w:tcPr>
            <w:tcW w:w="1277" w:type="dxa"/>
            <w:vMerge w:val="restart"/>
            <w:tcBorders>
              <w:top w:val="nil" w:sz="6" w:space="0" w:color="auto"/>
              <w:left w:val="single" w:sz="4" w:space="0" w:color="000000"/>
              <w:right w:val="single" w:sz="4" w:space="0" w:color="000000"/>
            </w:tcBorders>
            <w:shd w:val="clear" w:color="auto" w:fill="D2D2D2"/>
          </w:tcPr>
          <w:p>
            <w:pPr/>
          </w:p>
        </w:tc>
        <w:tc>
          <w:tcPr>
            <w:tcW w:w="1274" w:type="dxa"/>
            <w:vMerge/>
            <w:tcBorders>
              <w:left w:val="single" w:sz="4" w:space="0" w:color="000000"/>
              <w:bottom w:val="nil" w:sz="6" w:space="0" w:color="auto"/>
              <w:right w:val="single" w:sz="4" w:space="0" w:color="000000"/>
            </w:tcBorders>
            <w:shd w:val="clear" w:color="auto" w:fill="D2D2D2"/>
          </w:tcPr>
          <w:p>
            <w:pPr/>
          </w:p>
        </w:tc>
        <w:tc>
          <w:tcPr>
            <w:tcW w:w="319" w:type="dxa"/>
            <w:vMerge/>
            <w:tcBorders>
              <w:left w:val="single" w:sz="4" w:space="0" w:color="000000"/>
              <w:right w:val="single" w:sz="4" w:space="0" w:color="000000"/>
            </w:tcBorders>
            <w:shd w:val="clear" w:color="auto" w:fill="D2D2D2"/>
          </w:tcPr>
          <w:p>
            <w:pPr/>
          </w:p>
        </w:tc>
        <w:tc>
          <w:tcPr>
            <w:tcW w:w="119" w:type="dxa"/>
            <w:vMerge/>
            <w:tcBorders>
              <w:left w:val="single" w:sz="4" w:space="0" w:color="000000"/>
              <w:right w:val="single" w:sz="4" w:space="0" w:color="000000"/>
            </w:tcBorders>
            <w:shd w:val="clear" w:color="auto" w:fill="D2D2D2"/>
          </w:tcPr>
          <w:p>
            <w:pPr/>
          </w:p>
        </w:tc>
        <w:tc>
          <w:tcPr>
            <w:tcW w:w="1264"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983" w:type="dxa"/>
            <w:vMerge/>
            <w:tcBorders>
              <w:left w:val="single" w:sz="4" w:space="0" w:color="000000"/>
              <w:right w:val="single" w:sz="4" w:space="0" w:color="000000"/>
            </w:tcBorders>
            <w:shd w:val="clear" w:color="auto" w:fill="D2D2D2"/>
          </w:tcPr>
          <w:p>
            <w:pPr/>
          </w:p>
        </w:tc>
        <w:tc>
          <w:tcPr>
            <w:tcW w:w="1213"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2256"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274"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 w:type="dxa"/>
            <w:vMerge/>
            <w:tcBorders>
              <w:left w:val="single" w:sz="4" w:space="0" w:color="000000"/>
              <w:bottom w:val="single" w:sz="4" w:space="0" w:color="000000"/>
              <w:right w:val="single" w:sz="4" w:space="0" w:color="000000"/>
            </w:tcBorders>
            <w:shd w:val="clear" w:color="auto" w:fill="D2D2D2"/>
          </w:tcPr>
          <w:p>
            <w:pPr/>
          </w:p>
        </w:tc>
        <w:tc>
          <w:tcPr>
            <w:tcW w:w="119" w:type="dxa"/>
            <w:vMerge/>
            <w:tcBorders>
              <w:left w:val="single" w:sz="4" w:space="0" w:color="000000"/>
              <w:bottom w:val="single" w:sz="4" w:space="0" w:color="000000"/>
              <w:right w:val="single" w:sz="4" w:space="0" w:color="000000"/>
            </w:tcBorders>
            <w:shd w:val="clear" w:color="auto" w:fill="D2D2D2"/>
          </w:tcPr>
          <w:p>
            <w:pPr/>
          </w:p>
        </w:tc>
        <w:tc>
          <w:tcPr>
            <w:tcW w:w="1264"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983" w:type="dxa"/>
            <w:vMerge/>
            <w:tcBorders>
              <w:left w:val="single" w:sz="4" w:space="0" w:color="000000"/>
              <w:bottom w:val="single" w:sz="4" w:space="0" w:color="000000"/>
              <w:right w:val="single" w:sz="4" w:space="0" w:color="000000"/>
            </w:tcBorders>
            <w:shd w:val="clear" w:color="auto" w:fill="D2D2D2"/>
          </w:tcPr>
          <w:p>
            <w:pPr/>
          </w:p>
        </w:tc>
        <w:tc>
          <w:tcPr>
            <w:tcW w:w="1213"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22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72"/>
              <w:jc w:val="left"/>
              <w:rPr>
                <w:rFonts w:ascii="Times New Roman" w:hAnsi="Times New Roman" w:cs="Times New Roman" w:eastAsia="Times New Roman" w:hint="default"/>
                <w:sz w:val="18"/>
                <w:szCs w:val="18"/>
              </w:rPr>
            </w:pPr>
            <w:r>
              <w:rPr>
                <w:rFonts w:ascii="宋体" w:hAnsi="宋体" w:cs="宋体" w:eastAsia="宋体" w:hint="default"/>
                <w:sz w:val="18"/>
                <w:szCs w:val="18"/>
              </w:rPr>
              <w:t>新一代智慧城市一体化平台 及应用系统建设项目（注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p>
        </w:tc>
        <w:tc>
          <w:tcPr>
            <w:tcW w:w="127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160" w:lineRule="exact"/>
              <w:ind w:left="111" w:right="0"/>
              <w:jc w:val="left"/>
              <w:rPr>
                <w:rFonts w:ascii="Times New Roman" w:hAnsi="Times New Roman" w:cs="Times New Roman" w:eastAsia="Times New Roman" w:hint="default"/>
                <w:sz w:val="18"/>
                <w:szCs w:val="18"/>
              </w:rPr>
            </w:pPr>
            <w:r>
              <w:rPr>
                <w:rFonts w:ascii="Times New Roman"/>
                <w:sz w:val="18"/>
              </w:rPr>
              <w:t>227,345,220.05</w:t>
            </w:r>
          </w:p>
          <w:p>
            <w:pPr>
              <w:pStyle w:val="TableParagraph"/>
              <w:spacing w:line="189" w:lineRule="exact"/>
              <w:ind w:left="-134" w:right="0"/>
              <w:jc w:val="lef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163,964,251.43</w:t>
            </w:r>
          </w:p>
        </w:tc>
        <w:tc>
          <w:tcPr>
            <w:tcW w:w="319" w:type="dxa"/>
            <w:tcBorders>
              <w:top w:val="single" w:sz="4" w:space="0" w:color="000000"/>
              <w:left w:val="single" w:sz="4" w:space="0" w:color="000000"/>
              <w:bottom w:val="single" w:sz="4" w:space="0" w:color="000000"/>
              <w:right w:val="single" w:sz="4" w:space="0" w:color="000000"/>
            </w:tcBorders>
          </w:tcPr>
          <w:p>
            <w:pPr/>
          </w:p>
        </w:tc>
        <w:tc>
          <w:tcPr>
            <w:tcW w:w="119" w:type="dxa"/>
            <w:tcBorders>
              <w:top w:val="single" w:sz="4" w:space="0" w:color="000000"/>
              <w:left w:val="single" w:sz="4" w:space="0" w:color="000000"/>
              <w:bottom w:val="single" w:sz="4" w:space="0" w:color="000000"/>
              <w:right w:val="single" w:sz="4" w:space="0" w:color="000000"/>
            </w:tcBorders>
          </w:tcPr>
          <w:p>
            <w:pP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6" w:right="0"/>
              <w:jc w:val="left"/>
              <w:rPr>
                <w:rFonts w:ascii="Times New Roman" w:hAnsi="Times New Roman" w:cs="Times New Roman" w:eastAsia="Times New Roman" w:hint="default"/>
                <w:sz w:val="18"/>
                <w:szCs w:val="18"/>
              </w:rPr>
            </w:pPr>
            <w:r>
              <w:rPr>
                <w:rFonts w:ascii="Times New Roman"/>
                <w:sz w:val="18"/>
              </w:rPr>
              <w:t>323,490,060.07</w:t>
            </w:r>
          </w:p>
        </w:tc>
        <w:tc>
          <w:tcPr>
            <w:tcW w:w="850" w:type="dxa"/>
            <w:tcBorders>
              <w:top w:val="single" w:sz="4" w:space="0" w:color="000000"/>
              <w:left w:val="single" w:sz="4" w:space="0" w:color="000000"/>
              <w:bottom w:val="single" w:sz="4" w:space="0" w:color="000000"/>
              <w:right w:val="single" w:sz="4" w:space="0" w:color="000000"/>
            </w:tcBorders>
          </w:tcPr>
          <w:p>
            <w:pPr/>
          </w:p>
        </w:tc>
        <w:tc>
          <w:tcPr>
            <w:tcW w:w="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67,819,411.</w:t>
            </w:r>
          </w:p>
          <w:p>
            <w:pPr>
              <w:pStyle w:val="TableParagraph"/>
              <w:spacing w:line="240" w:lineRule="auto" w:before="105"/>
              <w:ind w:right="8"/>
              <w:jc w:val="right"/>
              <w:rPr>
                <w:rFonts w:ascii="Times New Roman" w:hAnsi="Times New Roman" w:cs="Times New Roman" w:eastAsia="Times New Roman" w:hint="default"/>
                <w:sz w:val="18"/>
                <w:szCs w:val="18"/>
              </w:rPr>
            </w:pPr>
            <w:r>
              <w:rPr>
                <w:rFonts w:ascii="Times New Roman"/>
                <w:sz w:val="18"/>
              </w:rPr>
              <w:t>41</w:t>
            </w:r>
          </w:p>
        </w:tc>
        <w:tc>
          <w:tcPr>
            <w:tcW w:w="121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r>
        <w:rPr/>
        <w:pict>
          <v:group style="position:absolute;margin-left:170.419998pt;margin-top:79.735985pt;width:63.3pt;height:27.95pt;mso-position-horizontal-relative:page;mso-position-vertical-relative:page;z-index:-1333288" coordorigin="3408,1595" coordsize="1266,559">
            <v:group style="position:absolute;left:3419;top:1606;width:2;height:392" coordorigin="3419,1606" coordsize="2,392">
              <v:shape style="position:absolute;left:3419;top:1606;width:2;height:392" coordorigin="3419,1606" coordsize="0,392" path="m3419,1606l3419,1997e" filled="false" stroked="true" strokeweight="1.08pt" strokecolor="#ffffff">
                <v:path arrowok="t"/>
              </v:shape>
            </v:group>
            <v:group style="position:absolute;left:3408;top:1997;width:1266;height:156" coordorigin="3408,1997" coordsize="1266,156">
              <v:shape style="position:absolute;left:3408;top:1997;width:1266;height:156" coordorigin="3408,1997" coordsize="1266,156" path="m3408,2153l4674,2153,4674,1997,3408,1997,3408,2153xe" filled="true" fillcolor="#ffffff" stroked="false">
                <v:path arrowok="t"/>
                <v:fill type="solid"/>
              </v:shape>
            </v:group>
            <v:group style="position:absolute;left:3430;top:1606;width:1220;height:392" coordorigin="3430,1606" coordsize="1220,392">
              <v:shape style="position:absolute;left:3430;top:1606;width:1220;height:392" coordorigin="3430,1606" coordsize="1220,392" path="m3430,1997l4650,1997,4650,1606,3430,1606,3430,1997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2267"/>
        <w:gridCol w:w="1277"/>
        <w:gridCol w:w="1274"/>
        <w:gridCol w:w="283"/>
        <w:gridCol w:w="142"/>
        <w:gridCol w:w="1277"/>
        <w:gridCol w:w="850"/>
        <w:gridCol w:w="994"/>
        <w:gridCol w:w="1202"/>
      </w:tblGrid>
      <w:tr>
        <w:trPr>
          <w:trHeight w:val="713" w:hRule="exact"/>
        </w:trPr>
        <w:tc>
          <w:tcPr>
            <w:tcW w:w="2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新一代智慧医疗一体化</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HIS</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服务平台及应用系统（注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160" w:lineRule="exact"/>
              <w:ind w:left="208" w:right="0"/>
              <w:jc w:val="left"/>
              <w:rPr>
                <w:rFonts w:ascii="Times New Roman" w:hAnsi="Times New Roman" w:cs="Times New Roman" w:eastAsia="Times New Roman" w:hint="default"/>
                <w:sz w:val="18"/>
                <w:szCs w:val="18"/>
              </w:rPr>
            </w:pPr>
            <w:r>
              <w:rPr>
                <w:rFonts w:ascii="Times New Roman"/>
                <w:sz w:val="18"/>
              </w:rPr>
              <w:t>19,432,330.81</w:t>
            </w:r>
          </w:p>
          <w:p>
            <w:pPr>
              <w:pStyle w:val="TableParagraph"/>
              <w:spacing w:line="189" w:lineRule="exact"/>
              <w:ind w:left="-128" w:right="0"/>
              <w:jc w:val="left"/>
              <w:rPr>
                <w:rFonts w:ascii="宋体" w:hAnsi="宋体" w:cs="宋体" w:eastAsia="宋体" w:hint="default"/>
                <w:sz w:val="18"/>
                <w:szCs w:val="18"/>
              </w:rPr>
            </w:pP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118,877,303.22</w:t>
            </w:r>
          </w:p>
        </w:tc>
        <w:tc>
          <w:tcPr>
            <w:tcW w:w="283" w:type="dxa"/>
            <w:tcBorders>
              <w:top w:val="single" w:sz="4" w:space="0" w:color="000000"/>
              <w:left w:val="single" w:sz="4" w:space="0" w:color="000000"/>
              <w:bottom w:val="single" w:sz="4" w:space="0" w:color="000000"/>
              <w:right w:val="single" w:sz="4" w:space="0" w:color="000000"/>
            </w:tcBorders>
          </w:tcPr>
          <w:p>
            <w:pPr/>
          </w:p>
        </w:tc>
        <w:tc>
          <w:tcPr>
            <w:tcW w:w="14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138,309,634.03</w:t>
            </w:r>
          </w:p>
        </w:tc>
      </w:tr>
      <w:tr>
        <w:trPr>
          <w:trHeight w:val="715" w:hRule="exact"/>
        </w:trPr>
        <w:tc>
          <w:tcPr>
            <w:tcW w:w="2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智慧养老综合服务平台及其 智能物联云平台（注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10,941,125.02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82,258,</w:t>
            </w:r>
            <w:r>
              <w:rPr>
                <w:rFonts w:ascii="Times New Roman"/>
                <w:spacing w:val="-4"/>
                <w:sz w:val="18"/>
              </w:rPr>
              <w:t> </w:t>
            </w:r>
            <w:r>
              <w:rPr>
                <w:rFonts w:ascii="Times New Roman"/>
                <w:sz w:val="18"/>
              </w:rPr>
              <w:t>498.04</w:t>
            </w:r>
          </w:p>
        </w:tc>
        <w:tc>
          <w:tcPr>
            <w:tcW w:w="283" w:type="dxa"/>
            <w:tcBorders>
              <w:top w:val="single" w:sz="4" w:space="0" w:color="000000"/>
              <w:left w:val="single" w:sz="4" w:space="0" w:color="000000"/>
              <w:bottom w:val="single" w:sz="4" w:space="0" w:color="000000"/>
              <w:right w:val="single" w:sz="4" w:space="0" w:color="000000"/>
            </w:tcBorders>
          </w:tcPr>
          <w:p>
            <w:pPr/>
          </w:p>
        </w:tc>
        <w:tc>
          <w:tcPr>
            <w:tcW w:w="14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93,199,623.06</w:t>
            </w:r>
          </w:p>
        </w:tc>
      </w:tr>
      <w:tr>
        <w:trPr>
          <w:trHeight w:val="713" w:hRule="exact"/>
        </w:trPr>
        <w:tc>
          <w:tcPr>
            <w:tcW w:w="2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零星开发项目支出</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2,075,660.33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27,873,510.59</w:t>
            </w:r>
          </w:p>
        </w:tc>
        <w:tc>
          <w:tcPr>
            <w:tcW w:w="283" w:type="dxa"/>
            <w:tcBorders>
              <w:top w:val="single" w:sz="4" w:space="0" w:color="000000"/>
              <w:left w:val="single" w:sz="4" w:space="0" w:color="000000"/>
              <w:bottom w:val="single" w:sz="4" w:space="0" w:color="000000"/>
              <w:right w:val="single" w:sz="4" w:space="0" w:color="000000"/>
            </w:tcBorders>
          </w:tcPr>
          <w:p>
            <w:pPr/>
          </w:p>
        </w:tc>
        <w:tc>
          <w:tcPr>
            <w:tcW w:w="14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center"/>
              <w:rPr>
                <w:rFonts w:ascii="Times New Roman" w:hAnsi="Times New Roman" w:cs="Times New Roman" w:eastAsia="Times New Roman" w:hint="default"/>
                <w:sz w:val="18"/>
                <w:szCs w:val="18"/>
              </w:rPr>
            </w:pPr>
            <w:r>
              <w:rPr>
                <w:rFonts w:ascii="Times New Roman"/>
                <w:sz w:val="18"/>
              </w:rPr>
              <w:t>16,909,317.58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3,179,551.</w:t>
            </w:r>
          </w:p>
          <w:p>
            <w:pPr>
              <w:pStyle w:val="TableParagraph"/>
              <w:spacing w:line="240" w:lineRule="auto" w:before="105"/>
              <w:ind w:right="24"/>
              <w:jc w:val="right"/>
              <w:rPr>
                <w:rFonts w:ascii="Times New Roman" w:hAnsi="Times New Roman" w:cs="Times New Roman" w:eastAsia="Times New Roman" w:hint="default"/>
                <w:sz w:val="18"/>
                <w:szCs w:val="18"/>
              </w:rPr>
            </w:pPr>
            <w:r>
              <w:rPr>
                <w:rFonts w:ascii="Times New Roman"/>
                <w:spacing w:val="-6"/>
                <w:w w:val="95"/>
                <w:sz w:val="18"/>
              </w:rPr>
              <w:t>11</w:t>
            </w:r>
            <w:r>
              <w:rPr>
                <w:rFonts w:ascii="Times New Roman"/>
                <w:w w:val="95"/>
                <w:sz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9,860,674.29</w:t>
            </w:r>
          </w:p>
        </w:tc>
      </w:tr>
      <w:tr>
        <w:trPr>
          <w:trHeight w:val="715" w:hRule="exact"/>
        </w:trPr>
        <w:tc>
          <w:tcPr>
            <w:tcW w:w="2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259,794,336.21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392,973,563.28</w:t>
            </w:r>
          </w:p>
        </w:tc>
        <w:tc>
          <w:tcPr>
            <w:tcW w:w="283" w:type="dxa"/>
            <w:tcBorders>
              <w:top w:val="single" w:sz="4" w:space="0" w:color="000000"/>
              <w:left w:val="single" w:sz="4" w:space="0" w:color="000000"/>
              <w:bottom w:val="single" w:sz="4" w:space="0" w:color="000000"/>
              <w:right w:val="single" w:sz="4" w:space="0" w:color="000000"/>
            </w:tcBorders>
          </w:tcPr>
          <w:p>
            <w:pPr/>
          </w:p>
        </w:tc>
        <w:tc>
          <w:tcPr>
            <w:tcW w:w="142"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8" w:right="0"/>
              <w:jc w:val="center"/>
              <w:rPr>
                <w:rFonts w:ascii="Times New Roman" w:hAnsi="Times New Roman" w:cs="Times New Roman" w:eastAsia="Times New Roman" w:hint="default"/>
                <w:sz w:val="18"/>
                <w:szCs w:val="18"/>
              </w:rPr>
            </w:pPr>
            <w:r>
              <w:rPr>
                <w:rFonts w:ascii="Times New Roman"/>
                <w:sz w:val="18"/>
              </w:rPr>
              <w:t>340,399,005.59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3,179,551.</w:t>
            </w:r>
          </w:p>
          <w:p>
            <w:pPr>
              <w:pStyle w:val="TableParagraph"/>
              <w:spacing w:line="240" w:lineRule="auto" w:before="102"/>
              <w:ind w:right="24"/>
              <w:jc w:val="right"/>
              <w:rPr>
                <w:rFonts w:ascii="Times New Roman" w:hAnsi="Times New Roman" w:cs="Times New Roman" w:eastAsia="Times New Roman" w:hint="default"/>
                <w:sz w:val="18"/>
                <w:szCs w:val="18"/>
              </w:rPr>
            </w:pPr>
            <w:r>
              <w:rPr>
                <w:rFonts w:ascii="Times New Roman"/>
                <w:spacing w:val="-6"/>
                <w:w w:val="95"/>
                <w:sz w:val="18"/>
              </w:rPr>
              <w:t>11</w:t>
            </w:r>
            <w:r>
              <w:rPr>
                <w:rFonts w:ascii="Times New Roman"/>
                <w:w w:val="95"/>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67,819,411.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41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241,369,931.38</w:t>
            </w:r>
          </w:p>
        </w:tc>
      </w:tr>
    </w:tbl>
    <w:p>
      <w:pPr>
        <w:pStyle w:val="BodyText"/>
        <w:spacing w:line="240" w:lineRule="auto" w:before="49"/>
        <w:ind w:right="0"/>
        <w:jc w:val="both"/>
      </w:pPr>
      <w:r>
        <w:rPr/>
        <w:t>其他说明</w:t>
      </w:r>
    </w:p>
    <w:p>
      <w:pPr>
        <w:pStyle w:val="Heading4"/>
        <w:spacing w:line="256" w:lineRule="auto" w:before="94"/>
        <w:ind w:left="573" w:right="0" w:firstLine="2"/>
        <w:jc w:val="left"/>
      </w:pPr>
      <w:r>
        <w:rPr>
          <w:rFonts w:ascii="宋体" w:hAnsi="宋体" w:cs="宋体" w:eastAsia="宋体" w:hint="default"/>
          <w:b/>
          <w:bCs/>
        </w:rPr>
        <w:t>注</w:t>
      </w:r>
      <w:r>
        <w:rPr>
          <w:rFonts w:ascii="Times New Roman" w:hAnsi="Times New Roman" w:cs="Times New Roman" w:eastAsia="Times New Roman" w:hint="default"/>
          <w:b/>
          <w:bCs/>
        </w:rPr>
        <w:t>1</w:t>
      </w:r>
      <w:r>
        <w:rPr>
          <w:rFonts w:ascii="宋体" w:hAnsi="宋体" w:cs="宋体" w:eastAsia="宋体" w:hint="default"/>
          <w:b/>
          <w:bCs/>
        </w:rPr>
        <w:t>：</w:t>
      </w:r>
      <w:r>
        <w:rPr/>
        <w:t>新一代智慧城市一体化平台及应用系统建设项目情况说明</w:t>
      </w:r>
      <w:r>
        <w:rPr>
          <w:w w:val="100"/>
        </w:rPr>
        <w:t> </w:t>
      </w:r>
      <w:r>
        <w:rPr>
          <w:spacing w:val="-7"/>
          <w:w w:val="100"/>
        </w:rPr>
        <w:t>本项目建设内容为：（一）基于智慧城市总体解决方案，研发新一代智慧城市一体化平台及应用系统，</w:t>
      </w:r>
    </w:p>
    <w:p>
      <w:pPr>
        <w:pStyle w:val="Heading4"/>
        <w:spacing w:line="261" w:lineRule="auto" w:before="23"/>
        <w:ind w:right="1127"/>
        <w:jc w:val="both"/>
      </w:pPr>
      <w:r>
        <w:rPr>
          <w:spacing w:val="-2"/>
        </w:rPr>
        <w:t>重点包括城市一体化信息平台（</w:t>
      </w:r>
      <w:r>
        <w:rPr>
          <w:rFonts w:ascii="Times New Roman" w:hAnsi="Times New Roman" w:cs="Times New Roman" w:eastAsia="Times New Roman" w:hint="default"/>
          <w:spacing w:val="-2"/>
        </w:rPr>
        <w:t>iGWIM</w:t>
      </w:r>
      <w:r>
        <w:rPr>
          <w:spacing w:val="-2"/>
        </w:rPr>
        <w:t>）、智慧城市云平台（</w:t>
      </w:r>
      <w:r>
        <w:rPr>
          <w:rFonts w:ascii="Times New Roman" w:hAnsi="Times New Roman" w:cs="Times New Roman" w:eastAsia="Times New Roman" w:hint="default"/>
          <w:spacing w:val="-2"/>
        </w:rPr>
        <w:t>iCP</w:t>
      </w:r>
      <w:r>
        <w:rPr>
          <w:spacing w:val="-2"/>
        </w:rPr>
        <w:t>）、智慧城市大数据平台（</w:t>
      </w:r>
      <w:r>
        <w:rPr>
          <w:rFonts w:ascii="Times New Roman" w:hAnsi="Times New Roman" w:cs="Times New Roman" w:eastAsia="Times New Roman" w:hint="default"/>
          <w:spacing w:val="-2"/>
        </w:rPr>
        <w:t>iBDP</w:t>
      </w:r>
      <w:r>
        <w:rPr>
          <w:spacing w:val="-2"/>
        </w:rPr>
        <w:t>）、城</w:t>
      </w:r>
      <w:r>
        <w:rPr>
          <w:spacing w:val="-17"/>
        </w:rPr>
        <w:t> </w:t>
      </w:r>
      <w:r>
        <w:rPr>
          <w:spacing w:val="-3"/>
        </w:rPr>
        <w:t>市智能运行中心系统（</w:t>
      </w:r>
      <w:r>
        <w:rPr>
          <w:rFonts w:ascii="Times New Roman" w:hAnsi="Times New Roman" w:cs="Times New Roman" w:eastAsia="Times New Roman" w:hint="default"/>
          <w:spacing w:val="-3"/>
        </w:rPr>
        <w:t>IOC</w:t>
      </w:r>
      <w:r>
        <w:rPr>
          <w:spacing w:val="-3"/>
        </w:rPr>
        <w:t>）、政务云协同应用系统（</w:t>
      </w:r>
      <w:r>
        <w:rPr>
          <w:rFonts w:ascii="Times New Roman" w:hAnsi="Times New Roman" w:cs="Times New Roman" w:eastAsia="Times New Roman" w:hint="default"/>
          <w:spacing w:val="-3"/>
        </w:rPr>
        <w:t>iGOV</w:t>
      </w:r>
      <w:r>
        <w:rPr>
          <w:spacing w:val="-3"/>
        </w:rPr>
        <w:t>）、市民云服务系统（</w:t>
      </w:r>
      <w:r>
        <w:rPr>
          <w:rFonts w:ascii="Times New Roman" w:hAnsi="Times New Roman" w:cs="Times New Roman" w:eastAsia="Times New Roman" w:hint="default"/>
          <w:spacing w:val="-3"/>
        </w:rPr>
        <w:t>iCity</w:t>
      </w:r>
      <w:r>
        <w:rPr>
          <w:spacing w:val="-3"/>
        </w:rPr>
        <w:t>）六个重点软件产</w:t>
      </w:r>
      <w:r>
        <w:rPr>
          <w:spacing w:val="-26"/>
        </w:rPr>
        <w:t> </w:t>
      </w:r>
      <w:r>
        <w:rPr>
          <w:spacing w:val="-26"/>
        </w:rPr>
      </w:r>
      <w:r>
        <w:rPr/>
        <w:t>品，支持在各城市以城市私有云建设、</w:t>
      </w:r>
      <w:r>
        <w:rPr>
          <w:rFonts w:ascii="Times New Roman" w:hAnsi="Times New Roman" w:cs="Times New Roman" w:eastAsia="Times New Roman" w:hint="default"/>
        </w:rPr>
        <w:t>PPP</w:t>
      </w:r>
      <w:r>
        <w:rPr/>
        <w:t>合作模式与租赁在线运营服务等多种模式落地；（二）购置软</w:t>
      </w:r>
      <w:r>
        <w:rPr>
          <w:spacing w:val="-54"/>
        </w:rPr>
        <w:t> </w:t>
      </w:r>
      <w:r>
        <w:rPr>
          <w:spacing w:val="-54"/>
        </w:rPr>
      </w:r>
      <w:r>
        <w:rPr>
          <w:spacing w:val="-2"/>
        </w:rPr>
        <w:t>硬件设备，建设上海云计算中心、上海云计算副中心、成都云计算中心，支撑新一代智慧城市一体化平台</w:t>
      </w:r>
      <w:r>
        <w:rPr>
          <w:spacing w:val="-47"/>
        </w:rPr>
        <w:t> </w:t>
      </w:r>
      <w:r>
        <w:rPr>
          <w:spacing w:val="-47"/>
        </w:rPr>
      </w:r>
      <w:r>
        <w:rPr/>
        <w:t>及应用系统，提供云服务。</w:t>
      </w:r>
    </w:p>
    <w:p>
      <w:pPr>
        <w:pStyle w:val="Heading4"/>
        <w:spacing w:line="266" w:lineRule="auto" w:before="18"/>
        <w:ind w:right="1126" w:firstLine="420"/>
        <w:jc w:val="both"/>
      </w:pPr>
      <w:r>
        <w:rPr>
          <w:spacing w:val="-2"/>
        </w:rPr>
        <w:t>本项目将依托公司目前所拥有的相关领域的核心技术和成功经验，进行自主研发和集成创新，在行业</w:t>
      </w:r>
      <w:r>
        <w:rPr>
          <w:w w:val="100"/>
        </w:rPr>
        <w:t> </w:t>
      </w:r>
      <w:r>
        <w:rPr>
          <w:spacing w:val="-2"/>
        </w:rPr>
        <w:t>基础系统的软件开发与系统集成业务基础上，加大投入基于云计算模式的在线服务，建设城市级的云中心</w:t>
      </w:r>
      <w:r>
        <w:rPr>
          <w:spacing w:val="-43"/>
        </w:rPr>
        <w:t> </w:t>
      </w:r>
      <w:r>
        <w:rPr>
          <w:spacing w:val="-43"/>
        </w:rPr>
      </w:r>
      <w:r>
        <w:rPr>
          <w:spacing w:val="-2"/>
        </w:rPr>
        <w:t>和云端应用，云中心主要建设城市一体化信息平台、城市云平台和城市大数据平台，云端应用包括以市民</w:t>
      </w:r>
      <w:r>
        <w:rPr>
          <w:spacing w:val="-43"/>
        </w:rPr>
        <w:t> </w:t>
      </w:r>
      <w:r>
        <w:rPr>
          <w:spacing w:val="-43"/>
        </w:rPr>
      </w:r>
      <w:r>
        <w:rPr>
          <w:spacing w:val="-2"/>
        </w:rPr>
        <w:t>为中心的市民云服务系统、面向行政管理与服务的政务云协同应用系统和面向社会治理的城市智能运行中</w:t>
      </w:r>
      <w:r>
        <w:rPr>
          <w:spacing w:val="-43"/>
        </w:rPr>
        <w:t> </w:t>
      </w:r>
      <w:r>
        <w:rPr>
          <w:spacing w:val="-43"/>
        </w:rPr>
      </w:r>
      <w:r>
        <w:rPr>
          <w:spacing w:val="-1"/>
        </w:rPr>
        <w:t>心系统，逐步消除</w:t>
      </w:r>
      <w:r>
        <w:rPr>
          <w:rFonts w:ascii="Times New Roman" w:hAnsi="Times New Roman" w:cs="Times New Roman" w:eastAsia="Times New Roman" w:hint="default"/>
          <w:spacing w:val="-1"/>
        </w:rPr>
        <w:t>“</w:t>
      </w:r>
      <w:r>
        <w:rPr>
          <w:spacing w:val="-1"/>
        </w:rPr>
        <w:t>数据孤岛</w:t>
      </w:r>
      <w:r>
        <w:rPr>
          <w:rFonts w:ascii="Times New Roman" w:hAnsi="Times New Roman" w:cs="Times New Roman" w:eastAsia="Times New Roman" w:hint="default"/>
          <w:spacing w:val="-1"/>
        </w:rPr>
        <w:t>”</w:t>
      </w:r>
      <w:r>
        <w:rPr>
          <w:spacing w:val="-1"/>
        </w:rPr>
        <w:t>和</w:t>
      </w:r>
      <w:r>
        <w:rPr>
          <w:rFonts w:ascii="Times New Roman" w:hAnsi="Times New Roman" w:cs="Times New Roman" w:eastAsia="Times New Roman" w:hint="default"/>
          <w:spacing w:val="-1"/>
        </w:rPr>
        <w:t>“</w:t>
      </w:r>
      <w:r>
        <w:rPr>
          <w:spacing w:val="-1"/>
        </w:rPr>
        <w:t>行业烟囱</w:t>
      </w:r>
      <w:r>
        <w:rPr>
          <w:rFonts w:ascii="Times New Roman" w:hAnsi="Times New Roman" w:cs="Times New Roman" w:eastAsia="Times New Roman" w:hint="default"/>
          <w:spacing w:val="-1"/>
        </w:rPr>
        <w:t>”</w:t>
      </w:r>
      <w:r>
        <w:rPr>
          <w:spacing w:val="-1"/>
        </w:rPr>
        <w:t>现象，实现信息共享融通。公司业务模式也将在信息化项目服</w:t>
      </w:r>
      <w:r>
        <w:rPr>
          <w:spacing w:val="-41"/>
        </w:rPr>
        <w:t> </w:t>
      </w:r>
      <w:r>
        <w:rPr>
          <w:spacing w:val="-41"/>
        </w:rPr>
      </w:r>
      <w:r>
        <w:rPr>
          <w:spacing w:val="-5"/>
        </w:rPr>
        <w:t>务的基础上，扩展云服务模式的公共服务运营业务，包括部署于当地的智慧城市私有云运营服务、基于</w:t>
      </w:r>
      <w:r>
        <w:rPr>
          <w:rFonts w:ascii="Times New Roman" w:hAnsi="Times New Roman" w:cs="Times New Roman" w:eastAsia="Times New Roman" w:hint="default"/>
          <w:spacing w:val="-5"/>
        </w:rPr>
        <w:t>PPP</w:t>
      </w:r>
      <w:r>
        <w:rPr>
          <w:rFonts w:ascii="Times New Roman" w:hAnsi="Times New Roman" w:cs="Times New Roman" w:eastAsia="Times New Roman" w:hint="default"/>
          <w:spacing w:val="14"/>
        </w:rPr>
        <w:t> </w:t>
      </w:r>
      <w:r>
        <w:rPr/>
        <w:t>模式的联合运营服务以及部署于上海及成都的智慧城市公有云运营服务。</w:t>
      </w:r>
    </w:p>
    <w:p>
      <w:pPr>
        <w:pStyle w:val="Heading4"/>
        <w:spacing w:line="256" w:lineRule="auto" w:before="14"/>
        <w:ind w:left="573" w:right="0" w:firstLine="2"/>
        <w:jc w:val="left"/>
      </w:pPr>
      <w:r>
        <w:rPr>
          <w:rFonts w:ascii="宋体" w:hAnsi="宋体" w:cs="宋体" w:eastAsia="宋体" w:hint="default"/>
          <w:b/>
          <w:bCs/>
        </w:rPr>
        <w:t>注</w:t>
      </w:r>
      <w:r>
        <w:rPr>
          <w:rFonts w:ascii="Times New Roman" w:hAnsi="Times New Roman" w:cs="Times New Roman" w:eastAsia="Times New Roman" w:hint="default"/>
          <w:b/>
          <w:bCs/>
        </w:rPr>
        <w:t>2</w:t>
      </w:r>
      <w:r>
        <w:rPr>
          <w:rFonts w:ascii="宋体" w:hAnsi="宋体" w:cs="宋体" w:eastAsia="宋体" w:hint="default"/>
          <w:b/>
          <w:bCs/>
        </w:rPr>
        <w:t>：</w:t>
      </w:r>
      <w:r>
        <w:rPr/>
        <w:t>新一代智慧医疗一体化</w:t>
      </w:r>
      <w:r>
        <w:rPr>
          <w:rFonts w:ascii="Times New Roman" w:hAnsi="Times New Roman" w:cs="Times New Roman" w:eastAsia="Times New Roman" w:hint="default"/>
        </w:rPr>
        <w:t>HIS</w:t>
      </w:r>
      <w:r>
        <w:rPr/>
        <w:t>服务平台及应用系统情况说明</w:t>
      </w:r>
      <w:r>
        <w:rPr>
          <w:w w:val="100"/>
        </w:rPr>
        <w:t> </w:t>
      </w:r>
      <w:r>
        <w:rPr/>
        <w:t>本项目建设内容为：基于智慧医疗总体解决方案，研发新一代智慧医疗一体化</w:t>
      </w:r>
      <w:r>
        <w:rPr>
          <w:rFonts w:ascii="Times New Roman" w:hAnsi="Times New Roman" w:cs="Times New Roman" w:eastAsia="Times New Roman" w:hint="default"/>
        </w:rPr>
        <w:t>HIS</w:t>
      </w:r>
      <w:r>
        <w:rPr/>
        <w:t>服务平台及应用系</w:t>
      </w:r>
    </w:p>
    <w:p>
      <w:pPr>
        <w:pStyle w:val="Heading4"/>
        <w:spacing w:line="273" w:lineRule="auto" w:before="5"/>
        <w:ind w:right="1126"/>
        <w:jc w:val="both"/>
      </w:pPr>
      <w:r>
        <w:rPr>
          <w:spacing w:val="-2"/>
        </w:rPr>
        <w:t>统，重点包含智慧医疗云诊所服务平台、智慧医疗云社区服务平台、智慧医疗云医院信息平台和智慧医疗</w:t>
      </w:r>
      <w:r>
        <w:rPr>
          <w:spacing w:val="-44"/>
        </w:rPr>
        <w:t> </w:t>
      </w:r>
      <w:r>
        <w:rPr>
          <w:spacing w:val="-44"/>
        </w:rPr>
      </w:r>
      <w:r>
        <w:rPr>
          <w:spacing w:val="-2"/>
        </w:rPr>
        <w:t>云协同服务平台等四个服务平台。同时，建设一主一辅两个智慧医疗云计算中心，支撑前述四个服务平台</w:t>
      </w:r>
      <w:r>
        <w:rPr>
          <w:spacing w:val="-44"/>
        </w:rPr>
        <w:t> </w:t>
      </w:r>
      <w:r>
        <w:rPr>
          <w:spacing w:val="-44"/>
        </w:rPr>
      </w:r>
      <w:r>
        <w:rPr/>
        <w:t>的相关应用。</w:t>
      </w:r>
    </w:p>
    <w:p>
      <w:pPr>
        <w:pStyle w:val="Heading4"/>
        <w:spacing w:line="273" w:lineRule="auto"/>
        <w:ind w:right="1126" w:firstLine="420"/>
        <w:jc w:val="both"/>
      </w:pPr>
      <w:r>
        <w:rPr>
          <w:spacing w:val="-3"/>
        </w:rPr>
        <w:t>公司拟借助移动互联网、大数据与云计算等技术，构建一个标准化、智能化、系统化的立体式医疗信</w:t>
      </w:r>
      <w:r>
        <w:rPr>
          <w:w w:val="100"/>
        </w:rPr>
        <w:t> </w:t>
      </w:r>
      <w:r>
        <w:rPr>
          <w:spacing w:val="-2"/>
        </w:rPr>
        <w:t>息化生态系统，以实现线上线下服务一体化以及医前、医中、医后服务一体化的双闭环以及不同医疗机构</w:t>
      </w:r>
      <w:r>
        <w:rPr>
          <w:spacing w:val="-44"/>
        </w:rPr>
        <w:t> </w:t>
      </w:r>
      <w:r>
        <w:rPr>
          <w:spacing w:val="-44"/>
        </w:rPr>
      </w:r>
      <w:r>
        <w:rPr/>
        <w:t>的信息互联互通。</w:t>
      </w:r>
    </w:p>
    <w:p>
      <w:pPr>
        <w:pStyle w:val="Heading4"/>
        <w:spacing w:line="266" w:lineRule="auto"/>
        <w:ind w:right="1126" w:firstLine="420"/>
        <w:jc w:val="both"/>
      </w:pPr>
      <w:r>
        <w:rPr/>
        <w:t>公司拟建设的新一代智慧医疗一体化</w:t>
      </w:r>
      <w:r>
        <w:rPr>
          <w:rFonts w:ascii="Times New Roman" w:hAnsi="Times New Roman" w:cs="Times New Roman" w:eastAsia="Times New Roman" w:hint="default"/>
        </w:rPr>
        <w:t>HIS</w:t>
      </w:r>
      <w:r>
        <w:rPr/>
        <w:t>服务平台及应用系统项目在系统构架、功能性、信息互联互</w:t>
      </w:r>
      <w:r>
        <w:rPr>
          <w:w w:val="100"/>
        </w:rPr>
        <w:t> </w:t>
      </w:r>
      <w:r>
        <w:rPr/>
        <w:t>通等方面有显著的优势。在系统构架方面，新一代智慧医疗一体化</w:t>
      </w:r>
      <w:r>
        <w:rPr>
          <w:rFonts w:ascii="Times New Roman" w:hAnsi="Times New Roman" w:cs="Times New Roman" w:eastAsia="Times New Roman" w:hint="default"/>
        </w:rPr>
        <w:t>HIS</w:t>
      </w:r>
      <w:r>
        <w:rPr/>
        <w:t>系统具有更强的兼容开放性，模块</w:t>
      </w:r>
      <w:r>
        <w:rPr>
          <w:spacing w:val="-45"/>
        </w:rPr>
        <w:t> </w:t>
      </w:r>
      <w:r>
        <w:rPr>
          <w:spacing w:val="-45"/>
        </w:rPr>
      </w:r>
      <w:r>
        <w:rPr/>
        <w:t>扩展性强，能接入基于新语言与新技术的软件与应用；在功能上，新一代智慧医疗一体化</w:t>
      </w:r>
      <w:r>
        <w:rPr>
          <w:rFonts w:ascii="Times New Roman" w:hAnsi="Times New Roman" w:cs="Times New Roman" w:eastAsia="Times New Roman" w:hint="default"/>
        </w:rPr>
        <w:t>HIS</w:t>
      </w:r>
      <w:r>
        <w:rPr/>
        <w:t>系统功能覆</w:t>
      </w:r>
      <w:r>
        <w:rPr>
          <w:spacing w:val="-44"/>
        </w:rPr>
        <w:t> </w:t>
      </w:r>
      <w:r>
        <w:rPr>
          <w:spacing w:val="-7"/>
        </w:rPr>
        <w:t>盖广阔，从门诊、急诊、药房等服务管理、重症监护、手术等医疗管理延伸至临床决策辅助，从家庭医生、</w:t>
      </w:r>
      <w:r>
        <w:rPr>
          <w:spacing w:val="-19"/>
        </w:rPr>
        <w:t> </w:t>
      </w:r>
      <w:r>
        <w:rPr>
          <w:spacing w:val="-19"/>
        </w:rPr>
      </w:r>
      <w:r>
        <w:rPr>
          <w:spacing w:val="-2"/>
        </w:rPr>
        <w:t>远程会诊、一键转诊延伸至疾病预防与管理，实现线上线下服务一体化以及医前、医中、医后服务一体化</w:t>
      </w:r>
      <w:r>
        <w:rPr>
          <w:spacing w:val="-47"/>
        </w:rPr>
        <w:t> </w:t>
      </w:r>
      <w:r>
        <w:rPr>
          <w:spacing w:val="-47"/>
        </w:rPr>
      </w:r>
      <w:r>
        <w:rPr/>
        <w:t>的双闭环；在信息互联互通方面，新一代智慧医疗一体化</w:t>
      </w:r>
      <w:r>
        <w:rPr>
          <w:rFonts w:ascii="Times New Roman" w:hAnsi="Times New Roman" w:cs="Times New Roman" w:eastAsia="Times New Roman" w:hint="default"/>
        </w:rPr>
        <w:t>HIS</w:t>
      </w:r>
      <w:r>
        <w:rPr/>
        <w:t>系统实现了各医疗机构内部的横向整合和跨</w:t>
      </w:r>
      <w:r>
        <w:rPr>
          <w:spacing w:val="-46"/>
        </w:rPr>
        <w:t> </w:t>
      </w:r>
      <w:r>
        <w:rPr>
          <w:spacing w:val="-46"/>
        </w:rPr>
      </w:r>
      <w:r>
        <w:rPr>
          <w:spacing w:val="-2"/>
        </w:rPr>
        <w:t>区域的纵向资源整合。一方面该项目通过云诊所、云社区、云医院三大服务平台横向整合资源，实现医疗</w:t>
      </w:r>
      <w:r>
        <w:rPr>
          <w:spacing w:val="-49"/>
        </w:rPr>
        <w:t> </w:t>
      </w:r>
      <w:r>
        <w:rPr>
          <w:spacing w:val="-49"/>
        </w:rPr>
      </w:r>
      <w:r>
        <w:rPr>
          <w:spacing w:val="-2"/>
        </w:rPr>
        <w:t>机构内部跨部门、跨学科的数据共享与协作；另一方面，在云计算中心的强大计算能力支持下，通过云协</w:t>
      </w:r>
      <w:r>
        <w:rPr>
          <w:spacing w:val="-50"/>
        </w:rPr>
        <w:t> </w:t>
      </w:r>
      <w:r>
        <w:rPr>
          <w:spacing w:val="-50"/>
        </w:rPr>
      </w:r>
      <w:r>
        <w:rPr>
          <w:spacing w:val="-2"/>
        </w:rPr>
        <w:t>同服务平台纵向整合区域内医疗资源，形成统一平台，打通各级医疗机构的外部壁垒，实现数据互联互通</w:t>
      </w:r>
      <w:r>
        <w:rPr>
          <w:spacing w:val="-43"/>
        </w:rPr>
        <w:t> </w:t>
      </w:r>
      <w:r>
        <w:rPr>
          <w:spacing w:val="-43"/>
        </w:rPr>
      </w:r>
      <w:r>
        <w:rPr/>
        <w:t>以及移动化的医疗信息服务。</w:t>
      </w:r>
    </w:p>
    <w:p>
      <w:pPr>
        <w:pStyle w:val="Heading4"/>
        <w:spacing w:line="256" w:lineRule="auto" w:before="14"/>
        <w:ind w:left="573" w:right="0" w:firstLine="2"/>
        <w:jc w:val="left"/>
      </w:pPr>
      <w:r>
        <w:rPr>
          <w:rFonts w:ascii="宋体" w:hAnsi="宋体" w:cs="宋体" w:eastAsia="宋体" w:hint="default"/>
          <w:b/>
          <w:bCs/>
        </w:rPr>
        <w:t>注</w:t>
      </w:r>
      <w:r>
        <w:rPr>
          <w:rFonts w:ascii="Times New Roman" w:hAnsi="Times New Roman" w:cs="Times New Roman" w:eastAsia="Times New Roman" w:hint="default"/>
          <w:b/>
          <w:bCs/>
        </w:rPr>
        <w:t>3</w:t>
      </w:r>
      <w:r>
        <w:rPr>
          <w:rFonts w:ascii="宋体" w:hAnsi="宋体" w:cs="宋体" w:eastAsia="宋体" w:hint="default"/>
          <w:b/>
          <w:bCs/>
        </w:rPr>
        <w:t>：</w:t>
      </w:r>
      <w:r>
        <w:rPr/>
        <w:t>智慧养老综合服务平台及其智能物联云平台情况说明</w:t>
      </w:r>
      <w:r>
        <w:rPr>
          <w:w w:val="100"/>
        </w:rPr>
        <w:t> </w:t>
      </w:r>
      <w:r>
        <w:rPr>
          <w:spacing w:val="-2"/>
        </w:rPr>
        <w:t>本项目建设内容为：基于智慧养老总体解决方案，研发智慧养老综合服务平台及其智能物联云平台项</w:t>
      </w:r>
    </w:p>
    <w:p>
      <w:pPr>
        <w:spacing w:after="0" w:line="256"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73" w:lineRule="auto" w:before="36"/>
        <w:ind w:right="0"/>
        <w:jc w:val="left"/>
      </w:pPr>
      <w:r>
        <w:rPr/>
        <w:t>目，重点包括医养结合服务管理云平台、长期护理保险综合信息管理云平台、社区综合为老服务云平台、</w:t>
      </w:r>
      <w:r>
        <w:rPr>
          <w:spacing w:val="-24"/>
        </w:rPr>
        <w:t> </w:t>
      </w:r>
      <w:r>
        <w:rPr>
          <w:spacing w:val="-24"/>
        </w:rPr>
      </w:r>
      <w:r>
        <w:rPr>
          <w:spacing w:val="-2"/>
        </w:rPr>
        <w:t>居家护理机构管理云平台、养老机构管理云平台、养老地产颐养社区管理云平台和智能物联云平台及其产</w:t>
      </w:r>
      <w:r>
        <w:rPr>
          <w:spacing w:val="-42"/>
        </w:rPr>
        <w:t> </w:t>
      </w:r>
      <w:r>
        <w:rPr>
          <w:spacing w:val="-42"/>
        </w:rPr>
      </w:r>
      <w:r>
        <w:rPr/>
        <w:t>品。其中，研发的智能物联产品涵盖智能监护设备、智能安防监控设备、智能陪护设备三大产品线。</w:t>
      </w:r>
    </w:p>
    <w:p>
      <w:pPr>
        <w:pStyle w:val="Heading4"/>
        <w:spacing w:line="271" w:lineRule="auto"/>
        <w:ind w:right="1034" w:firstLine="420"/>
        <w:jc w:val="left"/>
      </w:pPr>
      <w:r>
        <w:rPr>
          <w:spacing w:val="-2"/>
        </w:rPr>
        <w:t>智慧养老综合服务平台及其智能物联云平台项目的建设，面向政府、企业、社区、个人等主体，实现</w:t>
      </w:r>
      <w:r>
        <w:rPr>
          <w:w w:val="100"/>
        </w:rPr>
        <w:t> </w:t>
      </w:r>
      <w:r>
        <w:rPr>
          <w:spacing w:val="-2"/>
        </w:rPr>
        <w:t>对现有智慧养老信息化需求的全覆盖，建立面向政府全过程监督的监管平台、面向企业或社区高效的养老</w:t>
      </w:r>
      <w:r>
        <w:rPr>
          <w:spacing w:val="-44"/>
        </w:rPr>
        <w:t> </w:t>
      </w:r>
      <w:r>
        <w:rPr>
          <w:spacing w:val="-44"/>
        </w:rPr>
      </w:r>
      <w:r>
        <w:rPr/>
        <w:t>经营平台、面向老年人群的</w:t>
      </w:r>
      <w:r>
        <w:rPr>
          <w:rFonts w:ascii="Times New Roman" w:hAnsi="Times New Roman" w:cs="Times New Roman" w:eastAsia="Times New Roman" w:hint="default"/>
        </w:rPr>
        <w:t>O2O</w:t>
      </w:r>
      <w:r>
        <w:rPr/>
        <w:t>平台，为老年人群提供功能丰富的智能监测、安防和看护等一站式的智慧</w:t>
      </w:r>
      <w:r>
        <w:rPr>
          <w:w w:val="100"/>
        </w:rPr>
        <w:t> </w:t>
      </w:r>
      <w:r>
        <w:rPr/>
        <w:t>养老服务，通过平台技术使得居家养老、社区养老成为可能，解决养老服务资源不足、政府全过程监管、</w:t>
      </w:r>
      <w:r>
        <w:rPr>
          <w:spacing w:val="-24"/>
        </w:rPr>
        <w:t> </w:t>
      </w:r>
      <w:r>
        <w:rPr>
          <w:spacing w:val="-24"/>
        </w:rPr>
      </w:r>
      <w:r>
        <w:rPr>
          <w:spacing w:val="-2"/>
        </w:rPr>
        <w:t>老年人群需求无法精准响应等众多社会问题，强化资源配置整合，提升机构的服务管理效率，建立起有效</w:t>
      </w:r>
      <w:r>
        <w:rPr>
          <w:spacing w:val="-44"/>
        </w:rPr>
        <w:t> </w:t>
      </w:r>
      <w:r>
        <w:rPr>
          <w:spacing w:val="-44"/>
        </w:rPr>
      </w:r>
      <w:r>
        <w:rPr>
          <w:spacing w:val="-2"/>
        </w:rPr>
        <w:t>的全程监控及服务网络，形成服务闭环和完整的服务生态体系，推动和促进整个智慧养老行业的产业升级</w:t>
      </w:r>
      <w:r>
        <w:rPr>
          <w:spacing w:val="-43"/>
        </w:rPr>
        <w:t> </w:t>
      </w:r>
      <w:r>
        <w:rPr>
          <w:spacing w:val="-43"/>
        </w:rPr>
      </w:r>
      <w:r>
        <w:rPr/>
        <w:t>和发展。</w:t>
      </w:r>
    </w:p>
    <w:p>
      <w:pPr>
        <w:pStyle w:val="Heading4"/>
        <w:spacing w:line="266" w:lineRule="auto" w:before="10"/>
        <w:ind w:right="1126" w:firstLine="420"/>
        <w:jc w:val="both"/>
      </w:pPr>
      <w:r>
        <w:rPr>
          <w:spacing w:val="-2"/>
        </w:rPr>
        <w:t>智能物联云平台顺应</w:t>
      </w:r>
      <w:r>
        <w:rPr>
          <w:rFonts w:ascii="Times New Roman" w:hAnsi="Times New Roman" w:cs="Times New Roman" w:eastAsia="Times New Roman" w:hint="default"/>
          <w:spacing w:val="-2"/>
        </w:rPr>
        <w:t>“</w:t>
      </w:r>
      <w:r>
        <w:rPr>
          <w:spacing w:val="-2"/>
        </w:rPr>
        <w:t>万物互联</w:t>
      </w:r>
      <w:r>
        <w:rPr>
          <w:rFonts w:ascii="Times New Roman" w:hAnsi="Times New Roman" w:cs="Times New Roman" w:eastAsia="Times New Roman" w:hint="default"/>
          <w:spacing w:val="-2"/>
        </w:rPr>
        <w:t>”</w:t>
      </w:r>
      <w:r>
        <w:rPr>
          <w:spacing w:val="-2"/>
        </w:rPr>
        <w:t>的物联网发展趋势，将不同类型、场景、空间的智能物联设备通过智</w:t>
      </w:r>
      <w:r>
        <w:rPr>
          <w:w w:val="100"/>
        </w:rPr>
        <w:t> </w:t>
      </w:r>
      <w:r>
        <w:rPr>
          <w:spacing w:val="-2"/>
        </w:rPr>
        <w:t>能物联云平台进行数据的汇集和整合，对接智慧养老综合服务平台为社区、居家、机构等不同养老服务主</w:t>
      </w:r>
      <w:r>
        <w:rPr>
          <w:spacing w:val="-43"/>
        </w:rPr>
        <w:t> </w:t>
      </w:r>
      <w:r>
        <w:rPr>
          <w:spacing w:val="-43"/>
        </w:rPr>
      </w:r>
      <w:r>
        <w:rPr/>
        <w:t>体提供智能监测、安防和看护等服务。</w:t>
      </w:r>
    </w:p>
    <w:p>
      <w:pPr>
        <w:pStyle w:val="Heading4"/>
        <w:spacing w:line="273" w:lineRule="auto" w:before="14"/>
        <w:ind w:right="1126" w:firstLine="420"/>
        <w:jc w:val="both"/>
      </w:pPr>
      <w:r>
        <w:rPr>
          <w:spacing w:val="-2"/>
        </w:rPr>
        <w:t>项目将依托公司目前所拥有的民生保障领域核心技术和成功经验，进行自主研发和集成创新，在行业</w:t>
      </w:r>
      <w:r>
        <w:rPr>
          <w:w w:val="100"/>
        </w:rPr>
        <w:t> </w:t>
      </w:r>
      <w:r>
        <w:rPr>
          <w:spacing w:val="-2"/>
        </w:rPr>
        <w:t>信息系统的业务基础上，研发智慧养老综合服务平台及其智能物联云平台，重点包括医养结合服务管理云</w:t>
      </w:r>
      <w:r>
        <w:rPr>
          <w:spacing w:val="-42"/>
        </w:rPr>
        <w:t> </w:t>
      </w:r>
      <w:r>
        <w:rPr>
          <w:spacing w:val="-42"/>
        </w:rPr>
      </w:r>
      <w:r>
        <w:rPr>
          <w:spacing w:val="-2"/>
        </w:rPr>
        <w:t>平台、长期护理保险综合信息管理云平台、社区综合为老服务云平台、居家护理机构管理云平台、养老机</w:t>
      </w:r>
      <w:r>
        <w:rPr>
          <w:spacing w:val="-50"/>
        </w:rPr>
        <w:t> </w:t>
      </w:r>
      <w:r>
        <w:rPr>
          <w:spacing w:val="-50"/>
        </w:rPr>
      </w:r>
      <w:r>
        <w:rPr/>
        <w:t>构管理云平台、养老地产颐养社区管理云平台和智能物联云平台及其产品。</w:t>
      </w:r>
    </w:p>
    <w:p>
      <w:pPr>
        <w:spacing w:line="240" w:lineRule="auto" w:before="7"/>
        <w:rPr>
          <w:rFonts w:ascii="宋体" w:hAnsi="宋体" w:cs="宋体" w:eastAsia="宋体" w:hint="default"/>
          <w:sz w:val="23"/>
          <w:szCs w:val="23"/>
        </w:rPr>
      </w:pPr>
    </w:p>
    <w:p>
      <w:pPr>
        <w:pStyle w:val="Heading3"/>
        <w:spacing w:line="240" w:lineRule="auto"/>
        <w:ind w:right="2602"/>
        <w:jc w:val="left"/>
        <w:rPr>
          <w:b w:val="0"/>
          <w:bCs w:val="0"/>
        </w:rPr>
      </w:pPr>
      <w:bookmarkStart w:name="28、商誉" w:id="317"/>
      <w:bookmarkEnd w:id="317"/>
      <w:r>
        <w:rPr>
          <w:b w:val="0"/>
          <w:bCs w:val="0"/>
        </w:rPr>
      </w:r>
      <w:r>
        <w:rPr>
          <w:rFonts w:ascii="Times New Roman" w:hAnsi="Times New Roman" w:cs="Times New Roman" w:eastAsia="Times New Roman" w:hint="default"/>
        </w:rPr>
        <w:t>28</w:t>
      </w:r>
      <w:r>
        <w:rPr/>
        <w:t>、商誉</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商誉账面原值" w:id="318"/>
      <w:bookmarkEnd w:id="318"/>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522"/>
        <w:gridCol w:w="1712"/>
        <w:gridCol w:w="1418"/>
        <w:gridCol w:w="425"/>
        <w:gridCol w:w="569"/>
        <w:gridCol w:w="425"/>
        <w:gridCol w:w="1488"/>
      </w:tblGrid>
      <w:tr>
        <w:trPr>
          <w:trHeight w:val="206" w:hRule="exact"/>
        </w:trPr>
        <w:tc>
          <w:tcPr>
            <w:tcW w:w="3522" w:type="dxa"/>
            <w:tcBorders>
              <w:top w:val="single" w:sz="4" w:space="0" w:color="000000"/>
              <w:left w:val="single" w:sz="4" w:space="0" w:color="000000"/>
              <w:bottom w:val="nil" w:sz="6" w:space="0" w:color="auto"/>
              <w:right w:val="single" w:sz="4" w:space="0" w:color="000000"/>
            </w:tcBorders>
            <w:shd w:val="clear" w:color="auto" w:fill="D2D2D2"/>
          </w:tcPr>
          <w:p>
            <w:pPr/>
          </w:p>
        </w:tc>
        <w:tc>
          <w:tcPr>
            <w:tcW w:w="17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8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55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99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8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5" w:hRule="exact"/>
        </w:trPr>
        <w:tc>
          <w:tcPr>
            <w:tcW w:w="35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06"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7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9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843" w:type="dxa"/>
            <w:gridSpan w:val="2"/>
            <w:vMerge/>
            <w:tcBorders>
              <w:left w:val="single" w:sz="4" w:space="0" w:color="000000"/>
              <w:bottom w:val="single" w:sz="4" w:space="0" w:color="000000"/>
              <w:right w:val="single" w:sz="4" w:space="0" w:color="000000"/>
            </w:tcBorders>
            <w:shd w:val="clear" w:color="auto" w:fill="D2D2D2"/>
          </w:tcPr>
          <w:p>
            <w:pPr/>
          </w:p>
        </w:tc>
        <w:tc>
          <w:tcPr>
            <w:tcW w:w="994" w:type="dxa"/>
            <w:gridSpan w:val="2"/>
            <w:vMerge/>
            <w:tcBorders>
              <w:left w:val="single" w:sz="4" w:space="0" w:color="000000"/>
              <w:bottom w:val="single" w:sz="4" w:space="0" w:color="000000"/>
              <w:right w:val="single" w:sz="4" w:space="0" w:color="000000"/>
            </w:tcBorders>
            <w:shd w:val="clear" w:color="auto" w:fill="D2D2D2"/>
          </w:tcPr>
          <w:p>
            <w:pPr/>
          </w:p>
        </w:tc>
        <w:tc>
          <w:tcPr>
            <w:tcW w:w="14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7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7" w:hRule="exact"/>
        </w:trPr>
        <w:tc>
          <w:tcPr>
            <w:tcW w:w="3522" w:type="dxa"/>
            <w:vMerge/>
            <w:tcBorders>
              <w:left w:val="single" w:sz="4" w:space="0" w:color="000000"/>
              <w:bottom w:val="nil" w:sz="6" w:space="0" w:color="auto"/>
              <w:right w:val="single" w:sz="4" w:space="0" w:color="000000"/>
            </w:tcBorders>
            <w:shd w:val="clear" w:color="auto" w:fill="D2D2D2"/>
          </w:tcPr>
          <w:p>
            <w:pPr/>
          </w:p>
        </w:tc>
        <w:tc>
          <w:tcPr>
            <w:tcW w:w="1712" w:type="dxa"/>
            <w:vMerge/>
            <w:tcBorders>
              <w:left w:val="single" w:sz="4" w:space="0" w:color="000000"/>
              <w:bottom w:val="nil" w:sz="6" w:space="0" w:color="auto"/>
              <w:right w:val="single" w:sz="4" w:space="0" w:color="000000"/>
            </w:tcBorders>
            <w:shd w:val="clear" w:color="auto" w:fill="D2D2D2"/>
          </w:tcPr>
          <w:p>
            <w:pPr/>
          </w:p>
        </w:tc>
        <w:tc>
          <w:tcPr>
            <w:tcW w:w="14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76" w:right="0"/>
              <w:jc w:val="left"/>
              <w:rPr>
                <w:rFonts w:ascii="宋体" w:hAnsi="宋体" w:cs="宋体" w:eastAsia="宋体" w:hint="default"/>
                <w:sz w:val="18"/>
                <w:szCs w:val="18"/>
              </w:rPr>
            </w:pPr>
            <w:r>
              <w:rPr>
                <w:rFonts w:ascii="宋体" w:hAnsi="宋体" w:cs="宋体" w:eastAsia="宋体" w:hint="default"/>
                <w:sz w:val="18"/>
                <w:szCs w:val="18"/>
              </w:rPr>
              <w:t>企业合并形成的</w:t>
            </w:r>
          </w:p>
        </w:tc>
        <w:tc>
          <w:tcPr>
            <w:tcW w:w="425" w:type="dxa"/>
            <w:vMerge w:val="restart"/>
            <w:tcBorders>
              <w:top w:val="single" w:sz="4" w:space="0" w:color="000000"/>
              <w:left w:val="single" w:sz="4" w:space="0" w:color="000000"/>
              <w:right w:val="single" w:sz="4" w:space="0" w:color="000000"/>
            </w:tcBorders>
            <w:shd w:val="clear" w:color="auto" w:fill="D2D2D2"/>
          </w:tcPr>
          <w:p>
            <w:pPr/>
          </w:p>
        </w:tc>
        <w:tc>
          <w:tcPr>
            <w:tcW w:w="5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98"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425" w:type="dxa"/>
            <w:vMerge w:val="restart"/>
            <w:tcBorders>
              <w:top w:val="single" w:sz="4" w:space="0" w:color="000000"/>
              <w:left w:val="single" w:sz="4" w:space="0" w:color="000000"/>
              <w:right w:val="single" w:sz="4" w:space="0" w:color="000000"/>
            </w:tcBorders>
            <w:shd w:val="clear" w:color="auto" w:fill="D2D2D2"/>
          </w:tcPr>
          <w:p>
            <w:pPr/>
          </w:p>
        </w:tc>
        <w:tc>
          <w:tcPr>
            <w:tcW w:w="148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3522" w:type="dxa"/>
            <w:tcBorders>
              <w:top w:val="nil" w:sz="6" w:space="0" w:color="auto"/>
              <w:left w:val="single" w:sz="4" w:space="0" w:color="000000"/>
              <w:bottom w:val="single" w:sz="4" w:space="0" w:color="000000"/>
              <w:right w:val="single" w:sz="4" w:space="0" w:color="000000"/>
            </w:tcBorders>
            <w:shd w:val="clear" w:color="auto" w:fill="D2D2D2"/>
          </w:tcPr>
          <w:p>
            <w:pPr/>
          </w:p>
        </w:tc>
        <w:tc>
          <w:tcPr>
            <w:tcW w:w="17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c>
          <w:tcPr>
            <w:tcW w:w="425" w:type="dxa"/>
            <w:vMerge/>
            <w:tcBorders>
              <w:left w:val="single" w:sz="4" w:space="0" w:color="000000"/>
              <w:bottom w:val="single" w:sz="4" w:space="0" w:color="000000"/>
              <w:right w:val="single" w:sz="4" w:space="0" w:color="000000"/>
            </w:tcBorders>
            <w:shd w:val="clear" w:color="auto" w:fill="D2D2D2"/>
          </w:tcPr>
          <w:p>
            <w:pPr/>
          </w:p>
        </w:tc>
        <w:tc>
          <w:tcPr>
            <w:tcW w:w="569" w:type="dxa"/>
            <w:vMerge/>
            <w:tcBorders>
              <w:left w:val="single" w:sz="4" w:space="0" w:color="000000"/>
              <w:bottom w:val="single" w:sz="4" w:space="0" w:color="000000"/>
              <w:right w:val="single" w:sz="4" w:space="0" w:color="000000"/>
            </w:tcBorders>
            <w:shd w:val="clear" w:color="auto" w:fill="D2D2D2"/>
          </w:tcPr>
          <w:p>
            <w:pPr/>
          </w:p>
        </w:tc>
        <w:tc>
          <w:tcPr>
            <w:tcW w:w="425" w:type="dxa"/>
            <w:vMerge/>
            <w:tcBorders>
              <w:left w:val="single" w:sz="4" w:space="0" w:color="000000"/>
              <w:bottom w:val="single" w:sz="4" w:space="0" w:color="000000"/>
              <w:right w:val="single" w:sz="4" w:space="0" w:color="000000"/>
            </w:tcBorders>
            <w:shd w:val="clear" w:color="auto" w:fill="D2D2D2"/>
          </w:tcPr>
          <w:p>
            <w:pPr/>
          </w:p>
        </w:tc>
        <w:tc>
          <w:tcPr>
            <w:tcW w:w="148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10,152,998.55</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10,152,998.55</w:t>
            </w:r>
          </w:p>
        </w:tc>
      </w:tr>
      <w:tr>
        <w:trPr>
          <w:trHeight w:val="403"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上海华奕医疗信息技术有限公司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810,907.34</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810,907.34</w:t>
            </w:r>
          </w:p>
        </w:tc>
      </w:tr>
      <w:tr>
        <w:trPr>
          <w:trHeight w:val="401"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宁波金唐软件有限公司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420,632,306.97</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420,632,306.97</w:t>
            </w:r>
          </w:p>
        </w:tc>
      </w:tr>
      <w:tr>
        <w:trPr>
          <w:trHeight w:val="403"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上海复高计算机科技有限公司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511,490,902.87</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511,490,902.87</w:t>
            </w:r>
          </w:p>
        </w:tc>
      </w:tr>
      <w:tr>
        <w:trPr>
          <w:trHeight w:val="401"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湖南凯歌医疗信息技术有限公司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53,105,624.64</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53,105,624.64</w:t>
            </w:r>
          </w:p>
        </w:tc>
      </w:tr>
      <w:tr>
        <w:trPr>
          <w:trHeight w:val="403"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上海市民信箱信息服务有限公司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28,844,769.67</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28,844,769.67</w:t>
            </w:r>
          </w:p>
        </w:tc>
      </w:tr>
      <w:tr>
        <w:trPr>
          <w:trHeight w:val="401"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四川万达健康数据有限公司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1,856,717.03</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1,856,717.03</w:t>
            </w:r>
          </w:p>
        </w:tc>
      </w:tr>
      <w:tr>
        <w:trPr>
          <w:trHeight w:val="404"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宁波市万达数据应用服务有限公司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1,612,989.60</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1,612,989.60</w:t>
            </w:r>
          </w:p>
        </w:tc>
      </w:tr>
      <w:tr>
        <w:trPr>
          <w:trHeight w:val="401"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万达志翔医疗科技（北京）有限责任公司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10,297,657.81</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10,297,657.81</w:t>
            </w:r>
          </w:p>
        </w:tc>
      </w:tr>
      <w:tr>
        <w:trPr>
          <w:trHeight w:val="403"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1,038,804,874.48</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1,038,804,874.48</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商誉减值准备" w:id="319"/>
      <w:bookmarkEnd w:id="319"/>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545"/>
        <w:gridCol w:w="1700"/>
        <w:gridCol w:w="1843"/>
        <w:gridCol w:w="1117"/>
        <w:gridCol w:w="1366"/>
      </w:tblGrid>
      <w:tr>
        <w:trPr>
          <w:trHeight w:val="403" w:hRule="exact"/>
        </w:trPr>
        <w:tc>
          <w:tcPr>
            <w:tcW w:w="3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6"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8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522"/>
        <w:gridCol w:w="1712"/>
        <w:gridCol w:w="1418"/>
        <w:gridCol w:w="425"/>
        <w:gridCol w:w="569"/>
        <w:gridCol w:w="548"/>
        <w:gridCol w:w="1366"/>
      </w:tblGrid>
      <w:tr>
        <w:trPr>
          <w:trHeight w:val="402"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8"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54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10,152,998.55</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10,152,998.55</w:t>
            </w:r>
          </w:p>
        </w:tc>
      </w:tr>
      <w:tr>
        <w:trPr>
          <w:trHeight w:val="401"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上海复高计算机科技有限公司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30,770,574.04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58,873,564.57</w:t>
            </w: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89,644,138.61</w:t>
            </w:r>
          </w:p>
        </w:tc>
      </w:tr>
      <w:tr>
        <w:trPr>
          <w:trHeight w:val="403"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上海市民信箱信息服务有限公司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2,961,462.89</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2,961,462.89</w:t>
            </w:r>
          </w:p>
        </w:tc>
      </w:tr>
      <w:tr>
        <w:trPr>
          <w:trHeight w:val="401"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四川万达健康数据有限公司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1,856,717.03</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1,856,717.03</w:t>
            </w:r>
          </w:p>
        </w:tc>
      </w:tr>
      <w:tr>
        <w:trPr>
          <w:trHeight w:val="403"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宁波市万达数据应用服务有限公司</w:t>
            </w:r>
          </w:p>
        </w:tc>
        <w:tc>
          <w:tcPr>
            <w:tcW w:w="1712" w:type="dxa"/>
            <w:tcBorders>
              <w:top w:val="single" w:sz="4" w:space="0" w:color="000000"/>
              <w:left w:val="single" w:sz="13" w:space="0" w:color="D2D2D2"/>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1,612,989.60</w:t>
            </w: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1,612,989.60</w:t>
            </w:r>
          </w:p>
        </w:tc>
      </w:tr>
      <w:tr>
        <w:trPr>
          <w:trHeight w:val="401"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万达志翔医疗科技（北京）有限责任公司</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10,297,657.81</w:t>
            </w:r>
          </w:p>
        </w:tc>
        <w:tc>
          <w:tcPr>
            <w:tcW w:w="141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10,297,657.81</w:t>
            </w:r>
          </w:p>
        </w:tc>
      </w:tr>
      <w:tr>
        <w:trPr>
          <w:trHeight w:val="403" w:hRule="exact"/>
        </w:trPr>
        <w:tc>
          <w:tcPr>
            <w:tcW w:w="3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56,039,410.32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60,486,554.17</w:t>
            </w:r>
          </w:p>
        </w:tc>
        <w:tc>
          <w:tcPr>
            <w:tcW w:w="425"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54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116,525,964.49</w:t>
            </w:r>
          </w:p>
        </w:tc>
      </w:tr>
    </w:tbl>
    <w:p>
      <w:pPr>
        <w:pStyle w:val="BodyText"/>
        <w:spacing w:line="240" w:lineRule="auto" w:before="49"/>
        <w:ind w:right="2602"/>
        <w:jc w:val="left"/>
      </w:pPr>
      <w:r>
        <w:rPr/>
        <w:t>商誉所在资产组或资产组组合的相关信息</w:t>
      </w:r>
    </w:p>
    <w:p>
      <w:pPr>
        <w:pStyle w:val="Heading4"/>
        <w:spacing w:line="273" w:lineRule="auto" w:before="94"/>
        <w:ind w:right="1126" w:firstLine="420"/>
        <w:jc w:val="both"/>
      </w:pPr>
      <w:r>
        <w:rPr>
          <w:spacing w:val="-2"/>
        </w:rPr>
        <w:t>本公司的所有商誉已于购买日分摊至相关的资产组或资产组组合。在进行商誉减值测试时，本公司将</w:t>
      </w:r>
      <w:r>
        <w:rPr>
          <w:w w:val="100"/>
        </w:rPr>
        <w:t> </w:t>
      </w:r>
      <w:r>
        <w:rPr>
          <w:spacing w:val="-2"/>
        </w:rPr>
        <w:t>相关资产（含商誉）的账面价值与其可收回金额进行比较，如果可收回金额低于账面价值，相关差额计入</w:t>
      </w:r>
      <w:r>
        <w:rPr>
          <w:spacing w:val="-47"/>
        </w:rPr>
        <w:t> </w:t>
      </w:r>
      <w:r>
        <w:rPr>
          <w:spacing w:val="-47"/>
        </w:rPr>
      </w:r>
      <w:r>
        <w:rPr/>
        <w:t>当期损益。本公司商誉分摊于</w:t>
      </w:r>
      <w:r>
        <w:rPr>
          <w:rFonts w:ascii="Times New Roman" w:hAnsi="Times New Roman" w:cs="Times New Roman" w:eastAsia="Times New Roman" w:hint="default"/>
        </w:rPr>
        <w:t>2019</w:t>
      </w:r>
      <w:r>
        <w:rPr/>
        <w:t>年度未发生变化。</w:t>
      </w:r>
    </w:p>
    <w:p>
      <w:pPr>
        <w:spacing w:line="240" w:lineRule="auto" w:before="1"/>
        <w:rPr>
          <w:rFonts w:ascii="宋体" w:hAnsi="宋体" w:cs="宋体" w:eastAsia="宋体" w:hint="default"/>
          <w:sz w:val="19"/>
          <w:szCs w:val="19"/>
        </w:rPr>
      </w:pPr>
    </w:p>
    <w:p>
      <w:pPr>
        <w:pStyle w:val="BodyText"/>
        <w:spacing w:line="316" w:lineRule="auto"/>
        <w:ind w:right="0"/>
        <w:jc w:val="left"/>
      </w:pPr>
      <w:r>
        <w:rPr>
          <w:spacing w:val="-2"/>
        </w:rPr>
        <w:t>说明商誉减值测试过程、关键参数（如预计未来现金流量现值时的预测期增长率、稳定期增长率、利润率、折现率、预测期</w:t>
      </w:r>
      <w:r>
        <w:rPr>
          <w:spacing w:val="-70"/>
        </w:rPr>
        <w:t> </w:t>
      </w:r>
      <w:r>
        <w:rPr>
          <w:spacing w:val="-70"/>
        </w:rPr>
      </w:r>
      <w:r>
        <w:rPr/>
        <w:t>等）及商誉减值损失的确认方法：</w:t>
      </w:r>
    </w:p>
    <w:p>
      <w:pPr>
        <w:pStyle w:val="Heading3"/>
        <w:spacing w:line="240" w:lineRule="auto" w:before="39"/>
        <w:ind w:left="575" w:right="2602"/>
        <w:jc w:val="left"/>
        <w:rPr>
          <w:b w:val="0"/>
          <w:bCs w:val="0"/>
        </w:rPr>
      </w:pPr>
      <w:r>
        <w:rPr>
          <w:rFonts w:ascii="Times New Roman" w:hAnsi="Times New Roman" w:cs="Times New Roman" w:eastAsia="Times New Roman" w:hint="default"/>
        </w:rPr>
        <w:t>1.</w:t>
      </w:r>
      <w:r>
        <w:rPr>
          <w:rFonts w:ascii="Times New Roman" w:hAnsi="Times New Roman" w:cs="Times New Roman" w:eastAsia="Times New Roman" w:hint="default"/>
          <w:spacing w:val="38"/>
        </w:rPr>
        <w:t> </w:t>
      </w:r>
      <w:r>
        <w:rPr/>
        <w:t>商誉计算过程</w:t>
      </w:r>
      <w:r>
        <w:rPr>
          <w:b w:val="0"/>
          <w:bCs w:val="0"/>
        </w:rPr>
      </w:r>
    </w:p>
    <w:p>
      <w:pPr>
        <w:pStyle w:val="Heading4"/>
        <w:spacing w:line="256" w:lineRule="auto" w:before="21"/>
        <w:ind w:right="1126" w:firstLine="420"/>
        <w:jc w:val="both"/>
      </w:pPr>
      <w:r>
        <w:rPr>
          <w:spacing w:val="-1"/>
        </w:rPr>
        <w:t>（</w:t>
      </w:r>
      <w:r>
        <w:rPr>
          <w:rFonts w:ascii="Times New Roman" w:hAnsi="Times New Roman" w:cs="Times New Roman" w:eastAsia="Times New Roman" w:hint="default"/>
          <w:spacing w:val="-1"/>
        </w:rPr>
        <w:t>1</w:t>
      </w:r>
      <w:r>
        <w:rPr>
          <w:spacing w:val="-1"/>
        </w:rPr>
        <w:t>）本公司于</w:t>
      </w:r>
      <w:r>
        <w:rPr>
          <w:rFonts w:ascii="Times New Roman" w:hAnsi="Times New Roman" w:cs="Times New Roman" w:eastAsia="Times New Roman" w:hint="default"/>
          <w:spacing w:val="-1"/>
        </w:rPr>
        <w:t>2013</w:t>
      </w:r>
      <w:r>
        <w:rPr>
          <w:spacing w:val="-1"/>
        </w:rPr>
        <w:t>年以人民币</w:t>
      </w:r>
      <w:r>
        <w:rPr>
          <w:rFonts w:ascii="Times New Roman" w:hAnsi="Times New Roman" w:cs="Times New Roman" w:eastAsia="Times New Roman" w:hint="default"/>
          <w:spacing w:val="-1"/>
        </w:rPr>
        <w:t>5,100.00</w:t>
      </w:r>
      <w:r>
        <w:rPr>
          <w:spacing w:val="-1"/>
        </w:rPr>
        <w:t>万元为合并成本购买四川浩特通信有限公司</w:t>
      </w:r>
      <w:r>
        <w:rPr>
          <w:rFonts w:ascii="Times New Roman" w:hAnsi="Times New Roman" w:cs="Times New Roman" w:eastAsia="Times New Roman" w:hint="default"/>
          <w:spacing w:val="-1"/>
        </w:rPr>
        <w:t>51%</w:t>
      </w:r>
      <w:r>
        <w:rPr>
          <w:spacing w:val="-1"/>
        </w:rPr>
        <w:t>权益。归属于</w:t>
      </w:r>
      <w:r>
        <w:rPr>
          <w:w w:val="100"/>
        </w:rPr>
        <w:t> </w:t>
      </w:r>
      <w:r>
        <w:rPr/>
        <w:t>本公司的可辨认净资产在购买日的公允价值为人民币</w:t>
      </w:r>
      <w:r>
        <w:rPr>
          <w:rFonts w:ascii="Times New Roman" w:hAnsi="Times New Roman" w:cs="Times New Roman" w:eastAsia="Times New Roman" w:hint="default"/>
        </w:rPr>
        <w:t>40,847,001.45</w:t>
      </w:r>
      <w:r>
        <w:rPr/>
        <w:t>元，两者的差额人民币</w:t>
      </w:r>
      <w:r>
        <w:rPr>
          <w:rFonts w:ascii="Times New Roman" w:hAnsi="Times New Roman" w:cs="Times New Roman" w:eastAsia="Times New Roman" w:hint="default"/>
        </w:rPr>
        <w:t>10,152,998.55</w:t>
      </w:r>
      <w:r>
        <w:rPr/>
        <w:t>元</w:t>
      </w:r>
      <w:r>
        <w:rPr>
          <w:spacing w:val="-27"/>
        </w:rPr>
        <w:t> </w:t>
      </w:r>
      <w:r>
        <w:rPr/>
        <w:t>确认为商誉。</w:t>
      </w:r>
    </w:p>
    <w:p>
      <w:pPr>
        <w:pStyle w:val="Heading4"/>
        <w:spacing w:line="256" w:lineRule="auto" w:before="22"/>
        <w:ind w:right="1128" w:firstLine="420"/>
        <w:jc w:val="both"/>
      </w:pPr>
      <w:r>
        <w:rPr/>
        <w:t>（</w:t>
      </w:r>
      <w:r>
        <w:rPr>
          <w:rFonts w:ascii="Times New Roman" w:hAnsi="Times New Roman" w:cs="Times New Roman" w:eastAsia="Times New Roman" w:hint="default"/>
        </w:rPr>
        <w:t>2</w:t>
      </w:r>
      <w:r>
        <w:rPr/>
        <w:t>）本公司于</w:t>
      </w:r>
      <w:r>
        <w:rPr>
          <w:rFonts w:ascii="Times New Roman" w:hAnsi="Times New Roman" w:cs="Times New Roman" w:eastAsia="Times New Roman" w:hint="default"/>
        </w:rPr>
        <w:t>2013</w:t>
      </w:r>
      <w:r>
        <w:rPr/>
        <w:t>年以人民币</w:t>
      </w:r>
      <w:r>
        <w:rPr>
          <w:rFonts w:ascii="Times New Roman" w:hAnsi="Times New Roman" w:cs="Times New Roman" w:eastAsia="Times New Roman" w:hint="default"/>
        </w:rPr>
        <w:t>2,743,182.91</w:t>
      </w:r>
      <w:r>
        <w:rPr/>
        <w:t>元为合并成本购买上海华奕医疗信息技术有限公司</w:t>
      </w:r>
      <w:r>
        <w:rPr>
          <w:rFonts w:ascii="Times New Roman" w:hAnsi="Times New Roman" w:cs="Times New Roman" w:eastAsia="Times New Roman" w:hint="default"/>
        </w:rPr>
        <w:t>52%</w:t>
      </w:r>
      <w:r>
        <w:rPr/>
        <w:t>权</w:t>
      </w:r>
      <w:r>
        <w:rPr>
          <w:w w:val="100"/>
        </w:rPr>
        <w:t> </w:t>
      </w:r>
      <w:r>
        <w:rPr>
          <w:spacing w:val="11"/>
        </w:rPr>
        <w:t>益。归属于本公司的可辨认净资产在购买日的公允价值为人民币 </w:t>
      </w:r>
      <w:r>
        <w:rPr>
          <w:rFonts w:ascii="Times New Roman" w:hAnsi="Times New Roman" w:cs="Times New Roman" w:eastAsia="Times New Roman" w:hint="default"/>
          <w:spacing w:val="4"/>
        </w:rPr>
        <w:t>1,932,275.57</w:t>
      </w:r>
      <w:r>
        <w:rPr>
          <w:spacing w:val="4"/>
        </w:rPr>
        <w:t>元，两者的差额人民币</w:t>
      </w:r>
      <w:r>
        <w:rPr>
          <w:spacing w:val="-78"/>
        </w:rPr>
        <w:t> </w:t>
      </w:r>
      <w:r>
        <w:rPr>
          <w:spacing w:val="-78"/>
        </w:rPr>
      </w:r>
      <w:r>
        <w:rPr>
          <w:rFonts w:ascii="Times New Roman" w:hAnsi="Times New Roman" w:cs="Times New Roman" w:eastAsia="Times New Roman" w:hint="default"/>
        </w:rPr>
        <w:t>810,907.34</w:t>
      </w:r>
      <w:r>
        <w:rPr/>
        <w:t>元确认为商誉。</w:t>
      </w:r>
    </w:p>
    <w:p>
      <w:pPr>
        <w:pStyle w:val="Heading4"/>
        <w:spacing w:line="256" w:lineRule="auto" w:before="5"/>
        <w:ind w:right="1130" w:firstLine="420"/>
        <w:jc w:val="both"/>
      </w:pPr>
      <w:r>
        <w:rPr>
          <w:spacing w:val="-4"/>
        </w:rPr>
        <w:t>（</w:t>
      </w:r>
      <w:r>
        <w:rPr>
          <w:rFonts w:ascii="Times New Roman" w:hAnsi="Times New Roman" w:cs="Times New Roman" w:eastAsia="Times New Roman" w:hint="default"/>
          <w:spacing w:val="-4"/>
        </w:rPr>
        <w:t>3</w:t>
      </w:r>
      <w:r>
        <w:rPr>
          <w:spacing w:val="-4"/>
        </w:rPr>
        <w:t>）本公司于</w:t>
      </w:r>
      <w:r>
        <w:rPr>
          <w:rFonts w:ascii="Times New Roman" w:hAnsi="Times New Roman" w:cs="Times New Roman" w:eastAsia="Times New Roman" w:hint="default"/>
          <w:spacing w:val="-4"/>
        </w:rPr>
        <w:t>2014</w:t>
      </w:r>
      <w:r>
        <w:rPr>
          <w:spacing w:val="-4"/>
        </w:rPr>
        <w:t>年以人民币</w:t>
      </w:r>
      <w:r>
        <w:rPr>
          <w:rFonts w:ascii="Times New Roman" w:hAnsi="Times New Roman" w:cs="Times New Roman" w:eastAsia="Times New Roman" w:hint="default"/>
          <w:spacing w:val="-4"/>
        </w:rPr>
        <w:t>5</w:t>
      </w:r>
      <w:r>
        <w:rPr>
          <w:spacing w:val="-4"/>
        </w:rPr>
        <w:t>亿元为合并成本购买宁波金唐软件有限公司</w:t>
      </w:r>
      <w:r>
        <w:rPr>
          <w:rFonts w:ascii="Times New Roman" w:hAnsi="Times New Roman" w:cs="Times New Roman" w:eastAsia="Times New Roman" w:hint="default"/>
          <w:spacing w:val="-4"/>
        </w:rPr>
        <w:t>100%</w:t>
      </w:r>
      <w:r>
        <w:rPr>
          <w:spacing w:val="-4"/>
        </w:rPr>
        <w:t>权益。归属于本公司</w:t>
      </w:r>
      <w:r>
        <w:rPr>
          <w:w w:val="100"/>
        </w:rPr>
        <w:t> </w:t>
      </w:r>
      <w:r>
        <w:rPr>
          <w:spacing w:val="-2"/>
        </w:rPr>
        <w:t>的可辨认净资产在购买日的公允价值为人民币</w:t>
      </w:r>
      <w:r>
        <w:rPr>
          <w:rFonts w:ascii="Times New Roman" w:hAnsi="Times New Roman" w:cs="Times New Roman" w:eastAsia="Times New Roman" w:hint="default"/>
          <w:spacing w:val="-2"/>
        </w:rPr>
        <w:t>79,367,693.03</w:t>
      </w:r>
      <w:r>
        <w:rPr>
          <w:spacing w:val="-2"/>
        </w:rPr>
        <w:t>元，两者的差额人民币</w:t>
      </w:r>
      <w:r>
        <w:rPr>
          <w:rFonts w:ascii="Times New Roman" w:hAnsi="Times New Roman" w:cs="Times New Roman" w:eastAsia="Times New Roman" w:hint="default"/>
          <w:spacing w:val="-2"/>
        </w:rPr>
        <w:t>420,632,306.97</w:t>
      </w:r>
      <w:r>
        <w:rPr>
          <w:spacing w:val="-2"/>
        </w:rPr>
        <w:t>元确认为</w:t>
      </w:r>
      <w:r>
        <w:rPr>
          <w:spacing w:val="-19"/>
        </w:rPr>
        <w:t> </w:t>
      </w:r>
      <w:r>
        <w:rPr>
          <w:spacing w:val="-19"/>
        </w:rPr>
      </w:r>
      <w:r>
        <w:rPr/>
        <w:t>商誉。</w:t>
      </w:r>
    </w:p>
    <w:p>
      <w:pPr>
        <w:pStyle w:val="Heading4"/>
        <w:spacing w:line="256" w:lineRule="auto" w:before="22"/>
        <w:ind w:right="1128" w:firstLine="420"/>
        <w:jc w:val="both"/>
      </w:pPr>
      <w:r>
        <w:rPr>
          <w:spacing w:val="-3"/>
        </w:rPr>
        <w:t>（</w:t>
      </w:r>
      <w:r>
        <w:rPr>
          <w:rFonts w:ascii="Times New Roman" w:hAnsi="Times New Roman" w:cs="Times New Roman" w:eastAsia="Times New Roman" w:hint="default"/>
          <w:spacing w:val="-3"/>
        </w:rPr>
        <w:t>4</w:t>
      </w:r>
      <w:r>
        <w:rPr>
          <w:spacing w:val="-3"/>
        </w:rPr>
        <w:t>）本公司于</w:t>
      </w:r>
      <w:r>
        <w:rPr>
          <w:rFonts w:ascii="Times New Roman" w:hAnsi="Times New Roman" w:cs="Times New Roman" w:eastAsia="Times New Roman" w:hint="default"/>
          <w:spacing w:val="-3"/>
        </w:rPr>
        <w:t>2014</w:t>
      </w:r>
      <w:r>
        <w:rPr>
          <w:spacing w:val="-3"/>
        </w:rPr>
        <w:t>年以人民币</w:t>
      </w:r>
      <w:r>
        <w:rPr>
          <w:rFonts w:ascii="Times New Roman" w:hAnsi="Times New Roman" w:cs="Times New Roman" w:eastAsia="Times New Roman" w:hint="default"/>
          <w:spacing w:val="-3"/>
        </w:rPr>
        <w:t>6.5</w:t>
      </w:r>
      <w:r>
        <w:rPr>
          <w:spacing w:val="-3"/>
        </w:rPr>
        <w:t>亿元为合并成本购买上海复高计算机科技有限公司</w:t>
      </w:r>
      <w:r>
        <w:rPr>
          <w:rFonts w:ascii="Times New Roman" w:hAnsi="Times New Roman" w:cs="Times New Roman" w:eastAsia="Times New Roman" w:hint="default"/>
          <w:spacing w:val="-3"/>
        </w:rPr>
        <w:t>100%</w:t>
      </w:r>
      <w:r>
        <w:rPr>
          <w:spacing w:val="-3"/>
        </w:rPr>
        <w:t>权益。归属</w:t>
      </w:r>
      <w:r>
        <w:rPr>
          <w:w w:val="100"/>
        </w:rPr>
        <w:t> </w:t>
      </w:r>
      <w:r>
        <w:rPr>
          <w:spacing w:val="30"/>
        </w:rPr>
        <w:t>于本公司的可辨认净资产在购买日的公允价值为人民币</w:t>
      </w:r>
      <w:r>
        <w:rPr>
          <w:spacing w:val="-44"/>
        </w:rPr>
        <w:t> </w:t>
      </w:r>
      <w:r>
        <w:rPr>
          <w:rFonts w:ascii="Times New Roman" w:hAnsi="Times New Roman" w:cs="Times New Roman" w:eastAsia="Times New Roman" w:hint="default"/>
        </w:rPr>
        <w:t>138,509,097.13</w:t>
      </w:r>
      <w:r>
        <w:rPr>
          <w:rFonts w:ascii="Times New Roman" w:hAnsi="Times New Roman" w:cs="Times New Roman" w:eastAsia="Times New Roman" w:hint="default"/>
          <w:spacing w:val="1"/>
        </w:rPr>
        <w:t> </w:t>
      </w:r>
      <w:r>
        <w:rPr>
          <w:spacing w:val="28"/>
        </w:rPr>
        <w:t>元，两者的差额人民</w:t>
      </w:r>
      <w:r>
        <w:rPr>
          <w:spacing w:val="-47"/>
        </w:rPr>
        <w:t> </w:t>
      </w:r>
      <w:r>
        <w:rPr/>
        <w:t>币</w:t>
      </w:r>
      <w:r>
        <w:rPr>
          <w:spacing w:val="-85"/>
        </w:rPr>
        <w:t> </w:t>
      </w:r>
      <w:r>
        <w:rPr>
          <w:spacing w:val="-85"/>
        </w:rPr>
      </w:r>
      <w:r>
        <w:rPr>
          <w:rFonts w:ascii="Times New Roman" w:hAnsi="Times New Roman" w:cs="Times New Roman" w:eastAsia="Times New Roman" w:hint="default"/>
        </w:rPr>
        <w:t>511,490,902.87</w:t>
      </w:r>
      <w:r>
        <w:rPr/>
        <w:t>元确认为商誉。</w:t>
      </w:r>
    </w:p>
    <w:p>
      <w:pPr>
        <w:pStyle w:val="Heading4"/>
        <w:spacing w:line="256" w:lineRule="auto" w:before="5"/>
        <w:ind w:right="752" w:firstLine="420"/>
        <w:jc w:val="left"/>
      </w:pPr>
      <w:r>
        <w:rPr>
          <w:spacing w:val="-3"/>
          <w:w w:val="100"/>
        </w:rPr>
        <w:t>（</w:t>
      </w:r>
      <w:r>
        <w:rPr>
          <w:rFonts w:ascii="Times New Roman" w:hAnsi="Times New Roman" w:cs="Times New Roman" w:eastAsia="Times New Roman" w:hint="default"/>
          <w:spacing w:val="-3"/>
          <w:w w:val="100"/>
        </w:rPr>
        <w:t>5</w:t>
      </w:r>
      <w:r>
        <w:rPr>
          <w:spacing w:val="-3"/>
          <w:w w:val="100"/>
        </w:rPr>
        <w:t>）本公司于</w:t>
      </w:r>
      <w:r>
        <w:rPr>
          <w:rFonts w:ascii="Times New Roman" w:hAnsi="Times New Roman" w:cs="Times New Roman" w:eastAsia="Times New Roman" w:hint="default"/>
          <w:spacing w:val="-3"/>
          <w:w w:val="100"/>
        </w:rPr>
        <w:t>2015</w:t>
      </w:r>
      <w:r>
        <w:rPr>
          <w:spacing w:val="-3"/>
          <w:w w:val="100"/>
        </w:rPr>
        <w:t>年以人民币</w:t>
      </w:r>
      <w:r>
        <w:rPr>
          <w:rFonts w:ascii="Times New Roman" w:hAnsi="Times New Roman" w:cs="Times New Roman" w:eastAsia="Times New Roman" w:hint="default"/>
          <w:spacing w:val="-3"/>
          <w:w w:val="100"/>
        </w:rPr>
        <w:t>5,800.00</w:t>
      </w:r>
      <w:r>
        <w:rPr>
          <w:spacing w:val="-3"/>
          <w:w w:val="100"/>
        </w:rPr>
        <w:t>万元为合并成本购买湖南凯歌医疗信息技术有限公司</w:t>
      </w:r>
      <w:r>
        <w:rPr>
          <w:rFonts w:ascii="Times New Roman" w:hAnsi="Times New Roman" w:cs="Times New Roman" w:eastAsia="Times New Roman" w:hint="default"/>
          <w:spacing w:val="-3"/>
          <w:w w:val="100"/>
        </w:rPr>
        <w:t>100%</w:t>
      </w:r>
      <w:r>
        <w:rPr>
          <w:spacing w:val="-3"/>
          <w:w w:val="100"/>
        </w:rPr>
        <w:t>权益。</w:t>
      </w:r>
      <w:r>
        <w:rPr>
          <w:w w:val="100"/>
        </w:rPr>
        <w:t> </w:t>
      </w:r>
      <w:r>
        <w:rPr/>
        <w:t>归</w:t>
      </w:r>
      <w:r>
        <w:rPr>
          <w:spacing w:val="-78"/>
        </w:rPr>
        <w:t> </w:t>
      </w:r>
      <w:r>
        <w:rPr/>
        <w:t>属</w:t>
      </w:r>
      <w:r>
        <w:rPr>
          <w:spacing w:val="-78"/>
        </w:rPr>
        <w:t> </w:t>
      </w:r>
      <w:r>
        <w:rPr/>
        <w:t>于</w:t>
      </w:r>
      <w:r>
        <w:rPr>
          <w:spacing w:val="-78"/>
        </w:rPr>
        <w:t> </w:t>
      </w:r>
      <w:r>
        <w:rPr/>
        <w:t>本</w:t>
      </w:r>
      <w:r>
        <w:rPr>
          <w:spacing w:val="-78"/>
        </w:rPr>
        <w:t> </w:t>
      </w:r>
      <w:r>
        <w:rPr/>
        <w:t>公</w:t>
      </w:r>
      <w:r>
        <w:rPr>
          <w:spacing w:val="-78"/>
        </w:rPr>
        <w:t> </w:t>
      </w:r>
      <w:r>
        <w:rPr/>
        <w:t>司</w:t>
      </w:r>
      <w:r>
        <w:rPr>
          <w:spacing w:val="-78"/>
        </w:rPr>
        <w:t> </w:t>
      </w:r>
      <w:r>
        <w:rPr>
          <w:spacing w:val="11"/>
        </w:rPr>
        <w:t>的可</w:t>
      </w:r>
      <w:r>
        <w:rPr>
          <w:spacing w:val="-78"/>
        </w:rPr>
        <w:t> </w:t>
      </w:r>
      <w:r>
        <w:rPr/>
        <w:t>辨</w:t>
      </w:r>
      <w:r>
        <w:rPr>
          <w:spacing w:val="-78"/>
        </w:rPr>
        <w:t> </w:t>
      </w:r>
      <w:r>
        <w:rPr>
          <w:spacing w:val="11"/>
        </w:rPr>
        <w:t>认净</w:t>
      </w:r>
      <w:r>
        <w:rPr>
          <w:spacing w:val="-78"/>
        </w:rPr>
        <w:t> </w:t>
      </w:r>
      <w:r>
        <w:rPr/>
        <w:t>资</w:t>
      </w:r>
      <w:r>
        <w:rPr>
          <w:spacing w:val="-78"/>
        </w:rPr>
        <w:t> </w:t>
      </w:r>
      <w:r>
        <w:rPr/>
        <w:t>产</w:t>
      </w:r>
      <w:r>
        <w:rPr>
          <w:spacing w:val="-78"/>
        </w:rPr>
        <w:t> </w:t>
      </w:r>
      <w:r>
        <w:rPr/>
        <w:t>在</w:t>
      </w:r>
      <w:r>
        <w:rPr>
          <w:spacing w:val="-78"/>
        </w:rPr>
        <w:t> </w:t>
      </w:r>
      <w:r>
        <w:rPr/>
        <w:t>购</w:t>
      </w:r>
      <w:r>
        <w:rPr>
          <w:spacing w:val="-78"/>
        </w:rPr>
        <w:t> </w:t>
      </w:r>
      <w:r>
        <w:rPr/>
        <w:t>买</w:t>
      </w:r>
      <w:r>
        <w:rPr>
          <w:spacing w:val="-78"/>
        </w:rPr>
        <w:t> </w:t>
      </w:r>
      <w:r>
        <w:rPr>
          <w:spacing w:val="11"/>
        </w:rPr>
        <w:t>日的</w:t>
      </w:r>
      <w:r>
        <w:rPr>
          <w:spacing w:val="-78"/>
        </w:rPr>
        <w:t> </w:t>
      </w:r>
      <w:r>
        <w:rPr/>
        <w:t>公</w:t>
      </w:r>
      <w:r>
        <w:rPr>
          <w:spacing w:val="-78"/>
        </w:rPr>
        <w:t> </w:t>
      </w:r>
      <w:r>
        <w:rPr>
          <w:spacing w:val="11"/>
        </w:rPr>
        <w:t>允价</w:t>
      </w:r>
      <w:r>
        <w:rPr>
          <w:spacing w:val="-78"/>
        </w:rPr>
        <w:t> </w:t>
      </w:r>
      <w:r>
        <w:rPr/>
        <w:t>值</w:t>
      </w:r>
      <w:r>
        <w:rPr>
          <w:spacing w:val="-78"/>
        </w:rPr>
        <w:t> </w:t>
      </w:r>
      <w:r>
        <w:rPr/>
        <w:t>为</w:t>
      </w:r>
      <w:r>
        <w:rPr>
          <w:spacing w:val="-78"/>
        </w:rPr>
        <w:t> </w:t>
      </w:r>
      <w:r>
        <w:rPr/>
        <w:t>人</w:t>
      </w:r>
      <w:r>
        <w:rPr>
          <w:spacing w:val="-78"/>
        </w:rPr>
        <w:t> </w:t>
      </w:r>
      <w:r>
        <w:rPr/>
        <w:t>民</w:t>
      </w:r>
      <w:r>
        <w:rPr>
          <w:spacing w:val="-78"/>
        </w:rPr>
        <w:t> </w:t>
      </w:r>
      <w:r>
        <w:rPr/>
        <w:t>币</w:t>
      </w:r>
      <w:r>
        <w:rPr>
          <w:spacing w:val="-72"/>
        </w:rPr>
        <w:t> </w:t>
      </w:r>
      <w:r>
        <w:rPr>
          <w:rFonts w:ascii="Times New Roman" w:hAnsi="Times New Roman" w:cs="Times New Roman" w:eastAsia="Times New Roman" w:hint="default"/>
        </w:rPr>
        <w:t>4,894,375.36</w:t>
      </w:r>
      <w:r>
        <w:rPr>
          <w:rFonts w:ascii="Times New Roman" w:hAnsi="Times New Roman" w:cs="Times New Roman" w:eastAsia="Times New Roman" w:hint="default"/>
          <w:spacing w:val="-26"/>
        </w:rPr>
        <w:t> </w:t>
      </w:r>
      <w:r>
        <w:rPr/>
        <w:t>元</w:t>
      </w:r>
      <w:r>
        <w:rPr>
          <w:spacing w:val="-78"/>
        </w:rPr>
        <w:t> </w:t>
      </w:r>
      <w:r>
        <w:rPr/>
        <w:t>，</w:t>
      </w:r>
      <w:r>
        <w:rPr>
          <w:spacing w:val="-78"/>
        </w:rPr>
        <w:t> </w:t>
      </w:r>
      <w:r>
        <w:rPr/>
        <w:t>两</w:t>
      </w:r>
      <w:r>
        <w:rPr>
          <w:spacing w:val="-78"/>
        </w:rPr>
        <w:t> </w:t>
      </w:r>
      <w:r>
        <w:rPr/>
        <w:t>者</w:t>
      </w:r>
      <w:r>
        <w:rPr>
          <w:spacing w:val="-78"/>
        </w:rPr>
        <w:t> </w:t>
      </w:r>
      <w:r>
        <w:rPr/>
        <w:t>的</w:t>
      </w:r>
      <w:r>
        <w:rPr>
          <w:spacing w:val="-78"/>
        </w:rPr>
        <w:t> </w:t>
      </w:r>
      <w:r>
        <w:rPr/>
        <w:t>差</w:t>
      </w:r>
      <w:r>
        <w:rPr>
          <w:spacing w:val="-78"/>
        </w:rPr>
        <w:t> </w:t>
      </w:r>
      <w:r>
        <w:rPr>
          <w:spacing w:val="11"/>
        </w:rPr>
        <w:t>额人</w:t>
      </w:r>
      <w:r>
        <w:rPr>
          <w:spacing w:val="-78"/>
        </w:rPr>
        <w:t> </w:t>
      </w:r>
      <w:r>
        <w:rPr>
          <w:spacing w:val="11"/>
        </w:rPr>
        <w:t>民币</w:t>
      </w:r>
      <w:r>
        <w:rPr>
          <w:spacing w:val="-95"/>
        </w:rPr>
        <w:t> </w:t>
      </w:r>
      <w:r>
        <w:rPr>
          <w:spacing w:val="-95"/>
        </w:rPr>
      </w:r>
      <w:r>
        <w:rPr>
          <w:rFonts w:ascii="Times New Roman" w:hAnsi="Times New Roman" w:cs="Times New Roman" w:eastAsia="Times New Roman" w:hint="default"/>
        </w:rPr>
        <w:t>53,105,624.64</w:t>
      </w:r>
      <w:r>
        <w:rPr/>
        <w:t>元确认为商誉。</w:t>
      </w:r>
    </w:p>
    <w:p>
      <w:pPr>
        <w:pStyle w:val="Heading4"/>
        <w:spacing w:line="256" w:lineRule="auto" w:before="5"/>
        <w:ind w:right="1126" w:firstLine="420"/>
        <w:jc w:val="both"/>
      </w:pPr>
      <w:r>
        <w:rPr>
          <w:spacing w:val="-2"/>
        </w:rPr>
        <w:t>（</w:t>
      </w:r>
      <w:r>
        <w:rPr>
          <w:rFonts w:ascii="Times New Roman" w:hAnsi="Times New Roman" w:cs="Times New Roman" w:eastAsia="Times New Roman" w:hint="default"/>
          <w:spacing w:val="-2"/>
        </w:rPr>
        <w:t>6</w:t>
      </w:r>
      <w:r>
        <w:rPr>
          <w:spacing w:val="-2"/>
        </w:rPr>
        <w:t>）本公司于</w:t>
      </w:r>
      <w:r>
        <w:rPr>
          <w:rFonts w:ascii="Times New Roman" w:hAnsi="Times New Roman" w:cs="Times New Roman" w:eastAsia="Times New Roman" w:hint="default"/>
          <w:spacing w:val="-2"/>
        </w:rPr>
        <w:t>2015</w:t>
      </w:r>
      <w:r>
        <w:rPr>
          <w:spacing w:val="-2"/>
        </w:rPr>
        <w:t>年以人民币</w:t>
      </w:r>
      <w:r>
        <w:rPr>
          <w:rFonts w:ascii="Times New Roman" w:hAnsi="Times New Roman" w:cs="Times New Roman" w:eastAsia="Times New Roman" w:hint="default"/>
          <w:spacing w:val="-2"/>
        </w:rPr>
        <w:t>51,960,225.86</w:t>
      </w:r>
      <w:r>
        <w:rPr>
          <w:spacing w:val="-2"/>
        </w:rPr>
        <w:t>元为合并成本购买上海市民信箱信息服务有限公司</w:t>
      </w:r>
      <w:r>
        <w:rPr>
          <w:rFonts w:ascii="Times New Roman" w:hAnsi="Times New Roman" w:cs="Times New Roman" w:eastAsia="Times New Roman" w:hint="default"/>
          <w:spacing w:val="-2"/>
        </w:rPr>
        <w:t>61%</w:t>
      </w:r>
      <w:r>
        <w:rPr>
          <w:spacing w:val="-2"/>
        </w:rPr>
        <w:t>权</w:t>
      </w:r>
      <w:r>
        <w:rPr>
          <w:w w:val="100"/>
        </w:rPr>
        <w:t> </w:t>
      </w:r>
      <w:r>
        <w:rPr>
          <w:spacing w:val="6"/>
        </w:rPr>
        <w:t>益。归属于本公司的可辨认净资产在购买日的公允价值为人民币</w:t>
      </w:r>
      <w:r>
        <w:rPr>
          <w:rFonts w:ascii="Times New Roman" w:hAnsi="Times New Roman" w:cs="Times New Roman" w:eastAsia="Times New Roman" w:hint="default"/>
          <w:spacing w:val="6"/>
        </w:rPr>
        <w:t>23,115,456.19</w:t>
      </w:r>
      <w:r>
        <w:rPr>
          <w:spacing w:val="6"/>
        </w:rPr>
        <w:t>元，两者的差额人民币</w:t>
      </w:r>
      <w:r>
        <w:rPr>
          <w:spacing w:val="18"/>
        </w:rPr>
        <w:t> </w:t>
      </w:r>
      <w:r>
        <w:rPr>
          <w:spacing w:val="18"/>
        </w:rPr>
      </w:r>
      <w:r>
        <w:rPr>
          <w:rFonts w:ascii="Times New Roman" w:hAnsi="Times New Roman" w:cs="Times New Roman" w:eastAsia="Times New Roman" w:hint="default"/>
        </w:rPr>
        <w:t>28,844,769.67</w:t>
      </w:r>
      <w:r>
        <w:rPr/>
        <w:t>元确认为商誉。</w:t>
      </w:r>
    </w:p>
    <w:p>
      <w:pPr>
        <w:pStyle w:val="Heading4"/>
        <w:spacing w:line="256" w:lineRule="auto" w:before="5"/>
        <w:ind w:right="1129" w:firstLine="420"/>
        <w:jc w:val="both"/>
      </w:pPr>
      <w:r>
        <w:rPr/>
        <w:t>（</w:t>
      </w:r>
      <w:r>
        <w:rPr>
          <w:rFonts w:ascii="Times New Roman" w:hAnsi="Times New Roman" w:cs="Times New Roman" w:eastAsia="Times New Roman" w:hint="default"/>
        </w:rPr>
        <w:t>7</w:t>
      </w:r>
      <w:r>
        <w:rPr/>
        <w:t>）本公司于</w:t>
      </w:r>
      <w:r>
        <w:rPr>
          <w:rFonts w:ascii="Times New Roman" w:hAnsi="Times New Roman" w:cs="Times New Roman" w:eastAsia="Times New Roman" w:hint="default"/>
        </w:rPr>
        <w:t>2017</w:t>
      </w:r>
      <w:r>
        <w:rPr/>
        <w:t>年以人民币</w:t>
      </w:r>
      <w:r>
        <w:rPr>
          <w:rFonts w:ascii="Times New Roman" w:hAnsi="Times New Roman" w:cs="Times New Roman" w:eastAsia="Times New Roman" w:hint="default"/>
        </w:rPr>
        <w:t>200.00</w:t>
      </w:r>
      <w:r>
        <w:rPr/>
        <w:t>万元为合并成本购买四川万达健康数据有限公司</w:t>
      </w:r>
      <w:r>
        <w:rPr>
          <w:rFonts w:ascii="Times New Roman" w:hAnsi="Times New Roman" w:cs="Times New Roman" w:eastAsia="Times New Roman" w:hint="default"/>
        </w:rPr>
        <w:t>100%</w:t>
      </w:r>
      <w:r>
        <w:rPr/>
        <w:t>权益。归</w:t>
      </w:r>
      <w:r>
        <w:rPr>
          <w:w w:val="100"/>
        </w:rPr>
        <w:t> </w:t>
      </w:r>
      <w:r>
        <w:rPr>
          <w:spacing w:val="-1"/>
        </w:rPr>
        <w:t>属于本公司的可辨认净资产在购买日的公允价值为人民币</w:t>
      </w:r>
      <w:r>
        <w:rPr>
          <w:rFonts w:ascii="Times New Roman" w:hAnsi="Times New Roman" w:cs="Times New Roman" w:eastAsia="Times New Roman" w:hint="default"/>
          <w:spacing w:val="-1"/>
        </w:rPr>
        <w:t>143,282.97</w:t>
      </w:r>
      <w:r>
        <w:rPr>
          <w:spacing w:val="-1"/>
        </w:rPr>
        <w:t>元，两者的差额人民币</w:t>
      </w:r>
      <w:r>
        <w:rPr>
          <w:rFonts w:ascii="Times New Roman" w:hAnsi="Times New Roman" w:cs="Times New Roman" w:eastAsia="Times New Roman" w:hint="default"/>
          <w:spacing w:val="-1"/>
        </w:rPr>
        <w:t>1,856,717.03</w:t>
      </w:r>
      <w:r>
        <w:rPr>
          <w:spacing w:val="-1"/>
        </w:rPr>
        <w:t>元</w:t>
      </w:r>
      <w:r>
        <w:rPr>
          <w:spacing w:val="-22"/>
        </w:rPr>
        <w:t> </w:t>
      </w:r>
      <w:r>
        <w:rPr/>
        <w:t>确认为商誉。</w:t>
      </w:r>
    </w:p>
    <w:p>
      <w:pPr>
        <w:pStyle w:val="Heading4"/>
        <w:spacing w:line="256" w:lineRule="auto" w:before="22"/>
        <w:ind w:right="1130" w:firstLine="420"/>
        <w:jc w:val="both"/>
      </w:pPr>
      <w:r>
        <w:rPr/>
        <w:t>（</w:t>
      </w:r>
      <w:r>
        <w:rPr>
          <w:rFonts w:ascii="Times New Roman" w:hAnsi="Times New Roman" w:cs="Times New Roman" w:eastAsia="Times New Roman" w:hint="default"/>
        </w:rPr>
        <w:t>8</w:t>
      </w:r>
      <w:r>
        <w:rPr/>
        <w:t>）本公司于</w:t>
      </w:r>
      <w:r>
        <w:rPr>
          <w:rFonts w:ascii="Times New Roman" w:hAnsi="Times New Roman" w:cs="Times New Roman" w:eastAsia="Times New Roman" w:hint="default"/>
        </w:rPr>
        <w:t>2017</w:t>
      </w:r>
      <w:r>
        <w:rPr/>
        <w:t>年以人民币</w:t>
      </w:r>
      <w:r>
        <w:rPr>
          <w:rFonts w:ascii="Times New Roman" w:hAnsi="Times New Roman" w:cs="Times New Roman" w:eastAsia="Times New Roman" w:hint="default"/>
        </w:rPr>
        <w:t>1,200.00</w:t>
      </w:r>
      <w:r>
        <w:rPr/>
        <w:t>万元为合并成本购买宁波市万达数据应用服务有限公司公司</w:t>
      </w:r>
      <w:r>
        <w:rPr>
          <w:w w:val="100"/>
        </w:rPr>
        <w:t> </w:t>
      </w:r>
      <w:r>
        <w:rPr>
          <w:rFonts w:ascii="Times New Roman" w:hAnsi="Times New Roman" w:cs="Times New Roman" w:eastAsia="Times New Roman" w:hint="default"/>
          <w:spacing w:val="-2"/>
        </w:rPr>
        <w:t>100%</w:t>
      </w:r>
      <w:r>
        <w:rPr>
          <w:spacing w:val="-2"/>
        </w:rPr>
        <w:t>权益。归属于本公司的可辨认净资产在购买日的公允价值为人民币</w:t>
      </w:r>
      <w:r>
        <w:rPr>
          <w:rFonts w:ascii="Times New Roman" w:hAnsi="Times New Roman" w:cs="Times New Roman" w:eastAsia="Times New Roman" w:hint="default"/>
          <w:spacing w:val="-2"/>
        </w:rPr>
        <w:t>10,387,010.40</w:t>
      </w:r>
      <w:r>
        <w:rPr>
          <w:spacing w:val="-2"/>
        </w:rPr>
        <w:t>元，两者的差额人民</w:t>
      </w:r>
      <w:r>
        <w:rPr>
          <w:spacing w:val="-50"/>
        </w:rPr>
        <w:t> </w:t>
      </w:r>
      <w:r>
        <w:rPr>
          <w:spacing w:val="-50"/>
        </w:rPr>
      </w:r>
      <w:r>
        <w:rPr/>
        <w:t>币</w:t>
      </w:r>
      <w:r>
        <w:rPr>
          <w:rFonts w:ascii="Times New Roman" w:hAnsi="Times New Roman" w:cs="Times New Roman" w:eastAsia="Times New Roman" w:hint="default"/>
        </w:rPr>
        <w:t>1,612,989.60</w:t>
      </w:r>
      <w:r>
        <w:rPr/>
        <w:t>元确认为商誉。</w:t>
      </w:r>
    </w:p>
    <w:p>
      <w:pPr>
        <w:pStyle w:val="Heading4"/>
        <w:spacing w:line="240" w:lineRule="auto" w:before="5"/>
        <w:ind w:left="573" w:right="0"/>
        <w:jc w:val="left"/>
      </w:pPr>
      <w:r>
        <w:rPr/>
        <w:t>（</w:t>
      </w:r>
      <w:r>
        <w:rPr>
          <w:rFonts w:ascii="Times New Roman" w:hAnsi="Times New Roman" w:cs="Times New Roman" w:eastAsia="Times New Roman" w:hint="default"/>
        </w:rPr>
        <w:t>9</w:t>
      </w:r>
      <w:r>
        <w:rPr/>
        <w:t>）本公司于</w:t>
      </w:r>
      <w:r>
        <w:rPr>
          <w:rFonts w:ascii="Times New Roman" w:hAnsi="Times New Roman" w:cs="Times New Roman" w:eastAsia="Times New Roman" w:hint="default"/>
        </w:rPr>
        <w:t>2017</w:t>
      </w:r>
      <w:r>
        <w:rPr/>
        <w:t>年以人民币</w:t>
      </w:r>
      <w:r>
        <w:rPr>
          <w:rFonts w:ascii="Times New Roman" w:hAnsi="Times New Roman" w:cs="Times New Roman" w:eastAsia="Times New Roman" w:hint="default"/>
        </w:rPr>
        <w:t>3,500.00</w:t>
      </w:r>
      <w:r>
        <w:rPr/>
        <w:t>万元为合并成本购买万达志翔医疗科技（北京）有限责任公司</w:t>
      </w:r>
    </w:p>
    <w:p>
      <w:pPr>
        <w:pStyle w:val="Heading4"/>
        <w:spacing w:line="240" w:lineRule="auto" w:before="21"/>
        <w:ind w:right="0"/>
        <w:jc w:val="left"/>
      </w:pPr>
      <w:r>
        <w:rPr>
          <w:rFonts w:ascii="Times New Roman" w:hAnsi="Times New Roman" w:cs="Times New Roman" w:eastAsia="Times New Roman" w:hint="default"/>
        </w:rPr>
        <w:t>70%</w:t>
      </w:r>
      <w:r>
        <w:rPr/>
        <w:t>权益。归属于本公司的可辨认净资产在购买日的公允价值为人民币</w:t>
      </w:r>
      <w:r>
        <w:rPr>
          <w:rFonts w:ascii="Times New Roman" w:hAnsi="Times New Roman" w:cs="Times New Roman" w:eastAsia="Times New Roman" w:hint="default"/>
        </w:rPr>
        <w:t>24,702,342.19</w:t>
      </w:r>
      <w:r>
        <w:rPr/>
        <w:t>元，两者的差额人民</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2602"/>
        <w:jc w:val="left"/>
      </w:pPr>
      <w:r>
        <w:rPr/>
        <w:t>币</w:t>
      </w:r>
      <w:r>
        <w:rPr>
          <w:rFonts w:ascii="Times New Roman" w:hAnsi="Times New Roman" w:cs="Times New Roman" w:eastAsia="Times New Roman" w:hint="default"/>
        </w:rPr>
        <w:t>10,297,657.81</w:t>
      </w:r>
      <w:r>
        <w:rPr/>
        <w:t>元确认为商誉。</w:t>
      </w:r>
    </w:p>
    <w:p>
      <w:pPr>
        <w:spacing w:line="256" w:lineRule="auto" w:before="21"/>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Times New Roman" w:hAnsi="Times New Roman" w:cs="Times New Roman" w:eastAsia="Times New Roman" w:hint="default"/>
          <w:b/>
          <w:bCs/>
          <w:spacing w:val="35"/>
          <w:sz w:val="21"/>
          <w:szCs w:val="21"/>
        </w:rPr>
        <w:t> </w:t>
      </w:r>
      <w:r>
        <w:rPr>
          <w:rFonts w:ascii="宋体" w:hAnsi="宋体" w:cs="宋体" w:eastAsia="宋体" w:hint="default"/>
          <w:b/>
          <w:bCs/>
          <w:sz w:val="21"/>
          <w:szCs w:val="21"/>
        </w:rPr>
        <w:t>商誉所在资产组或资产组组合的相关信息</w:t>
      </w:r>
      <w:r>
        <w:rPr>
          <w:rFonts w:ascii="宋体" w:hAnsi="宋体" w:cs="宋体" w:eastAsia="宋体" w:hint="default"/>
          <w:b/>
          <w:bCs/>
          <w:w w:val="100"/>
          <w:sz w:val="21"/>
          <w:szCs w:val="21"/>
        </w:rPr>
        <w:t> </w:t>
      </w:r>
      <w:r>
        <w:rPr>
          <w:rFonts w:ascii="宋体" w:hAnsi="宋体" w:cs="宋体" w:eastAsia="宋体" w:hint="default"/>
          <w:sz w:val="21"/>
          <w:szCs w:val="21"/>
        </w:rPr>
        <w:t>本公司的所有商誉已于购买日分摊至相关的资产组或资产组组合，分摊情况根据经营分部汇总如下：</w:t>
      </w:r>
    </w:p>
    <w:p>
      <w:pPr>
        <w:spacing w:line="240" w:lineRule="auto" w:before="9"/>
        <w:rPr>
          <w:rFonts w:ascii="宋体" w:hAnsi="宋体" w:cs="宋体" w:eastAsia="宋体" w:hint="default"/>
          <w:sz w:val="2"/>
          <w:szCs w:val="2"/>
        </w:rPr>
      </w:pPr>
    </w:p>
    <w:tbl>
      <w:tblPr>
        <w:tblW w:w="0" w:type="auto"/>
        <w:jc w:val="left"/>
        <w:tblInd w:w="138" w:type="dxa"/>
        <w:tblLayout w:type="fixed"/>
        <w:tblCellMar>
          <w:top w:w="0" w:type="dxa"/>
          <w:left w:w="0" w:type="dxa"/>
          <w:bottom w:w="0" w:type="dxa"/>
          <w:right w:w="0" w:type="dxa"/>
        </w:tblCellMar>
        <w:tblLook w:val="01E0"/>
      </w:tblPr>
      <w:tblGrid>
        <w:gridCol w:w="4808"/>
        <w:gridCol w:w="2427"/>
        <w:gridCol w:w="2425"/>
      </w:tblGrid>
      <w:tr>
        <w:trPr>
          <w:trHeight w:val="341"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业务分部</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43"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44" w:right="0"/>
              <w:jc w:val="left"/>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10,152,998.55</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10,152,998.55</w:t>
            </w:r>
          </w:p>
        </w:tc>
      </w:tr>
      <w:tr>
        <w:trPr>
          <w:trHeight w:val="341"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上海华奕医疗信息技术有限公司</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810,907.34</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810,907.34</w:t>
            </w:r>
          </w:p>
        </w:tc>
      </w:tr>
      <w:tr>
        <w:trPr>
          <w:trHeight w:val="343"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44" w:right="0"/>
              <w:jc w:val="left"/>
              <w:rPr>
                <w:rFonts w:ascii="宋体" w:hAnsi="宋体" w:cs="宋体" w:eastAsia="宋体" w:hint="default"/>
                <w:sz w:val="18"/>
                <w:szCs w:val="18"/>
              </w:rPr>
            </w:pPr>
            <w:r>
              <w:rPr>
                <w:rFonts w:ascii="宋体" w:hAnsi="宋体" w:cs="宋体" w:eastAsia="宋体" w:hint="default"/>
                <w:sz w:val="18"/>
                <w:szCs w:val="18"/>
              </w:rPr>
              <w:t>宁波金唐业务资产组</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420,632,306.97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420,632,306.97</w:t>
            </w:r>
          </w:p>
        </w:tc>
      </w:tr>
      <w:tr>
        <w:trPr>
          <w:trHeight w:val="341"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上海复高业务资产组</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511,490,902.87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511,490,902.87</w:t>
            </w:r>
          </w:p>
        </w:tc>
      </w:tr>
      <w:tr>
        <w:trPr>
          <w:trHeight w:val="343"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44" w:right="0"/>
              <w:jc w:val="left"/>
              <w:rPr>
                <w:rFonts w:ascii="宋体" w:hAnsi="宋体" w:cs="宋体" w:eastAsia="宋体" w:hint="default"/>
                <w:sz w:val="18"/>
                <w:szCs w:val="18"/>
              </w:rPr>
            </w:pPr>
            <w:r>
              <w:rPr>
                <w:rFonts w:ascii="宋体" w:hAnsi="宋体" w:cs="宋体" w:eastAsia="宋体" w:hint="default"/>
                <w:sz w:val="18"/>
                <w:szCs w:val="18"/>
              </w:rPr>
              <w:t>湖南凯歌医疗业务资产组</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53,105,624.64</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53,105,624.64</w:t>
            </w:r>
          </w:p>
        </w:tc>
      </w:tr>
      <w:tr>
        <w:trPr>
          <w:trHeight w:val="341"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市民信箱市民云业务</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28,844,769.67</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28,844,769.67</w:t>
            </w:r>
          </w:p>
        </w:tc>
      </w:tr>
      <w:tr>
        <w:trPr>
          <w:trHeight w:val="343"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44" w:right="0"/>
              <w:jc w:val="left"/>
              <w:rPr>
                <w:rFonts w:ascii="宋体" w:hAnsi="宋体" w:cs="宋体" w:eastAsia="宋体" w:hint="default"/>
                <w:sz w:val="18"/>
                <w:szCs w:val="18"/>
              </w:rPr>
            </w:pPr>
            <w:r>
              <w:rPr>
                <w:rFonts w:ascii="宋体" w:hAnsi="宋体" w:cs="宋体" w:eastAsia="宋体" w:hint="default"/>
                <w:sz w:val="18"/>
                <w:szCs w:val="18"/>
              </w:rPr>
              <w:t>四川万达健康数据有限公司</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1,856,717.03</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1,856,717.03</w:t>
            </w:r>
          </w:p>
        </w:tc>
      </w:tr>
      <w:tr>
        <w:trPr>
          <w:trHeight w:val="341"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44" w:right="0"/>
              <w:jc w:val="left"/>
              <w:rPr>
                <w:rFonts w:ascii="宋体" w:hAnsi="宋体" w:cs="宋体" w:eastAsia="宋体" w:hint="default"/>
                <w:sz w:val="18"/>
                <w:szCs w:val="18"/>
              </w:rPr>
            </w:pPr>
            <w:r>
              <w:rPr>
                <w:rFonts w:ascii="宋体" w:hAnsi="宋体" w:cs="宋体" w:eastAsia="宋体" w:hint="default"/>
                <w:sz w:val="18"/>
                <w:szCs w:val="18"/>
              </w:rPr>
              <w:t>宁波市万达数据应用服务有限公司</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1,612,989.60</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1,612,989.60</w:t>
            </w:r>
          </w:p>
        </w:tc>
      </w:tr>
      <w:tr>
        <w:trPr>
          <w:trHeight w:val="343"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44" w:right="0"/>
              <w:jc w:val="left"/>
              <w:rPr>
                <w:rFonts w:ascii="宋体" w:hAnsi="宋体" w:cs="宋体" w:eastAsia="宋体" w:hint="default"/>
                <w:sz w:val="18"/>
                <w:szCs w:val="18"/>
              </w:rPr>
            </w:pPr>
            <w:r>
              <w:rPr>
                <w:rFonts w:ascii="宋体" w:hAnsi="宋体" w:cs="宋体" w:eastAsia="宋体" w:hint="default"/>
                <w:sz w:val="18"/>
                <w:szCs w:val="18"/>
              </w:rPr>
              <w:t>万达志翔医疗科技（北京）有限责任公司</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10,297,657.81</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27"/>
              <w:jc w:val="right"/>
              <w:rPr>
                <w:rFonts w:ascii="Times New Roman" w:hAnsi="Times New Roman" w:cs="Times New Roman" w:eastAsia="Times New Roman" w:hint="default"/>
                <w:sz w:val="18"/>
                <w:szCs w:val="18"/>
              </w:rPr>
            </w:pPr>
            <w:r>
              <w:rPr>
                <w:rFonts w:ascii="Times New Roman"/>
                <w:spacing w:val="-1"/>
                <w:sz w:val="18"/>
              </w:rPr>
              <w:t>10,297,657.81</w:t>
            </w:r>
          </w:p>
        </w:tc>
      </w:tr>
      <w:tr>
        <w:trPr>
          <w:trHeight w:val="343"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1,038,804,874.48</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27"/>
              <w:jc w:val="right"/>
              <w:rPr>
                <w:rFonts w:ascii="Times New Roman" w:hAnsi="Times New Roman" w:cs="Times New Roman" w:eastAsia="Times New Roman" w:hint="default"/>
                <w:sz w:val="18"/>
                <w:szCs w:val="18"/>
              </w:rPr>
            </w:pPr>
            <w:r>
              <w:rPr>
                <w:rFonts w:ascii="Times New Roman"/>
                <w:spacing w:val="-1"/>
                <w:sz w:val="18"/>
              </w:rPr>
              <w:t>1,038,804,874.48</w:t>
            </w:r>
          </w:p>
        </w:tc>
      </w:tr>
    </w:tbl>
    <w:p>
      <w:pPr>
        <w:pStyle w:val="Heading4"/>
        <w:spacing w:line="273" w:lineRule="auto" w:before="0"/>
        <w:ind w:right="0" w:firstLine="420"/>
        <w:jc w:val="left"/>
      </w:pPr>
      <w:r>
        <w:rPr>
          <w:spacing w:val="-3"/>
        </w:rPr>
        <w:t>在进行商誉减值测试时，本公司将相关资产（含商誉）的账面价值与其可收回金额进行比较，如果可</w:t>
      </w:r>
      <w:r>
        <w:rPr>
          <w:w w:val="100"/>
        </w:rPr>
        <w:t> </w:t>
      </w:r>
      <w:r>
        <w:rPr/>
        <w:t>收回金额低于账面价值，相关差额计入当期损益。本公司商誉分摊于</w:t>
      </w:r>
      <w:r>
        <w:rPr>
          <w:rFonts w:ascii="Times New Roman" w:hAnsi="Times New Roman" w:cs="Times New Roman" w:eastAsia="Times New Roman" w:hint="default"/>
        </w:rPr>
        <w:t>2019</w:t>
      </w:r>
      <w:r>
        <w:rPr/>
        <w:t>年度未发生变化。</w:t>
      </w:r>
    </w:p>
    <w:p>
      <w:pPr>
        <w:pStyle w:val="Heading3"/>
        <w:spacing w:line="279" w:lineRule="exact"/>
        <w:ind w:left="575" w:right="2602"/>
        <w:jc w:val="left"/>
        <w:rPr>
          <w:b w:val="0"/>
          <w:bCs w:val="0"/>
        </w:rPr>
      </w:pPr>
      <w:r>
        <w:rPr>
          <w:rFonts w:ascii="Times New Roman" w:hAnsi="Times New Roman" w:cs="Times New Roman" w:eastAsia="Times New Roman" w:hint="default"/>
        </w:rPr>
        <w:t>3. </w:t>
      </w:r>
      <w:r>
        <w:rPr>
          <w:rFonts w:ascii="Times New Roman" w:hAnsi="Times New Roman" w:cs="Times New Roman" w:eastAsia="Times New Roman" w:hint="default"/>
          <w:spacing w:val="2"/>
        </w:rPr>
        <w:t> </w:t>
      </w:r>
      <w:r>
        <w:rPr/>
        <w:t>评估方法的说明与选择</w:t>
      </w:r>
      <w:r>
        <w:rPr>
          <w:b w:val="0"/>
          <w:bCs w:val="0"/>
        </w:rPr>
      </w:r>
    </w:p>
    <w:p>
      <w:pPr>
        <w:pStyle w:val="Heading4"/>
        <w:spacing w:line="268" w:lineRule="auto" w:before="21"/>
        <w:ind w:right="0" w:firstLine="420"/>
        <w:jc w:val="left"/>
      </w:pPr>
      <w:r>
        <w:rPr>
          <w:spacing w:val="-5"/>
        </w:rPr>
        <w:t>根据《企业会计准则第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spacing w:val="-4"/>
        </w:rPr>
        <w:t>号</w:t>
      </w:r>
      <w:r>
        <w:rPr>
          <w:rFonts w:ascii="Times New Roman" w:hAnsi="Times New Roman" w:cs="Times New Roman" w:eastAsia="Times New Roman" w:hint="default"/>
          <w:spacing w:val="-4"/>
        </w:rPr>
        <w:t>——</w:t>
      </w:r>
      <w:r>
        <w:rPr>
          <w:spacing w:val="-4"/>
        </w:rPr>
        <w:t>资产减值》的要求，可收回金额应当根据资产的公允价值减去处置费</w:t>
      </w:r>
      <w:r>
        <w:rPr>
          <w:w w:val="100"/>
        </w:rPr>
        <w:t> </w:t>
      </w:r>
      <w:r>
        <w:rPr>
          <w:spacing w:val="-2"/>
        </w:rPr>
        <w:t>用后的净额与资产预计未来现金流量的现值两者之间较高者确定。商誉减值测试时采用的评估方法，应该</w:t>
      </w:r>
      <w:r>
        <w:rPr>
          <w:spacing w:val="-42"/>
        </w:rPr>
        <w:t> </w:t>
      </w:r>
      <w:r>
        <w:rPr>
          <w:spacing w:val="-42"/>
        </w:rPr>
      </w:r>
      <w:r>
        <w:rPr>
          <w:spacing w:val="-2"/>
        </w:rPr>
        <w:t>充分考虑与商誉形成以及前期商誉减值测试采用的评估方法的一致性。四川浩特通信有限公司、四川万达</w:t>
      </w:r>
      <w:r>
        <w:rPr>
          <w:spacing w:val="-42"/>
        </w:rPr>
        <w:t> </w:t>
      </w:r>
      <w:r>
        <w:rPr>
          <w:spacing w:val="-42"/>
        </w:rPr>
      </w:r>
      <w:r>
        <w:rPr>
          <w:spacing w:val="-5"/>
        </w:rPr>
        <w:t>健康数据有限公司以及万达志翔医疗科技（北京）有限责任公司以前期间的商誉减值测试方法选用成本法，</w:t>
      </w:r>
      <w:r>
        <w:rPr>
          <w:spacing w:val="-4"/>
        </w:rPr>
        <w:t> </w:t>
      </w:r>
      <w:r>
        <w:rPr>
          <w:spacing w:val="-4"/>
        </w:rPr>
      </w:r>
      <w:r>
        <w:rPr/>
        <w:t>相关商誉在以前期间已全额计提商誉减值准备，其余业务模块采用收益法中的现金流量折现模型。</w:t>
      </w:r>
    </w:p>
    <w:p>
      <w:pPr>
        <w:pStyle w:val="Heading3"/>
        <w:spacing w:line="240" w:lineRule="auto" w:before="12"/>
        <w:ind w:left="575" w:right="2602"/>
        <w:jc w:val="left"/>
        <w:rPr>
          <w:b w:val="0"/>
          <w:bCs w:val="0"/>
        </w:rPr>
      </w:pPr>
      <w:r>
        <w:rPr>
          <w:rFonts w:ascii="Times New Roman" w:hAnsi="Times New Roman" w:cs="Times New Roman" w:eastAsia="Times New Roman" w:hint="default"/>
        </w:rPr>
        <w:t>4. </w:t>
      </w:r>
      <w:r>
        <w:rPr>
          <w:rFonts w:ascii="Times New Roman" w:hAnsi="Times New Roman" w:cs="Times New Roman" w:eastAsia="Times New Roman" w:hint="default"/>
          <w:spacing w:val="2"/>
        </w:rPr>
        <w:t> </w:t>
      </w:r>
      <w:r>
        <w:rPr/>
        <w:t>采用未来现金流量折现方法的主要假设</w:t>
      </w:r>
      <w:r>
        <w:rPr>
          <w:b w:val="0"/>
          <w:bCs w:val="0"/>
        </w:rPr>
      </w:r>
    </w:p>
    <w:p>
      <w:pPr>
        <w:spacing w:line="240" w:lineRule="auto" w:before="8"/>
        <w:rPr>
          <w:rFonts w:ascii="宋体" w:hAnsi="宋体" w:cs="宋体" w:eastAsia="宋体" w:hint="default"/>
          <w:b/>
          <w:bCs/>
          <w:sz w:val="2"/>
          <w:szCs w:val="2"/>
        </w:rPr>
      </w:pPr>
    </w:p>
    <w:tbl>
      <w:tblPr>
        <w:tblW w:w="0" w:type="auto"/>
        <w:jc w:val="left"/>
        <w:tblInd w:w="138" w:type="dxa"/>
        <w:tblLayout w:type="fixed"/>
        <w:tblCellMar>
          <w:top w:w="0" w:type="dxa"/>
          <w:left w:w="0" w:type="dxa"/>
          <w:bottom w:w="0" w:type="dxa"/>
          <w:right w:w="0" w:type="dxa"/>
        </w:tblCellMar>
        <w:tblLook w:val="01E0"/>
      </w:tblPr>
      <w:tblGrid>
        <w:gridCol w:w="3279"/>
        <w:gridCol w:w="1757"/>
        <w:gridCol w:w="1323"/>
        <w:gridCol w:w="1760"/>
        <w:gridCol w:w="1541"/>
      </w:tblGrid>
      <w:tr>
        <w:trPr>
          <w:trHeight w:val="341" w:hRule="exact"/>
        </w:trPr>
        <w:tc>
          <w:tcPr>
            <w:tcW w:w="3279"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业务分部</w:t>
            </w:r>
          </w:p>
        </w:tc>
        <w:tc>
          <w:tcPr>
            <w:tcW w:w="638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r>
      <w:tr>
        <w:trPr>
          <w:trHeight w:val="343" w:hRule="exact"/>
        </w:trPr>
        <w:tc>
          <w:tcPr>
            <w:tcW w:w="3279" w:type="dxa"/>
            <w:vMerge/>
            <w:tcBorders>
              <w:left w:val="single" w:sz="4" w:space="0" w:color="000000"/>
              <w:bottom w:val="single" w:sz="4" w:space="0" w:color="000000"/>
              <w:right w:val="single" w:sz="4" w:space="0" w:color="000000"/>
            </w:tcBorders>
          </w:tcPr>
          <w:p>
            <w:pP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53" w:right="0"/>
              <w:jc w:val="left"/>
              <w:rPr>
                <w:rFonts w:ascii="宋体" w:hAnsi="宋体" w:cs="宋体" w:eastAsia="宋体" w:hint="default"/>
                <w:sz w:val="18"/>
                <w:szCs w:val="18"/>
              </w:rPr>
            </w:pPr>
            <w:r>
              <w:rPr>
                <w:rFonts w:ascii="宋体" w:hAnsi="宋体" w:cs="宋体" w:eastAsia="宋体" w:hint="default"/>
                <w:sz w:val="18"/>
                <w:szCs w:val="18"/>
              </w:rPr>
              <w:t>预测期平均增长率</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3"/>
              <w:jc w:val="right"/>
              <w:rPr>
                <w:rFonts w:ascii="宋体" w:hAnsi="宋体" w:cs="宋体" w:eastAsia="宋体" w:hint="default"/>
                <w:sz w:val="18"/>
                <w:szCs w:val="18"/>
              </w:rPr>
            </w:pPr>
            <w:r>
              <w:rPr>
                <w:rFonts w:ascii="宋体" w:hAnsi="宋体" w:cs="宋体" w:eastAsia="宋体" w:hint="default"/>
                <w:sz w:val="18"/>
                <w:szCs w:val="18"/>
              </w:rPr>
              <w:t>稳定期增长率</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56" w:right="0"/>
              <w:jc w:val="left"/>
              <w:rPr>
                <w:rFonts w:ascii="宋体" w:hAnsi="宋体" w:cs="宋体" w:eastAsia="宋体" w:hint="default"/>
                <w:sz w:val="18"/>
                <w:szCs w:val="18"/>
              </w:rPr>
            </w:pPr>
            <w:r>
              <w:rPr>
                <w:rFonts w:ascii="宋体" w:hAnsi="宋体" w:cs="宋体" w:eastAsia="宋体" w:hint="default"/>
                <w:sz w:val="18"/>
                <w:szCs w:val="18"/>
              </w:rPr>
              <w:t>预测期平均毛利率</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36" w:right="0"/>
              <w:jc w:val="left"/>
              <w:rPr>
                <w:rFonts w:ascii="宋体" w:hAnsi="宋体" w:cs="宋体" w:eastAsia="宋体" w:hint="default"/>
                <w:sz w:val="18"/>
                <w:szCs w:val="18"/>
              </w:rPr>
            </w:pPr>
            <w:r>
              <w:rPr>
                <w:rFonts w:ascii="宋体" w:hAnsi="宋体" w:cs="宋体" w:eastAsia="宋体" w:hint="default"/>
                <w:sz w:val="18"/>
                <w:szCs w:val="18"/>
              </w:rPr>
              <w:t>折现率（税前）</w:t>
            </w:r>
          </w:p>
        </w:tc>
      </w:tr>
      <w:tr>
        <w:trPr>
          <w:trHeight w:val="341" w:hRule="exact"/>
        </w:trPr>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上海华奕医疗信息技术有限公司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4"/>
              <w:jc w:val="right"/>
              <w:rPr>
                <w:rFonts w:ascii="Times New Roman" w:hAnsi="Times New Roman" w:cs="Times New Roman" w:eastAsia="Times New Roman" w:hint="default"/>
                <w:sz w:val="18"/>
                <w:szCs w:val="18"/>
              </w:rPr>
            </w:pPr>
            <w:r>
              <w:rPr>
                <w:rFonts w:ascii="Times New Roman"/>
                <w:sz w:val="18"/>
              </w:rPr>
              <w:t>8.00%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0.00%</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3"/>
              <w:jc w:val="right"/>
              <w:rPr>
                <w:rFonts w:ascii="Times New Roman" w:hAnsi="Times New Roman" w:cs="Times New Roman" w:eastAsia="Times New Roman" w:hint="default"/>
                <w:sz w:val="18"/>
                <w:szCs w:val="18"/>
              </w:rPr>
            </w:pPr>
            <w:r>
              <w:rPr>
                <w:rFonts w:ascii="Times New Roman"/>
                <w:sz w:val="18"/>
              </w:rPr>
              <w:t>71.75%</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2"/>
              <w:jc w:val="right"/>
              <w:rPr>
                <w:rFonts w:ascii="Times New Roman" w:hAnsi="Times New Roman" w:cs="Times New Roman" w:eastAsia="Times New Roman" w:hint="default"/>
                <w:sz w:val="18"/>
                <w:szCs w:val="18"/>
              </w:rPr>
            </w:pPr>
            <w:r>
              <w:rPr>
                <w:rFonts w:ascii="Times New Roman"/>
                <w:sz w:val="18"/>
              </w:rPr>
              <w:t>13.03%</w:t>
            </w:r>
          </w:p>
        </w:tc>
      </w:tr>
      <w:tr>
        <w:trPr>
          <w:trHeight w:val="343" w:hRule="exact"/>
        </w:trPr>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宁波金唐业务资产组</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8.78%</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0.00%</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3"/>
              <w:jc w:val="right"/>
              <w:rPr>
                <w:rFonts w:ascii="Times New Roman" w:hAnsi="Times New Roman" w:cs="Times New Roman" w:eastAsia="Times New Roman" w:hint="default"/>
                <w:sz w:val="18"/>
                <w:szCs w:val="18"/>
              </w:rPr>
            </w:pPr>
            <w:r>
              <w:rPr>
                <w:rFonts w:ascii="Times New Roman"/>
                <w:sz w:val="18"/>
              </w:rPr>
              <w:t>72.36%</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2"/>
              <w:jc w:val="right"/>
              <w:rPr>
                <w:rFonts w:ascii="Times New Roman" w:hAnsi="Times New Roman" w:cs="Times New Roman" w:eastAsia="Times New Roman" w:hint="default"/>
                <w:sz w:val="18"/>
                <w:szCs w:val="18"/>
              </w:rPr>
            </w:pPr>
            <w:r>
              <w:rPr>
                <w:rFonts w:ascii="Times New Roman"/>
                <w:sz w:val="18"/>
              </w:rPr>
              <w:t>12.59%</w:t>
            </w:r>
          </w:p>
        </w:tc>
      </w:tr>
      <w:tr>
        <w:trPr>
          <w:trHeight w:val="341" w:hRule="exact"/>
        </w:trPr>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上海复高业务资产组</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7.43%</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0.00%</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3"/>
              <w:jc w:val="right"/>
              <w:rPr>
                <w:rFonts w:ascii="Times New Roman" w:hAnsi="Times New Roman" w:cs="Times New Roman" w:eastAsia="Times New Roman" w:hint="default"/>
                <w:sz w:val="18"/>
                <w:szCs w:val="18"/>
              </w:rPr>
            </w:pPr>
            <w:r>
              <w:rPr>
                <w:rFonts w:ascii="Times New Roman"/>
                <w:sz w:val="18"/>
              </w:rPr>
              <w:t>42.36%</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2"/>
              <w:jc w:val="right"/>
              <w:rPr>
                <w:rFonts w:ascii="Times New Roman" w:hAnsi="Times New Roman" w:cs="Times New Roman" w:eastAsia="Times New Roman" w:hint="default"/>
                <w:sz w:val="18"/>
                <w:szCs w:val="18"/>
              </w:rPr>
            </w:pPr>
            <w:r>
              <w:rPr>
                <w:rFonts w:ascii="Times New Roman"/>
                <w:sz w:val="18"/>
              </w:rPr>
              <w:t>12.95%</w:t>
            </w:r>
          </w:p>
        </w:tc>
      </w:tr>
      <w:tr>
        <w:trPr>
          <w:trHeight w:val="343" w:hRule="exact"/>
        </w:trPr>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湖南凯歌医疗业务资产组</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4.98%</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0.00%</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3"/>
              <w:jc w:val="right"/>
              <w:rPr>
                <w:rFonts w:ascii="Times New Roman" w:hAnsi="Times New Roman" w:cs="Times New Roman" w:eastAsia="Times New Roman" w:hint="default"/>
                <w:sz w:val="18"/>
                <w:szCs w:val="18"/>
              </w:rPr>
            </w:pPr>
            <w:r>
              <w:rPr>
                <w:rFonts w:ascii="Times New Roman"/>
                <w:sz w:val="18"/>
              </w:rPr>
              <w:t>31.11%</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2"/>
              <w:jc w:val="right"/>
              <w:rPr>
                <w:rFonts w:ascii="Times New Roman" w:hAnsi="Times New Roman" w:cs="Times New Roman" w:eastAsia="Times New Roman" w:hint="default"/>
                <w:sz w:val="18"/>
                <w:szCs w:val="18"/>
              </w:rPr>
            </w:pPr>
            <w:r>
              <w:rPr>
                <w:rFonts w:ascii="Times New Roman"/>
                <w:sz w:val="18"/>
              </w:rPr>
              <w:t>13.50%</w:t>
            </w:r>
          </w:p>
        </w:tc>
      </w:tr>
      <w:tr>
        <w:trPr>
          <w:trHeight w:val="341" w:hRule="exact"/>
        </w:trPr>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市民信箱市民云业务</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2"/>
              <w:jc w:val="right"/>
              <w:rPr>
                <w:rFonts w:ascii="Times New Roman" w:hAnsi="Times New Roman" w:cs="Times New Roman" w:eastAsia="Times New Roman" w:hint="default"/>
                <w:sz w:val="18"/>
                <w:szCs w:val="18"/>
              </w:rPr>
            </w:pPr>
            <w:r>
              <w:rPr>
                <w:rFonts w:ascii="Times New Roman"/>
                <w:sz w:val="18"/>
              </w:rPr>
              <w:t>41.69%</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0.00%</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3"/>
              <w:jc w:val="right"/>
              <w:rPr>
                <w:rFonts w:ascii="Times New Roman" w:hAnsi="Times New Roman" w:cs="Times New Roman" w:eastAsia="Times New Roman" w:hint="default"/>
                <w:sz w:val="18"/>
                <w:szCs w:val="18"/>
              </w:rPr>
            </w:pPr>
            <w:r>
              <w:rPr>
                <w:rFonts w:ascii="Times New Roman"/>
                <w:sz w:val="18"/>
              </w:rPr>
              <w:t>57.38%</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2"/>
              <w:jc w:val="right"/>
              <w:rPr>
                <w:rFonts w:ascii="Times New Roman" w:hAnsi="Times New Roman" w:cs="Times New Roman" w:eastAsia="Times New Roman" w:hint="default"/>
                <w:sz w:val="18"/>
                <w:szCs w:val="18"/>
              </w:rPr>
            </w:pPr>
            <w:r>
              <w:rPr>
                <w:rFonts w:ascii="Times New Roman"/>
                <w:sz w:val="18"/>
              </w:rPr>
              <w:t>12.70%</w:t>
            </w:r>
          </w:p>
        </w:tc>
      </w:tr>
      <w:tr>
        <w:trPr>
          <w:trHeight w:val="343" w:hRule="exact"/>
        </w:trPr>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44" w:right="0"/>
              <w:jc w:val="left"/>
              <w:rPr>
                <w:rFonts w:ascii="宋体" w:hAnsi="宋体" w:cs="宋体" w:eastAsia="宋体" w:hint="default"/>
                <w:sz w:val="18"/>
                <w:szCs w:val="18"/>
              </w:rPr>
            </w:pPr>
            <w:r>
              <w:rPr>
                <w:rFonts w:ascii="宋体" w:hAnsi="宋体" w:cs="宋体" w:eastAsia="宋体" w:hint="default"/>
                <w:sz w:val="18"/>
                <w:szCs w:val="18"/>
              </w:rPr>
              <w:t>宁波市万达数据应用服务有限公司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9.00%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6"/>
              <w:jc w:val="right"/>
              <w:rPr>
                <w:rFonts w:ascii="Times New Roman" w:hAnsi="Times New Roman" w:cs="Times New Roman" w:eastAsia="Times New Roman" w:hint="default"/>
                <w:sz w:val="18"/>
                <w:szCs w:val="18"/>
              </w:rPr>
            </w:pPr>
            <w:r>
              <w:rPr>
                <w:rFonts w:ascii="Times New Roman"/>
                <w:sz w:val="18"/>
              </w:rPr>
              <w:t>0.00%</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3"/>
              <w:jc w:val="right"/>
              <w:rPr>
                <w:rFonts w:ascii="Times New Roman" w:hAnsi="Times New Roman" w:cs="Times New Roman" w:eastAsia="Times New Roman" w:hint="default"/>
                <w:sz w:val="18"/>
                <w:szCs w:val="18"/>
              </w:rPr>
            </w:pPr>
            <w:r>
              <w:rPr>
                <w:rFonts w:ascii="Times New Roman"/>
                <w:sz w:val="18"/>
              </w:rPr>
              <w:t>44.08%</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2"/>
              <w:jc w:val="right"/>
              <w:rPr>
                <w:rFonts w:ascii="Times New Roman" w:hAnsi="Times New Roman" w:cs="Times New Roman" w:eastAsia="Times New Roman" w:hint="default"/>
                <w:sz w:val="18"/>
                <w:szCs w:val="18"/>
              </w:rPr>
            </w:pPr>
            <w:r>
              <w:rPr>
                <w:rFonts w:ascii="Times New Roman"/>
                <w:sz w:val="18"/>
              </w:rPr>
              <w:t>13.85%</w:t>
            </w:r>
          </w:p>
        </w:tc>
      </w:tr>
    </w:tbl>
    <w:p>
      <w:pPr>
        <w:spacing w:line="256" w:lineRule="auto" w:before="0"/>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Times New Roman" w:hAnsi="Times New Roman" w:cs="Times New Roman" w:eastAsia="Times New Roman" w:hint="default"/>
          <w:b/>
          <w:bCs/>
          <w:spacing w:val="50"/>
          <w:sz w:val="21"/>
          <w:szCs w:val="21"/>
        </w:rPr>
        <w:t> </w:t>
      </w:r>
      <w:r>
        <w:rPr>
          <w:rFonts w:ascii="宋体" w:hAnsi="宋体" w:cs="宋体" w:eastAsia="宋体" w:hint="default"/>
          <w:b/>
          <w:bCs/>
          <w:sz w:val="21"/>
          <w:szCs w:val="21"/>
        </w:rPr>
        <w:t>商誉减值测试的方法</w:t>
      </w:r>
      <w:r>
        <w:rPr>
          <w:rFonts w:ascii="宋体" w:hAnsi="宋体" w:cs="宋体" w:eastAsia="宋体" w:hint="default"/>
          <w:b/>
          <w:bCs/>
          <w:spacing w:val="-104"/>
          <w:sz w:val="21"/>
          <w:szCs w:val="21"/>
        </w:rPr>
        <w:t> </w:t>
      </w:r>
      <w:r>
        <w:rPr>
          <w:rFonts w:ascii="宋体" w:hAnsi="宋体" w:cs="宋体" w:eastAsia="宋体" w:hint="default"/>
          <w:spacing w:val="-2"/>
          <w:sz w:val="21"/>
          <w:szCs w:val="21"/>
        </w:rPr>
        <w:t>资产负债表日，公司对前述采用现金流量折现模型测试的非同一控制下的企业并购形成的商誉进行了</w:t>
      </w:r>
    </w:p>
    <w:p>
      <w:pPr>
        <w:pStyle w:val="Heading4"/>
        <w:spacing w:line="268" w:lineRule="auto" w:before="23"/>
        <w:ind w:right="1126"/>
        <w:jc w:val="both"/>
      </w:pPr>
      <w:r>
        <w:rPr>
          <w:spacing w:val="-2"/>
        </w:rPr>
        <w:t>减值测试，在预计可回收金额时，采用了与商誉有关的资产组来预测其未来现金流量现值。公司管理层根</w:t>
      </w:r>
      <w:r>
        <w:rPr>
          <w:spacing w:val="-44"/>
        </w:rPr>
        <w:t> </w:t>
      </w:r>
      <w:r>
        <w:rPr>
          <w:spacing w:val="-44"/>
        </w:rPr>
      </w:r>
      <w:r>
        <w:rPr/>
        <w:t>据最近一期的财务预算来编制未来</w:t>
      </w:r>
      <w:r>
        <w:rPr>
          <w:rFonts w:ascii="Times New Roman" w:hAnsi="Times New Roman" w:cs="Times New Roman" w:eastAsia="Times New Roman" w:hint="default"/>
        </w:rPr>
        <w:t>5</w:t>
      </w:r>
      <w:r>
        <w:rPr/>
        <w:t>年（预算期）的现金流量预测，并推算之后年度的现金流量，并假定</w:t>
      </w:r>
      <w:r>
        <w:rPr>
          <w:spacing w:val="-23"/>
        </w:rPr>
        <w:t> </w:t>
      </w:r>
      <w:r>
        <w:rPr>
          <w:spacing w:val="-23"/>
        </w:rPr>
      </w:r>
      <w:r>
        <w:rPr>
          <w:spacing w:val="-5"/>
        </w:rPr>
        <w:t>超过</w:t>
      </w:r>
      <w:r>
        <w:rPr>
          <w:rFonts w:ascii="Times New Roman" w:hAnsi="Times New Roman" w:cs="Times New Roman" w:eastAsia="Times New Roman" w:hint="default"/>
          <w:spacing w:val="-5"/>
        </w:rPr>
        <w:t>5</w:t>
      </w:r>
      <w:r>
        <w:rPr>
          <w:spacing w:val="-5"/>
        </w:rPr>
        <w:t>年财务预算之后年份的现金流量保持稳定。在预计未来现金流量时，根据该资产组未来的战略目标、</w:t>
      </w:r>
      <w:r>
        <w:rPr>
          <w:spacing w:val="-7"/>
        </w:rPr>
        <w:t> </w:t>
      </w:r>
      <w:r>
        <w:rPr>
          <w:spacing w:val="-7"/>
        </w:rPr>
      </w:r>
      <w:r>
        <w:rPr>
          <w:spacing w:val="-2"/>
        </w:rPr>
        <w:t>业务发展及经营规划，通过结合历史年度的销售数据和预计市场需求变化、产品预期价格变化等诸因素进</w:t>
      </w:r>
      <w:r>
        <w:rPr>
          <w:spacing w:val="-43"/>
        </w:rPr>
        <w:t> </w:t>
      </w:r>
      <w:r>
        <w:rPr>
          <w:spacing w:val="-43"/>
        </w:rPr>
      </w:r>
      <w:r>
        <w:rPr>
          <w:spacing w:val="-2"/>
        </w:rPr>
        <w:t>行测算确定。在确定可收回金额所采用的折现率时，公司考虑了该资产组的行业资产回报率、预期外部资</w:t>
      </w:r>
      <w:r>
        <w:rPr>
          <w:spacing w:val="-44"/>
        </w:rPr>
        <w:t> </w:t>
      </w:r>
      <w:r>
        <w:rPr>
          <w:spacing w:val="-44"/>
        </w:rPr>
      </w:r>
      <w:r>
        <w:rPr>
          <w:spacing w:val="-2"/>
        </w:rPr>
        <w:t>金风险利率的变化等因素，通过对选取的可比公司相关数据进行分析后调整确定。另外对前述采用成本法</w:t>
      </w:r>
      <w:r>
        <w:rPr>
          <w:spacing w:val="-43"/>
        </w:rPr>
        <w:t> </w:t>
      </w:r>
      <w:r>
        <w:rPr>
          <w:spacing w:val="-43"/>
        </w:rPr>
      </w:r>
      <w:r>
        <w:rPr>
          <w:spacing w:val="-2"/>
        </w:rPr>
        <w:t>测试的非同一控制下的企业并购形成的商誉也进行了减值测试。截止资产负债表日，本公司商誉减值测试</w:t>
      </w:r>
      <w:r>
        <w:rPr>
          <w:spacing w:val="-44"/>
        </w:rPr>
        <w:t> </w:t>
      </w:r>
      <w:r>
        <w:rPr>
          <w:spacing w:val="-44"/>
        </w:rPr>
      </w:r>
      <w:r>
        <w:rPr/>
        <w:t>情况如下：</w:t>
      </w:r>
    </w:p>
    <w:p>
      <w:pPr>
        <w:pStyle w:val="BodyText"/>
        <w:spacing w:line="240" w:lineRule="auto" w:before="32"/>
        <w:ind w:left="0" w:right="1131"/>
        <w:jc w:val="right"/>
      </w:pPr>
      <w:r>
        <w:rPr/>
        <w:t>单位：万元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2703"/>
        <w:gridCol w:w="442"/>
        <w:gridCol w:w="833"/>
        <w:gridCol w:w="996"/>
        <w:gridCol w:w="852"/>
        <w:gridCol w:w="852"/>
        <w:gridCol w:w="850"/>
        <w:gridCol w:w="853"/>
        <w:gridCol w:w="902"/>
        <w:gridCol w:w="377"/>
      </w:tblGrid>
      <w:tr>
        <w:trPr>
          <w:trHeight w:val="1277" w:hRule="exact"/>
        </w:trPr>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业务分部</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7"/>
              <w:ind w:left="35" w:right="35"/>
              <w:jc w:val="both"/>
              <w:rPr>
                <w:rFonts w:ascii="宋体" w:hAnsi="宋体" w:cs="宋体" w:eastAsia="宋体" w:hint="default"/>
                <w:sz w:val="18"/>
                <w:szCs w:val="18"/>
              </w:rPr>
            </w:pPr>
            <w:r>
              <w:rPr>
                <w:rFonts w:ascii="宋体" w:hAnsi="宋体" w:cs="宋体" w:eastAsia="宋体" w:hint="default"/>
                <w:sz w:val="18"/>
                <w:szCs w:val="18"/>
              </w:rPr>
              <w:t>母公 司持 股比 例</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316" w:lineRule="auto"/>
              <w:ind w:left="230" w:right="139" w:hanging="89"/>
              <w:jc w:val="left"/>
              <w:rPr>
                <w:rFonts w:ascii="宋体" w:hAnsi="宋体" w:cs="宋体" w:eastAsia="宋体" w:hint="default"/>
                <w:sz w:val="18"/>
                <w:szCs w:val="18"/>
              </w:rPr>
            </w:pPr>
            <w:r>
              <w:rPr>
                <w:rFonts w:ascii="宋体" w:hAnsi="宋体" w:cs="宋体" w:eastAsia="宋体" w:hint="default"/>
                <w:sz w:val="18"/>
                <w:szCs w:val="18"/>
              </w:rPr>
              <w:t>母公司 商誉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7"/>
              <w:ind w:left="43" w:right="41"/>
              <w:jc w:val="center"/>
              <w:rPr>
                <w:rFonts w:ascii="宋体" w:hAnsi="宋体" w:cs="宋体" w:eastAsia="宋体" w:hint="default"/>
                <w:sz w:val="18"/>
                <w:szCs w:val="18"/>
              </w:rPr>
            </w:pPr>
            <w:r>
              <w:rPr>
                <w:rFonts w:ascii="宋体" w:hAnsi="宋体" w:cs="宋体" w:eastAsia="宋体" w:hint="default"/>
                <w:sz w:val="18"/>
                <w:szCs w:val="18"/>
              </w:rPr>
              <w:t>未确认归属 于少数股东 权益的商誉 价值</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58"/>
              <w:jc w:val="right"/>
              <w:rPr>
                <w:rFonts w:ascii="宋体" w:hAnsi="宋体" w:cs="宋体" w:eastAsia="宋体" w:hint="default"/>
                <w:sz w:val="18"/>
                <w:szCs w:val="18"/>
              </w:rPr>
            </w:pPr>
            <w:r>
              <w:rPr>
                <w:rFonts w:ascii="宋体" w:hAnsi="宋体" w:cs="宋体" w:eastAsia="宋体" w:hint="default"/>
                <w:sz w:val="18"/>
                <w:szCs w:val="18"/>
              </w:rPr>
              <w:t>商誉合计</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62" w:right="59"/>
              <w:jc w:val="center"/>
              <w:rPr>
                <w:rFonts w:ascii="宋体" w:hAnsi="宋体" w:cs="宋体" w:eastAsia="宋体" w:hint="default"/>
                <w:sz w:val="18"/>
                <w:szCs w:val="18"/>
              </w:rPr>
            </w:pPr>
            <w:r>
              <w:rPr>
                <w:rFonts w:ascii="宋体" w:hAnsi="宋体" w:cs="宋体" w:eastAsia="宋体" w:hint="default"/>
                <w:sz w:val="18"/>
                <w:szCs w:val="18"/>
              </w:rPr>
              <w:t>可辨认资 产组账面 价值</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62" w:right="55"/>
              <w:jc w:val="both"/>
              <w:rPr>
                <w:rFonts w:ascii="宋体" w:hAnsi="宋体" w:cs="宋体" w:eastAsia="宋体" w:hint="default"/>
                <w:sz w:val="18"/>
                <w:szCs w:val="18"/>
              </w:rPr>
            </w:pPr>
            <w:r>
              <w:rPr>
                <w:rFonts w:ascii="宋体" w:hAnsi="宋体" w:cs="宋体" w:eastAsia="宋体" w:hint="default"/>
                <w:sz w:val="18"/>
                <w:szCs w:val="18"/>
              </w:rPr>
              <w:t>包含商誉 的资产组 账面价值</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316" w:lineRule="auto"/>
              <w:ind w:left="243" w:right="147" w:hanging="90"/>
              <w:jc w:val="left"/>
              <w:rPr>
                <w:rFonts w:ascii="宋体" w:hAnsi="宋体" w:cs="宋体" w:eastAsia="宋体" w:hint="default"/>
                <w:sz w:val="18"/>
                <w:szCs w:val="18"/>
              </w:rPr>
            </w:pPr>
            <w:r>
              <w:rPr>
                <w:rFonts w:ascii="宋体" w:hAnsi="宋体" w:cs="宋体" w:eastAsia="宋体" w:hint="default"/>
                <w:sz w:val="18"/>
                <w:szCs w:val="18"/>
              </w:rPr>
              <w:t>可收回 金额</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316" w:lineRule="auto"/>
              <w:ind w:left="88" w:right="83"/>
              <w:jc w:val="left"/>
              <w:rPr>
                <w:rFonts w:ascii="宋体" w:hAnsi="宋体" w:cs="宋体" w:eastAsia="宋体" w:hint="default"/>
                <w:sz w:val="18"/>
                <w:szCs w:val="18"/>
              </w:rPr>
            </w:pPr>
            <w:r>
              <w:rPr>
                <w:rFonts w:ascii="宋体" w:hAnsi="宋体" w:cs="宋体" w:eastAsia="宋体" w:hint="default"/>
                <w:sz w:val="18"/>
                <w:szCs w:val="18"/>
              </w:rPr>
              <w:t>可收回－ 账面价值</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316" w:lineRule="auto"/>
              <w:ind w:left="-5" w:right="11"/>
              <w:jc w:val="left"/>
              <w:rPr>
                <w:rFonts w:ascii="宋体" w:hAnsi="宋体" w:cs="宋体" w:eastAsia="宋体" w:hint="default"/>
                <w:sz w:val="18"/>
                <w:szCs w:val="18"/>
              </w:rPr>
            </w:pPr>
            <w:r>
              <w:rPr>
                <w:rFonts w:ascii="宋体" w:hAnsi="宋体" w:cs="宋体" w:eastAsia="宋体" w:hint="default"/>
                <w:sz w:val="18"/>
                <w:szCs w:val="18"/>
              </w:rPr>
              <w:t>是否 减值</w:t>
            </w:r>
          </w:p>
        </w:tc>
      </w:tr>
      <w:tr>
        <w:trPr>
          <w:trHeight w:val="343" w:hRule="exact"/>
        </w:trPr>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上海华奕医疗信息技术有限公司</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8" w:right="0"/>
              <w:jc w:val="center"/>
              <w:rPr>
                <w:rFonts w:ascii="Times New Roman" w:hAnsi="Times New Roman" w:cs="Times New Roman" w:eastAsia="Times New Roman" w:hint="default"/>
                <w:sz w:val="18"/>
                <w:szCs w:val="18"/>
              </w:rPr>
            </w:pPr>
            <w:r>
              <w:rPr>
                <w:rFonts w:ascii="Times New Roman"/>
                <w:sz w:val="18"/>
              </w:rPr>
              <w:t>52%</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z w:val="18"/>
              </w:rPr>
              <w:t>81.09</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z w:val="18"/>
              </w:rPr>
              <w:t>74.85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155.94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8.24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164.18</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700.00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535.82</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1" w:hRule="exact"/>
        </w:trPr>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宁波金唐业务资产组</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7" w:right="0"/>
              <w:jc w:val="center"/>
              <w:rPr>
                <w:rFonts w:ascii="Times New Roman" w:hAnsi="Times New Roman" w:cs="Times New Roman" w:eastAsia="Times New Roman" w:hint="default"/>
                <w:sz w:val="18"/>
                <w:szCs w:val="18"/>
              </w:rPr>
            </w:pPr>
            <w:r>
              <w:rPr>
                <w:rFonts w:ascii="Times New Roman"/>
                <w:sz w:val="18"/>
              </w:rPr>
              <w:t>100%</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42,063.23</w:t>
            </w:r>
          </w:p>
        </w:tc>
        <w:tc>
          <w:tcPr>
            <w:tcW w:w="99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42,063.23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152.88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42,216.11</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44,000.00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1,783.89</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3" w:hRule="exact"/>
        </w:trPr>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上海复高业务资产组</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7" w:right="0"/>
              <w:jc w:val="center"/>
              <w:rPr>
                <w:rFonts w:ascii="Times New Roman" w:hAnsi="Times New Roman" w:cs="Times New Roman" w:eastAsia="Times New Roman" w:hint="default"/>
                <w:sz w:val="18"/>
                <w:szCs w:val="18"/>
              </w:rPr>
            </w:pPr>
            <w:r>
              <w:rPr>
                <w:rFonts w:ascii="Times New Roman"/>
                <w:sz w:val="18"/>
              </w:rPr>
              <w:t>100%</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51,149.09</w:t>
            </w:r>
          </w:p>
        </w:tc>
        <w:tc>
          <w:tcPr>
            <w:tcW w:w="99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51,149.09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z w:val="18"/>
              </w:rPr>
              <w:t>15.32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51,164.41</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42,200.00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-8,964.41</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41" w:hRule="exact"/>
        </w:trPr>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湖南凯歌医疗业务资产组</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7" w:right="0"/>
              <w:jc w:val="center"/>
              <w:rPr>
                <w:rFonts w:ascii="Times New Roman" w:hAnsi="Times New Roman" w:cs="Times New Roman" w:eastAsia="Times New Roman" w:hint="default"/>
                <w:sz w:val="18"/>
                <w:szCs w:val="18"/>
              </w:rPr>
            </w:pPr>
            <w:r>
              <w:rPr>
                <w:rFonts w:ascii="Times New Roman"/>
                <w:sz w:val="18"/>
              </w:rPr>
              <w:t>100%</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w w:val="95"/>
                <w:sz w:val="18"/>
              </w:rPr>
              <w:t>5,310.56</w:t>
            </w:r>
          </w:p>
        </w:tc>
        <w:tc>
          <w:tcPr>
            <w:tcW w:w="99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5,310.56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2.32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5,312.88</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5,400.00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87.12</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3" w:hRule="exact"/>
        </w:trPr>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市民信箱市民云业务</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8" w:right="0"/>
              <w:jc w:val="center"/>
              <w:rPr>
                <w:rFonts w:ascii="Times New Roman" w:hAnsi="Times New Roman" w:cs="Times New Roman" w:eastAsia="Times New Roman" w:hint="default"/>
                <w:sz w:val="18"/>
                <w:szCs w:val="18"/>
              </w:rPr>
            </w:pPr>
            <w:r>
              <w:rPr>
                <w:rFonts w:ascii="Times New Roman"/>
                <w:sz w:val="18"/>
              </w:rPr>
              <w:t>61%</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w w:val="95"/>
                <w:sz w:val="18"/>
              </w:rPr>
              <w:t>2,884.48</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w w:val="95"/>
                <w:sz w:val="18"/>
              </w:rPr>
              <w:t>1,837.98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w w:val="95"/>
                <w:sz w:val="18"/>
              </w:rPr>
              <w:t>4,722.46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w w:val="95"/>
                <w:sz w:val="18"/>
              </w:rPr>
              <w:t>1,404.69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w w:val="95"/>
                <w:sz w:val="18"/>
              </w:rPr>
              <w:t>6,127.15</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w w:val="95"/>
                <w:sz w:val="18"/>
              </w:rPr>
              <w:t>9,600.00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w w:val="95"/>
                <w:sz w:val="18"/>
              </w:rPr>
              <w:t>3,472.85</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1" w:hRule="exact"/>
        </w:trPr>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12"/>
              <w:jc w:val="left"/>
              <w:rPr>
                <w:rFonts w:ascii="宋体" w:hAnsi="宋体" w:cs="宋体" w:eastAsia="宋体" w:hint="default"/>
                <w:sz w:val="18"/>
                <w:szCs w:val="18"/>
              </w:rPr>
            </w:pPr>
            <w:r>
              <w:rPr>
                <w:rFonts w:ascii="宋体" w:hAnsi="宋体" w:cs="宋体" w:eastAsia="宋体" w:hint="default"/>
                <w:sz w:val="18"/>
                <w:szCs w:val="18"/>
              </w:rPr>
              <w:t>宁波市万达数据应用服务有限公司</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7" w:right="0"/>
              <w:jc w:val="center"/>
              <w:rPr>
                <w:rFonts w:ascii="Times New Roman" w:hAnsi="Times New Roman" w:cs="Times New Roman" w:eastAsia="Times New Roman" w:hint="default"/>
                <w:sz w:val="18"/>
                <w:szCs w:val="18"/>
              </w:rPr>
            </w:pPr>
            <w:r>
              <w:rPr>
                <w:rFonts w:ascii="Times New Roman"/>
                <w:sz w:val="18"/>
              </w:rPr>
              <w:t>100%</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161.30</w:t>
            </w:r>
          </w:p>
        </w:tc>
        <w:tc>
          <w:tcPr>
            <w:tcW w:w="99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161.30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4,074.44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4,235.74</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4,000.00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-235.74</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43" w:hRule="exact"/>
        </w:trPr>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442" w:type="dxa"/>
            <w:tcBorders>
              <w:top w:val="single" w:sz="4" w:space="0" w:color="000000"/>
              <w:left w:val="single" w:sz="4" w:space="0" w:color="000000"/>
              <w:bottom w:val="single" w:sz="4" w:space="0" w:color="000000"/>
              <w:right w:val="single" w:sz="4" w:space="0" w:color="000000"/>
            </w:tcBorders>
          </w:tcPr>
          <w:p>
            <w:pP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101,649.75</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w w:val="95"/>
                <w:sz w:val="18"/>
              </w:rPr>
              <w:t>1,912.83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103,562.58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w w:val="95"/>
                <w:sz w:val="18"/>
              </w:rPr>
              <w:t>5,657.89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109,220.47</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z w:val="18"/>
              </w:rPr>
              <w:t>105,900.00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-3,320.47</w:t>
            </w:r>
          </w:p>
        </w:tc>
        <w:tc>
          <w:tcPr>
            <w:tcW w:w="37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49"/>
        <w:ind w:right="9068"/>
        <w:jc w:val="left"/>
      </w:pPr>
      <w:r>
        <w:rPr/>
        <w:t>商誉减值测试的影响 无</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6"/>
          <w:szCs w:val="26"/>
        </w:rPr>
      </w:pPr>
    </w:p>
    <w:p>
      <w:pPr>
        <w:pStyle w:val="Heading3"/>
        <w:spacing w:line="240" w:lineRule="auto"/>
        <w:ind w:right="2602"/>
        <w:jc w:val="left"/>
        <w:rPr>
          <w:b w:val="0"/>
          <w:bCs w:val="0"/>
        </w:rPr>
      </w:pPr>
      <w:bookmarkStart w:name="29、长期待摊费用" w:id="320"/>
      <w:bookmarkEnd w:id="320"/>
      <w:r>
        <w:rPr>
          <w:b w:val="0"/>
          <w:bCs w:val="0"/>
        </w:rPr>
      </w:r>
      <w:r>
        <w:rPr>
          <w:rFonts w:ascii="Times New Roman" w:hAnsi="Times New Roman" w:cs="Times New Roman" w:eastAsia="Times New Roman" w:hint="default"/>
        </w:rPr>
        <w:t>29</w:t>
      </w:r>
      <w:r>
        <w:rPr/>
        <w:t>、长期待摊费用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装修款</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7,152,280.15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36,622,594.95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11,939,645.11</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31,835,229.99</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工程维护费</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1,208,455.81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2,889,685.11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915,633.72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3,182,507.20</w:t>
            </w:r>
          </w:p>
        </w:tc>
      </w:tr>
      <w:tr>
        <w:trPr>
          <w:trHeight w:val="40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8,360,735.96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39,512,280.06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12,855,278.83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35,017,737.19</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0、递延所得税资产/递延所得税负债" w:id="321"/>
      <w:bookmarkEnd w:id="321"/>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7"/>
        <w:rPr>
          <w:rFonts w:ascii="宋体" w:hAnsi="宋体" w:cs="宋体" w:eastAsia="宋体" w:hint="default"/>
          <w:b/>
          <w:bCs/>
          <w:sz w:val="24"/>
          <w:szCs w:val="24"/>
        </w:rPr>
      </w:pPr>
    </w:p>
    <w:p>
      <w:pPr>
        <w:pStyle w:val="Heading3"/>
        <w:spacing w:line="506" w:lineRule="auto"/>
        <w:ind w:left="573" w:right="7712" w:hanging="421"/>
        <w:jc w:val="left"/>
        <w:rPr>
          <w:rFonts w:ascii="宋体" w:hAnsi="宋体" w:cs="宋体" w:eastAsia="宋体" w:hint="default"/>
          <w:b w:val="0"/>
          <w:bCs w:val="0"/>
        </w:rPr>
      </w:pPr>
      <w:bookmarkStart w:name="（1）未经抵销的递延所得税资产" w:id="322"/>
      <w:bookmarkEnd w:id="322"/>
      <w:r>
        <w:rPr>
          <w:b w:val="0"/>
          <w:bCs w:val="0"/>
        </w:rPr>
      </w:r>
      <w:r>
        <w:rPr>
          <w:spacing w:val="-1"/>
        </w:rPr>
        <w:t>（</w:t>
      </w:r>
      <w:r>
        <w:rPr>
          <w:rFonts w:ascii="Times New Roman" w:hAnsi="Times New Roman" w:cs="Times New Roman" w:eastAsia="Times New Roman" w:hint="default"/>
          <w:spacing w:val="-1"/>
        </w:rPr>
        <w:t>1</w:t>
      </w:r>
      <w:r>
        <w:rPr>
          <w:spacing w:val="-1"/>
        </w:rPr>
        <w:t>）未经抵销的递延所得税资产</w:t>
      </w:r>
      <w:r>
        <w:rPr>
          <w:spacing w:val="-92"/>
        </w:rPr>
        <w:t> </w:t>
      </w:r>
      <w:r>
        <w:rPr>
          <w:spacing w:val="-92"/>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2）未经抵销的递延所得税负债" w:id="323"/>
      <w:bookmarkEnd w:id="323"/>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977"/>
        <w:gridCol w:w="1987"/>
        <w:gridCol w:w="1700"/>
        <w:gridCol w:w="1561"/>
        <w:gridCol w:w="1349"/>
      </w:tblGrid>
      <w:tr>
        <w:trPr>
          <w:trHeight w:val="404" w:hRule="exact"/>
        </w:trPr>
        <w:tc>
          <w:tcPr>
            <w:tcW w:w="29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0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977" w:type="dxa"/>
            <w:vMerge/>
            <w:tcBorders>
              <w:left w:val="single" w:sz="4" w:space="0" w:color="000000"/>
              <w:bottom w:val="single" w:sz="4" w:space="0" w:color="000000"/>
              <w:right w:val="single" w:sz="4" w:space="0" w:color="000000"/>
            </w:tcBorders>
            <w:shd w:val="clear" w:color="auto" w:fill="D2D2D2"/>
          </w:tcPr>
          <w:p>
            <w:pPr/>
          </w:p>
        </w:tc>
        <w:tc>
          <w:tcPr>
            <w:tcW w:w="1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其他非流动金融资产公允价值变动</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58,057,033.98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8,708,555.10</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58,057,033.98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8,708,555.10</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以抵销后净额列示的递延所得税资产或负债" w:id="324"/>
      <w:bookmarkEnd w:id="324"/>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913"/>
        <w:gridCol w:w="1905"/>
        <w:gridCol w:w="1914"/>
        <w:gridCol w:w="1914"/>
        <w:gridCol w:w="1914"/>
      </w:tblGrid>
      <w:tr>
        <w:trPr>
          <w:trHeight w:val="161"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0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400" w:right="52"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320" w:right="51"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412" w:right="49"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320" w:right="50"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2" w:hRule="exact"/>
        </w:trPr>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3"/>
              <w:jc w:val="center"/>
              <w:rPr>
                <w:rFonts w:ascii="宋体" w:hAnsi="宋体" w:cs="宋体" w:eastAsia="宋体" w:hint="default"/>
                <w:sz w:val="18"/>
                <w:szCs w:val="18"/>
              </w:rPr>
            </w:pPr>
            <w:r>
              <w:rPr>
                <w:rFonts w:ascii="宋体" w:hAnsi="宋体" w:cs="宋体" w:eastAsia="宋体" w:hint="default"/>
                <w:sz w:val="18"/>
                <w:szCs w:val="18"/>
              </w:rPr>
              <w:t>项目</w:t>
            </w:r>
          </w:p>
        </w:tc>
        <w:tc>
          <w:tcPr>
            <w:tcW w:w="1905"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r>
      <w:tr>
        <w:trPr>
          <w:trHeight w:val="161"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05"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05"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34" w:right="0"/>
              <w:jc w:val="left"/>
              <w:rPr>
                <w:rFonts w:ascii="Times New Roman" w:hAnsi="Times New Roman" w:cs="Times New Roman" w:eastAsia="Times New Roman" w:hint="default"/>
                <w:sz w:val="18"/>
                <w:szCs w:val="18"/>
              </w:rPr>
            </w:pPr>
            <w:r>
              <w:rPr>
                <w:rFonts w:ascii="Times New Roman"/>
                <w:sz w:val="18"/>
              </w:rPr>
              <w:t>8,708,555.10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35" w:right="0"/>
              <w:jc w:val="left"/>
              <w:rPr>
                <w:rFonts w:ascii="Times New Roman" w:hAnsi="Times New Roman" w:cs="Times New Roman" w:eastAsia="Times New Roman" w:hint="default"/>
                <w:sz w:val="18"/>
                <w:szCs w:val="18"/>
              </w:rPr>
            </w:pPr>
            <w:r>
              <w:rPr>
                <w:rFonts w:ascii="Times New Roman"/>
                <w:sz w:val="18"/>
              </w:rPr>
              <w:t>7,621,095.18</w:t>
            </w:r>
          </w:p>
        </w:tc>
      </w:tr>
    </w:tbl>
    <w:p>
      <w:pPr>
        <w:spacing w:line="240" w:lineRule="auto" w:before="3"/>
        <w:rPr>
          <w:rFonts w:ascii="宋体" w:hAnsi="宋体" w:cs="宋体" w:eastAsia="宋体" w:hint="default"/>
          <w:sz w:val="19"/>
          <w:szCs w:val="19"/>
        </w:rPr>
      </w:pPr>
    </w:p>
    <w:p>
      <w:pPr>
        <w:pStyle w:val="Heading3"/>
        <w:spacing w:line="506" w:lineRule="auto" w:before="36"/>
        <w:ind w:left="573" w:right="7712" w:hanging="421"/>
        <w:jc w:val="left"/>
        <w:rPr>
          <w:rFonts w:ascii="宋体" w:hAnsi="宋体" w:cs="宋体" w:eastAsia="宋体" w:hint="default"/>
          <w:b w:val="0"/>
          <w:bCs w:val="0"/>
        </w:rPr>
      </w:pPr>
      <w:bookmarkStart w:name="（4）未确认递延所得税资产明细" w:id="325"/>
      <w:bookmarkEnd w:id="325"/>
      <w:r>
        <w:rPr>
          <w:b w:val="0"/>
          <w:bCs w:val="0"/>
        </w:rPr>
      </w:r>
      <w:r>
        <w:rPr>
          <w:spacing w:val="-1"/>
        </w:rPr>
        <w:t>（</w:t>
      </w:r>
      <w:r>
        <w:rPr>
          <w:rFonts w:ascii="Times New Roman" w:hAnsi="Times New Roman" w:cs="Times New Roman" w:eastAsia="Times New Roman" w:hint="default"/>
          <w:spacing w:val="-1"/>
        </w:rPr>
        <w:t>4</w:t>
      </w:r>
      <w:r>
        <w:rPr>
          <w:spacing w:val="-1"/>
        </w:rPr>
        <w:t>）未确认递延所得税资产明细</w:t>
      </w:r>
      <w:r>
        <w:rPr>
          <w:spacing w:val="-92"/>
        </w:rPr>
        <w:t> </w:t>
      </w:r>
      <w:r>
        <w:rPr>
          <w:spacing w:val="-92"/>
        </w:rPr>
      </w:r>
      <w:r>
        <w:rPr>
          <w:rFonts w:ascii="宋体" w:hAnsi="宋体" w:cs="宋体" w:eastAsia="宋体" w:hint="default"/>
          <w:b w:val="0"/>
          <w:bCs w:val="0"/>
        </w:rPr>
        <w:t>无</w:t>
      </w:r>
    </w:p>
    <w:p>
      <w:pPr>
        <w:pStyle w:val="Heading3"/>
        <w:spacing w:line="506" w:lineRule="auto" w:before="104"/>
        <w:ind w:left="573" w:right="5174" w:hanging="421"/>
        <w:jc w:val="left"/>
        <w:rPr>
          <w:rFonts w:ascii="宋体" w:hAnsi="宋体" w:cs="宋体" w:eastAsia="宋体" w:hint="default"/>
          <w:b w:val="0"/>
          <w:bCs w:val="0"/>
        </w:rPr>
      </w:pPr>
      <w:bookmarkStart w:name="（5）未确认递延所得税资产的可抵扣亏损将于以下年度到期" w:id="326"/>
      <w:bookmarkEnd w:id="326"/>
      <w:r>
        <w:rPr>
          <w:b w:val="0"/>
          <w:bCs w:val="0"/>
        </w:rPr>
      </w:r>
      <w:r>
        <w:rPr>
          <w:spacing w:val="-1"/>
        </w:rPr>
        <w:t>（</w:t>
      </w:r>
      <w:r>
        <w:rPr>
          <w:rFonts w:ascii="Times New Roman" w:hAnsi="Times New Roman" w:cs="Times New Roman" w:eastAsia="Times New Roman" w:hint="default"/>
          <w:spacing w:val="-1"/>
        </w:rPr>
        <w:t>5</w:t>
      </w:r>
      <w:r>
        <w:rPr>
          <w:spacing w:val="-1"/>
        </w:rPr>
        <w:t>）未确认递延所得税资产的可抵扣亏损将于以下年度到期</w:t>
      </w:r>
      <w:r>
        <w:rPr>
          <w:spacing w:val="-82"/>
        </w:rPr>
        <w:t> </w:t>
      </w:r>
      <w:r>
        <w:rPr>
          <w:spacing w:val="-82"/>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1、其他非流动资产" w:id="327"/>
      <w:bookmarkEnd w:id="327"/>
      <w:r>
        <w:rPr>
          <w:b w:val="0"/>
          <w:bCs w:val="0"/>
        </w:rPr>
      </w:r>
      <w:r>
        <w:rPr>
          <w:rFonts w:ascii="Times New Roman" w:hAnsi="Times New Roman" w:cs="Times New Roman" w:eastAsia="Times New Roman" w:hint="default"/>
        </w:rPr>
        <w:t>31</w:t>
      </w:r>
      <w:r>
        <w:rPr/>
        <w:t>、其他非流动资产</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是否已执行新收入准则</w:t>
      </w:r>
    </w:p>
    <w:p>
      <w:pPr>
        <w:pStyle w:val="BodyText"/>
        <w:spacing w:line="240" w:lineRule="auto" w:before="115"/>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953" w:space="6876"/>
            <w:col w:w="210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澳门万讯行综合设备有限公司（注）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24,657,000.00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24,657,000.00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24,657,000.00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24,657,000.00</w:t>
            </w:r>
          </w:p>
        </w:tc>
      </w:tr>
    </w:tbl>
    <w:p>
      <w:pPr>
        <w:pStyle w:val="Heading4"/>
        <w:spacing w:line="278" w:lineRule="exact" w:before="0"/>
        <w:ind w:left="573" w:right="2602"/>
        <w:jc w:val="left"/>
      </w:pPr>
      <w:r>
        <w:rPr/>
        <w:t>注：详见本章节十六、</w:t>
      </w:r>
      <w:r>
        <w:rPr>
          <w:rFonts w:ascii="Times New Roman" w:hAnsi="Times New Roman" w:cs="Times New Roman" w:eastAsia="Times New Roman" w:hint="default"/>
        </w:rPr>
        <w:t>(7)</w:t>
      </w:r>
      <w:r>
        <w:rPr/>
        <w:t>其他对投资者决策有影响的重要事项</w:t>
      </w:r>
    </w:p>
    <w:p>
      <w:pPr>
        <w:spacing w:line="240" w:lineRule="auto" w:before="8"/>
        <w:rPr>
          <w:rFonts w:ascii="宋体" w:hAnsi="宋体" w:cs="宋体" w:eastAsia="宋体" w:hint="default"/>
          <w:sz w:val="24"/>
          <w:szCs w:val="24"/>
        </w:rPr>
      </w:pPr>
    </w:p>
    <w:p>
      <w:pPr>
        <w:pStyle w:val="Heading3"/>
        <w:spacing w:line="240" w:lineRule="auto"/>
        <w:ind w:right="2602"/>
        <w:jc w:val="left"/>
        <w:rPr>
          <w:b w:val="0"/>
          <w:bCs w:val="0"/>
        </w:rPr>
      </w:pPr>
      <w:bookmarkStart w:name="32、短期借款" w:id="328"/>
      <w:bookmarkEnd w:id="328"/>
      <w:r>
        <w:rPr>
          <w:b w:val="0"/>
          <w:bCs w:val="0"/>
        </w:rPr>
      </w:r>
      <w:r>
        <w:rPr>
          <w:rFonts w:ascii="Times New Roman" w:hAnsi="Times New Roman" w:cs="Times New Roman" w:eastAsia="Times New Roman" w:hint="default"/>
        </w:rPr>
        <w:t>32</w:t>
      </w:r>
      <w:r>
        <w:rPr/>
        <w:t>、短期借款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短期借款分类" w:id="329"/>
      <w:bookmarkEnd w:id="329"/>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13,533,000.00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90,043,390.50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146,700,000.00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2,829,748,469.03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2,458,384,838.20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2,933,324,859.53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2,635,084,838.20</w:t>
            </w:r>
          </w:p>
        </w:tc>
      </w:tr>
    </w:tbl>
    <w:p>
      <w:pPr>
        <w:pStyle w:val="Heading4"/>
        <w:spacing w:line="256" w:lineRule="auto" w:before="0"/>
        <w:ind w:left="573" w:right="2602"/>
        <w:jc w:val="left"/>
      </w:pPr>
      <w:r>
        <w:rPr>
          <w:spacing w:val="-2"/>
        </w:rPr>
        <w:t>注</w:t>
      </w:r>
      <w:r>
        <w:rPr>
          <w:rFonts w:ascii="Times New Roman" w:hAnsi="Times New Roman" w:cs="Times New Roman" w:eastAsia="Times New Roman" w:hint="default"/>
          <w:spacing w:val="-2"/>
        </w:rPr>
        <w:t>1</w:t>
      </w:r>
      <w:r>
        <w:rPr>
          <w:spacing w:val="-2"/>
        </w:rPr>
        <w:t>：质押物信息详见本章节十四（一）</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4</w:t>
      </w:r>
      <w:r>
        <w:rPr>
          <w:spacing w:val="-2"/>
        </w:rPr>
        <w:t>）（</w:t>
      </w:r>
      <w:r>
        <w:rPr>
          <w:rFonts w:ascii="Times New Roman" w:hAnsi="Times New Roman" w:cs="Times New Roman" w:eastAsia="Times New Roman" w:hint="default"/>
          <w:spacing w:val="-2"/>
        </w:rPr>
        <w:t>5</w:t>
      </w:r>
      <w:r>
        <w:rPr>
          <w:spacing w:val="-2"/>
        </w:rPr>
        <w:t>）。</w:t>
      </w:r>
      <w:r>
        <w:rPr>
          <w:spacing w:val="-58"/>
        </w:rPr>
        <w:t> </w:t>
      </w:r>
      <w:r>
        <w:rPr/>
        <w:t>注</w:t>
      </w:r>
      <w:r>
        <w:rPr>
          <w:rFonts w:ascii="Times New Roman" w:hAnsi="Times New Roman" w:cs="Times New Roman" w:eastAsia="Times New Roman" w:hint="default"/>
        </w:rPr>
        <w:t>2</w:t>
      </w:r>
      <w:r>
        <w:rPr/>
        <w:t>：内部担保情况见本章节十二</w:t>
      </w:r>
      <w:r>
        <w:rPr>
          <w:spacing w:val="-29"/>
        </w:rPr>
        <w:t> </w:t>
      </w:r>
      <w:r>
        <w:rPr>
          <w:rFonts w:ascii="Times New Roman" w:hAnsi="Times New Roman" w:cs="Times New Roman" w:eastAsia="Times New Roman" w:hint="default"/>
        </w:rPr>
        <w:t>5</w:t>
      </w:r>
      <w:r>
        <w:rPr/>
        <w:t>、（</w:t>
      </w:r>
      <w:r>
        <w:rPr>
          <w:rFonts w:ascii="Times New Roman" w:hAnsi="Times New Roman" w:cs="Times New Roman" w:eastAsia="Times New Roman" w:hint="default"/>
        </w:rPr>
        <w:t>4</w:t>
      </w:r>
      <w:r>
        <w:rPr/>
        <w:t>）。</w:t>
      </w:r>
    </w:p>
    <w:p>
      <w:pPr>
        <w:spacing w:line="240" w:lineRule="auto" w:before="4"/>
        <w:rPr>
          <w:rFonts w:ascii="宋体" w:hAnsi="宋体" w:cs="宋体" w:eastAsia="宋体" w:hint="default"/>
          <w:sz w:val="23"/>
          <w:szCs w:val="23"/>
        </w:rPr>
      </w:pPr>
    </w:p>
    <w:p>
      <w:pPr>
        <w:pStyle w:val="Heading3"/>
        <w:spacing w:line="506" w:lineRule="auto"/>
        <w:ind w:left="573" w:right="7460" w:hanging="421"/>
        <w:jc w:val="left"/>
        <w:rPr>
          <w:rFonts w:ascii="宋体" w:hAnsi="宋体" w:cs="宋体" w:eastAsia="宋体" w:hint="default"/>
          <w:b w:val="0"/>
          <w:bCs w:val="0"/>
        </w:rPr>
      </w:pPr>
      <w:bookmarkStart w:name="（2）已逾期未偿还的短期借款情况" w:id="330"/>
      <w:bookmarkEnd w:id="330"/>
      <w:r>
        <w:rPr>
          <w:b w:val="0"/>
          <w:bCs w:val="0"/>
        </w:rPr>
      </w:r>
      <w:r>
        <w:rPr>
          <w:spacing w:val="-1"/>
        </w:rPr>
        <w:t>（</w:t>
      </w:r>
      <w:r>
        <w:rPr>
          <w:rFonts w:ascii="Times New Roman" w:hAnsi="Times New Roman" w:cs="Times New Roman" w:eastAsia="Times New Roman" w:hint="default"/>
          <w:spacing w:val="-1"/>
        </w:rPr>
        <w:t>2</w:t>
      </w:r>
      <w:r>
        <w:rPr>
          <w:spacing w:val="-1"/>
        </w:rPr>
        <w:t>）已逾期未偿还的短期借款情况</w:t>
      </w:r>
      <w:r>
        <w:rPr>
          <w:spacing w:val="-91"/>
        </w:rPr>
        <w:t> </w:t>
      </w:r>
      <w:r>
        <w:rPr>
          <w:spacing w:val="-91"/>
        </w:rPr>
      </w:r>
      <w:r>
        <w:rPr>
          <w:rFonts w:ascii="宋体" w:hAnsi="宋体" w:cs="宋体" w:eastAsia="宋体" w:hint="default"/>
          <w:b w:val="0"/>
          <w:bCs w:val="0"/>
        </w:rPr>
        <w:t>无</w:t>
      </w:r>
    </w:p>
    <w:p>
      <w:pPr>
        <w:spacing w:after="0" w:line="506" w:lineRule="auto"/>
        <w:jc w:val="left"/>
        <w:rPr>
          <w:rFonts w:ascii="宋体" w:hAnsi="宋体" w:cs="宋体" w:eastAsia="宋体" w:hint="default"/>
        </w:rPr>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3"/>
        <w:spacing w:line="506" w:lineRule="auto" w:before="36"/>
        <w:ind w:left="573" w:right="8857" w:hanging="421"/>
        <w:jc w:val="left"/>
        <w:rPr>
          <w:rFonts w:ascii="宋体" w:hAnsi="宋体" w:cs="宋体" w:eastAsia="宋体" w:hint="default"/>
          <w:b w:val="0"/>
          <w:bCs w:val="0"/>
        </w:rPr>
      </w:pPr>
      <w:bookmarkStart w:name="33、交易性金融负债" w:id="331"/>
      <w:bookmarkEnd w:id="331"/>
      <w:r>
        <w:rPr>
          <w:b w:val="0"/>
          <w:bCs w:val="0"/>
        </w:rPr>
      </w:r>
      <w:r>
        <w:rPr>
          <w:rFonts w:ascii="Times New Roman" w:hAnsi="Times New Roman" w:cs="Times New Roman" w:eastAsia="Times New Roman" w:hint="default"/>
        </w:rPr>
        <w:t>33</w:t>
      </w:r>
      <w:r>
        <w:rPr/>
        <w:t>、交易性金融负债</w:t>
      </w:r>
      <w:r>
        <w:rPr>
          <w:spacing w:val="-104"/>
        </w:rPr>
        <w:t> </w:t>
      </w:r>
      <w:r>
        <w:rPr>
          <w:rFonts w:ascii="宋体" w:hAnsi="宋体" w:cs="宋体" w:eastAsia="宋体" w:hint="default"/>
          <w:b w:val="0"/>
          <w:bCs w:val="0"/>
        </w:rPr>
        <w:t>无</w:t>
      </w:r>
    </w:p>
    <w:p>
      <w:pPr>
        <w:pStyle w:val="Heading3"/>
        <w:spacing w:line="506" w:lineRule="auto" w:before="104"/>
        <w:ind w:left="573" w:right="9068" w:hanging="421"/>
        <w:jc w:val="left"/>
        <w:rPr>
          <w:rFonts w:ascii="宋体" w:hAnsi="宋体" w:cs="宋体" w:eastAsia="宋体" w:hint="default"/>
          <w:b w:val="0"/>
          <w:bCs w:val="0"/>
        </w:rPr>
      </w:pPr>
      <w:bookmarkStart w:name="34、衍生金融负债" w:id="332"/>
      <w:bookmarkEnd w:id="332"/>
      <w:r>
        <w:rPr>
          <w:b w:val="0"/>
          <w:bCs w:val="0"/>
        </w:rPr>
      </w:r>
      <w:r>
        <w:rPr>
          <w:rFonts w:ascii="Times New Roman" w:hAnsi="Times New Roman" w:cs="Times New Roman" w:eastAsia="Times New Roman" w:hint="default"/>
        </w:rPr>
        <w:t>34</w:t>
      </w:r>
      <w:r>
        <w:rPr/>
        <w:t>、衍生金融负债</w:t>
      </w:r>
      <w:r>
        <w:rPr>
          <w:w w:val="100"/>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5、应付票据" w:id="333"/>
      <w:bookmarkEnd w:id="333"/>
      <w:r>
        <w:rPr>
          <w:b w:val="0"/>
          <w:bCs w:val="0"/>
        </w:rPr>
      </w:r>
      <w:r>
        <w:rPr>
          <w:rFonts w:ascii="Times New Roman" w:hAnsi="Times New Roman" w:cs="Times New Roman" w:eastAsia="Times New Roman" w:hint="default"/>
        </w:rPr>
        <w:t>35</w:t>
      </w:r>
      <w:r>
        <w:rPr/>
        <w:t>、应付票据</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240" w:lineRule="auto" w:before="49"/>
        <w:ind w:right="2602"/>
        <w:jc w:val="left"/>
      </w:pPr>
      <w:r>
        <w:rPr/>
        <w:t>本期末已到期未支付的应付票据总额为</w:t>
      </w:r>
      <w:r>
        <w:rPr>
          <w:spacing w:val="-45"/>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36、应付账款" w:id="334"/>
      <w:bookmarkEnd w:id="334"/>
      <w:r>
        <w:rPr>
          <w:b w:val="0"/>
          <w:bCs w:val="0"/>
        </w:rPr>
      </w:r>
      <w:r>
        <w:rPr>
          <w:rFonts w:ascii="Times New Roman" w:hAnsi="Times New Roman" w:cs="Times New Roman" w:eastAsia="Times New Roman" w:hint="default"/>
        </w:rPr>
        <w:t>36</w:t>
      </w:r>
      <w:r>
        <w:rPr/>
        <w:t>、应付账款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应付账款列示" w:id="335"/>
      <w:bookmarkEnd w:id="335"/>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应付采购款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508,444,426.79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383,024,655.62</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508,444,426.79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383,024,655.62</w:t>
            </w:r>
          </w:p>
        </w:tc>
      </w:tr>
    </w:tbl>
    <w:p>
      <w:pPr>
        <w:spacing w:line="240" w:lineRule="auto" w:before="3"/>
        <w:rPr>
          <w:rFonts w:ascii="宋体" w:hAnsi="宋体" w:cs="宋体" w:eastAsia="宋体" w:hint="default"/>
          <w:sz w:val="19"/>
          <w:szCs w:val="19"/>
        </w:rPr>
      </w:pPr>
    </w:p>
    <w:p>
      <w:pPr>
        <w:pStyle w:val="Heading3"/>
        <w:spacing w:line="506" w:lineRule="auto" w:before="36"/>
        <w:ind w:left="573" w:right="7489" w:hanging="421"/>
        <w:jc w:val="left"/>
        <w:rPr>
          <w:rFonts w:ascii="宋体" w:hAnsi="宋体" w:cs="宋体" w:eastAsia="宋体" w:hint="default"/>
          <w:b w:val="0"/>
          <w:bCs w:val="0"/>
        </w:rPr>
      </w:pPr>
      <w:bookmarkStart w:name="（2）账龄超过1年的重要应付账款" w:id="336"/>
      <w:bookmarkEnd w:id="336"/>
      <w:r>
        <w:rPr>
          <w:b w:val="0"/>
          <w:bCs w:val="0"/>
        </w:rPr>
      </w: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年的重要应付账款</w:t>
      </w:r>
      <w:r>
        <w:rPr>
          <w:w w:val="100"/>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7、预收款项" w:id="337"/>
      <w:bookmarkEnd w:id="337"/>
      <w:r>
        <w:rPr>
          <w:b w:val="0"/>
          <w:bCs w:val="0"/>
        </w:rPr>
      </w:r>
      <w:r>
        <w:rPr>
          <w:rFonts w:ascii="Times New Roman" w:hAnsi="Times New Roman" w:cs="Times New Roman" w:eastAsia="Times New Roman" w:hint="default"/>
        </w:rPr>
        <w:t>37</w:t>
      </w:r>
      <w:r>
        <w:rPr/>
        <w:t>、预收款项</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t>是否已执行新收入准则</w:t>
      </w:r>
    </w:p>
    <w:p>
      <w:pPr>
        <w:pStyle w:val="BodyText"/>
        <w:spacing w:line="240" w:lineRule="auto" w:before="115"/>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1）预收款项列示" w:id="338"/>
      <w:bookmarkEnd w:id="338"/>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预收销货款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9,433,520.31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10,308,570.19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9,433,520.31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10,308,570.19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506" w:lineRule="auto" w:before="36"/>
        <w:ind w:left="573" w:right="7489" w:hanging="421"/>
        <w:jc w:val="left"/>
        <w:rPr>
          <w:rFonts w:ascii="宋体" w:hAnsi="宋体" w:cs="宋体" w:eastAsia="宋体" w:hint="default"/>
          <w:b w:val="0"/>
          <w:bCs w:val="0"/>
        </w:rPr>
      </w:pPr>
      <w:bookmarkStart w:name="（2）账龄超过1年的重要预收款项" w:id="339"/>
      <w:bookmarkEnd w:id="339"/>
      <w:r>
        <w:rPr>
          <w:b w:val="0"/>
          <w:bCs w:val="0"/>
        </w:rPr>
      </w: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年的重要预收款项</w:t>
      </w:r>
      <w:r>
        <w:rPr>
          <w:w w:val="100"/>
        </w:rPr>
        <w:t> </w:t>
      </w:r>
      <w:r>
        <w:rPr>
          <w:rFonts w:ascii="宋体" w:hAnsi="宋体" w:cs="宋体" w:eastAsia="宋体" w:hint="default"/>
          <w:b w:val="0"/>
          <w:bCs w:val="0"/>
        </w:rPr>
        <w:t>无</w:t>
      </w:r>
    </w:p>
    <w:p>
      <w:pPr>
        <w:pStyle w:val="Heading3"/>
        <w:spacing w:line="506" w:lineRule="auto" w:before="104"/>
        <w:ind w:left="573" w:right="6074" w:hanging="421"/>
        <w:jc w:val="left"/>
        <w:rPr>
          <w:rFonts w:ascii="宋体" w:hAnsi="宋体" w:cs="宋体" w:eastAsia="宋体" w:hint="default"/>
          <w:b w:val="0"/>
          <w:bCs w:val="0"/>
        </w:rPr>
      </w:pPr>
      <w:bookmarkStart w:name="（3）期末建造合同形成的已结算未完工项目情况" w:id="340"/>
      <w:bookmarkEnd w:id="340"/>
      <w:r>
        <w:rPr>
          <w:b w:val="0"/>
          <w:bCs w:val="0"/>
        </w:rPr>
      </w:r>
      <w:r>
        <w:rPr>
          <w:spacing w:val="-1"/>
        </w:rPr>
        <w:t>（</w:t>
      </w:r>
      <w:r>
        <w:rPr>
          <w:rFonts w:ascii="Times New Roman" w:hAnsi="Times New Roman" w:cs="Times New Roman" w:eastAsia="Times New Roman" w:hint="default"/>
          <w:spacing w:val="-1"/>
        </w:rPr>
        <w:t>3</w:t>
      </w:r>
      <w:r>
        <w:rPr>
          <w:spacing w:val="-1"/>
        </w:rPr>
        <w:t>）期末建造合同形成的已结算未完工项目情况</w:t>
      </w:r>
      <w:r>
        <w:rPr>
          <w:spacing w:val="-86"/>
        </w:rPr>
        <w:t> </w:t>
      </w:r>
      <w:r>
        <w:rPr>
          <w:spacing w:val="-86"/>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8、合同负债" w:id="341"/>
      <w:bookmarkEnd w:id="341"/>
      <w:r>
        <w:rPr>
          <w:b w:val="0"/>
          <w:bCs w:val="0"/>
        </w:rPr>
      </w:r>
      <w:r>
        <w:rPr>
          <w:rFonts w:ascii="Times New Roman" w:hAnsi="Times New Roman" w:cs="Times New Roman" w:eastAsia="Times New Roman" w:hint="default"/>
        </w:rPr>
        <w:t>38</w:t>
      </w:r>
      <w:r>
        <w:rPr/>
        <w:t>、合同负债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1"/>
        <w:rPr>
          <w:rFonts w:ascii="宋体" w:hAnsi="宋体" w:cs="宋体" w:eastAsia="宋体" w:hint="default"/>
          <w:sz w:val="25"/>
          <w:szCs w:val="25"/>
        </w:rPr>
      </w:pPr>
    </w:p>
    <w:p>
      <w:pPr>
        <w:pStyle w:val="Heading3"/>
        <w:spacing w:line="240" w:lineRule="auto"/>
        <w:ind w:right="2602"/>
        <w:jc w:val="left"/>
        <w:rPr>
          <w:b w:val="0"/>
          <w:bCs w:val="0"/>
        </w:rPr>
      </w:pPr>
      <w:bookmarkStart w:name="39、应付职工薪酬" w:id="342"/>
      <w:bookmarkEnd w:id="342"/>
      <w:r>
        <w:rPr>
          <w:b w:val="0"/>
          <w:bCs w:val="0"/>
        </w:rPr>
      </w:r>
      <w:r>
        <w:rPr>
          <w:rFonts w:ascii="Times New Roman" w:hAnsi="Times New Roman" w:cs="Times New Roman" w:eastAsia="Times New Roman" w:hint="default"/>
        </w:rPr>
        <w:t>39</w:t>
      </w:r>
      <w:r>
        <w:rPr/>
        <w:t>、应付职工薪酬</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应付职工薪酬列示" w:id="343"/>
      <w:bookmarkEnd w:id="343"/>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40"/>
        <w:gridCol w:w="1568"/>
        <w:gridCol w:w="1702"/>
        <w:gridCol w:w="1702"/>
        <w:gridCol w:w="1349"/>
      </w:tblGrid>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0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809,286.26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1,118,249,339.69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1,117,571,262.01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1,487,363.94</w:t>
            </w: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70,811.77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130,865,563.28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130,883,052.74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53,322.31</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757,030.00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386,676.00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1,143,706.00</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1,637,128.03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1,249,501,578.97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1,249,598,020.75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1,540,686.25</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短期薪酬列示" w:id="344"/>
      <w:bookmarkEnd w:id="344"/>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40"/>
        <w:gridCol w:w="1568"/>
        <w:gridCol w:w="1702"/>
        <w:gridCol w:w="1702"/>
        <w:gridCol w:w="1349"/>
      </w:tblGrid>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761,952.18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976,866,794.55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976,289,161.41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1,339,585.32</w:t>
            </w: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4,900.00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4,385,086.60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4,389,986.60</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34,574.94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69,545,132.14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69,568,236.79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11,470.29</w:t>
            </w: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30,287.11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62,454,970.12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62,476,942.56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8,314.67</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2,014.99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1,241,766.94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1,242,687.89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1,094.04</w:t>
            </w:r>
          </w:p>
        </w:tc>
      </w:tr>
      <w:tr>
        <w:trPr>
          <w:trHeight w:val="404"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2,272.84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5,848,395.08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5,848,606.34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2,061.58</w:t>
            </w: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7,859.14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66,006,645.01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65,878,195.82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136,308.33</w:t>
            </w:r>
          </w:p>
        </w:tc>
      </w:tr>
      <w:tr>
        <w:trPr>
          <w:trHeight w:val="403"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568" w:type="dxa"/>
            <w:tcBorders>
              <w:top w:val="single" w:sz="4" w:space="0" w:color="000000"/>
              <w:left w:val="single" w:sz="9" w:space="0" w:color="D2D2D2"/>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1,445,681.39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1,445,681.39</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6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809,286.26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1,118,249,339.69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1,117,571,262.01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1,487,363.94</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设定提存计划列示" w:id="345"/>
      <w:bookmarkEnd w:id="345"/>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67,565.11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126,746,272.28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126,762,744.53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51,092.86</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3,246.66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4,119,291.00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4,120,308.21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2,229.45</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70,811.77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130,865,563.28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130,883,052.74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53,322.31</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40、应交税费" w:id="346"/>
      <w:bookmarkEnd w:id="346"/>
      <w:r>
        <w:rPr>
          <w:b w:val="0"/>
          <w:bCs w:val="0"/>
        </w:rPr>
      </w:r>
      <w:r>
        <w:rPr>
          <w:rFonts w:ascii="Times New Roman" w:hAnsi="Times New Roman" w:cs="Times New Roman" w:eastAsia="Times New Roman" w:hint="default"/>
        </w:rPr>
        <w:t>40</w:t>
      </w:r>
      <w:r>
        <w:rPr/>
        <w:t>、应交税费</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1,834,658.72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38,024,900.74</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13,216,440.17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25,496,547.64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58,380,907.28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56,521,796.50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461,881.37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2,427,829.96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21,714.29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11,399.99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194,537.68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1,289,352.19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2,121.00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1,060.50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116,471.06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205,449.42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74,228,731.57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123,978,336.94</w:t>
            </w:r>
          </w:p>
        </w:tc>
      </w:tr>
    </w:tbl>
    <w:p>
      <w:pPr>
        <w:pStyle w:val="BodyText"/>
        <w:spacing w:line="240" w:lineRule="auto" w:before="49"/>
        <w:ind w:right="2602"/>
        <w:jc w:val="left"/>
      </w:pPr>
      <w:r>
        <w:rPr/>
        <w:t>其他说明：</w:t>
      </w:r>
    </w:p>
    <w:p>
      <w:pPr>
        <w:pStyle w:val="Heading4"/>
        <w:spacing w:line="240" w:lineRule="auto" w:before="94"/>
        <w:ind w:left="573" w:right="2602"/>
        <w:jc w:val="left"/>
      </w:pPr>
      <w:r>
        <w:rPr/>
        <w:t>期末余额中</w:t>
      </w:r>
      <w:r>
        <w:rPr>
          <w:rFonts w:ascii="Times New Roman" w:hAnsi="Times New Roman" w:cs="Times New Roman" w:eastAsia="Times New Roman" w:hint="default"/>
        </w:rPr>
        <w:t>55,046,447.70</w:t>
      </w:r>
      <w:r>
        <w:rPr/>
        <w:t>元为尚未缴纳的代缴员工股权激励行权税金。</w:t>
      </w:r>
    </w:p>
    <w:p>
      <w:pPr>
        <w:spacing w:line="240" w:lineRule="auto" w:before="7"/>
        <w:rPr>
          <w:rFonts w:ascii="宋体" w:hAnsi="宋体" w:cs="宋体" w:eastAsia="宋体" w:hint="default"/>
          <w:sz w:val="24"/>
          <w:szCs w:val="24"/>
        </w:rPr>
      </w:pPr>
    </w:p>
    <w:p>
      <w:pPr>
        <w:pStyle w:val="Heading3"/>
        <w:spacing w:line="240" w:lineRule="auto"/>
        <w:ind w:right="2602"/>
        <w:jc w:val="left"/>
        <w:rPr>
          <w:b w:val="0"/>
          <w:bCs w:val="0"/>
        </w:rPr>
      </w:pPr>
      <w:bookmarkStart w:name="41、其他应付款" w:id="347"/>
      <w:bookmarkEnd w:id="347"/>
      <w:r>
        <w:rPr>
          <w:b w:val="0"/>
          <w:bCs w:val="0"/>
        </w:rPr>
      </w:r>
      <w:r>
        <w:rPr>
          <w:rFonts w:ascii="Times New Roman" w:hAnsi="Times New Roman" w:cs="Times New Roman" w:eastAsia="Times New Roman" w:hint="default"/>
        </w:rPr>
        <w:t>41</w:t>
      </w:r>
      <w:r>
        <w:rPr/>
        <w:t>、其他应付款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2,351,825.34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8,873,837.75</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5,014,720.00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60,446,561.58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51,028,433.86</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67,813,106.92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59,902,271.61</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1）应付利息" w:id="348"/>
      <w:bookmarkEnd w:id="348"/>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2,595,771.54</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3,926,240.88</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2,351,825.34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2,351,825.33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2,351,825.34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8,873,837.75</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应付股利" w:id="349"/>
      <w:bookmarkEnd w:id="349"/>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5,014,720.00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5,014,720.00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其他应付款" w:id="350"/>
      <w:bookmarkEnd w:id="350"/>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2602"/>
        <w:jc w:val="left"/>
        <w:rPr>
          <w:b w:val="0"/>
          <w:bCs w:val="0"/>
        </w:rPr>
      </w:pPr>
      <w:bookmarkStart w:name="1）按款项性质列示其他应付款" w:id="351"/>
      <w:bookmarkEnd w:id="351"/>
      <w:r>
        <w:rPr>
          <w:b w:val="0"/>
          <w:bCs w:val="0"/>
        </w:rPr>
      </w:r>
      <w:r>
        <w:rPr>
          <w:rFonts w:ascii="Times New Roman" w:hAnsi="Times New Roman" w:cs="Times New Roman" w:eastAsia="Times New Roman" w:hint="default"/>
        </w:rPr>
        <w:t>1</w:t>
      </w:r>
      <w:r>
        <w:rPr/>
        <w:t>）按款项性质列示其他应付款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科技三项经费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6,775,471.85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12,159,530.02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押金性质款项及其他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53,671,089.73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38,868,903.84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60,446,561.58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51,028,433.86</w:t>
            </w:r>
          </w:p>
        </w:tc>
      </w:tr>
    </w:tbl>
    <w:p>
      <w:pPr>
        <w:spacing w:line="240" w:lineRule="auto" w:before="3"/>
        <w:rPr>
          <w:rFonts w:ascii="宋体" w:hAnsi="宋体" w:cs="宋体" w:eastAsia="宋体" w:hint="default"/>
          <w:sz w:val="19"/>
          <w:szCs w:val="19"/>
        </w:rPr>
      </w:pPr>
    </w:p>
    <w:p>
      <w:pPr>
        <w:pStyle w:val="Heading3"/>
        <w:spacing w:line="506" w:lineRule="auto" w:before="36"/>
        <w:ind w:left="573" w:right="7488" w:hanging="421"/>
        <w:jc w:val="left"/>
        <w:rPr>
          <w:rFonts w:ascii="宋体" w:hAnsi="宋体" w:cs="宋体" w:eastAsia="宋体" w:hint="default"/>
          <w:b w:val="0"/>
          <w:bCs w:val="0"/>
        </w:rPr>
      </w:pPr>
      <w:bookmarkStart w:name="2）账龄超过1年的重要其他应付款" w:id="352"/>
      <w:bookmarkEnd w:id="352"/>
      <w:r>
        <w:rPr>
          <w:b w:val="0"/>
          <w:bCs w:val="0"/>
        </w:rPr>
      </w:r>
      <w:r>
        <w:rPr>
          <w:rFonts w:ascii="Times New Roman" w:hAnsi="Times New Roman" w:cs="Times New Roman" w:eastAsia="Times New Roman" w:hint="default"/>
        </w:rPr>
        <w:t>2</w:t>
      </w:r>
      <w:r>
        <w:rPr/>
        <w:t>）账龄超过</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年的重要其他应付款</w:t>
      </w:r>
      <w:r>
        <w:rPr>
          <w:w w:val="100"/>
        </w:rPr>
        <w:t> </w:t>
      </w:r>
      <w:r>
        <w:rPr>
          <w:rFonts w:ascii="宋体" w:hAnsi="宋体" w:cs="宋体" w:eastAsia="宋体" w:hint="default"/>
          <w:b w:val="0"/>
          <w:bCs w:val="0"/>
        </w:rPr>
        <w:t>无</w:t>
      </w:r>
    </w:p>
    <w:p>
      <w:pPr>
        <w:pStyle w:val="Heading3"/>
        <w:spacing w:line="506" w:lineRule="auto" w:before="104"/>
        <w:ind w:left="573" w:right="9068" w:hanging="421"/>
        <w:jc w:val="left"/>
        <w:rPr>
          <w:rFonts w:ascii="宋体" w:hAnsi="宋体" w:cs="宋体" w:eastAsia="宋体" w:hint="default"/>
          <w:b w:val="0"/>
          <w:bCs w:val="0"/>
        </w:rPr>
      </w:pPr>
      <w:bookmarkStart w:name="42、持有待售负债" w:id="353"/>
      <w:bookmarkEnd w:id="353"/>
      <w:r>
        <w:rPr>
          <w:b w:val="0"/>
          <w:bCs w:val="0"/>
        </w:rPr>
      </w:r>
      <w:r>
        <w:rPr>
          <w:rFonts w:ascii="Times New Roman" w:hAnsi="Times New Roman" w:cs="Times New Roman" w:eastAsia="Times New Roman" w:hint="default"/>
        </w:rPr>
        <w:t>42</w:t>
      </w:r>
      <w:r>
        <w:rPr/>
        <w:t>、持有待售负债</w:t>
      </w:r>
      <w:r>
        <w:rPr>
          <w:w w:val="100"/>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3、一年内到期的非流动负债" w:id="354"/>
      <w:bookmarkEnd w:id="354"/>
      <w:r>
        <w:rPr>
          <w:b w:val="0"/>
          <w:bCs w:val="0"/>
        </w:rPr>
      </w:r>
      <w:r>
        <w:rPr>
          <w:rFonts w:ascii="Times New Roman" w:hAnsi="Times New Roman" w:cs="Times New Roman" w:eastAsia="Times New Roman" w:hint="default"/>
        </w:rPr>
        <w:t>43</w:t>
      </w:r>
      <w:r>
        <w:rPr/>
        <w:t>、一年内到期的非流动负债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115,638,001.43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172,394,525.99</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024"/>
              <w:jc w:val="right"/>
              <w:rPr>
                <w:rFonts w:ascii="宋体" w:hAnsi="宋体" w:cs="宋体" w:eastAsia="宋体" w:hint="default"/>
                <w:sz w:val="18"/>
                <w:szCs w:val="18"/>
              </w:rPr>
            </w:pPr>
            <w:r>
              <w:rPr>
                <w:rFonts w:ascii="宋体" w:hAnsi="宋体" w:cs="宋体" w:eastAsia="宋体" w:hint="default"/>
                <w:sz w:val="18"/>
                <w:szCs w:val="18"/>
              </w:rPr>
              <w:t>其中：保证借款（注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44,346,149.19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29,353,240.68</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024"/>
              <w:jc w:val="right"/>
              <w:rPr>
                <w:rFonts w:ascii="宋体" w:hAnsi="宋体" w:cs="宋体" w:eastAsia="宋体" w:hint="default"/>
                <w:sz w:val="18"/>
                <w:szCs w:val="18"/>
              </w:rPr>
            </w:pPr>
            <w:r>
              <w:rPr>
                <w:rFonts w:ascii="宋体" w:hAnsi="宋体" w:cs="宋体" w:eastAsia="宋体" w:hint="default"/>
                <w:sz w:val="18"/>
                <w:szCs w:val="18"/>
              </w:rPr>
              <w:t>质押借款（注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40,055,634.40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78,091,252.75</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31,236,217.84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64,950,032.56</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115,638,001.43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172,394,525.99</w:t>
            </w:r>
          </w:p>
        </w:tc>
      </w:tr>
    </w:tbl>
    <w:p>
      <w:pPr>
        <w:pStyle w:val="Heading4"/>
        <w:spacing w:line="256" w:lineRule="auto" w:before="0"/>
        <w:ind w:left="573" w:right="2602"/>
        <w:jc w:val="left"/>
      </w:pPr>
      <w:r>
        <w:rPr/>
        <w:t>注</w:t>
      </w:r>
      <w:r>
        <w:rPr>
          <w:rFonts w:ascii="Times New Roman" w:hAnsi="Times New Roman" w:cs="Times New Roman" w:eastAsia="Times New Roman" w:hint="default"/>
        </w:rPr>
        <w:t>1</w:t>
      </w:r>
      <w:r>
        <w:rPr/>
        <w:t>：保证情况详见本章节十二</w:t>
      </w:r>
      <w:r>
        <w:rPr>
          <w:rFonts w:ascii="Times New Roman" w:hAnsi="Times New Roman" w:cs="Times New Roman" w:eastAsia="Times New Roman" w:hint="default"/>
        </w:rPr>
        <w:t>5</w:t>
      </w:r>
      <w:r>
        <w:rPr/>
        <w:t>、（</w:t>
      </w:r>
      <w:r>
        <w:rPr>
          <w:rFonts w:ascii="Times New Roman" w:hAnsi="Times New Roman" w:cs="Times New Roman" w:eastAsia="Times New Roman" w:hint="default"/>
        </w:rPr>
        <w:t>4</w:t>
      </w:r>
      <w:r>
        <w:rPr/>
        <w:t>）。</w:t>
      </w:r>
      <w:r>
        <w:rPr>
          <w:w w:val="100"/>
        </w:rPr>
        <w:t> </w:t>
      </w:r>
      <w:r>
        <w:rPr>
          <w:spacing w:val="-2"/>
        </w:rPr>
        <w:t>注</w:t>
      </w:r>
      <w:r>
        <w:rPr>
          <w:rFonts w:ascii="Times New Roman" w:hAnsi="Times New Roman" w:cs="Times New Roman" w:eastAsia="Times New Roman" w:hint="default"/>
          <w:spacing w:val="-2"/>
        </w:rPr>
        <w:t>2</w:t>
      </w:r>
      <w:r>
        <w:rPr>
          <w:spacing w:val="-2"/>
        </w:rPr>
        <w:t>：质押物信息详见本章节十四（一）</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3</w:t>
      </w:r>
      <w:r>
        <w:rPr>
          <w:spacing w:val="-2"/>
        </w:rPr>
        <w:t>）</w:t>
      </w:r>
    </w:p>
    <w:p>
      <w:pPr>
        <w:spacing w:after="0" w:line="256"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44、其他流动负债" w:id="355"/>
      <w:bookmarkEnd w:id="355"/>
      <w:r>
        <w:rPr>
          <w:b w:val="0"/>
          <w:bCs w:val="0"/>
        </w:rPr>
      </w:r>
      <w:r>
        <w:rPr>
          <w:rFonts w:ascii="Times New Roman" w:hAnsi="Times New Roman" w:cs="Times New Roman" w:eastAsia="Times New Roman" w:hint="default"/>
        </w:rPr>
        <w:t>44</w:t>
      </w:r>
      <w:r>
        <w:rPr/>
        <w:t>、其他流动负债</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是否已执行新收入准则</w:t>
      </w:r>
    </w:p>
    <w:p>
      <w:pPr>
        <w:pStyle w:val="BodyText"/>
        <w:spacing w:line="240" w:lineRule="auto" w:before="115"/>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953" w:space="6876"/>
            <w:col w:w="210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待转销项税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25,324,393.99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25,324,393.99</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45、长期借款" w:id="356"/>
      <w:bookmarkEnd w:id="356"/>
      <w:r>
        <w:rPr>
          <w:b w:val="0"/>
          <w:bCs w:val="0"/>
        </w:rPr>
      </w:r>
      <w:r>
        <w:rPr>
          <w:rFonts w:ascii="Times New Roman" w:hAnsi="Times New Roman" w:cs="Times New Roman" w:eastAsia="Times New Roman" w:hint="default"/>
        </w:rPr>
        <w:t>45</w:t>
      </w:r>
      <w:r>
        <w:rPr/>
        <w:t>、长期借款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长期借款分类" w:id="357"/>
      <w:bookmarkEnd w:id="357"/>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40,003,649.98</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保证借款（注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84,007,606.45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127,737,468.62</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153,521,242.74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454,609,515.72</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237,528,849.19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622,350,634.32</w:t>
            </w:r>
          </w:p>
        </w:tc>
      </w:tr>
    </w:tbl>
    <w:p>
      <w:pPr>
        <w:pStyle w:val="Heading4"/>
        <w:spacing w:line="278" w:lineRule="exact" w:before="0"/>
        <w:ind w:left="265" w:right="2602"/>
        <w:jc w:val="left"/>
      </w:pPr>
      <w:r>
        <w:rPr/>
        <w:t>注</w:t>
      </w:r>
      <w:r>
        <w:rPr>
          <w:rFonts w:ascii="Times New Roman" w:hAnsi="Times New Roman" w:cs="Times New Roman" w:eastAsia="Times New Roman" w:hint="default"/>
        </w:rPr>
        <w:t>1</w:t>
      </w:r>
      <w:r>
        <w:rPr/>
        <w:t>：保证情况详见本章节十二</w:t>
      </w:r>
      <w:r>
        <w:rPr>
          <w:rFonts w:ascii="Times New Roman" w:hAnsi="Times New Roman" w:cs="Times New Roman" w:eastAsia="Times New Roman" w:hint="default"/>
        </w:rPr>
        <w:t>5</w:t>
      </w:r>
      <w:r>
        <w:rPr/>
        <w:t>、（</w:t>
      </w:r>
      <w:r>
        <w:rPr>
          <w:rFonts w:ascii="Times New Roman" w:hAnsi="Times New Roman" w:cs="Times New Roman" w:eastAsia="Times New Roman" w:hint="default"/>
        </w:rPr>
        <w:t>4</w:t>
      </w:r>
      <w:r>
        <w:rPr/>
        <w:t>）。</w:t>
      </w:r>
    </w:p>
    <w:p>
      <w:pPr>
        <w:spacing w:line="240" w:lineRule="auto" w:before="8"/>
        <w:rPr>
          <w:rFonts w:ascii="宋体" w:hAnsi="宋体" w:cs="宋体" w:eastAsia="宋体" w:hint="default"/>
          <w:sz w:val="24"/>
          <w:szCs w:val="24"/>
        </w:rPr>
      </w:pPr>
    </w:p>
    <w:p>
      <w:pPr>
        <w:pStyle w:val="Heading3"/>
        <w:spacing w:line="240" w:lineRule="auto"/>
        <w:ind w:right="2602"/>
        <w:jc w:val="left"/>
        <w:rPr>
          <w:b w:val="0"/>
          <w:bCs w:val="0"/>
        </w:rPr>
      </w:pPr>
      <w:bookmarkStart w:name="46、应付债券" w:id="358"/>
      <w:bookmarkEnd w:id="358"/>
      <w:r>
        <w:rPr>
          <w:b w:val="0"/>
          <w:bCs w:val="0"/>
        </w:rPr>
      </w:r>
      <w:r>
        <w:rPr>
          <w:rFonts w:ascii="Times New Roman" w:hAnsi="Times New Roman" w:cs="Times New Roman" w:eastAsia="Times New Roman" w:hint="default"/>
        </w:rPr>
        <w:t>46</w:t>
      </w:r>
      <w:r>
        <w:rPr/>
        <w:t>、应付债券</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应付债券" w:id="359"/>
      <w:bookmarkEnd w:id="359"/>
      <w:r>
        <w:rPr>
          <w:b w:val="0"/>
          <w:bCs w:val="0"/>
        </w:rPr>
      </w:r>
      <w:r>
        <w:rPr/>
        <w:t>（</w:t>
      </w:r>
      <w:r>
        <w:rPr>
          <w:rFonts w:ascii="Times New Roman" w:hAnsi="Times New Roman" w:cs="Times New Roman" w:eastAsia="Times New Roman" w:hint="default"/>
        </w:rPr>
        <w:t>1</w:t>
      </w:r>
      <w:r>
        <w:rPr/>
        <w:t>）应付债券</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可转换公司债券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540,865,131.01</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540,865,131.01</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应付债券的增减变动（不包括划分为金融负债的优先股、永续债等其他金融工具）" w:id="360"/>
      <w:bookmarkEnd w:id="360"/>
      <w:r>
        <w:rPr>
          <w:b w:val="0"/>
          <w:bCs w:val="0"/>
        </w:rPr>
      </w: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788"/>
        <w:gridCol w:w="797"/>
        <w:gridCol w:w="799"/>
        <w:gridCol w:w="797"/>
        <w:gridCol w:w="799"/>
        <w:gridCol w:w="797"/>
        <w:gridCol w:w="800"/>
        <w:gridCol w:w="797"/>
        <w:gridCol w:w="799"/>
        <w:gridCol w:w="797"/>
        <w:gridCol w:w="799"/>
        <w:gridCol w:w="797"/>
      </w:tblGrid>
      <w:tr>
        <w:trPr>
          <w:trHeight w:val="161" w:hRule="exact"/>
        </w:trPr>
        <w:tc>
          <w:tcPr>
            <w:tcW w:w="78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800"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24" w:right="31" w:hanging="92"/>
              <w:jc w:val="left"/>
              <w:rPr>
                <w:rFonts w:ascii="宋体" w:hAnsi="宋体" w:cs="宋体" w:eastAsia="宋体" w:hint="default"/>
                <w:sz w:val="18"/>
                <w:szCs w:val="18"/>
              </w:rPr>
            </w:pPr>
            <w:r>
              <w:rPr>
                <w:rFonts w:ascii="宋体" w:hAnsi="宋体" w:cs="宋体" w:eastAsia="宋体" w:hint="default"/>
                <w:sz w:val="18"/>
                <w:szCs w:val="18"/>
              </w:rPr>
              <w:t>按面值计 提利息</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04" w:right="35" w:hanging="272"/>
              <w:jc w:val="left"/>
              <w:rPr>
                <w:rFonts w:ascii="宋体" w:hAnsi="宋体" w:cs="宋体" w:eastAsia="宋体" w:hint="default"/>
                <w:sz w:val="18"/>
                <w:szCs w:val="18"/>
              </w:rPr>
            </w:pPr>
            <w:r>
              <w:rPr>
                <w:rFonts w:ascii="宋体" w:hAnsi="宋体" w:cs="宋体" w:eastAsia="宋体" w:hint="default"/>
                <w:sz w:val="18"/>
                <w:szCs w:val="18"/>
              </w:rPr>
              <w:t>溢折价摊 销</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本期偿还</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本期转股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4" w:hRule="exact"/>
        </w:trPr>
        <w:tc>
          <w:tcPr>
            <w:tcW w:w="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1"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发行日期</w:t>
            </w: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债券期限</w:t>
            </w:r>
          </w:p>
        </w:tc>
        <w:tc>
          <w:tcPr>
            <w:tcW w:w="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8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本期发行</w:t>
            </w:r>
          </w:p>
        </w:tc>
        <w:tc>
          <w:tcPr>
            <w:tcW w:w="797" w:type="dxa"/>
            <w:vMerge/>
            <w:tcBorders>
              <w:left w:val="single" w:sz="4" w:space="0" w:color="000000"/>
              <w:right w:val="single" w:sz="4" w:space="0" w:color="000000"/>
            </w:tcBorders>
            <w:shd w:val="clear" w:color="auto" w:fill="D2D2D2"/>
          </w:tcPr>
          <w:p>
            <w:pPr/>
          </w:p>
        </w:tc>
        <w:tc>
          <w:tcPr>
            <w:tcW w:w="799"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r>
      <w:tr>
        <w:trPr>
          <w:trHeight w:val="161" w:hRule="exact"/>
        </w:trPr>
        <w:tc>
          <w:tcPr>
            <w:tcW w:w="78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800"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78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10" w:space="0" w:color="D2D2D2"/>
              <w:right w:val="single" w:sz="4" w:space="0" w:color="000000"/>
            </w:tcBorders>
          </w:tcPr>
          <w:p>
            <w:pPr>
              <w:pStyle w:val="TableParagraph"/>
              <w:spacing w:line="240" w:lineRule="auto" w:before="91"/>
              <w:ind w:left="17" w:right="0"/>
              <w:jc w:val="center"/>
              <w:rPr>
                <w:rFonts w:ascii="Times New Roman" w:hAnsi="Times New Roman" w:cs="Times New Roman" w:eastAsia="Times New Roman" w:hint="default"/>
                <w:sz w:val="18"/>
                <w:szCs w:val="18"/>
              </w:rPr>
            </w:pPr>
            <w:r>
              <w:rPr>
                <w:rFonts w:ascii="Times New Roman"/>
                <w:sz w:val="18"/>
              </w:rPr>
              <w:t>1,200,000</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,000.00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1,200,000</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,000.00</w:t>
            </w:r>
          </w:p>
        </w:tc>
        <w:tc>
          <w:tcPr>
            <w:tcW w:w="797" w:type="dxa"/>
            <w:vMerge w:val="restart"/>
            <w:tcBorders>
              <w:top w:val="single" w:sz="4" w:space="0" w:color="000000"/>
              <w:left w:val="single" w:sz="4" w:space="0" w:color="000000"/>
              <w:right w:val="single" w:sz="4" w:space="0" w:color="000000"/>
            </w:tcBorders>
          </w:tcPr>
          <w:p>
            <w:pPr/>
          </w:p>
        </w:tc>
        <w:tc>
          <w:tcPr>
            <w:tcW w:w="800" w:type="dxa"/>
            <w:vMerge w:val="restart"/>
            <w:tcBorders>
              <w:top w:val="single" w:sz="4" w:space="0" w:color="000000"/>
              <w:left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1,200,000</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,000.00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2,152,860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.53</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-111,779,</w:t>
            </w:r>
          </w:p>
          <w:p>
            <w:pPr>
              <w:pStyle w:val="TableParagraph"/>
              <w:spacing w:line="240" w:lineRule="auto" w:before="105"/>
              <w:ind w:left="247" w:right="0"/>
              <w:jc w:val="center"/>
              <w:rPr>
                <w:rFonts w:ascii="Times New Roman" w:hAnsi="Times New Roman" w:cs="Times New Roman" w:eastAsia="Times New Roman" w:hint="default"/>
                <w:sz w:val="18"/>
                <w:szCs w:val="18"/>
              </w:rPr>
            </w:pPr>
            <w:r>
              <w:rPr>
                <w:rFonts w:ascii="Times New Roman"/>
                <w:sz w:val="18"/>
              </w:rPr>
              <w:t>529.52</w:t>
            </w: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-549,508,</w:t>
            </w:r>
          </w:p>
          <w:p>
            <w:pPr>
              <w:pStyle w:val="TableParagraph"/>
              <w:spacing w:line="240" w:lineRule="auto" w:before="105"/>
              <w:ind w:left="247" w:right="0"/>
              <w:jc w:val="center"/>
              <w:rPr>
                <w:rFonts w:ascii="Times New Roman" w:hAnsi="Times New Roman" w:cs="Times New Roman" w:eastAsia="Times New Roman" w:hint="default"/>
                <w:sz w:val="18"/>
                <w:szCs w:val="18"/>
              </w:rPr>
            </w:pPr>
            <w:r>
              <w:rPr>
                <w:rFonts w:ascii="Times New Roman"/>
                <w:sz w:val="18"/>
              </w:rPr>
              <w:t>200.00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540,865,1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31.01</w:t>
            </w:r>
          </w:p>
        </w:tc>
      </w:tr>
      <w:tr>
        <w:trPr>
          <w:trHeight w:val="391" w:hRule="exact"/>
        </w:trPr>
        <w:tc>
          <w:tcPr>
            <w:tcW w:w="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万信转</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p>
        </w:tc>
        <w:tc>
          <w:tcPr>
            <w:tcW w:w="797" w:type="dxa"/>
            <w:vMerge/>
            <w:tcBorders>
              <w:left w:val="single" w:sz="10" w:space="0" w:color="D2D2D2"/>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800"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r>
      <w:tr>
        <w:trPr>
          <w:trHeight w:val="161" w:hRule="exact"/>
        </w:trPr>
        <w:tc>
          <w:tcPr>
            <w:tcW w:w="78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10" w:space="0" w:color="D2D2D2"/>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800"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r>
      <w:tr>
        <w:trPr>
          <w:trHeight w:val="161" w:hRule="exact"/>
        </w:trPr>
        <w:tc>
          <w:tcPr>
            <w:tcW w:w="78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9" w:type="dxa"/>
            <w:vMerge w:val="restart"/>
            <w:tcBorders>
              <w:top w:val="single" w:sz="4" w:space="0" w:color="000000"/>
              <w:left w:val="single" w:sz="9" w:space="0" w:color="D2D2D2"/>
              <w:right w:val="single" w:sz="4" w:space="0" w:color="000000"/>
            </w:tcBorders>
          </w:tcPr>
          <w:p>
            <w:pPr>
              <w:pStyle w:val="TableParagraph"/>
              <w:spacing w:line="240" w:lineRule="auto" w:before="91"/>
              <w:ind w:left="15" w:right="0"/>
              <w:jc w:val="center"/>
              <w:rPr>
                <w:rFonts w:ascii="Times New Roman" w:hAnsi="Times New Roman" w:cs="Times New Roman" w:eastAsia="Times New Roman" w:hint="default"/>
                <w:sz w:val="18"/>
                <w:szCs w:val="18"/>
              </w:rPr>
            </w:pPr>
            <w:r>
              <w:rPr>
                <w:rFonts w:ascii="Times New Roman"/>
                <w:sz w:val="18"/>
              </w:rPr>
              <w:t>1,200,000</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,000.00</w:t>
            </w:r>
          </w:p>
        </w:tc>
        <w:tc>
          <w:tcPr>
            <w:tcW w:w="797" w:type="dxa"/>
            <w:vMerge w:val="restart"/>
            <w:tcBorders>
              <w:top w:val="single" w:sz="4" w:space="0" w:color="000000"/>
              <w:left w:val="single" w:sz="4" w:space="0" w:color="000000"/>
              <w:right w:val="single" w:sz="4" w:space="0" w:color="000000"/>
            </w:tcBorders>
          </w:tcPr>
          <w:p>
            <w:pPr/>
          </w:p>
        </w:tc>
        <w:tc>
          <w:tcPr>
            <w:tcW w:w="800" w:type="dxa"/>
            <w:vMerge w:val="restart"/>
            <w:tcBorders>
              <w:top w:val="single" w:sz="4" w:space="0" w:color="000000"/>
              <w:left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1,200,000</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,000.00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2,152,860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.53</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-111,779,</w:t>
            </w:r>
          </w:p>
          <w:p>
            <w:pPr>
              <w:pStyle w:val="TableParagraph"/>
              <w:spacing w:line="240" w:lineRule="auto" w:before="105"/>
              <w:ind w:left="247" w:right="0"/>
              <w:jc w:val="center"/>
              <w:rPr>
                <w:rFonts w:ascii="Times New Roman" w:hAnsi="Times New Roman" w:cs="Times New Roman" w:eastAsia="Times New Roman" w:hint="default"/>
                <w:sz w:val="18"/>
                <w:szCs w:val="18"/>
              </w:rPr>
            </w:pPr>
            <w:r>
              <w:rPr>
                <w:rFonts w:ascii="Times New Roman"/>
                <w:sz w:val="18"/>
              </w:rPr>
              <w:t>529.52</w:t>
            </w: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-549,508,</w:t>
            </w:r>
          </w:p>
          <w:p>
            <w:pPr>
              <w:pStyle w:val="TableParagraph"/>
              <w:spacing w:line="240" w:lineRule="auto" w:before="105"/>
              <w:ind w:left="247" w:right="0"/>
              <w:jc w:val="center"/>
              <w:rPr>
                <w:rFonts w:ascii="Times New Roman" w:hAnsi="Times New Roman" w:cs="Times New Roman" w:eastAsia="Times New Roman" w:hint="default"/>
                <w:sz w:val="18"/>
                <w:szCs w:val="18"/>
              </w:rPr>
            </w:pPr>
            <w:r>
              <w:rPr>
                <w:rFonts w:ascii="Times New Roman"/>
                <w:sz w:val="18"/>
              </w:rPr>
              <w:t>200.00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540,865,1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31.01</w:t>
            </w:r>
          </w:p>
        </w:tc>
      </w:tr>
      <w:tr>
        <w:trPr>
          <w:trHeight w:val="394" w:hRule="exact"/>
        </w:trPr>
        <w:tc>
          <w:tcPr>
            <w:tcW w:w="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99" w:type="dxa"/>
            <w:vMerge/>
            <w:tcBorders>
              <w:left w:val="single" w:sz="9" w:space="0" w:color="D2D2D2"/>
              <w:right w:val="single" w:sz="4" w:space="0" w:color="000000"/>
            </w:tcBorders>
          </w:tcPr>
          <w:p>
            <w:pPr/>
          </w:p>
        </w:tc>
        <w:tc>
          <w:tcPr>
            <w:tcW w:w="797" w:type="dxa"/>
            <w:vMerge/>
            <w:tcBorders>
              <w:left w:val="single" w:sz="4" w:space="0" w:color="000000"/>
              <w:right w:val="single" w:sz="4" w:space="0" w:color="000000"/>
            </w:tcBorders>
          </w:tcPr>
          <w:p>
            <w:pPr/>
          </w:p>
        </w:tc>
        <w:tc>
          <w:tcPr>
            <w:tcW w:w="800"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r>
      <w:tr>
        <w:trPr>
          <w:trHeight w:val="161" w:hRule="exact"/>
        </w:trPr>
        <w:tc>
          <w:tcPr>
            <w:tcW w:w="78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9" w:type="dxa"/>
            <w:vMerge/>
            <w:tcBorders>
              <w:left w:val="single" w:sz="9" w:space="0" w:color="D2D2D2"/>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800"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3）可转换公司债券的转股条件、转股时间说明" w:id="361"/>
      <w:bookmarkEnd w:id="361"/>
      <w:r>
        <w:rPr>
          <w:b w:val="0"/>
          <w:bCs w:val="0"/>
        </w:rPr>
      </w: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10"/>
        <w:rPr>
          <w:rFonts w:ascii="宋体" w:hAnsi="宋体" w:cs="宋体" w:eastAsia="宋体" w:hint="default"/>
          <w:b/>
          <w:bCs/>
          <w:sz w:val="24"/>
          <w:szCs w:val="24"/>
        </w:rPr>
      </w:pPr>
    </w:p>
    <w:p>
      <w:pPr>
        <w:pStyle w:val="Heading4"/>
        <w:spacing w:line="259" w:lineRule="auto" w:before="0"/>
        <w:ind w:right="1126" w:firstLine="420"/>
        <w:jc w:val="right"/>
        <w:rPr>
          <w:rFonts w:ascii="Times New Roman" w:hAnsi="Times New Roman" w:cs="Times New Roman" w:eastAsia="Times New Roman" w:hint="default"/>
        </w:rPr>
      </w:pPr>
      <w:r>
        <w:rPr>
          <w:spacing w:val="-2"/>
        </w:rPr>
        <w:t>经中国证券监督管理委员会</w:t>
      </w:r>
      <w:r>
        <w:rPr>
          <w:rFonts w:ascii="Times New Roman" w:hAnsi="Times New Roman" w:cs="Times New Roman" w:eastAsia="Times New Roman" w:hint="default"/>
          <w:spacing w:val="-2"/>
        </w:rPr>
        <w:t>“</w:t>
      </w:r>
      <w:r>
        <w:rPr>
          <w:spacing w:val="-2"/>
        </w:rPr>
        <w:t>证监许可〔</w:t>
      </w:r>
      <w:r>
        <w:rPr>
          <w:rFonts w:ascii="Times New Roman" w:hAnsi="Times New Roman" w:cs="Times New Roman" w:eastAsia="Times New Roman" w:hint="default"/>
          <w:spacing w:val="-2"/>
        </w:rPr>
        <w:t>2019</w:t>
      </w:r>
      <w:r>
        <w:rPr>
          <w:spacing w:val="-2"/>
        </w:rPr>
        <w:t>〕</w:t>
      </w:r>
      <w:r>
        <w:rPr>
          <w:rFonts w:ascii="Times New Roman" w:hAnsi="Times New Roman" w:cs="Times New Roman" w:eastAsia="Times New Roman" w:hint="default"/>
          <w:spacing w:val="-2"/>
        </w:rPr>
        <w:t>60</w:t>
      </w:r>
      <w:r>
        <w:rPr>
          <w:spacing w:val="-2"/>
        </w:rPr>
        <w:t>号</w:t>
      </w:r>
      <w:r>
        <w:rPr>
          <w:rFonts w:ascii="Times New Roman" w:hAnsi="Times New Roman" w:cs="Times New Roman" w:eastAsia="Times New Roman" w:hint="default"/>
          <w:spacing w:val="-2"/>
        </w:rPr>
        <w:t>”</w:t>
      </w:r>
      <w:r>
        <w:rPr>
          <w:spacing w:val="-2"/>
        </w:rPr>
        <w:t>文核准，万达信息股份有限公司于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4</w:t>
      </w:r>
      <w:r>
        <w:rPr>
          <w:spacing w:val="-2"/>
        </w:rPr>
        <w:t>日</w:t>
      </w:r>
      <w:r>
        <w:rPr>
          <w:w w:val="100"/>
        </w:rPr>
        <w:t> </w:t>
      </w:r>
      <w:r>
        <w:rPr>
          <w:spacing w:val="-2"/>
        </w:rPr>
        <w:t>公开发行了</w:t>
      </w:r>
      <w:r>
        <w:rPr>
          <w:rFonts w:ascii="Times New Roman" w:hAnsi="Times New Roman" w:cs="Times New Roman" w:eastAsia="Times New Roman" w:hint="default"/>
          <w:spacing w:val="-2"/>
        </w:rPr>
        <w:t>1,200</w:t>
      </w:r>
      <w:r>
        <w:rPr>
          <w:spacing w:val="-2"/>
        </w:rPr>
        <w:t>万张可转换公司债券，每张面值</w:t>
      </w:r>
      <w:r>
        <w:rPr>
          <w:rFonts w:ascii="Times New Roman" w:hAnsi="Times New Roman" w:cs="Times New Roman" w:eastAsia="Times New Roman" w:hint="default"/>
          <w:spacing w:val="-2"/>
        </w:rPr>
        <w:t>100</w:t>
      </w:r>
      <w:r>
        <w:rPr>
          <w:spacing w:val="-2"/>
        </w:rPr>
        <w:t>元，发行总额</w:t>
      </w:r>
      <w:r>
        <w:rPr>
          <w:rFonts w:ascii="Times New Roman" w:hAnsi="Times New Roman" w:cs="Times New Roman" w:eastAsia="Times New Roman" w:hint="default"/>
          <w:spacing w:val="-2"/>
        </w:rPr>
        <w:t>120,000</w:t>
      </w:r>
      <w:r>
        <w:rPr>
          <w:spacing w:val="-2"/>
        </w:rPr>
        <w:t>万元。发行方式采用向原股东优</w:t>
      </w:r>
      <w:r>
        <w:rPr>
          <w:spacing w:val="-65"/>
        </w:rPr>
        <w:t> </w:t>
      </w:r>
      <w:r>
        <w:rPr>
          <w:spacing w:val="-65"/>
        </w:rPr>
      </w:r>
      <w:r>
        <w:rPr>
          <w:spacing w:val="-2"/>
        </w:rPr>
        <w:t>先配售，原股东优先配售后余额部分（含原股东放弃优先配售部分）采用网下对机构投资者配售和网上通</w:t>
      </w:r>
      <w:r>
        <w:rPr>
          <w:spacing w:val="-65"/>
        </w:rPr>
        <w:t> </w:t>
      </w:r>
      <w:r>
        <w:rPr>
          <w:spacing w:val="-65"/>
        </w:rPr>
      </w:r>
      <w:r>
        <w:rPr>
          <w:spacing w:val="-3"/>
        </w:rPr>
        <w:t>过深圳证券交易所交易系统向社会公众投资者发售的方式进行，认购金额不足</w:t>
      </w:r>
      <w:r>
        <w:rPr>
          <w:rFonts w:ascii="Times New Roman" w:hAnsi="Times New Roman" w:cs="Times New Roman" w:eastAsia="Times New Roman" w:hint="default"/>
          <w:spacing w:val="-3"/>
        </w:rPr>
        <w:t>120,000</w:t>
      </w:r>
      <w:r>
        <w:rPr>
          <w:spacing w:val="-3"/>
        </w:rPr>
        <w:t>万元的部分由承销团</w:t>
      </w:r>
      <w:r>
        <w:rPr>
          <w:spacing w:val="-65"/>
        </w:rPr>
        <w:t> </w:t>
      </w:r>
      <w:r>
        <w:rPr>
          <w:spacing w:val="-65"/>
        </w:rPr>
      </w:r>
      <w:r>
        <w:rPr/>
        <w:t>余额包销。本次发行的可转换公司债券期限为自发行之日起六年，即自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4</w:t>
      </w:r>
      <w:r>
        <w:rPr/>
        <w:t>日至</w:t>
      </w:r>
      <w:r>
        <w:rPr>
          <w:spacing w:val="-49"/>
        </w:rPr>
        <w:t> </w:t>
      </w:r>
      <w:r>
        <w:rPr>
          <w:rFonts w:ascii="Times New Roman" w:hAnsi="Times New Roman" w:cs="Times New Roman" w:eastAsia="Times New Roman" w:hint="default"/>
        </w:rPr>
        <w:t>2025</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w:t>
      </w:r>
      <w:r>
        <w:rPr/>
        <w:t>日。</w:t>
      </w:r>
      <w:r>
        <w:rPr>
          <w:spacing w:val="-3"/>
          <w:w w:val="100"/>
        </w:rPr>
        <w:t> </w:t>
      </w:r>
      <w:r>
        <w:rPr>
          <w:spacing w:val="21"/>
        </w:rPr>
        <w:t>本次发行可转换公司债券应募集资金总额为人民币</w:t>
      </w:r>
      <w:r>
        <w:rPr>
          <w:spacing w:val="-61"/>
        </w:rPr>
        <w:t> </w:t>
      </w:r>
      <w:r>
        <w:rPr>
          <w:rFonts w:ascii="Times New Roman" w:hAnsi="Times New Roman" w:cs="Times New Roman" w:eastAsia="Times New Roman" w:hint="default"/>
        </w:rPr>
        <w:t>1,200,000,000.00</w:t>
      </w:r>
      <w:r>
        <w:rPr>
          <w:rFonts w:ascii="Times New Roman" w:hAnsi="Times New Roman" w:cs="Times New Roman" w:eastAsia="Times New Roman" w:hint="default"/>
          <w:spacing w:val="-9"/>
        </w:rPr>
        <w:t> </w:t>
      </w:r>
      <w:r>
        <w:rPr>
          <w:spacing w:val="11"/>
        </w:rPr>
        <w:t>元，</w:t>
      </w:r>
      <w:r>
        <w:rPr>
          <w:spacing w:val="-66"/>
        </w:rPr>
        <w:t> </w:t>
      </w:r>
      <w:r>
        <w:rPr>
          <w:spacing w:val="17"/>
        </w:rPr>
        <w:t>发行费用（</w:t>
      </w:r>
      <w:r>
        <w:rPr>
          <w:spacing w:val="-62"/>
        </w:rPr>
        <w:t> </w:t>
      </w:r>
      <w:r>
        <w:rPr>
          <w:spacing w:val="16"/>
        </w:rPr>
        <w:t>不含税）</w:t>
      </w:r>
      <w:r>
        <w:rPr>
          <w:w w:val="100"/>
        </w:rPr>
        <w:t> </w:t>
      </w:r>
      <w:r>
        <w:rPr>
          <w:rFonts w:ascii="Times New Roman" w:hAnsi="Times New Roman" w:cs="Times New Roman" w:eastAsia="Times New Roman" w:hint="default"/>
          <w:spacing w:val="-2"/>
        </w:rPr>
        <w:t>12,235,849.06</w:t>
      </w:r>
      <w:r>
        <w:rPr>
          <w:spacing w:val="-2"/>
        </w:rPr>
        <w:t>元，本次发行费用在负债成份和权益成份之间分摊，分摊后负债成份公允价值</w:t>
      </w:r>
      <w:r>
        <w:rPr>
          <w:rFonts w:ascii="Times New Roman" w:hAnsi="Times New Roman" w:cs="Times New Roman" w:eastAsia="Times New Roman" w:hint="default"/>
          <w:spacing w:val="-2"/>
        </w:rPr>
        <w:t>956,693,068.50</w:t>
      </w:r>
    </w:p>
    <w:p>
      <w:pPr>
        <w:pStyle w:val="Heading4"/>
        <w:spacing w:line="256" w:lineRule="auto" w:before="2"/>
        <w:ind w:left="573" w:right="0" w:hanging="421"/>
        <w:jc w:val="left"/>
      </w:pPr>
      <w:r>
        <w:rPr/>
        <w:t>元，权益成份公允价值</w:t>
      </w:r>
      <w:r>
        <w:rPr>
          <w:rFonts w:ascii="Times New Roman" w:hAnsi="Times New Roman" w:cs="Times New Roman" w:eastAsia="Times New Roman" w:hint="default"/>
        </w:rPr>
        <w:t>231,071,082.44</w:t>
      </w:r>
      <w:r>
        <w:rPr/>
        <w:t>元。</w:t>
      </w:r>
      <w:r>
        <w:rPr>
          <w:w w:val="100"/>
        </w:rPr>
        <w:t> </w:t>
      </w:r>
      <w:r>
        <w:rPr>
          <w:spacing w:val="-6"/>
          <w:w w:val="100"/>
        </w:rPr>
        <w:t>截止</w:t>
      </w:r>
      <w:r>
        <w:rPr>
          <w:rFonts w:ascii="Times New Roman" w:hAnsi="Times New Roman" w:cs="Times New Roman" w:eastAsia="Times New Roman" w:hint="default"/>
          <w:spacing w:val="-6"/>
          <w:w w:val="100"/>
        </w:rPr>
        <w:t>2019</w:t>
      </w:r>
      <w:r>
        <w:rPr>
          <w:spacing w:val="-6"/>
          <w:w w:val="100"/>
        </w:rPr>
        <w:t>年</w:t>
      </w:r>
      <w:r>
        <w:rPr>
          <w:rFonts w:ascii="Times New Roman" w:hAnsi="Times New Roman" w:cs="Times New Roman" w:eastAsia="Times New Roman" w:hint="default"/>
          <w:spacing w:val="-6"/>
          <w:w w:val="100"/>
        </w:rPr>
        <w:t>12</w:t>
      </w:r>
      <w:r>
        <w:rPr>
          <w:spacing w:val="-6"/>
          <w:w w:val="100"/>
        </w:rPr>
        <w:t>月</w:t>
      </w:r>
      <w:r>
        <w:rPr>
          <w:rFonts w:ascii="Times New Roman" w:hAnsi="Times New Roman" w:cs="Times New Roman" w:eastAsia="Times New Roman" w:hint="default"/>
          <w:spacing w:val="-6"/>
          <w:w w:val="100"/>
        </w:rPr>
        <w:t>31</w:t>
      </w:r>
      <w:r>
        <w:rPr>
          <w:spacing w:val="-6"/>
          <w:w w:val="100"/>
        </w:rPr>
        <w:t>日，“万信转</w:t>
      </w:r>
      <w:r>
        <w:rPr>
          <w:rFonts w:ascii="Times New Roman" w:hAnsi="Times New Roman" w:cs="Times New Roman" w:eastAsia="Times New Roman" w:hint="default"/>
          <w:spacing w:val="-6"/>
          <w:w w:val="100"/>
        </w:rPr>
        <w:t>2</w:t>
      </w:r>
      <w:r>
        <w:rPr>
          <w:spacing w:val="-6"/>
          <w:w w:val="100"/>
        </w:rPr>
        <w:t>”转股减少债券面值</w:t>
      </w:r>
      <w:r>
        <w:rPr>
          <w:rFonts w:ascii="Times New Roman" w:hAnsi="Times New Roman" w:cs="Times New Roman" w:eastAsia="Times New Roman" w:hint="default"/>
          <w:spacing w:val="-6"/>
          <w:w w:val="100"/>
        </w:rPr>
        <w:t>549,508,200.00</w:t>
      </w:r>
      <w:r>
        <w:rPr>
          <w:spacing w:val="-6"/>
          <w:w w:val="100"/>
        </w:rPr>
        <w:t>元，转股数量为</w:t>
      </w:r>
      <w:r>
        <w:rPr>
          <w:rFonts w:ascii="Times New Roman" w:hAnsi="Times New Roman" w:cs="Times New Roman" w:eastAsia="Times New Roman" w:hint="default"/>
          <w:spacing w:val="-6"/>
          <w:w w:val="100"/>
        </w:rPr>
        <w:t>40,404,333</w:t>
      </w:r>
      <w:r>
        <w:rPr>
          <w:spacing w:val="-6"/>
          <w:w w:val="100"/>
        </w:rPr>
        <w:t>股。“万</w:t>
      </w:r>
    </w:p>
    <w:p>
      <w:pPr>
        <w:pStyle w:val="Heading4"/>
        <w:spacing w:line="240" w:lineRule="auto" w:before="5"/>
        <w:ind w:right="0"/>
        <w:jc w:val="left"/>
      </w:pPr>
      <w:r>
        <w:rPr/>
        <w:t>信转</w:t>
      </w:r>
      <w:r>
        <w:rPr>
          <w:rFonts w:ascii="Times New Roman" w:hAnsi="Times New Roman" w:cs="Times New Roman" w:eastAsia="Times New Roman" w:hint="default"/>
        </w:rPr>
        <w:t>2</w:t>
      </w:r>
      <w:r>
        <w:rPr/>
        <w:t>”余额为</w:t>
      </w:r>
      <w:r>
        <w:rPr>
          <w:rFonts w:ascii="Times New Roman" w:hAnsi="Times New Roman" w:cs="Times New Roman" w:eastAsia="Times New Roman" w:hint="default"/>
        </w:rPr>
        <w:t>540,865,131.01</w:t>
      </w:r>
      <w:r>
        <w:rPr/>
        <w:t>元，其中债券面值</w:t>
      </w:r>
      <w:r>
        <w:rPr>
          <w:rFonts w:ascii="Times New Roman" w:hAnsi="Times New Roman" w:cs="Times New Roman" w:eastAsia="Times New Roman" w:hint="default"/>
        </w:rPr>
        <w:t>650,491,800.00</w:t>
      </w:r>
      <w:r>
        <w:rPr/>
        <w:t>元，利息调整</w:t>
      </w:r>
      <w:r>
        <w:rPr>
          <w:rFonts w:ascii="Times New Roman" w:hAnsi="Times New Roman" w:cs="Times New Roman" w:eastAsia="Times New Roman" w:hint="default"/>
        </w:rPr>
        <w:t>111,779,529.52</w:t>
      </w:r>
      <w:r>
        <w:rPr/>
        <w:t>元，应计利息</w:t>
      </w:r>
    </w:p>
    <w:p>
      <w:pPr>
        <w:pStyle w:val="Heading4"/>
        <w:spacing w:line="240" w:lineRule="auto" w:before="22"/>
        <w:ind w:right="2602"/>
        <w:jc w:val="left"/>
      </w:pPr>
      <w:r>
        <w:rPr>
          <w:rFonts w:ascii="Times New Roman" w:hAnsi="Times New Roman" w:cs="Times New Roman" w:eastAsia="Times New Roman" w:hint="default"/>
        </w:rPr>
        <w:t>2,152,860.53</w:t>
      </w:r>
      <w:r>
        <w:rPr/>
        <w:t>元。</w:t>
      </w:r>
    </w:p>
    <w:p>
      <w:pPr>
        <w:pStyle w:val="Heading4"/>
        <w:spacing w:line="256" w:lineRule="auto" w:before="21"/>
        <w:ind w:right="0" w:firstLine="420"/>
        <w:jc w:val="left"/>
      </w:pPr>
      <w:r>
        <w:rPr>
          <w:rFonts w:ascii="宋体" w:hAnsi="宋体" w:cs="宋体" w:eastAsia="宋体" w:hint="default"/>
        </w:rPr>
        <w:t>2019</w:t>
      </w:r>
      <w:r>
        <w:rPr/>
        <w:t>年度，“万信转</w:t>
      </w:r>
      <w:r>
        <w:rPr>
          <w:rFonts w:ascii="Times New Roman" w:hAnsi="Times New Roman" w:cs="Times New Roman" w:eastAsia="Times New Roman" w:hint="default"/>
        </w:rPr>
        <w:t>2</w:t>
      </w:r>
      <w:r>
        <w:rPr/>
        <w:t>”转股增加股本</w:t>
      </w:r>
      <w:r>
        <w:rPr>
          <w:rFonts w:ascii="Times New Roman" w:hAnsi="Times New Roman" w:cs="Times New Roman" w:eastAsia="Times New Roman" w:hint="default"/>
        </w:rPr>
        <w:t>40,404,333.00</w:t>
      </w:r>
      <w:r>
        <w:rPr/>
        <w:t>元，减少其他权益工具</w:t>
      </w:r>
      <w:r>
        <w:rPr>
          <w:rFonts w:ascii="Times New Roman" w:hAnsi="Times New Roman" w:cs="Times New Roman" w:eastAsia="Times New Roman" w:hint="default"/>
        </w:rPr>
        <w:t>105,812,878.82</w:t>
      </w:r>
      <w:r>
        <w:rPr/>
        <w:t>元，增加资</w:t>
      </w:r>
      <w:r>
        <w:rPr>
          <w:w w:val="100"/>
        </w:rPr>
        <w:t> </w:t>
      </w:r>
      <w:r>
        <w:rPr/>
        <w:t>本公积（股本溢价）</w:t>
      </w:r>
      <w:r>
        <w:rPr>
          <w:rFonts w:ascii="Times New Roman" w:hAnsi="Times New Roman" w:cs="Times New Roman" w:eastAsia="Times New Roman" w:hint="default"/>
        </w:rPr>
        <w:t>503,500,784.18</w:t>
      </w:r>
      <w:r>
        <w:rPr/>
        <w:t>元。</w:t>
      </w:r>
    </w:p>
    <w:p>
      <w:pPr>
        <w:spacing w:line="240" w:lineRule="auto" w:before="4"/>
        <w:rPr>
          <w:rFonts w:ascii="宋体" w:hAnsi="宋体" w:cs="宋体" w:eastAsia="宋体" w:hint="default"/>
          <w:sz w:val="23"/>
          <w:szCs w:val="23"/>
        </w:rPr>
      </w:pPr>
    </w:p>
    <w:p>
      <w:pPr>
        <w:pStyle w:val="Heading3"/>
        <w:spacing w:line="506" w:lineRule="auto"/>
        <w:ind w:left="573" w:right="6793" w:hanging="421"/>
        <w:jc w:val="left"/>
        <w:rPr>
          <w:rFonts w:ascii="宋体" w:hAnsi="宋体" w:cs="宋体" w:eastAsia="宋体" w:hint="default"/>
          <w:b w:val="0"/>
          <w:bCs w:val="0"/>
        </w:rPr>
      </w:pPr>
      <w:bookmarkStart w:name="（4）划分为金融负债的其他金融工具说明" w:id="362"/>
      <w:bookmarkEnd w:id="362"/>
      <w:r>
        <w:rPr>
          <w:b w:val="0"/>
          <w:bCs w:val="0"/>
        </w:rPr>
      </w:r>
      <w:r>
        <w:rPr>
          <w:spacing w:val="-1"/>
        </w:rPr>
        <w:t>（</w:t>
      </w:r>
      <w:r>
        <w:rPr>
          <w:rFonts w:ascii="Times New Roman" w:hAnsi="Times New Roman" w:cs="Times New Roman" w:eastAsia="Times New Roman" w:hint="default"/>
          <w:spacing w:val="-1"/>
        </w:rPr>
        <w:t>4</w:t>
      </w:r>
      <w:r>
        <w:rPr>
          <w:spacing w:val="-1"/>
        </w:rPr>
        <w:t>）划分为金融负债的其他金融工具说明</w:t>
      </w:r>
      <w:r>
        <w:rPr>
          <w:spacing w:val="-87"/>
        </w:rPr>
        <w:t> </w:t>
      </w:r>
      <w:r>
        <w:rPr>
          <w:spacing w:val="-87"/>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7、租赁负债" w:id="363"/>
      <w:bookmarkEnd w:id="363"/>
      <w:r>
        <w:rPr>
          <w:b w:val="0"/>
          <w:bCs w:val="0"/>
        </w:rPr>
      </w:r>
      <w:r>
        <w:rPr>
          <w:rFonts w:ascii="Times New Roman" w:hAnsi="Times New Roman" w:cs="Times New Roman" w:eastAsia="Times New Roman" w:hint="default"/>
        </w:rPr>
        <w:t>47</w:t>
      </w:r>
      <w:r>
        <w:rPr/>
        <w:t>、租赁负债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506" w:lineRule="auto"/>
        <w:ind w:left="573" w:right="9279" w:hanging="421"/>
        <w:jc w:val="left"/>
        <w:rPr>
          <w:rFonts w:ascii="宋体" w:hAnsi="宋体" w:cs="宋体" w:eastAsia="宋体" w:hint="default"/>
          <w:b w:val="0"/>
          <w:bCs w:val="0"/>
        </w:rPr>
      </w:pPr>
      <w:bookmarkStart w:name="48、长期应付款" w:id="364"/>
      <w:bookmarkEnd w:id="364"/>
      <w:r>
        <w:rPr>
          <w:b w:val="0"/>
          <w:bCs w:val="0"/>
        </w:rPr>
      </w:r>
      <w:r>
        <w:rPr>
          <w:rFonts w:ascii="Times New Roman" w:hAnsi="Times New Roman" w:cs="Times New Roman" w:eastAsia="Times New Roman" w:hint="default"/>
        </w:rPr>
        <w:t>48</w:t>
      </w:r>
      <w:r>
        <w:rPr/>
        <w:t>、长期应付款</w:t>
      </w:r>
      <w:r>
        <w:rPr>
          <w:w w:val="100"/>
        </w:rPr>
        <w:t> </w:t>
      </w:r>
      <w:r>
        <w:rPr>
          <w:rFonts w:ascii="宋体" w:hAnsi="宋体" w:cs="宋体" w:eastAsia="宋体" w:hint="default"/>
          <w:b w:val="0"/>
          <w:bCs w:val="0"/>
        </w:rPr>
        <w:t>无</w:t>
      </w:r>
    </w:p>
    <w:p>
      <w:pPr>
        <w:pStyle w:val="Heading3"/>
        <w:spacing w:line="506" w:lineRule="auto" w:before="104"/>
        <w:ind w:left="573" w:right="8647" w:hanging="421"/>
        <w:jc w:val="left"/>
        <w:rPr>
          <w:rFonts w:ascii="宋体" w:hAnsi="宋体" w:cs="宋体" w:eastAsia="宋体" w:hint="default"/>
          <w:b w:val="0"/>
          <w:bCs w:val="0"/>
        </w:rPr>
      </w:pPr>
      <w:bookmarkStart w:name="49、长期应付职工薪酬" w:id="365"/>
      <w:bookmarkEnd w:id="365"/>
      <w:r>
        <w:rPr>
          <w:b w:val="0"/>
          <w:bCs w:val="0"/>
        </w:rPr>
      </w:r>
      <w:r>
        <w:rPr>
          <w:rFonts w:ascii="Times New Roman" w:hAnsi="Times New Roman" w:cs="Times New Roman" w:eastAsia="Times New Roman" w:hint="default"/>
        </w:rPr>
        <w:t>49</w:t>
      </w:r>
      <w:r>
        <w:rPr/>
        <w:t>、长期应付职工薪酬</w:t>
      </w:r>
      <w:r>
        <w:rPr>
          <w:spacing w:val="-104"/>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50、预计负债" w:id="366"/>
      <w:bookmarkEnd w:id="366"/>
      <w:r>
        <w:rPr>
          <w:b w:val="0"/>
          <w:bCs w:val="0"/>
        </w:rPr>
      </w:r>
      <w:r>
        <w:rPr>
          <w:rFonts w:ascii="Times New Roman" w:hAnsi="Times New Roman" w:cs="Times New Roman" w:eastAsia="Times New Roman" w:hint="default"/>
        </w:rPr>
        <w:t>50</w:t>
      </w:r>
      <w:r>
        <w:rPr/>
        <w:t>、预计负债</w:t>
      </w:r>
      <w:r>
        <w:rPr>
          <w:b w:val="0"/>
          <w:bCs w:val="0"/>
        </w:rPr>
      </w:r>
    </w:p>
    <w:p>
      <w:pPr>
        <w:spacing w:line="240" w:lineRule="auto" w:before="7"/>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1"/>
        <w:rPr>
          <w:rFonts w:ascii="宋体" w:hAnsi="宋体" w:cs="宋体" w:eastAsia="宋体" w:hint="default"/>
          <w:sz w:val="25"/>
          <w:szCs w:val="25"/>
        </w:rPr>
      </w:pPr>
    </w:p>
    <w:p>
      <w:pPr>
        <w:pStyle w:val="Heading3"/>
        <w:spacing w:line="240" w:lineRule="auto"/>
        <w:ind w:right="2602"/>
        <w:jc w:val="left"/>
        <w:rPr>
          <w:b w:val="0"/>
          <w:bCs w:val="0"/>
        </w:rPr>
      </w:pPr>
      <w:bookmarkStart w:name="51、递延收益" w:id="367"/>
      <w:bookmarkEnd w:id="367"/>
      <w:r>
        <w:rPr>
          <w:b w:val="0"/>
          <w:bCs w:val="0"/>
        </w:rPr>
      </w:r>
      <w:r>
        <w:rPr>
          <w:rFonts w:ascii="Times New Roman" w:hAnsi="Times New Roman" w:cs="Times New Roman" w:eastAsia="Times New Roman" w:hint="default"/>
        </w:rPr>
        <w:t>51</w:t>
      </w:r>
      <w:r>
        <w:rPr/>
        <w:t>、递延收益</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71"/>
        <w:gridCol w:w="1607"/>
        <w:gridCol w:w="1594"/>
        <w:gridCol w:w="1596"/>
        <w:gridCol w:w="1594"/>
        <w:gridCol w:w="1594"/>
      </w:tblGrid>
      <w:tr>
        <w:trPr>
          <w:trHeight w:val="403" w:hRule="exact"/>
        </w:trPr>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1" w:hRule="exact"/>
        </w:trPr>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23,342,763.42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65,926,265.37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12,492,516.42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76,776,512.37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尚未结转</w:t>
            </w:r>
          </w:p>
        </w:tc>
      </w:tr>
      <w:tr>
        <w:trPr>
          <w:trHeight w:val="403" w:hRule="exact"/>
        </w:trPr>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23,342,763.42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65,926,265.37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12,492,516.42</w:t>
            </w:r>
          </w:p>
        </w:tc>
        <w:tc>
          <w:tcPr>
            <w:tcW w:w="1594"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3"/>
              <w:ind w:right="8"/>
              <w:jc w:val="right"/>
              <w:rPr>
                <w:rFonts w:ascii="Times New Roman" w:hAnsi="Times New Roman" w:cs="Times New Roman" w:eastAsia="Times New Roman" w:hint="default"/>
                <w:sz w:val="18"/>
                <w:szCs w:val="18"/>
              </w:rPr>
            </w:pPr>
            <w:r>
              <w:rPr>
                <w:rFonts w:ascii="Times New Roman"/>
                <w:spacing w:val="-1"/>
                <w:sz w:val="18"/>
              </w:rPr>
              <w:t>76,776,512.37</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2602"/>
        <w:jc w:val="left"/>
      </w:pPr>
      <w:r>
        <w:rPr/>
        <w:t>涉及政府补助的项目：</w:t>
      </w:r>
    </w:p>
    <w:p>
      <w:pPr>
        <w:pStyle w:val="BodyText"/>
        <w:spacing w:line="240" w:lineRule="auto" w:before="115"/>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552"/>
        <w:gridCol w:w="994"/>
        <w:gridCol w:w="991"/>
        <w:gridCol w:w="994"/>
        <w:gridCol w:w="850"/>
        <w:gridCol w:w="852"/>
        <w:gridCol w:w="425"/>
        <w:gridCol w:w="903"/>
        <w:gridCol w:w="1010"/>
      </w:tblGrid>
      <w:tr>
        <w:trPr>
          <w:trHeight w:val="1025" w:hRule="exact"/>
        </w:trPr>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 w:right="0"/>
              <w:jc w:val="center"/>
              <w:rPr>
                <w:rFonts w:ascii="宋体" w:hAnsi="宋体" w:cs="宋体" w:eastAsia="宋体" w:hint="default"/>
                <w:sz w:val="18"/>
                <w:szCs w:val="18"/>
              </w:rPr>
            </w:pPr>
            <w:r>
              <w:rPr>
                <w:rFonts w:ascii="宋体" w:hAnsi="宋体" w:cs="宋体" w:eastAsia="宋体" w:hint="default"/>
                <w:sz w:val="18"/>
                <w:szCs w:val="18"/>
              </w:rPr>
              <w:t>负债项目</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20" w:right="38"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0" w:right="41"/>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9" w:right="59"/>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9" w:right="60"/>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8" w:right="24"/>
              <w:jc w:val="left"/>
              <w:rPr>
                <w:rFonts w:ascii="宋体" w:hAnsi="宋体" w:cs="宋体" w:eastAsia="宋体" w:hint="default"/>
                <w:sz w:val="18"/>
                <w:szCs w:val="18"/>
              </w:rPr>
            </w:pPr>
            <w:r>
              <w:rPr>
                <w:rFonts w:ascii="宋体" w:hAnsi="宋体" w:cs="宋体" w:eastAsia="宋体" w:hint="default"/>
                <w:sz w:val="18"/>
                <w:szCs w:val="18"/>
              </w:rPr>
              <w:t>其他 变动</w:t>
            </w:r>
          </w:p>
        </w:tc>
        <w:tc>
          <w:tcPr>
            <w:tcW w:w="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84"/>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0" w:lineRule="auto"/>
              <w:ind w:left="50" w:right="24" w:hanging="27"/>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医疗健康大数据处理与管理平 台的研发</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1"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领军人材</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308,278.60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308,278.60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医养结合的养老云服务平台及 集成化养老智能终端设备研发</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289,901.00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289,901.00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基于大数据的慢病管理平台研 究与应用示范</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480,000.00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基于开发者关联分析的智能协 作关键技术与支撑环境</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132,111.48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132,111.48</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支持数据交易的大数据试验场 管理平台研制</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660,000.00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660,000.00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上海电子政务工程技术研究中 心能力提升二期</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599,111.51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583,771.10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15,340.41</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上海卫生信息工程技术研究中 心能力提升二期</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1,573,218.5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245,600.00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1,327,618.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51</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4" w:right="127"/>
              <w:jc w:val="both"/>
              <w:rPr>
                <w:rFonts w:ascii="宋体" w:hAnsi="宋体" w:cs="宋体" w:eastAsia="宋体" w:hint="default"/>
                <w:sz w:val="18"/>
                <w:szCs w:val="18"/>
              </w:rPr>
            </w:pPr>
            <w:r>
              <w:rPr>
                <w:rFonts w:ascii="宋体" w:hAnsi="宋体" w:cs="宋体" w:eastAsia="宋体" w:hint="default"/>
                <w:sz w:val="18"/>
                <w:szCs w:val="18"/>
              </w:rPr>
              <w:t>建设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型糖尿病与糖尿病高风 险早期筛查与综合管理的示范 区域</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514,109.57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102,492.00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411,617.57</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长三角城市群医疗机构异地分 级诊疗应用平台关键技术攻关</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169,862.00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169,862.00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轨道交通大数据服务平台关键 技术研究</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124,200.00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124,200.00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基于区域卫生信息平台的全人 群健康监测研究</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337,762.00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142,140.00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195,622.00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年首席技师千人计划资助</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40,975.90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40,975.90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高龄产妇妊娠并发症预测及预 警模型建立</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294,375.00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52,500.00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241,875.00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万达信息云业务支撑平台研发 与行业应用</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2,715,000.0</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2,714,466.3</w:t>
            </w:r>
          </w:p>
          <w:p>
            <w:pPr>
              <w:pStyle w:val="TableParagraph"/>
              <w:spacing w:line="240" w:lineRule="auto" w:before="103"/>
              <w:ind w:right="23"/>
              <w:jc w:val="right"/>
              <w:rPr>
                <w:rFonts w:ascii="Times New Roman" w:hAnsi="Times New Roman" w:cs="Times New Roman" w:eastAsia="Times New Roman" w:hint="default"/>
                <w:sz w:val="18"/>
                <w:szCs w:val="18"/>
              </w:rPr>
            </w:pPr>
            <w:r>
              <w:rPr>
                <w:rFonts w:ascii="Times New Roman"/>
                <w:sz w:val="18"/>
              </w:rPr>
              <w:t>6</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533.64</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面向科技政务的大数据服务平 台研究及应用示范</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2,782,500.0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1,698,689.3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1,083,810.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68</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基于大数据和人工智能的区域 医学影像协作共享平台研究</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1,738,000.0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662,623.26</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1,075,376.</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74</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74"/>
              <w:jc w:val="left"/>
              <w:rPr>
                <w:rFonts w:ascii="宋体" w:hAnsi="宋体" w:cs="宋体" w:eastAsia="宋体" w:hint="default"/>
                <w:sz w:val="18"/>
                <w:szCs w:val="18"/>
              </w:rPr>
            </w:pPr>
            <w:r>
              <w:rPr>
                <w:rFonts w:ascii="宋体" w:hAnsi="宋体" w:cs="宋体" w:eastAsia="宋体" w:hint="default"/>
                <w:sz w:val="18"/>
                <w:szCs w:val="18"/>
              </w:rPr>
              <w:t>基于人工智能的新一代互联网</w:t>
            </w:r>
            <w:r>
              <w:rPr>
                <w:rFonts w:ascii="Times New Roman" w:hAnsi="Times New Roman" w:cs="Times New Roman" w:eastAsia="Times New Roman" w:hint="default"/>
                <w:sz w:val="18"/>
                <w:szCs w:val="18"/>
              </w:rPr>
              <w:t>+ </w:t>
            </w:r>
            <w:r>
              <w:rPr>
                <w:rFonts w:ascii="宋体" w:hAnsi="宋体" w:cs="宋体" w:eastAsia="宋体" w:hint="default"/>
                <w:sz w:val="18"/>
                <w:szCs w:val="18"/>
              </w:rPr>
              <w:t>政务服务平台研发与产业化</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757,623.17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757,623.17</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552"/>
        <w:gridCol w:w="994"/>
        <w:gridCol w:w="991"/>
        <w:gridCol w:w="994"/>
        <w:gridCol w:w="850"/>
        <w:gridCol w:w="852"/>
        <w:gridCol w:w="425"/>
        <w:gridCol w:w="903"/>
        <w:gridCol w:w="1010"/>
      </w:tblGrid>
      <w:tr>
        <w:trPr>
          <w:trHeight w:val="1025" w:hRule="exact"/>
        </w:trPr>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907"/>
              <w:jc w:val="right"/>
              <w:rPr>
                <w:rFonts w:ascii="宋体" w:hAnsi="宋体" w:cs="宋体" w:eastAsia="宋体" w:hint="default"/>
                <w:sz w:val="18"/>
                <w:szCs w:val="18"/>
              </w:rPr>
            </w:pPr>
            <w:r>
              <w:rPr>
                <w:rFonts w:ascii="宋体" w:hAnsi="宋体" w:cs="宋体" w:eastAsia="宋体" w:hint="default"/>
                <w:sz w:val="18"/>
                <w:szCs w:val="18"/>
              </w:rPr>
              <w:t>负债项目</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20" w:right="38"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0" w:right="41"/>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9" w:right="59"/>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9" w:right="60"/>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8" w:right="24"/>
              <w:jc w:val="left"/>
              <w:rPr>
                <w:rFonts w:ascii="宋体" w:hAnsi="宋体" w:cs="宋体" w:eastAsia="宋体" w:hint="default"/>
                <w:sz w:val="18"/>
                <w:szCs w:val="18"/>
              </w:rPr>
            </w:pPr>
            <w:r>
              <w:rPr>
                <w:rFonts w:ascii="宋体" w:hAnsi="宋体" w:cs="宋体" w:eastAsia="宋体" w:hint="default"/>
                <w:sz w:val="18"/>
                <w:szCs w:val="18"/>
              </w:rPr>
              <w:t>其他 变动</w:t>
            </w:r>
          </w:p>
        </w:tc>
        <w:tc>
          <w:tcPr>
            <w:tcW w:w="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0" w:lineRule="auto"/>
              <w:ind w:left="50" w:right="24" w:hanging="27"/>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建立具有国家代表性的糖尿病 防诊治与协作研究信息化平台</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1,048,816.0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84,736.00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964,080.00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重大慢病流行病学监测大数据 平台构建与决策支持研究</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595,000.00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228,750.00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366,250.00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132"/>
              <w:jc w:val="left"/>
              <w:rPr>
                <w:rFonts w:ascii="宋体" w:hAnsi="宋体" w:cs="宋体" w:eastAsia="宋体" w:hint="default"/>
                <w:sz w:val="18"/>
                <w:szCs w:val="18"/>
              </w:rPr>
            </w:pPr>
            <w:r>
              <w:rPr>
                <w:rFonts w:ascii="Times New Roman" w:hAnsi="Times New Roman" w:cs="Times New Roman" w:eastAsia="Times New Roman" w:hint="default"/>
                <w:sz w:val="18"/>
                <w:szCs w:val="18"/>
              </w:rPr>
              <w:t>Al</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驱动的多模态融合雪上竞技 大数据智慧服务系统</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927,194.14</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927,194.14</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年度科委电子政务工程技 术研究中心能力提升</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1,722,600.0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1,722,600.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2"/>
              <w:ind w:left="24" w:right="12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年度科委卫生信息工程技 术研究中心能力提升</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2,000,000.0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特大城市服务集成与治理技术 研究与应用示范</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12,440,495.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79</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12,440,495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.79</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异构服务协同共性关键技术研 究与城市智能服务系统研制</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1,404,300.0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1,404,300.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地级市市民公共服务平台示范 应用</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619,174.21</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619,174.21</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特大城市市民公共服务平台示 范应用</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1,193,177.7</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1,193,177.</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70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1"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47"/>
              <w:jc w:val="righ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年首席技师资助</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 w:right="0"/>
              <w:jc w:val="center"/>
              <w:rPr>
                <w:rFonts w:ascii="Times New Roman" w:hAnsi="Times New Roman" w:cs="Times New Roman" w:eastAsia="Times New Roman" w:hint="default"/>
                <w:sz w:val="18"/>
                <w:szCs w:val="18"/>
              </w:rPr>
            </w:pPr>
            <w:r>
              <w:rPr>
                <w:rFonts w:ascii="Times New Roman"/>
                <w:sz w:val="18"/>
              </w:rPr>
              <w:t>100,000.00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面向医疗健康服务行业的公共 云计算服务平台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17,980,791.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79</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1,009,604.1</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2</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16,971,187</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.67</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02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both"/>
              <w:rPr>
                <w:rFonts w:ascii="宋体" w:hAnsi="宋体" w:cs="宋体" w:eastAsia="宋体" w:hint="default"/>
                <w:sz w:val="18"/>
                <w:szCs w:val="18"/>
              </w:rPr>
            </w:pPr>
            <w:r>
              <w:rPr>
                <w:rFonts w:ascii="宋体" w:hAnsi="宋体" w:cs="宋体" w:eastAsia="宋体" w:hint="default"/>
                <w:sz w:val="18"/>
                <w:szCs w:val="18"/>
              </w:rPr>
              <w:t>经信委基于医疗健康大数据的 上海市重点疾病预防与综合评 价的应用示范</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113,272.30</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113,272.30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经信委面向专病的智能临床辅 助决策产品研发与产业化</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1,769,399.3</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3</w:t>
            </w:r>
          </w:p>
        </w:tc>
        <w:tc>
          <w:tcPr>
            <w:tcW w:w="99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1,769,399.3</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3</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7"/>
              <w:jc w:val="left"/>
              <w:rPr>
                <w:rFonts w:ascii="宋体" w:hAnsi="宋体" w:cs="宋体" w:eastAsia="宋体" w:hint="default"/>
                <w:sz w:val="18"/>
                <w:szCs w:val="18"/>
              </w:rPr>
            </w:pPr>
            <w:r>
              <w:rPr>
                <w:rFonts w:ascii="宋体" w:hAnsi="宋体" w:cs="宋体" w:eastAsia="宋体" w:hint="default"/>
                <w:sz w:val="18"/>
                <w:szCs w:val="18"/>
              </w:rPr>
              <w:t>安全可控桌面计算机在电子政 务领域的应用迁移技术研究</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3,479,300.0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19,915,100.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23,394,400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4" w:right="177"/>
              <w:jc w:val="left"/>
              <w:rPr>
                <w:rFonts w:ascii="宋体" w:hAnsi="宋体" w:cs="宋体" w:eastAsia="宋体" w:hint="default"/>
                <w:sz w:val="18"/>
                <w:szCs w:val="18"/>
              </w:rPr>
            </w:pPr>
            <w:r>
              <w:rPr>
                <w:rFonts w:ascii="宋体" w:hAnsi="宋体" w:cs="宋体" w:eastAsia="宋体" w:hint="default"/>
                <w:sz w:val="18"/>
                <w:szCs w:val="18"/>
              </w:rPr>
              <w:t>多源高维科技政务大数据融合 治理关建技术及示范应用</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2,480,000.0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2,480,000.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05"/>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长三角全数字智能病理远程诊 断平台</w:t>
            </w:r>
            <w:r>
              <w:rPr>
                <w:rFonts w:ascii="Times New Roman" w:hAnsi="Times New Roman" w:cs="Times New Roman" w:eastAsia="Times New Roman" w:hint="default"/>
                <w:sz w:val="18"/>
                <w:szCs w:val="18"/>
              </w:rPr>
              <w:t>"</w:t>
            </w:r>
            <w:r>
              <w:rPr>
                <w:rFonts w:ascii="宋体" w:hAnsi="宋体" w:cs="宋体" w:eastAsia="宋体" w:hint="default"/>
                <w:sz w:val="18"/>
                <w:szCs w:val="18"/>
              </w:rPr>
              <w:t>专项资助</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4,200,000.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77"/>
              <w:jc w:val="left"/>
              <w:rPr>
                <w:rFonts w:ascii="宋体" w:hAnsi="宋体" w:cs="宋体" w:eastAsia="宋体" w:hint="default"/>
                <w:sz w:val="18"/>
                <w:szCs w:val="18"/>
              </w:rPr>
            </w:pPr>
            <w:r>
              <w:rPr>
                <w:rFonts w:ascii="宋体" w:hAnsi="宋体" w:cs="宋体" w:eastAsia="宋体" w:hint="default"/>
                <w:sz w:val="18"/>
                <w:szCs w:val="18"/>
              </w:rPr>
              <w:t>特大城市服务集成与治理技术 研究与应用示范课题任务</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863,378.79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370,774.98</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492,603.81</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城市智能交通感知与决策</w:t>
            </w:r>
            <w:r>
              <w:rPr>
                <w:rFonts w:ascii="Times New Roman" w:hAnsi="Times New Roman" w:cs="Times New Roman" w:eastAsia="Times New Roman" w:hint="default"/>
                <w:sz w:val="18"/>
                <w:szCs w:val="18"/>
              </w:rPr>
              <w:t>"</w:t>
            </w:r>
            <w:r>
              <w:rPr>
                <w:rFonts w:ascii="宋体" w:hAnsi="宋体" w:cs="宋体" w:eastAsia="宋体" w:hint="default"/>
                <w:sz w:val="18"/>
                <w:szCs w:val="18"/>
              </w:rPr>
              <w:t>专项</w:t>
            </w:r>
            <w:r>
              <w:rPr>
                <w:rFonts w:ascii="宋体" w:hAnsi="宋体" w:cs="宋体" w:eastAsia="宋体" w:hint="default"/>
                <w:spacing w:val="2"/>
                <w:sz w:val="18"/>
                <w:szCs w:val="18"/>
              </w:rPr>
              <w:t> </w:t>
            </w:r>
            <w:r>
              <w:rPr>
                <w:rFonts w:ascii="宋体" w:hAnsi="宋体" w:cs="宋体" w:eastAsia="宋体" w:hint="default"/>
                <w:sz w:val="18"/>
                <w:szCs w:val="18"/>
              </w:rPr>
              <w:t>补助</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50"/>
              <w:jc w:val="center"/>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552"/>
        <w:gridCol w:w="994"/>
        <w:gridCol w:w="991"/>
        <w:gridCol w:w="994"/>
        <w:gridCol w:w="850"/>
        <w:gridCol w:w="852"/>
        <w:gridCol w:w="425"/>
        <w:gridCol w:w="903"/>
        <w:gridCol w:w="1010"/>
      </w:tblGrid>
      <w:tr>
        <w:trPr>
          <w:trHeight w:val="1025" w:hRule="exact"/>
        </w:trPr>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 w:right="0"/>
              <w:jc w:val="center"/>
              <w:rPr>
                <w:rFonts w:ascii="宋体" w:hAnsi="宋体" w:cs="宋体" w:eastAsia="宋体" w:hint="default"/>
                <w:sz w:val="18"/>
                <w:szCs w:val="18"/>
              </w:rPr>
            </w:pPr>
            <w:r>
              <w:rPr>
                <w:rFonts w:ascii="宋体" w:hAnsi="宋体" w:cs="宋体" w:eastAsia="宋体" w:hint="default"/>
                <w:sz w:val="18"/>
                <w:szCs w:val="18"/>
              </w:rPr>
              <w:t>负债项目</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20" w:right="38"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0" w:right="41"/>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9" w:right="59"/>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9" w:right="60"/>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8" w:right="24"/>
              <w:jc w:val="left"/>
              <w:rPr>
                <w:rFonts w:ascii="宋体" w:hAnsi="宋体" w:cs="宋体" w:eastAsia="宋体" w:hint="default"/>
                <w:sz w:val="18"/>
                <w:szCs w:val="18"/>
              </w:rPr>
            </w:pPr>
            <w:r>
              <w:rPr>
                <w:rFonts w:ascii="宋体" w:hAnsi="宋体" w:cs="宋体" w:eastAsia="宋体" w:hint="default"/>
                <w:sz w:val="18"/>
                <w:szCs w:val="18"/>
              </w:rPr>
              <w:t>其他 变动</w:t>
            </w:r>
          </w:p>
        </w:tc>
        <w:tc>
          <w:tcPr>
            <w:tcW w:w="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0" w:lineRule="auto"/>
              <w:ind w:left="50" w:right="24" w:hanging="27"/>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02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77"/>
              <w:jc w:val="both"/>
              <w:rPr>
                <w:rFonts w:ascii="宋体" w:hAnsi="宋体" w:cs="宋体" w:eastAsia="宋体" w:hint="default"/>
                <w:sz w:val="18"/>
                <w:szCs w:val="18"/>
              </w:rPr>
            </w:pPr>
            <w:r>
              <w:rPr>
                <w:rFonts w:ascii="宋体" w:hAnsi="宋体" w:cs="宋体" w:eastAsia="宋体" w:hint="default"/>
                <w:sz w:val="18"/>
                <w:szCs w:val="18"/>
              </w:rPr>
              <w:t>雅安智慧政务视频大数据及公 共服务云平台应用示范专项资 金</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800,000.00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800,000.00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23,342,763.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65,926,265.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12,492,516.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42</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76,776,512</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.37</w:t>
            </w:r>
          </w:p>
        </w:tc>
        <w:tc>
          <w:tcPr>
            <w:tcW w:w="101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6"/>
        <w:ind w:right="2602"/>
        <w:jc w:val="left"/>
        <w:rPr>
          <w:b w:val="0"/>
          <w:bCs w:val="0"/>
        </w:rPr>
      </w:pPr>
      <w:bookmarkStart w:name="52、其他非流动负债" w:id="368"/>
      <w:bookmarkEnd w:id="368"/>
      <w:r>
        <w:rPr>
          <w:b w:val="0"/>
          <w:bCs w:val="0"/>
        </w:rPr>
      </w:r>
      <w:r>
        <w:rPr>
          <w:rFonts w:ascii="Times New Roman" w:hAnsi="Times New Roman" w:cs="Times New Roman" w:eastAsia="Times New Roman" w:hint="default"/>
        </w:rPr>
        <w:t>52</w:t>
      </w:r>
      <w:r>
        <w:rPr/>
        <w:t>、其他非流动负债</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是否已执行新收入准则</w:t>
      </w:r>
    </w:p>
    <w:p>
      <w:pPr>
        <w:pStyle w:val="BodyText"/>
        <w:spacing w:line="240" w:lineRule="auto" w:before="117"/>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953" w:space="6876"/>
            <w:col w:w="2101"/>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待转销项税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102,292,251.54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133,276,632.40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102,292,251.54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133,276,632.40</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53、股本" w:id="369"/>
      <w:bookmarkEnd w:id="369"/>
      <w:r>
        <w:rPr>
          <w:b w:val="0"/>
          <w:bCs w:val="0"/>
        </w:rPr>
      </w:r>
      <w:r>
        <w:rPr>
          <w:rFonts w:ascii="Times New Roman" w:hAnsi="Times New Roman" w:cs="Times New Roman" w:eastAsia="Times New Roman" w:hint="default"/>
        </w:rPr>
        <w:t>53</w:t>
      </w:r>
      <w:r>
        <w:rPr/>
        <w:t>、股本</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652"/>
        <w:gridCol w:w="982"/>
        <w:gridCol w:w="708"/>
        <w:gridCol w:w="1136"/>
        <w:gridCol w:w="1274"/>
        <w:gridCol w:w="1124"/>
        <w:gridCol w:w="1500"/>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52" w:type="dxa"/>
            <w:tcBorders>
              <w:top w:val="single" w:sz="4" w:space="0" w:color="000000"/>
              <w:left w:val="single" w:sz="4" w:space="0" w:color="000000"/>
              <w:bottom w:val="nil" w:sz="6" w:space="0" w:color="auto"/>
              <w:right w:val="single" w:sz="4" w:space="0" w:color="000000"/>
            </w:tcBorders>
            <w:shd w:val="clear" w:color="auto" w:fill="D2D2D2"/>
          </w:tcPr>
          <w:p>
            <w:pPr/>
          </w:p>
        </w:tc>
        <w:tc>
          <w:tcPr>
            <w:tcW w:w="5223"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716"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0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65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5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223" w:type="dxa"/>
            <w:gridSpan w:val="5"/>
            <w:vMerge/>
            <w:tcBorders>
              <w:left w:val="single" w:sz="4" w:space="0" w:color="000000"/>
              <w:bottom w:val="single" w:sz="4" w:space="0" w:color="000000"/>
              <w:right w:val="single" w:sz="4" w:space="0" w:color="000000"/>
            </w:tcBorders>
            <w:shd w:val="clear" w:color="auto" w:fill="D2D2D2"/>
          </w:tcPr>
          <w:p>
            <w:pPr/>
          </w:p>
        </w:tc>
        <w:tc>
          <w:tcPr>
            <w:tcW w:w="15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9"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652" w:type="dxa"/>
            <w:vMerge/>
            <w:tcBorders>
              <w:left w:val="single" w:sz="4" w:space="0" w:color="000000"/>
              <w:bottom w:val="nil" w:sz="6" w:space="0" w:color="auto"/>
              <w:right w:val="single" w:sz="4" w:space="0" w:color="000000"/>
            </w:tcBorders>
            <w:shd w:val="clear" w:color="auto" w:fill="D2D2D2"/>
          </w:tcPr>
          <w:p>
            <w:pPr/>
          </w:p>
        </w:tc>
        <w:tc>
          <w:tcPr>
            <w:tcW w:w="9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70"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1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2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500"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52" w:type="dxa"/>
            <w:tcBorders>
              <w:top w:val="nil" w:sz="6" w:space="0" w:color="auto"/>
              <w:left w:val="single" w:sz="4" w:space="0" w:color="000000"/>
              <w:bottom w:val="single" w:sz="4" w:space="0" w:color="000000"/>
              <w:right w:val="single" w:sz="4" w:space="0" w:color="000000"/>
            </w:tcBorders>
            <w:shd w:val="clear" w:color="auto" w:fill="D2D2D2"/>
          </w:tcPr>
          <w:p>
            <w:pPr/>
          </w:p>
        </w:tc>
        <w:tc>
          <w:tcPr>
            <w:tcW w:w="982" w:type="dxa"/>
            <w:vMerge/>
            <w:tcBorders>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1136"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124" w:type="dxa"/>
            <w:vMerge/>
            <w:tcBorders>
              <w:left w:val="single" w:sz="4" w:space="0" w:color="000000"/>
              <w:bottom w:val="single" w:sz="4" w:space="0" w:color="000000"/>
              <w:right w:val="single" w:sz="4" w:space="0" w:color="000000"/>
            </w:tcBorders>
            <w:shd w:val="clear" w:color="auto" w:fill="D2D2D2"/>
          </w:tcPr>
          <w:p>
            <w:pPr/>
          </w:p>
        </w:tc>
        <w:tc>
          <w:tcPr>
            <w:tcW w:w="150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6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337" w:right="0"/>
              <w:jc w:val="left"/>
              <w:rPr>
                <w:rFonts w:ascii="Times New Roman" w:hAnsi="Times New Roman" w:cs="Times New Roman" w:eastAsia="Times New Roman" w:hint="default"/>
                <w:sz w:val="18"/>
                <w:szCs w:val="18"/>
              </w:rPr>
            </w:pPr>
            <w:r>
              <w:rPr>
                <w:rFonts w:ascii="Times New Roman"/>
                <w:sz w:val="18"/>
              </w:rPr>
              <w:t>1,099,449,688.00</w:t>
            </w:r>
          </w:p>
        </w:tc>
        <w:tc>
          <w:tcPr>
            <w:tcW w:w="98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8" w:right="0"/>
              <w:jc w:val="left"/>
              <w:rPr>
                <w:rFonts w:ascii="Times New Roman" w:hAnsi="Times New Roman" w:cs="Times New Roman" w:eastAsia="Times New Roman" w:hint="default"/>
                <w:sz w:val="18"/>
                <w:szCs w:val="18"/>
              </w:rPr>
            </w:pPr>
            <w:r>
              <w:rPr>
                <w:rFonts w:ascii="Times New Roman"/>
                <w:sz w:val="18"/>
              </w:rPr>
              <w:t>40,404,333.00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left"/>
              <w:rPr>
                <w:rFonts w:ascii="Times New Roman" w:hAnsi="Times New Roman" w:cs="Times New Roman" w:eastAsia="Times New Roman" w:hint="default"/>
                <w:sz w:val="18"/>
                <w:szCs w:val="18"/>
              </w:rPr>
            </w:pPr>
            <w:r>
              <w:rPr>
                <w:rFonts w:ascii="Times New Roman"/>
                <w:sz w:val="18"/>
              </w:rPr>
              <w:t>40,404,333.00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8" w:right="0"/>
              <w:jc w:val="left"/>
              <w:rPr>
                <w:rFonts w:ascii="Times New Roman" w:hAnsi="Times New Roman" w:cs="Times New Roman" w:eastAsia="Times New Roman" w:hint="default"/>
                <w:sz w:val="18"/>
                <w:szCs w:val="18"/>
              </w:rPr>
            </w:pPr>
            <w:r>
              <w:rPr>
                <w:rFonts w:ascii="Times New Roman"/>
                <w:sz w:val="18"/>
              </w:rPr>
              <w:t>1,139,854,021.00</w:t>
            </w:r>
          </w:p>
        </w:tc>
      </w:tr>
    </w:tbl>
    <w:p>
      <w:pPr>
        <w:pStyle w:val="Heading4"/>
        <w:spacing w:line="256" w:lineRule="auto" w:before="0"/>
        <w:ind w:right="1128" w:firstLine="420"/>
        <w:jc w:val="both"/>
      </w:pPr>
      <w:r>
        <w:rPr/>
        <w:t>注：经中国证券监督管理委员会</w:t>
      </w:r>
      <w:r>
        <w:rPr>
          <w:rFonts w:ascii="Times New Roman" w:hAnsi="Times New Roman" w:cs="Times New Roman" w:eastAsia="Times New Roman" w:hint="default"/>
        </w:rPr>
        <w:t>“</w:t>
      </w:r>
      <w:r>
        <w:rPr/>
        <w:t>证监许可〔</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60</w:t>
      </w:r>
      <w:r>
        <w:rPr/>
        <w:t>号</w:t>
      </w:r>
      <w:r>
        <w:rPr>
          <w:rFonts w:ascii="Times New Roman" w:hAnsi="Times New Roman" w:cs="Times New Roman" w:eastAsia="Times New Roman" w:hint="default"/>
        </w:rPr>
        <w:t>”</w:t>
      </w:r>
      <w:r>
        <w:rPr/>
        <w:t>文核准，万达信息股份有限公司于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rFonts w:ascii="Times New Roman" w:hAnsi="Times New Roman" w:cs="Times New Roman" w:eastAsia="Times New Roman" w:hint="default"/>
          <w:w w:val="100"/>
        </w:rPr>
        <w:t> </w:t>
      </w:r>
      <w:r>
        <w:rPr>
          <w:spacing w:val="-4"/>
        </w:rPr>
        <w:t>月</w:t>
      </w:r>
      <w:r>
        <w:rPr>
          <w:rFonts w:ascii="Times New Roman" w:hAnsi="Times New Roman" w:cs="Times New Roman" w:eastAsia="Times New Roman" w:hint="default"/>
          <w:spacing w:val="-4"/>
        </w:rPr>
        <w:t>4</w:t>
      </w:r>
      <w:r>
        <w:rPr>
          <w:spacing w:val="-4"/>
        </w:rPr>
        <w:t>日公开发行了</w:t>
      </w:r>
      <w:r>
        <w:rPr>
          <w:rFonts w:ascii="Times New Roman" w:hAnsi="Times New Roman" w:cs="Times New Roman" w:eastAsia="Times New Roman" w:hint="default"/>
          <w:spacing w:val="-4"/>
        </w:rPr>
        <w:t>1,200</w:t>
      </w:r>
      <w:r>
        <w:rPr>
          <w:spacing w:val="-4"/>
        </w:rPr>
        <w:t>万张可转换公司债券，每张面值</w:t>
      </w:r>
      <w:r>
        <w:rPr>
          <w:rFonts w:ascii="Times New Roman" w:hAnsi="Times New Roman" w:cs="Times New Roman" w:eastAsia="Times New Roman" w:hint="default"/>
          <w:spacing w:val="-4"/>
        </w:rPr>
        <w:t>100</w:t>
      </w:r>
      <w:r>
        <w:rPr>
          <w:spacing w:val="-4"/>
        </w:rPr>
        <w:t>元，发行总额</w:t>
      </w:r>
      <w:r>
        <w:rPr>
          <w:rFonts w:ascii="Times New Roman" w:hAnsi="Times New Roman" w:cs="Times New Roman" w:eastAsia="Times New Roman" w:hint="default"/>
          <w:spacing w:val="-4"/>
        </w:rPr>
        <w:t>120,000</w:t>
      </w:r>
      <w:r>
        <w:rPr>
          <w:spacing w:val="-4"/>
        </w:rPr>
        <w:t>万元。根据相关规定和《万</w:t>
      </w:r>
      <w:r>
        <w:rPr>
          <w:spacing w:val="-28"/>
        </w:rPr>
        <w:t> </w:t>
      </w:r>
      <w:r>
        <w:rPr>
          <w:spacing w:val="-28"/>
        </w:rPr>
      </w:r>
      <w:r>
        <w:rPr/>
        <w:t>达信息股份有限公司 </w:t>
      </w:r>
      <w:r>
        <w:rPr>
          <w:rFonts w:ascii="Times New Roman" w:hAnsi="Times New Roman" w:cs="Times New Roman" w:eastAsia="Times New Roman" w:hint="default"/>
        </w:rPr>
        <w:t>2018</w:t>
      </w:r>
      <w:r>
        <w:rPr>
          <w:rFonts w:ascii="Times New Roman" w:hAnsi="Times New Roman" w:cs="Times New Roman" w:eastAsia="Times New Roman" w:hint="default"/>
          <w:spacing w:val="23"/>
        </w:rPr>
        <w:t> </w:t>
      </w:r>
      <w:r>
        <w:rPr/>
        <w:t>年度创业板公开发行可转换公司债券募集说明书》的规定，公司本次发行的可</w:t>
      </w:r>
      <w:r>
        <w:rPr>
          <w:w w:val="100"/>
        </w:rPr>
        <w:t> </w:t>
      </w:r>
      <w:r>
        <w:rPr/>
        <w:t>转债自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9</w:t>
      </w:r>
      <w:r>
        <w:rPr/>
        <w:t>日起可转换为公司股份。</w:t>
      </w:r>
      <w:r>
        <w:rPr>
          <w:spacing w:val="-23"/>
        </w:rPr>
        <w:t> </w:t>
      </w:r>
      <w:r>
        <w:rPr>
          <w:spacing w:val="-3"/>
        </w:rPr>
        <w:t>截止</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w:t>
      </w:r>
      <w:r>
        <w:rPr>
          <w:rFonts w:ascii="Times New Roman" w:hAnsi="Times New Roman" w:cs="Times New Roman" w:eastAsia="Times New Roman" w:hint="default"/>
          <w:spacing w:val="-3"/>
        </w:rPr>
        <w:t>“</w:t>
      </w:r>
      <w:r>
        <w:rPr>
          <w:spacing w:val="-3"/>
        </w:rPr>
        <w:t>万信转</w:t>
      </w:r>
      <w:r>
        <w:rPr>
          <w:rFonts w:ascii="Times New Roman" w:hAnsi="Times New Roman" w:cs="Times New Roman" w:eastAsia="Times New Roman" w:hint="default"/>
          <w:spacing w:val="-3"/>
        </w:rPr>
        <w:t>2”</w:t>
      </w:r>
      <w:r>
        <w:rPr>
          <w:spacing w:val="-3"/>
        </w:rPr>
        <w:t>共计转股</w:t>
      </w:r>
      <w:r>
        <w:rPr>
          <w:rFonts w:ascii="Times New Roman" w:hAnsi="Times New Roman" w:cs="Times New Roman" w:eastAsia="Times New Roman" w:hint="default"/>
          <w:spacing w:val="-3"/>
        </w:rPr>
        <w:t>40,404,333</w:t>
      </w:r>
      <w:r>
        <w:rPr>
          <w:spacing w:val="-3"/>
        </w:rPr>
        <w:t>股，公司总</w:t>
      </w:r>
      <w:r>
        <w:rPr>
          <w:spacing w:val="-83"/>
        </w:rPr>
        <w:t> </w:t>
      </w:r>
      <w:r>
        <w:rPr>
          <w:spacing w:val="-83"/>
        </w:rPr>
      </w:r>
      <w:r>
        <w:rPr/>
        <w:t>股本增至</w:t>
      </w:r>
      <w:r>
        <w:rPr>
          <w:rFonts w:ascii="Times New Roman" w:hAnsi="Times New Roman" w:cs="Times New Roman" w:eastAsia="Times New Roman" w:hint="default"/>
        </w:rPr>
        <w:t>1,139,854,021</w:t>
      </w:r>
      <w:r>
        <w:rPr/>
        <w:t>股。</w:t>
      </w:r>
    </w:p>
    <w:p>
      <w:pPr>
        <w:spacing w:line="240" w:lineRule="auto" w:before="4"/>
        <w:rPr>
          <w:rFonts w:ascii="宋体" w:hAnsi="宋体" w:cs="宋体" w:eastAsia="宋体" w:hint="default"/>
          <w:sz w:val="23"/>
          <w:szCs w:val="23"/>
        </w:rPr>
      </w:pPr>
    </w:p>
    <w:p>
      <w:pPr>
        <w:pStyle w:val="Heading3"/>
        <w:spacing w:line="240" w:lineRule="auto"/>
        <w:ind w:right="2602"/>
        <w:jc w:val="left"/>
        <w:rPr>
          <w:b w:val="0"/>
          <w:bCs w:val="0"/>
        </w:rPr>
      </w:pPr>
      <w:bookmarkStart w:name="54、其他权益工具" w:id="370"/>
      <w:bookmarkEnd w:id="370"/>
      <w:r>
        <w:rPr>
          <w:b w:val="0"/>
          <w:bCs w:val="0"/>
        </w:rPr>
      </w:r>
      <w:r>
        <w:rPr>
          <w:rFonts w:ascii="Times New Roman" w:hAnsi="Times New Roman" w:cs="Times New Roman" w:eastAsia="Times New Roman" w:hint="default"/>
        </w:rPr>
        <w:t>54</w:t>
      </w:r>
      <w:r>
        <w:rPr/>
        <w:t>、其他权益工具</w:t>
      </w:r>
      <w:r>
        <w:rPr>
          <w:b w:val="0"/>
          <w:bCs w:val="0"/>
        </w:rPr>
      </w:r>
    </w:p>
    <w:p>
      <w:pPr>
        <w:spacing w:line="240" w:lineRule="auto" w:before="8"/>
        <w:rPr>
          <w:rFonts w:ascii="宋体" w:hAnsi="宋体" w:cs="宋体" w:eastAsia="宋体" w:hint="default"/>
          <w:b/>
          <w:bCs/>
          <w:sz w:val="24"/>
          <w:szCs w:val="24"/>
        </w:rPr>
      </w:pPr>
    </w:p>
    <w:p>
      <w:pPr>
        <w:pStyle w:val="Heading3"/>
        <w:spacing w:line="506" w:lineRule="auto"/>
        <w:ind w:left="573" w:right="4815" w:hanging="421"/>
        <w:jc w:val="left"/>
        <w:rPr>
          <w:rFonts w:ascii="宋体" w:hAnsi="宋体" w:cs="宋体" w:eastAsia="宋体" w:hint="default"/>
          <w:b w:val="0"/>
          <w:bCs w:val="0"/>
        </w:rPr>
      </w:pPr>
      <w:bookmarkStart w:name="（1）期末发行在外的优先股、永续债等其他金融工具基本情况" w:id="371"/>
      <w:bookmarkEnd w:id="371"/>
      <w:r>
        <w:rPr>
          <w:b w:val="0"/>
          <w:bCs w:val="0"/>
        </w:rPr>
      </w:r>
      <w:r>
        <w:rPr>
          <w:spacing w:val="-1"/>
        </w:rPr>
        <w:t>（</w:t>
      </w:r>
      <w:r>
        <w:rPr>
          <w:rFonts w:ascii="Times New Roman" w:hAnsi="Times New Roman" w:cs="Times New Roman" w:eastAsia="Times New Roman" w:hint="default"/>
          <w:spacing w:val="-1"/>
        </w:rPr>
        <w:t>1</w:t>
      </w:r>
      <w:r>
        <w:rPr>
          <w:spacing w:val="-1"/>
        </w:rPr>
        <w:t>）期末发行在外的优先股、永续债等其他金融工具基本情况</w:t>
      </w:r>
      <w:r>
        <w:rPr>
          <w:spacing w:val="-80"/>
        </w:rPr>
        <w:t> </w:t>
      </w:r>
      <w:r>
        <w:rPr>
          <w:spacing w:val="-80"/>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2）期末发行在外的优先股、永续债等金融工具变动情况表" w:id="372"/>
      <w:bookmarkEnd w:id="372"/>
      <w:r>
        <w:rPr>
          <w:b w:val="0"/>
          <w:bCs w:val="0"/>
        </w:rPr>
      </w: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42"/>
        <w:gridCol w:w="425"/>
        <w:gridCol w:w="853"/>
        <w:gridCol w:w="991"/>
        <w:gridCol w:w="1210"/>
        <w:gridCol w:w="917"/>
        <w:gridCol w:w="1207"/>
        <w:gridCol w:w="920"/>
        <w:gridCol w:w="1194"/>
      </w:tblGrid>
      <w:tr>
        <w:trPr>
          <w:trHeight w:val="403" w:hRule="exact"/>
        </w:trPr>
        <w:tc>
          <w:tcPr>
            <w:tcW w:w="18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发行在外的金融工具</w:t>
            </w:r>
          </w:p>
        </w:tc>
        <w:tc>
          <w:tcPr>
            <w:tcW w:w="127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220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1"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844"/>
        <w:gridCol w:w="425"/>
        <w:gridCol w:w="853"/>
        <w:gridCol w:w="991"/>
        <w:gridCol w:w="1210"/>
        <w:gridCol w:w="917"/>
        <w:gridCol w:w="1207"/>
        <w:gridCol w:w="920"/>
        <w:gridCol w:w="1205"/>
      </w:tblGrid>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27"/>
              <w:jc w:val="left"/>
              <w:rPr>
                <w:rFonts w:ascii="宋体" w:hAnsi="宋体" w:cs="宋体" w:eastAsia="宋体" w:hint="default"/>
                <w:sz w:val="18"/>
                <w:szCs w:val="18"/>
              </w:rPr>
            </w:pPr>
            <w:r>
              <w:rPr>
                <w:rFonts w:ascii="宋体" w:hAnsi="宋体" w:cs="宋体" w:eastAsia="宋体" w:hint="default"/>
                <w:sz w:val="18"/>
                <w:szCs w:val="18"/>
              </w:rPr>
              <w:t>可转换公司债券</w:t>
            </w:r>
            <w:r>
              <w:rPr>
                <w:rFonts w:ascii="Times New Roman" w:hAnsi="Times New Roman" w:cs="Times New Roman" w:eastAsia="Times New Roman" w:hint="default"/>
                <w:sz w:val="18"/>
                <w:szCs w:val="18"/>
              </w:rPr>
              <w:t>-</w:t>
            </w:r>
            <w:r>
              <w:rPr>
                <w:rFonts w:ascii="宋体" w:hAnsi="宋体" w:cs="宋体" w:eastAsia="宋体" w:hint="default"/>
                <w:sz w:val="18"/>
                <w:szCs w:val="18"/>
              </w:rPr>
              <w:t>权益 成份公允价值</w:t>
            </w:r>
          </w:p>
        </w:tc>
        <w:tc>
          <w:tcPr>
            <w:tcW w:w="425" w:type="dxa"/>
            <w:tcBorders>
              <w:top w:val="single" w:sz="4" w:space="0" w:color="000000"/>
              <w:left w:val="single" w:sz="4" w:space="0" w:color="000000"/>
              <w:bottom w:val="single" w:sz="4" w:space="0" w:color="000000"/>
              <w:right w:val="single" w:sz="4" w:space="0" w:color="000000"/>
            </w:tcBorders>
          </w:tcPr>
          <w:p>
            <w:pPr/>
          </w:p>
        </w:tc>
        <w:tc>
          <w:tcPr>
            <w:tcW w:w="85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231,071,082.44</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5,495,082</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105,812,878.82</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6,504,918</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125,258,203.62</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25" w:type="dxa"/>
            <w:tcBorders>
              <w:top w:val="single" w:sz="4" w:space="0" w:color="000000"/>
              <w:left w:val="single" w:sz="4" w:space="0" w:color="000000"/>
              <w:bottom w:val="single" w:sz="4" w:space="0" w:color="000000"/>
              <w:right w:val="single" w:sz="4" w:space="0" w:color="000000"/>
            </w:tcBorders>
          </w:tcPr>
          <w:p>
            <w:pPr/>
          </w:p>
        </w:tc>
        <w:tc>
          <w:tcPr>
            <w:tcW w:w="85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2" w:right="0"/>
              <w:jc w:val="left"/>
              <w:rPr>
                <w:rFonts w:ascii="Times New Roman" w:hAnsi="Times New Roman" w:cs="Times New Roman" w:eastAsia="Times New Roman" w:hint="default"/>
                <w:sz w:val="18"/>
                <w:szCs w:val="18"/>
              </w:rPr>
            </w:pPr>
            <w:r>
              <w:rPr>
                <w:rFonts w:ascii="Times New Roman"/>
                <w:sz w:val="18"/>
              </w:rPr>
              <w:t>231,071,082.44</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5,495,082</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105,812,878.82</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6,504,918</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8" w:right="0"/>
              <w:jc w:val="left"/>
              <w:rPr>
                <w:rFonts w:ascii="Times New Roman" w:hAnsi="Times New Roman" w:cs="Times New Roman" w:eastAsia="Times New Roman" w:hint="default"/>
                <w:sz w:val="18"/>
                <w:szCs w:val="18"/>
              </w:rPr>
            </w:pPr>
            <w:r>
              <w:rPr>
                <w:rFonts w:ascii="Times New Roman"/>
                <w:sz w:val="18"/>
              </w:rPr>
              <w:t>125,258,203.62</w:t>
            </w:r>
          </w:p>
        </w:tc>
      </w:tr>
    </w:tbl>
    <w:p>
      <w:pPr>
        <w:pStyle w:val="BodyText"/>
        <w:spacing w:line="240" w:lineRule="auto" w:before="49"/>
        <w:ind w:right="2602"/>
        <w:jc w:val="left"/>
      </w:pPr>
      <w:r>
        <w:rPr/>
        <w:t>其他权益工具本期增减变动情况、变动原因说明，以及相关会计处理的依据：</w:t>
      </w:r>
    </w:p>
    <w:p>
      <w:pPr>
        <w:pStyle w:val="Heading4"/>
        <w:spacing w:line="261" w:lineRule="auto" w:before="94"/>
        <w:ind w:right="1034" w:firstLine="420"/>
        <w:jc w:val="left"/>
      </w:pPr>
      <w:r>
        <w:rPr>
          <w:spacing w:val="-9"/>
          <w:w w:val="100"/>
        </w:rPr>
        <w:t>经中国证券监督管理委员会</w:t>
      </w:r>
      <w:r>
        <w:rPr>
          <w:rFonts w:ascii="Times New Roman" w:hAnsi="Times New Roman" w:cs="Times New Roman" w:eastAsia="Times New Roman" w:hint="default"/>
          <w:spacing w:val="-9"/>
          <w:w w:val="100"/>
        </w:rPr>
        <w:t>“</w:t>
      </w:r>
      <w:r>
        <w:rPr>
          <w:spacing w:val="-9"/>
          <w:w w:val="100"/>
        </w:rPr>
        <w:t>证监许可〔</w:t>
      </w:r>
      <w:r>
        <w:rPr>
          <w:rFonts w:ascii="Times New Roman" w:hAnsi="Times New Roman" w:cs="Times New Roman" w:eastAsia="Times New Roman" w:hint="default"/>
          <w:spacing w:val="-9"/>
          <w:w w:val="100"/>
        </w:rPr>
        <w:t>2019</w:t>
      </w:r>
      <w:r>
        <w:rPr>
          <w:spacing w:val="-9"/>
          <w:w w:val="100"/>
        </w:rPr>
        <w:t>〕</w:t>
      </w:r>
      <w:r>
        <w:rPr>
          <w:rFonts w:ascii="Times New Roman" w:hAnsi="Times New Roman" w:cs="Times New Roman" w:eastAsia="Times New Roman" w:hint="default"/>
          <w:spacing w:val="-9"/>
          <w:w w:val="100"/>
        </w:rPr>
        <w:t>60</w:t>
      </w:r>
      <w:r>
        <w:rPr>
          <w:spacing w:val="-9"/>
          <w:w w:val="100"/>
        </w:rPr>
        <w:t>号</w:t>
      </w:r>
      <w:r>
        <w:rPr>
          <w:rFonts w:ascii="Times New Roman" w:hAnsi="Times New Roman" w:cs="Times New Roman" w:eastAsia="Times New Roman" w:hint="default"/>
          <w:spacing w:val="-9"/>
          <w:w w:val="100"/>
        </w:rPr>
        <w:t>”</w:t>
      </w:r>
      <w:r>
        <w:rPr>
          <w:spacing w:val="-9"/>
          <w:w w:val="100"/>
        </w:rPr>
        <w:t>文核准，万达信息股份有限公司（以下简称</w:t>
      </w:r>
      <w:r>
        <w:rPr>
          <w:rFonts w:ascii="Times New Roman" w:hAnsi="Times New Roman" w:cs="Times New Roman" w:eastAsia="Times New Roman" w:hint="default"/>
          <w:spacing w:val="-9"/>
          <w:w w:val="100"/>
        </w:rPr>
        <w:t>“</w:t>
      </w:r>
      <w:r>
        <w:rPr>
          <w:spacing w:val="-9"/>
          <w:w w:val="100"/>
        </w:rPr>
        <w:t>公司</w:t>
      </w:r>
      <w:r>
        <w:rPr>
          <w:rFonts w:ascii="Times New Roman" w:hAnsi="Times New Roman" w:cs="Times New Roman" w:eastAsia="Times New Roman" w:hint="default"/>
          <w:spacing w:val="-9"/>
          <w:w w:val="100"/>
        </w:rPr>
        <w:t>”</w:t>
      </w:r>
      <w:r>
        <w:rPr>
          <w:spacing w:val="-9"/>
          <w:w w:val="100"/>
        </w:rPr>
        <w:t>）</w:t>
      </w:r>
      <w:r>
        <w:rPr>
          <w:w w:val="100"/>
        </w:rPr>
        <w:t> </w:t>
      </w:r>
      <w:r>
        <w:rPr>
          <w:spacing w:val="-2"/>
        </w:rPr>
        <w:t>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4</w:t>
      </w:r>
      <w:r>
        <w:rPr>
          <w:spacing w:val="-2"/>
        </w:rPr>
        <w:t>日公开发行了</w:t>
      </w:r>
      <w:r>
        <w:rPr>
          <w:rFonts w:ascii="Times New Roman" w:hAnsi="Times New Roman" w:cs="Times New Roman" w:eastAsia="Times New Roman" w:hint="default"/>
          <w:spacing w:val="-2"/>
        </w:rPr>
        <w:t>1,200</w:t>
      </w:r>
      <w:r>
        <w:rPr>
          <w:spacing w:val="-2"/>
        </w:rPr>
        <w:t>万张可转换公司债券，每张面值</w:t>
      </w:r>
      <w:r>
        <w:rPr>
          <w:rFonts w:ascii="Times New Roman" w:hAnsi="Times New Roman" w:cs="Times New Roman" w:eastAsia="Times New Roman" w:hint="default"/>
          <w:spacing w:val="-2"/>
        </w:rPr>
        <w:t>100</w:t>
      </w:r>
      <w:r>
        <w:rPr>
          <w:spacing w:val="-2"/>
        </w:rPr>
        <w:t>元，发行总额</w:t>
      </w:r>
      <w:r>
        <w:rPr>
          <w:rFonts w:ascii="Times New Roman" w:hAnsi="Times New Roman" w:cs="Times New Roman" w:eastAsia="Times New Roman" w:hint="default"/>
          <w:spacing w:val="-2"/>
        </w:rPr>
        <w:t>120,000</w:t>
      </w:r>
      <w:r>
        <w:rPr>
          <w:spacing w:val="-2"/>
        </w:rPr>
        <w:t>万元。发行方式</w:t>
      </w:r>
      <w:r>
        <w:rPr>
          <w:spacing w:val="-31"/>
        </w:rPr>
        <w:t> </w:t>
      </w:r>
      <w:r>
        <w:rPr>
          <w:spacing w:val="-31"/>
        </w:rPr>
      </w:r>
      <w:r>
        <w:rPr>
          <w:spacing w:val="-2"/>
        </w:rPr>
        <w:t>采用向原股东优先配售，原股东优先配售后余额部分（含原股东放弃优先配售部分）采用网下对机构投资</w:t>
      </w:r>
      <w:r>
        <w:rPr>
          <w:spacing w:val="-43"/>
        </w:rPr>
        <w:t> </w:t>
      </w:r>
      <w:r>
        <w:rPr>
          <w:spacing w:val="-43"/>
        </w:rPr>
      </w:r>
      <w:r>
        <w:rPr/>
        <w:t>者配售和网上通过深圳证券交易所（以下简称</w:t>
      </w:r>
      <w:r>
        <w:rPr>
          <w:rFonts w:ascii="Times New Roman" w:hAnsi="Times New Roman" w:cs="Times New Roman" w:eastAsia="Times New Roman" w:hint="default"/>
        </w:rPr>
        <w:t>“</w:t>
      </w:r>
      <w:r>
        <w:rPr/>
        <w:t>深交所</w:t>
      </w:r>
      <w:r>
        <w:rPr>
          <w:rFonts w:ascii="Times New Roman" w:hAnsi="Times New Roman" w:cs="Times New Roman" w:eastAsia="Times New Roman" w:hint="default"/>
        </w:rPr>
        <w:t>”</w:t>
      </w:r>
      <w:r>
        <w:rPr/>
        <w:t>）交易系统向社会公众投资者发售的方式进行，认</w:t>
      </w:r>
      <w:r>
        <w:rPr>
          <w:w w:val="100"/>
        </w:rPr>
        <w:t> </w:t>
      </w:r>
      <w:r>
        <w:rPr>
          <w:spacing w:val="-1"/>
        </w:rPr>
        <w:t>购金额不足</w:t>
      </w:r>
      <w:r>
        <w:rPr>
          <w:rFonts w:ascii="Times New Roman" w:hAnsi="Times New Roman" w:cs="Times New Roman" w:eastAsia="Times New Roman" w:hint="default"/>
          <w:spacing w:val="-1"/>
        </w:rPr>
        <w:t>120,000</w:t>
      </w:r>
      <w:r>
        <w:rPr>
          <w:spacing w:val="-1"/>
        </w:rPr>
        <w:t>万元的部分由承销团余额包销。本次发行的可转换公司债券期限为自发行之日起六年，</w:t>
      </w:r>
      <w:r>
        <w:rPr>
          <w:spacing w:val="-36"/>
        </w:rPr>
        <w:t> </w:t>
      </w:r>
      <w:r>
        <w:rPr>
          <w:spacing w:val="-36"/>
        </w:rPr>
      </w:r>
      <w:r>
        <w:rPr/>
        <w:t>即自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4</w:t>
      </w:r>
      <w:r>
        <w:rPr/>
        <w:t>日至</w:t>
      </w:r>
      <w:r>
        <w:rPr>
          <w:spacing w:val="-49"/>
        </w:rPr>
        <w:t> </w:t>
      </w:r>
      <w:r>
        <w:rPr>
          <w:rFonts w:ascii="Times New Roman" w:hAnsi="Times New Roman" w:cs="Times New Roman" w:eastAsia="Times New Roman" w:hint="default"/>
        </w:rPr>
        <w:t>2025</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w:t>
      </w:r>
      <w:r>
        <w:rPr/>
        <w:t>日。</w:t>
      </w:r>
    </w:p>
    <w:p>
      <w:pPr>
        <w:pStyle w:val="Heading4"/>
        <w:spacing w:line="256" w:lineRule="auto" w:before="0"/>
        <w:ind w:right="1128" w:firstLine="420"/>
        <w:jc w:val="both"/>
      </w:pPr>
      <w:r>
        <w:rPr>
          <w:spacing w:val="21"/>
        </w:rPr>
        <w:t>本次发行可转换公司债券应募集资金总额为人民币</w:t>
      </w:r>
      <w:r>
        <w:rPr>
          <w:spacing w:val="-65"/>
        </w:rPr>
        <w:t> </w:t>
      </w:r>
      <w:r>
        <w:rPr>
          <w:rFonts w:ascii="Times New Roman" w:hAnsi="Times New Roman" w:cs="Times New Roman" w:eastAsia="Times New Roman" w:hint="default"/>
        </w:rPr>
        <w:t>1,200,000,000.00</w:t>
      </w:r>
      <w:r>
        <w:rPr>
          <w:rFonts w:ascii="Times New Roman" w:hAnsi="Times New Roman" w:cs="Times New Roman" w:eastAsia="Times New Roman" w:hint="default"/>
          <w:spacing w:val="-14"/>
        </w:rPr>
        <w:t> </w:t>
      </w:r>
      <w:r>
        <w:rPr>
          <w:spacing w:val="11"/>
        </w:rPr>
        <w:t>元，</w:t>
      </w:r>
      <w:r>
        <w:rPr>
          <w:spacing w:val="-70"/>
        </w:rPr>
        <w:t> </w:t>
      </w:r>
      <w:r>
        <w:rPr>
          <w:spacing w:val="17"/>
        </w:rPr>
        <w:t>发行费用（</w:t>
      </w:r>
      <w:r>
        <w:rPr>
          <w:spacing w:val="-67"/>
        </w:rPr>
        <w:t> </w:t>
      </w:r>
      <w:r>
        <w:rPr>
          <w:spacing w:val="16"/>
        </w:rPr>
        <w:t>不含税）</w:t>
      </w:r>
      <w:r>
        <w:rPr>
          <w:w w:val="100"/>
        </w:rPr>
        <w:t> </w:t>
      </w:r>
      <w:r>
        <w:rPr>
          <w:rFonts w:ascii="Times New Roman" w:hAnsi="Times New Roman" w:cs="Times New Roman" w:eastAsia="Times New Roman" w:hint="default"/>
          <w:spacing w:val="-2"/>
        </w:rPr>
        <w:t>12,235,849.06</w:t>
      </w:r>
      <w:r>
        <w:rPr>
          <w:spacing w:val="-2"/>
        </w:rPr>
        <w:t>元，本次发行费用在负债成份和权益成份之间分摊，分摊后负债成份公允价值</w:t>
      </w:r>
      <w:r>
        <w:rPr>
          <w:rFonts w:ascii="Times New Roman" w:hAnsi="Times New Roman" w:cs="Times New Roman" w:eastAsia="Times New Roman" w:hint="default"/>
          <w:spacing w:val="-2"/>
        </w:rPr>
        <w:t>956,693,068.50</w:t>
      </w:r>
      <w:r>
        <w:rPr>
          <w:rFonts w:ascii="Times New Roman" w:hAnsi="Times New Roman" w:cs="Times New Roman" w:eastAsia="Times New Roman" w:hint="default"/>
          <w:spacing w:val="38"/>
        </w:rPr>
        <w:t> </w:t>
      </w:r>
      <w:r>
        <w:rPr>
          <w:rFonts w:ascii="Times New Roman" w:hAnsi="Times New Roman" w:cs="Times New Roman" w:eastAsia="Times New Roman" w:hint="default"/>
          <w:spacing w:val="38"/>
        </w:rPr>
      </w:r>
      <w:r>
        <w:rPr/>
        <w:t>元，权益成份公允价值</w:t>
      </w:r>
      <w:r>
        <w:rPr>
          <w:rFonts w:ascii="Times New Roman" w:hAnsi="Times New Roman" w:cs="Times New Roman" w:eastAsia="Times New Roman" w:hint="default"/>
        </w:rPr>
        <w:t>231,071,082.44</w:t>
      </w:r>
      <w:r>
        <w:rPr/>
        <w:t>元。</w:t>
      </w:r>
    </w:p>
    <w:p>
      <w:pPr>
        <w:pStyle w:val="Heading4"/>
        <w:spacing w:line="256" w:lineRule="auto" w:before="5"/>
        <w:ind w:right="1128" w:firstLine="420"/>
        <w:jc w:val="both"/>
      </w:pPr>
      <w:r>
        <w:rPr/>
        <w:t>截止</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w:t>
      </w:r>
      <w:r>
        <w:rPr/>
        <w:t>万信转</w:t>
      </w:r>
      <w:r>
        <w:rPr>
          <w:rFonts w:ascii="Times New Roman" w:hAnsi="Times New Roman" w:cs="Times New Roman" w:eastAsia="Times New Roman" w:hint="default"/>
        </w:rPr>
        <w:t>2”</w:t>
      </w:r>
      <w:r>
        <w:rPr/>
        <w:t>转股减少债券面值</w:t>
      </w:r>
      <w:r>
        <w:rPr>
          <w:rFonts w:ascii="Times New Roman" w:hAnsi="Times New Roman" w:cs="Times New Roman" w:eastAsia="Times New Roman" w:hint="default"/>
        </w:rPr>
        <w:t>549,508,200.00</w:t>
      </w:r>
      <w:r>
        <w:rPr/>
        <w:t>元，转股数量为</w:t>
      </w:r>
      <w:r>
        <w:rPr>
          <w:rFonts w:ascii="Times New Roman" w:hAnsi="Times New Roman" w:cs="Times New Roman" w:eastAsia="Times New Roman" w:hint="default"/>
        </w:rPr>
        <w:t>40,404,333</w:t>
      </w:r>
      <w:r>
        <w:rPr/>
        <w:t>股。</w:t>
      </w:r>
      <w:r>
        <w:rPr>
          <w:rFonts w:ascii="Times New Roman" w:hAnsi="Times New Roman" w:cs="Times New Roman" w:eastAsia="Times New Roman" w:hint="default"/>
        </w:rPr>
        <w:t>“</w:t>
      </w:r>
      <w:r>
        <w:rPr/>
        <w:t>万</w:t>
      </w:r>
      <w:r>
        <w:rPr>
          <w:w w:val="100"/>
        </w:rPr>
        <w:t> </w:t>
      </w:r>
      <w:r>
        <w:rPr>
          <w:spacing w:val="2"/>
        </w:rPr>
        <w:t>信转</w:t>
      </w:r>
      <w:r>
        <w:rPr>
          <w:rFonts w:ascii="Times New Roman" w:hAnsi="Times New Roman" w:cs="Times New Roman" w:eastAsia="Times New Roman" w:hint="default"/>
          <w:spacing w:val="2"/>
        </w:rPr>
        <w:t>2”</w:t>
      </w:r>
      <w:r>
        <w:rPr>
          <w:spacing w:val="2"/>
        </w:rPr>
        <w:t>余额为</w:t>
      </w:r>
      <w:r>
        <w:rPr>
          <w:rFonts w:ascii="Times New Roman" w:hAnsi="Times New Roman" w:cs="Times New Roman" w:eastAsia="Times New Roman" w:hint="default"/>
          <w:spacing w:val="2"/>
        </w:rPr>
        <w:t>540,865,131.01</w:t>
      </w:r>
      <w:r>
        <w:rPr>
          <w:spacing w:val="2"/>
        </w:rPr>
        <w:t>元，其中债券面值</w:t>
      </w:r>
      <w:r>
        <w:rPr>
          <w:rFonts w:ascii="Times New Roman" w:hAnsi="Times New Roman" w:cs="Times New Roman" w:eastAsia="Times New Roman" w:hint="default"/>
          <w:spacing w:val="2"/>
        </w:rPr>
        <w:t>650,491,800.00</w:t>
      </w:r>
      <w:r>
        <w:rPr>
          <w:spacing w:val="2"/>
        </w:rPr>
        <w:t>元，利息调整</w:t>
      </w:r>
      <w:r>
        <w:rPr>
          <w:rFonts w:ascii="Times New Roman" w:hAnsi="Times New Roman" w:cs="Times New Roman" w:eastAsia="Times New Roman" w:hint="default"/>
          <w:spacing w:val="2"/>
        </w:rPr>
        <w:t>111,779,529.52</w:t>
      </w:r>
      <w:r>
        <w:rPr>
          <w:spacing w:val="2"/>
        </w:rPr>
        <w:t>元，应计利息</w:t>
      </w:r>
      <w:r>
        <w:rPr>
          <w:spacing w:val="-14"/>
        </w:rPr>
        <w:t> </w:t>
      </w:r>
      <w:r>
        <w:rPr>
          <w:spacing w:val="-14"/>
        </w:rPr>
      </w:r>
      <w:r>
        <w:rPr>
          <w:rFonts w:ascii="Times New Roman" w:hAnsi="Times New Roman" w:cs="Times New Roman" w:eastAsia="Times New Roman" w:hint="default"/>
        </w:rPr>
        <w:t>2,152,860.53</w:t>
      </w:r>
      <w:r>
        <w:rPr/>
        <w:t>元。</w:t>
      </w:r>
    </w:p>
    <w:p>
      <w:pPr>
        <w:pStyle w:val="Heading4"/>
        <w:spacing w:line="256" w:lineRule="auto" w:before="5"/>
        <w:ind w:right="1128" w:firstLine="420"/>
        <w:jc w:val="both"/>
      </w:pPr>
      <w:r>
        <w:rPr>
          <w:rFonts w:ascii="Times New Roman" w:hAnsi="Times New Roman" w:cs="Times New Roman" w:eastAsia="Times New Roman" w:hint="default"/>
          <w:spacing w:val="-3"/>
        </w:rPr>
        <w:t>2019</w:t>
      </w:r>
      <w:r>
        <w:rPr>
          <w:spacing w:val="-3"/>
        </w:rPr>
        <w:t>年度，</w:t>
      </w:r>
      <w:r>
        <w:rPr>
          <w:rFonts w:ascii="Times New Roman" w:hAnsi="Times New Roman" w:cs="Times New Roman" w:eastAsia="Times New Roman" w:hint="default"/>
          <w:spacing w:val="-3"/>
        </w:rPr>
        <w:t>“</w:t>
      </w:r>
      <w:r>
        <w:rPr>
          <w:spacing w:val="-3"/>
        </w:rPr>
        <w:t>万信转</w:t>
      </w:r>
      <w:r>
        <w:rPr>
          <w:rFonts w:ascii="Times New Roman" w:hAnsi="Times New Roman" w:cs="Times New Roman" w:eastAsia="Times New Roman" w:hint="default"/>
          <w:spacing w:val="-3"/>
        </w:rPr>
        <w:t>2”</w:t>
      </w:r>
      <w:r>
        <w:rPr>
          <w:spacing w:val="-3"/>
        </w:rPr>
        <w:t>转股增加股本</w:t>
      </w:r>
      <w:r>
        <w:rPr>
          <w:rFonts w:ascii="Times New Roman" w:hAnsi="Times New Roman" w:cs="Times New Roman" w:eastAsia="Times New Roman" w:hint="default"/>
          <w:spacing w:val="-3"/>
        </w:rPr>
        <w:t>40,404,333.00</w:t>
      </w:r>
      <w:r>
        <w:rPr>
          <w:spacing w:val="-3"/>
        </w:rPr>
        <w:t>元，减少其他权益工具</w:t>
      </w:r>
      <w:r>
        <w:rPr>
          <w:rFonts w:ascii="Times New Roman" w:hAnsi="Times New Roman" w:cs="Times New Roman" w:eastAsia="Times New Roman" w:hint="default"/>
          <w:spacing w:val="-3"/>
        </w:rPr>
        <w:t>105,812,878.82</w:t>
      </w:r>
      <w:r>
        <w:rPr>
          <w:spacing w:val="-3"/>
        </w:rPr>
        <w:t>元，增加资本公</w:t>
      </w:r>
      <w:r>
        <w:rPr>
          <w:w w:val="100"/>
        </w:rPr>
        <w:t> </w:t>
      </w:r>
      <w:r>
        <w:rPr/>
        <w:t>积（股本溢价）</w:t>
      </w:r>
      <w:r>
        <w:rPr>
          <w:rFonts w:ascii="Times New Roman" w:hAnsi="Times New Roman" w:cs="Times New Roman" w:eastAsia="Times New Roman" w:hint="default"/>
        </w:rPr>
        <w:t>503,500,784.18</w:t>
      </w:r>
      <w:r>
        <w:rPr/>
        <w:t>元。</w:t>
      </w:r>
    </w:p>
    <w:p>
      <w:pPr>
        <w:spacing w:line="240" w:lineRule="auto" w:before="4"/>
        <w:rPr>
          <w:rFonts w:ascii="宋体" w:hAnsi="宋体" w:cs="宋体" w:eastAsia="宋体" w:hint="default"/>
          <w:sz w:val="23"/>
          <w:szCs w:val="23"/>
        </w:rPr>
      </w:pPr>
    </w:p>
    <w:p>
      <w:pPr>
        <w:pStyle w:val="Heading3"/>
        <w:spacing w:line="240" w:lineRule="auto"/>
        <w:ind w:right="2602"/>
        <w:jc w:val="left"/>
        <w:rPr>
          <w:b w:val="0"/>
          <w:bCs w:val="0"/>
        </w:rPr>
      </w:pPr>
      <w:bookmarkStart w:name="55、资本公积" w:id="373"/>
      <w:bookmarkEnd w:id="373"/>
      <w:r>
        <w:rPr>
          <w:b w:val="0"/>
          <w:bCs w:val="0"/>
        </w:rPr>
      </w:r>
      <w:r>
        <w:rPr>
          <w:rFonts w:ascii="Times New Roman" w:hAnsi="Times New Roman" w:cs="Times New Roman" w:eastAsia="Times New Roman" w:hint="default"/>
        </w:rPr>
        <w:t>55</w:t>
      </w:r>
      <w:r>
        <w:rPr/>
        <w:t>、资本公积</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1,070,382,912.27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503,500,784.18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1,573,883,696.45</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27,686,500.00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528,300.00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28,214,800.00</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1,098,069,412.27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504,029,084.18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1,602,098,496.45</w:t>
            </w:r>
          </w:p>
        </w:tc>
      </w:tr>
    </w:tbl>
    <w:p>
      <w:pPr>
        <w:pStyle w:val="BodyText"/>
        <w:spacing w:line="240" w:lineRule="auto" w:before="49"/>
        <w:ind w:right="2602"/>
        <w:jc w:val="left"/>
      </w:pPr>
      <w:r>
        <w:rPr/>
        <w:t>其他说明，包括本期增减变动情况、变动原因说明：</w:t>
      </w:r>
    </w:p>
    <w:p>
      <w:pPr>
        <w:pStyle w:val="Heading4"/>
        <w:spacing w:line="256" w:lineRule="auto" w:before="94"/>
        <w:ind w:right="0" w:firstLine="420"/>
        <w:jc w:val="left"/>
      </w:pPr>
      <w:r>
        <w:rPr>
          <w:rFonts w:ascii="Times New Roman" w:hAnsi="Times New Roman" w:cs="Times New Roman" w:eastAsia="Times New Roman" w:hint="default"/>
          <w:spacing w:val="-3"/>
        </w:rPr>
        <w:t>2019</w:t>
      </w:r>
      <w:r>
        <w:rPr>
          <w:spacing w:val="-3"/>
        </w:rPr>
        <w:t>年度，</w:t>
      </w:r>
      <w:r>
        <w:rPr>
          <w:rFonts w:ascii="Times New Roman" w:hAnsi="Times New Roman" w:cs="Times New Roman" w:eastAsia="Times New Roman" w:hint="default"/>
          <w:spacing w:val="-3"/>
        </w:rPr>
        <w:t>“</w:t>
      </w:r>
      <w:r>
        <w:rPr>
          <w:spacing w:val="-3"/>
        </w:rPr>
        <w:t>万信转</w:t>
      </w:r>
      <w:r>
        <w:rPr>
          <w:rFonts w:ascii="Times New Roman" w:hAnsi="Times New Roman" w:cs="Times New Roman" w:eastAsia="Times New Roman" w:hint="default"/>
          <w:spacing w:val="-3"/>
        </w:rPr>
        <w:t>2”</w:t>
      </w:r>
      <w:r>
        <w:rPr>
          <w:spacing w:val="-3"/>
        </w:rPr>
        <w:t>因转股增加股本</w:t>
      </w:r>
      <w:r>
        <w:rPr>
          <w:rFonts w:ascii="Times New Roman" w:hAnsi="Times New Roman" w:cs="Times New Roman" w:eastAsia="Times New Roman" w:hint="default"/>
          <w:spacing w:val="-3"/>
        </w:rPr>
        <w:t>40,404,333.00</w:t>
      </w:r>
      <w:r>
        <w:rPr>
          <w:spacing w:val="-3"/>
        </w:rPr>
        <w:t>元，减少其他权益工具</w:t>
      </w:r>
      <w:r>
        <w:rPr>
          <w:rFonts w:ascii="Times New Roman" w:hAnsi="Times New Roman" w:cs="Times New Roman" w:eastAsia="Times New Roman" w:hint="default"/>
          <w:spacing w:val="-3"/>
        </w:rPr>
        <w:t>105,812,878.82</w:t>
      </w:r>
      <w:r>
        <w:rPr>
          <w:spacing w:val="-3"/>
        </w:rPr>
        <w:t>元，增加资本</w:t>
      </w:r>
      <w:r>
        <w:rPr>
          <w:w w:val="100"/>
        </w:rPr>
        <w:t> </w:t>
      </w:r>
      <w:r>
        <w:rPr/>
        <w:t>公积（股本溢价）</w:t>
      </w:r>
      <w:r>
        <w:rPr>
          <w:rFonts w:ascii="Times New Roman" w:hAnsi="Times New Roman" w:cs="Times New Roman" w:eastAsia="Times New Roman" w:hint="default"/>
        </w:rPr>
        <w:t>503,500,784.18</w:t>
      </w:r>
      <w:r>
        <w:rPr/>
        <w:t>元。</w:t>
      </w:r>
    </w:p>
    <w:p>
      <w:pPr>
        <w:pStyle w:val="Heading4"/>
        <w:spacing w:line="240" w:lineRule="auto" w:before="5"/>
        <w:ind w:left="573" w:right="0"/>
        <w:jc w:val="left"/>
      </w:pPr>
      <w:r>
        <w:rPr/>
        <w:t>本期其他资本公积变动额为本期以权益结算的股份支付确认的费用金额，详见本章节十三</w:t>
      </w:r>
      <w:r>
        <w:rPr>
          <w:spacing w:val="-28"/>
        </w:rPr>
        <w:t> </w:t>
      </w:r>
      <w:r>
        <w:rPr>
          <w:rFonts w:ascii="Times New Roman" w:hAnsi="Times New Roman" w:cs="Times New Roman" w:eastAsia="Times New Roman" w:hint="default"/>
        </w:rPr>
        <w:t>2</w:t>
      </w:r>
      <w:r>
        <w:rPr/>
        <w:t>。</w:t>
      </w:r>
    </w:p>
    <w:p>
      <w:pPr>
        <w:spacing w:line="240" w:lineRule="auto" w:before="7"/>
        <w:rPr>
          <w:rFonts w:ascii="宋体" w:hAnsi="宋体" w:cs="宋体" w:eastAsia="宋体" w:hint="default"/>
          <w:sz w:val="24"/>
          <w:szCs w:val="24"/>
        </w:rPr>
      </w:pPr>
    </w:p>
    <w:p>
      <w:pPr>
        <w:pStyle w:val="Heading3"/>
        <w:spacing w:line="240" w:lineRule="auto"/>
        <w:ind w:right="2602"/>
        <w:jc w:val="left"/>
        <w:rPr>
          <w:b w:val="0"/>
          <w:bCs w:val="0"/>
        </w:rPr>
      </w:pPr>
      <w:bookmarkStart w:name="56、库存股" w:id="374"/>
      <w:bookmarkEnd w:id="374"/>
      <w:r>
        <w:rPr>
          <w:b w:val="0"/>
          <w:bCs w:val="0"/>
        </w:rPr>
      </w:r>
      <w:r>
        <w:rPr>
          <w:rFonts w:ascii="Times New Roman" w:hAnsi="Times New Roman" w:cs="Times New Roman" w:eastAsia="Times New Roman" w:hint="default"/>
        </w:rPr>
        <w:t>56</w:t>
      </w:r>
      <w:r>
        <w:rPr/>
        <w:t>、库存股</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股份回购</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29,984,265.25</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29,984,265.25</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29,984,265.25</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29,984,265.25</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57、其他综合收益" w:id="375"/>
      <w:bookmarkEnd w:id="375"/>
      <w:r>
        <w:rPr>
          <w:b w:val="0"/>
          <w:bCs w:val="0"/>
        </w:rPr>
      </w:r>
      <w:r>
        <w:rPr>
          <w:rFonts w:ascii="Times New Roman" w:hAnsi="Times New Roman" w:cs="Times New Roman" w:eastAsia="Times New Roman" w:hint="default"/>
        </w:rPr>
        <w:t>57</w:t>
      </w:r>
      <w:r>
        <w:rPr/>
        <w:t>、其他综合收益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544"/>
        <w:gridCol w:w="975"/>
        <w:gridCol w:w="852"/>
        <w:gridCol w:w="1148"/>
        <w:gridCol w:w="1416"/>
        <w:gridCol w:w="566"/>
        <w:gridCol w:w="711"/>
        <w:gridCol w:w="708"/>
        <w:gridCol w:w="638"/>
      </w:tblGrid>
      <w:tr>
        <w:trPr>
          <w:trHeight w:val="402" w:hRule="exact"/>
        </w:trPr>
        <w:tc>
          <w:tcPr>
            <w:tcW w:w="2544" w:type="dxa"/>
            <w:vMerge w:val="restart"/>
            <w:tcBorders>
              <w:top w:val="single" w:sz="4" w:space="0" w:color="000000"/>
              <w:left w:val="single" w:sz="4" w:space="0" w:color="000000"/>
              <w:right w:val="single" w:sz="4" w:space="0" w:color="000000"/>
            </w:tcBorders>
            <w:shd w:val="clear" w:color="auto" w:fill="D2D2D2"/>
          </w:tcPr>
          <w:p>
            <w:pPr/>
          </w:p>
        </w:tc>
        <w:tc>
          <w:tcPr>
            <w:tcW w:w="975" w:type="dxa"/>
            <w:vMerge w:val="restart"/>
            <w:tcBorders>
              <w:top w:val="single" w:sz="4" w:space="0" w:color="000000"/>
              <w:left w:val="single" w:sz="4" w:space="0" w:color="000000"/>
              <w:right w:val="single" w:sz="4" w:space="0" w:color="000000"/>
            </w:tcBorders>
            <w:shd w:val="clear" w:color="auto" w:fill="D2D2D2"/>
          </w:tcPr>
          <w:p>
            <w:pPr/>
          </w:p>
        </w:tc>
        <w:tc>
          <w:tcPr>
            <w:tcW w:w="5401"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63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16" w:hRule="exact"/>
        </w:trPr>
        <w:tc>
          <w:tcPr>
            <w:tcW w:w="2544" w:type="dxa"/>
            <w:vMerge/>
            <w:tcBorders>
              <w:left w:val="single" w:sz="4" w:space="0" w:color="000000"/>
              <w:bottom w:val="nil" w:sz="6" w:space="0" w:color="auto"/>
              <w:right w:val="single" w:sz="4" w:space="0" w:color="000000"/>
            </w:tcBorders>
            <w:shd w:val="clear" w:color="auto" w:fill="D2D2D2"/>
          </w:tcPr>
          <w:p>
            <w:pPr/>
          </w:p>
        </w:tc>
        <w:tc>
          <w:tcPr>
            <w:tcW w:w="975" w:type="dxa"/>
            <w:vMerge/>
            <w:tcBorders>
              <w:left w:val="single" w:sz="4" w:space="0" w:color="000000"/>
              <w:bottom w:val="nil" w:sz="6" w:space="0" w:color="auto"/>
              <w:right w:val="single" w:sz="4" w:space="0" w:color="000000"/>
            </w:tcBorders>
            <w:shd w:val="clear" w:color="auto" w:fill="D2D2D2"/>
          </w:tcPr>
          <w:p>
            <w:pPr/>
          </w:p>
        </w:tc>
        <w:tc>
          <w:tcPr>
            <w:tcW w:w="8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62" w:right="59"/>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4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28" w:right="27"/>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141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23" w:right="19"/>
              <w:jc w:val="center"/>
              <w:rPr>
                <w:rFonts w:ascii="宋体" w:hAnsi="宋体" w:cs="宋体" w:eastAsia="宋体" w:hint="default"/>
                <w:sz w:val="18"/>
                <w:szCs w:val="18"/>
              </w:rPr>
            </w:pPr>
            <w:r>
              <w:rPr>
                <w:rFonts w:ascii="宋体" w:hAnsi="宋体" w:cs="宋体" w:eastAsia="宋体" w:hint="default"/>
                <w:spacing w:val="-10"/>
                <w:sz w:val="18"/>
                <w:szCs w:val="18"/>
              </w:rPr>
              <w:t>减：前期计入其他</w:t>
            </w:r>
            <w:r>
              <w:rPr>
                <w:rFonts w:ascii="宋体" w:hAnsi="宋体" w:cs="宋体" w:eastAsia="宋体" w:hint="default"/>
                <w:sz w:val="18"/>
                <w:szCs w:val="18"/>
              </w:rPr>
              <w:t> 综合收益当期转 入留存收益</w:t>
            </w: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98" w:right="19" w:hanging="75"/>
              <w:jc w:val="left"/>
              <w:rPr>
                <w:rFonts w:ascii="宋体" w:hAnsi="宋体" w:cs="宋体" w:eastAsia="宋体" w:hint="default"/>
                <w:sz w:val="18"/>
                <w:szCs w:val="18"/>
              </w:rPr>
            </w:pPr>
            <w:r>
              <w:rPr>
                <w:rFonts w:ascii="宋体" w:hAnsi="宋体" w:cs="宋体" w:eastAsia="宋体" w:hint="default"/>
                <w:spacing w:val="-10"/>
                <w:sz w:val="18"/>
                <w:szCs w:val="18"/>
              </w:rPr>
              <w:t>减：所</w:t>
            </w:r>
            <w:r>
              <w:rPr>
                <w:rFonts w:ascii="宋体" w:hAnsi="宋体" w:cs="宋体" w:eastAsia="宋体" w:hint="default"/>
                <w:sz w:val="18"/>
                <w:szCs w:val="18"/>
              </w:rPr>
              <w:t> 得税 费用</w:t>
            </w:r>
          </w:p>
        </w:tc>
        <w:tc>
          <w:tcPr>
            <w:tcW w:w="71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81" w:right="77"/>
              <w:jc w:val="both"/>
              <w:rPr>
                <w:rFonts w:ascii="宋体" w:hAnsi="宋体" w:cs="宋体" w:eastAsia="宋体" w:hint="default"/>
                <w:sz w:val="18"/>
                <w:szCs w:val="18"/>
              </w:rPr>
            </w:pPr>
            <w:r>
              <w:rPr>
                <w:rFonts w:ascii="宋体" w:hAnsi="宋体" w:cs="宋体" w:eastAsia="宋体" w:hint="default"/>
                <w:sz w:val="18"/>
                <w:szCs w:val="18"/>
              </w:rPr>
              <w:t>税后归 属于母 公司</w:t>
            </w: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79" w:right="77"/>
              <w:jc w:val="both"/>
              <w:rPr>
                <w:rFonts w:ascii="宋体" w:hAnsi="宋体" w:cs="宋体" w:eastAsia="宋体" w:hint="default"/>
                <w:sz w:val="18"/>
                <w:szCs w:val="18"/>
              </w:rPr>
            </w:pPr>
            <w:r>
              <w:rPr>
                <w:rFonts w:ascii="宋体" w:hAnsi="宋体" w:cs="宋体" w:eastAsia="宋体" w:hint="default"/>
                <w:sz w:val="18"/>
                <w:szCs w:val="18"/>
              </w:rPr>
              <w:t>税后归 属于少 数股东</w:t>
            </w:r>
          </w:p>
        </w:tc>
        <w:tc>
          <w:tcPr>
            <w:tcW w:w="63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9"/>
              <w:ind w:left="223" w:right="43"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r>
        <w:trPr>
          <w:trHeight w:val="391" w:hRule="exact"/>
        </w:trPr>
        <w:tc>
          <w:tcPr>
            <w:tcW w:w="2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97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852" w:type="dxa"/>
            <w:vMerge/>
            <w:tcBorders>
              <w:left w:val="single" w:sz="4" w:space="0" w:color="000000"/>
              <w:right w:val="single" w:sz="4" w:space="0" w:color="000000"/>
            </w:tcBorders>
            <w:shd w:val="clear" w:color="auto" w:fill="D2D2D2"/>
          </w:tcPr>
          <w:p>
            <w:pPr/>
          </w:p>
        </w:tc>
        <w:tc>
          <w:tcPr>
            <w:tcW w:w="1148" w:type="dxa"/>
            <w:vMerge/>
            <w:tcBorders>
              <w:left w:val="single" w:sz="4" w:space="0" w:color="000000"/>
              <w:right w:val="single" w:sz="4" w:space="0" w:color="000000"/>
            </w:tcBorders>
            <w:shd w:val="clear" w:color="auto" w:fill="D2D2D2"/>
          </w:tcPr>
          <w:p>
            <w:pPr/>
          </w:p>
        </w:tc>
        <w:tc>
          <w:tcPr>
            <w:tcW w:w="1416"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711" w:type="dxa"/>
            <w:vMerge/>
            <w:tcBorders>
              <w:left w:val="single" w:sz="4" w:space="0" w:color="000000"/>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638" w:type="dxa"/>
            <w:vMerge/>
            <w:tcBorders>
              <w:left w:val="single" w:sz="4" w:space="0" w:color="000000"/>
              <w:right w:val="single" w:sz="4" w:space="0" w:color="000000"/>
            </w:tcBorders>
            <w:shd w:val="clear" w:color="auto" w:fill="D2D2D2"/>
          </w:tcPr>
          <w:p>
            <w:pPr/>
          </w:p>
        </w:tc>
      </w:tr>
      <w:tr>
        <w:trPr>
          <w:trHeight w:val="156" w:hRule="exact"/>
        </w:trPr>
        <w:tc>
          <w:tcPr>
            <w:tcW w:w="2544" w:type="dxa"/>
            <w:vMerge w:val="restart"/>
            <w:tcBorders>
              <w:top w:val="nil" w:sz="6" w:space="0" w:color="auto"/>
              <w:left w:val="single" w:sz="4" w:space="0" w:color="000000"/>
              <w:right w:val="single" w:sz="4" w:space="0" w:color="000000"/>
            </w:tcBorders>
            <w:shd w:val="clear" w:color="auto" w:fill="D2D2D2"/>
          </w:tcPr>
          <w:p>
            <w:pPr/>
          </w:p>
        </w:tc>
        <w:tc>
          <w:tcPr>
            <w:tcW w:w="975" w:type="dxa"/>
            <w:vMerge w:val="restart"/>
            <w:tcBorders>
              <w:top w:val="nil" w:sz="6" w:space="0" w:color="auto"/>
              <w:left w:val="single" w:sz="4" w:space="0" w:color="000000"/>
              <w:right w:val="single" w:sz="4" w:space="0" w:color="000000"/>
            </w:tcBorders>
            <w:shd w:val="clear" w:color="auto" w:fill="D2D2D2"/>
          </w:tcPr>
          <w:p>
            <w:pPr/>
          </w:p>
        </w:tc>
        <w:tc>
          <w:tcPr>
            <w:tcW w:w="852" w:type="dxa"/>
            <w:vMerge/>
            <w:tcBorders>
              <w:left w:val="single" w:sz="4" w:space="0" w:color="000000"/>
              <w:right w:val="single" w:sz="4" w:space="0" w:color="000000"/>
            </w:tcBorders>
            <w:shd w:val="clear" w:color="auto" w:fill="D2D2D2"/>
          </w:tcPr>
          <w:p>
            <w:pPr/>
          </w:p>
        </w:tc>
        <w:tc>
          <w:tcPr>
            <w:tcW w:w="1148" w:type="dxa"/>
            <w:vMerge/>
            <w:tcBorders>
              <w:left w:val="single" w:sz="4" w:space="0" w:color="000000"/>
              <w:right w:val="single" w:sz="4" w:space="0" w:color="000000"/>
            </w:tcBorders>
            <w:shd w:val="clear" w:color="auto" w:fill="D2D2D2"/>
          </w:tcPr>
          <w:p>
            <w:pPr/>
          </w:p>
        </w:tc>
        <w:tc>
          <w:tcPr>
            <w:tcW w:w="1416"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711" w:type="dxa"/>
            <w:vMerge/>
            <w:tcBorders>
              <w:left w:val="single" w:sz="4" w:space="0" w:color="000000"/>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638" w:type="dxa"/>
            <w:vMerge/>
            <w:tcBorders>
              <w:left w:val="single" w:sz="4" w:space="0" w:color="000000"/>
              <w:bottom w:val="nil" w:sz="6" w:space="0" w:color="auto"/>
              <w:right w:val="single" w:sz="4" w:space="0" w:color="000000"/>
            </w:tcBorders>
            <w:shd w:val="clear" w:color="auto" w:fill="D2D2D2"/>
          </w:tcPr>
          <w:p>
            <w:pPr/>
          </w:p>
        </w:tc>
      </w:tr>
      <w:tr>
        <w:trPr>
          <w:trHeight w:val="362" w:hRule="exact"/>
        </w:trPr>
        <w:tc>
          <w:tcPr>
            <w:tcW w:w="2544" w:type="dxa"/>
            <w:vMerge/>
            <w:tcBorders>
              <w:left w:val="single" w:sz="4" w:space="0" w:color="000000"/>
              <w:bottom w:val="single" w:sz="4" w:space="0" w:color="000000"/>
              <w:right w:val="single" w:sz="4" w:space="0" w:color="000000"/>
            </w:tcBorders>
            <w:shd w:val="clear" w:color="auto" w:fill="D2D2D2"/>
          </w:tcPr>
          <w:p>
            <w:pPr/>
          </w:p>
        </w:tc>
        <w:tc>
          <w:tcPr>
            <w:tcW w:w="975" w:type="dxa"/>
            <w:vMerge/>
            <w:tcBorders>
              <w:left w:val="single" w:sz="4" w:space="0" w:color="000000"/>
              <w:bottom w:val="single" w:sz="4" w:space="0" w:color="000000"/>
              <w:right w:val="single" w:sz="4" w:space="0" w:color="000000"/>
            </w:tcBorders>
            <w:shd w:val="clear" w:color="auto" w:fill="D2D2D2"/>
          </w:tcPr>
          <w:p>
            <w:pPr/>
          </w:p>
        </w:tc>
        <w:tc>
          <w:tcPr>
            <w:tcW w:w="852" w:type="dxa"/>
            <w:vMerge/>
            <w:tcBorders>
              <w:left w:val="single" w:sz="4" w:space="0" w:color="000000"/>
              <w:bottom w:val="single" w:sz="4" w:space="0" w:color="000000"/>
              <w:right w:val="single" w:sz="4" w:space="0" w:color="000000"/>
            </w:tcBorders>
            <w:shd w:val="clear" w:color="auto" w:fill="D2D2D2"/>
          </w:tcPr>
          <w:p>
            <w:pPr/>
          </w:p>
        </w:tc>
        <w:tc>
          <w:tcPr>
            <w:tcW w:w="1148" w:type="dxa"/>
            <w:vMerge/>
            <w:tcBorders>
              <w:left w:val="single" w:sz="4" w:space="0" w:color="000000"/>
              <w:bottom w:val="single" w:sz="4" w:space="0" w:color="000000"/>
              <w:right w:val="single" w:sz="4" w:space="0" w:color="000000"/>
            </w:tcBorders>
            <w:shd w:val="clear" w:color="auto" w:fill="D2D2D2"/>
          </w:tcPr>
          <w:p>
            <w:pPr/>
          </w:p>
        </w:tc>
        <w:tc>
          <w:tcPr>
            <w:tcW w:w="1416"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711" w:type="dxa"/>
            <w:vMerge/>
            <w:tcBorders>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3" w:hRule="exact"/>
        </w:trPr>
        <w:tc>
          <w:tcPr>
            <w:tcW w:w="2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2"/>
                <w:sz w:val="18"/>
                <w:szCs w:val="18"/>
              </w:rPr>
              <w:t>二、将重分类进损益的其他综合</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收益</w:t>
            </w:r>
          </w:p>
        </w:tc>
        <w:tc>
          <w:tcPr>
            <w:tcW w:w="97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979,663.68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740,935.7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14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740,935.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70</w:t>
            </w:r>
          </w:p>
        </w:tc>
        <w:tc>
          <w:tcPr>
            <w:tcW w:w="70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center"/>
              <w:rPr>
                <w:rFonts w:ascii="Times New Roman" w:hAnsi="Times New Roman" w:cs="Times New Roman" w:eastAsia="Times New Roman" w:hint="default"/>
                <w:sz w:val="18"/>
                <w:szCs w:val="18"/>
              </w:rPr>
            </w:pPr>
            <w:r>
              <w:rPr>
                <w:rFonts w:ascii="Times New Roman"/>
                <w:sz w:val="18"/>
              </w:rPr>
              <w:t>1,720,5</w:t>
            </w:r>
          </w:p>
          <w:p>
            <w:pPr>
              <w:pStyle w:val="TableParagraph"/>
              <w:spacing w:line="240" w:lineRule="auto" w:before="105"/>
              <w:ind w:left="176" w:right="0"/>
              <w:jc w:val="center"/>
              <w:rPr>
                <w:rFonts w:ascii="Times New Roman" w:hAnsi="Times New Roman" w:cs="Times New Roman" w:eastAsia="Times New Roman" w:hint="default"/>
                <w:sz w:val="18"/>
                <w:szCs w:val="18"/>
              </w:rPr>
            </w:pPr>
            <w:r>
              <w:rPr>
                <w:rFonts w:ascii="Times New Roman"/>
                <w:sz w:val="18"/>
              </w:rPr>
              <w:t>99.38</w:t>
            </w:r>
          </w:p>
        </w:tc>
      </w:tr>
      <w:tr>
        <w:trPr>
          <w:trHeight w:val="715" w:hRule="exact"/>
        </w:trPr>
        <w:tc>
          <w:tcPr>
            <w:tcW w:w="2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20"/>
              <w:jc w:val="left"/>
              <w:rPr>
                <w:rFonts w:ascii="宋体" w:hAnsi="宋体" w:cs="宋体" w:eastAsia="宋体" w:hint="default"/>
                <w:sz w:val="18"/>
                <w:szCs w:val="18"/>
              </w:rPr>
            </w:pPr>
            <w:r>
              <w:rPr>
                <w:rFonts w:ascii="宋体" w:hAnsi="宋体" w:cs="宋体" w:eastAsia="宋体" w:hint="default"/>
                <w:spacing w:val="-2"/>
                <w:sz w:val="18"/>
                <w:szCs w:val="18"/>
              </w:rPr>
              <w:t>其中：权益法下可转损益的其他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综合收益</w:t>
            </w:r>
          </w:p>
        </w:tc>
        <w:tc>
          <w:tcPr>
            <w:tcW w:w="97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2,382,218.6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852" w:type="dxa"/>
            <w:tcBorders>
              <w:top w:val="single" w:sz="4" w:space="0" w:color="000000"/>
              <w:left w:val="single" w:sz="4" w:space="0" w:color="000000"/>
              <w:bottom w:val="single" w:sz="4" w:space="0" w:color="000000"/>
              <w:right w:val="single" w:sz="4" w:space="0" w:color="000000"/>
            </w:tcBorders>
          </w:tcPr>
          <w:p>
            <w:pPr/>
          </w:p>
        </w:tc>
        <w:tc>
          <w:tcPr>
            <w:tcW w:w="114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1" w:right="0"/>
              <w:jc w:val="center"/>
              <w:rPr>
                <w:rFonts w:ascii="Times New Roman" w:hAnsi="Times New Roman" w:cs="Times New Roman" w:eastAsia="Times New Roman" w:hint="default"/>
                <w:sz w:val="18"/>
                <w:szCs w:val="18"/>
              </w:rPr>
            </w:pPr>
            <w:r>
              <w:rPr>
                <w:rFonts w:ascii="Times New Roman"/>
                <w:sz w:val="18"/>
              </w:rPr>
              <w:t>2,382,2</w:t>
            </w:r>
          </w:p>
          <w:p>
            <w:pPr>
              <w:pStyle w:val="TableParagraph"/>
              <w:spacing w:line="240" w:lineRule="auto" w:before="102"/>
              <w:ind w:left="176" w:right="0"/>
              <w:jc w:val="center"/>
              <w:rPr>
                <w:rFonts w:ascii="Times New Roman" w:hAnsi="Times New Roman" w:cs="Times New Roman" w:eastAsia="Times New Roman" w:hint="default"/>
                <w:sz w:val="18"/>
                <w:szCs w:val="18"/>
              </w:rPr>
            </w:pPr>
            <w:r>
              <w:rPr>
                <w:rFonts w:ascii="Times New Roman"/>
                <w:sz w:val="18"/>
              </w:rPr>
              <w:t>18.61</w:t>
            </w:r>
          </w:p>
        </w:tc>
      </w:tr>
      <w:tr>
        <w:trPr>
          <w:trHeight w:val="161" w:hRule="exact"/>
        </w:trPr>
        <w:tc>
          <w:tcPr>
            <w:tcW w:w="2544" w:type="dxa"/>
            <w:tcBorders>
              <w:top w:val="single" w:sz="4" w:space="0" w:color="000000"/>
              <w:left w:val="single" w:sz="4" w:space="0" w:color="000000"/>
              <w:bottom w:val="nil" w:sz="6" w:space="0" w:color="auto"/>
              <w:right w:val="single" w:sz="4" w:space="0" w:color="000000"/>
            </w:tcBorders>
            <w:shd w:val="clear" w:color="auto" w:fill="D2D2D2"/>
          </w:tcPr>
          <w:p>
            <w:pPr/>
          </w:p>
        </w:tc>
        <w:tc>
          <w:tcPr>
            <w:tcW w:w="975" w:type="dxa"/>
            <w:vMerge w:val="restart"/>
            <w:tcBorders>
              <w:top w:val="single" w:sz="4" w:space="0" w:color="000000"/>
              <w:left w:val="single" w:sz="10"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-1,402,554.9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740,935.7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148" w:type="dxa"/>
            <w:vMerge w:val="restart"/>
            <w:tcBorders>
              <w:top w:val="single" w:sz="4" w:space="0" w:color="000000"/>
              <w:left w:val="single" w:sz="4" w:space="0" w:color="000000"/>
              <w:right w:val="single" w:sz="4" w:space="0" w:color="000000"/>
            </w:tcBorders>
          </w:tcPr>
          <w:p>
            <w:pPr/>
          </w:p>
        </w:tc>
        <w:tc>
          <w:tcPr>
            <w:tcW w:w="1416" w:type="dxa"/>
            <w:vMerge w:val="restart"/>
            <w:tcBorders>
              <w:top w:val="single" w:sz="4" w:space="0" w:color="000000"/>
              <w:left w:val="single" w:sz="4" w:space="0" w:color="000000"/>
              <w:right w:val="single" w:sz="4" w:space="0" w:color="000000"/>
            </w:tcBorders>
          </w:tcPr>
          <w:p>
            <w:pPr/>
          </w:p>
        </w:tc>
        <w:tc>
          <w:tcPr>
            <w:tcW w:w="566" w:type="dxa"/>
            <w:vMerge w:val="restart"/>
            <w:tcBorders>
              <w:top w:val="single" w:sz="4" w:space="0" w:color="000000"/>
              <w:left w:val="single" w:sz="4" w:space="0" w:color="000000"/>
              <w:right w:val="single" w:sz="4" w:space="0" w:color="000000"/>
            </w:tcBorders>
          </w:tcPr>
          <w:p>
            <w:pPr/>
          </w:p>
        </w:tc>
        <w:tc>
          <w:tcPr>
            <w:tcW w:w="71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740,935.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70</w:t>
            </w:r>
          </w:p>
        </w:tc>
        <w:tc>
          <w:tcPr>
            <w:tcW w:w="708" w:type="dxa"/>
            <w:vMerge w:val="restart"/>
            <w:tcBorders>
              <w:top w:val="single" w:sz="4" w:space="0" w:color="000000"/>
              <w:left w:val="single" w:sz="4" w:space="0" w:color="000000"/>
              <w:right w:val="single" w:sz="4" w:space="0" w:color="000000"/>
            </w:tcBorders>
          </w:tcPr>
          <w:p>
            <w:pPr/>
          </w:p>
        </w:tc>
        <w:tc>
          <w:tcPr>
            <w:tcW w:w="638" w:type="dxa"/>
            <w:vMerge w:val="restart"/>
            <w:tcBorders>
              <w:top w:val="single" w:sz="4" w:space="0" w:color="000000"/>
              <w:left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-661,61</w:t>
            </w:r>
          </w:p>
          <w:p>
            <w:pPr>
              <w:pStyle w:val="TableParagraph"/>
              <w:spacing w:line="240" w:lineRule="auto" w:before="105"/>
              <w:ind w:left="290" w:right="0"/>
              <w:jc w:val="left"/>
              <w:rPr>
                <w:rFonts w:ascii="Times New Roman" w:hAnsi="Times New Roman" w:cs="Times New Roman" w:eastAsia="Times New Roman" w:hint="default"/>
                <w:sz w:val="18"/>
                <w:szCs w:val="18"/>
              </w:rPr>
            </w:pPr>
            <w:r>
              <w:rPr>
                <w:rFonts w:ascii="Times New Roman"/>
                <w:sz w:val="18"/>
              </w:rPr>
              <w:t>9.23</w:t>
            </w:r>
          </w:p>
        </w:tc>
      </w:tr>
      <w:tr>
        <w:trPr>
          <w:trHeight w:val="391" w:hRule="exact"/>
        </w:trPr>
        <w:tc>
          <w:tcPr>
            <w:tcW w:w="2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975" w:type="dxa"/>
            <w:vMerge/>
            <w:tcBorders>
              <w:left w:val="single" w:sz="10" w:space="0" w:color="D2D2D2"/>
              <w:right w:val="single" w:sz="4" w:space="0" w:color="000000"/>
            </w:tcBorders>
          </w:tcPr>
          <w:p>
            <w:pPr/>
          </w:p>
        </w:tc>
        <w:tc>
          <w:tcPr>
            <w:tcW w:w="852" w:type="dxa"/>
            <w:vMerge/>
            <w:tcBorders>
              <w:left w:val="single" w:sz="4" w:space="0" w:color="000000"/>
              <w:right w:val="single" w:sz="4" w:space="0" w:color="000000"/>
            </w:tcBorders>
          </w:tcPr>
          <w:p>
            <w:pPr/>
          </w:p>
        </w:tc>
        <w:tc>
          <w:tcPr>
            <w:tcW w:w="1148"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711"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638" w:type="dxa"/>
            <w:vMerge/>
            <w:tcBorders>
              <w:left w:val="single" w:sz="4" w:space="0" w:color="000000"/>
              <w:right w:val="single" w:sz="4" w:space="0" w:color="000000"/>
            </w:tcBorders>
          </w:tcPr>
          <w:p>
            <w:pPr/>
          </w:p>
        </w:tc>
      </w:tr>
      <w:tr>
        <w:trPr>
          <w:trHeight w:val="161" w:hRule="exact"/>
        </w:trPr>
        <w:tc>
          <w:tcPr>
            <w:tcW w:w="2544" w:type="dxa"/>
            <w:tcBorders>
              <w:top w:val="nil" w:sz="6" w:space="0" w:color="auto"/>
              <w:left w:val="single" w:sz="4" w:space="0" w:color="000000"/>
              <w:bottom w:val="single" w:sz="4" w:space="0" w:color="000000"/>
              <w:right w:val="single" w:sz="4" w:space="0" w:color="000000"/>
            </w:tcBorders>
            <w:shd w:val="clear" w:color="auto" w:fill="D2D2D2"/>
          </w:tcPr>
          <w:p>
            <w:pPr/>
          </w:p>
        </w:tc>
        <w:tc>
          <w:tcPr>
            <w:tcW w:w="975" w:type="dxa"/>
            <w:vMerge/>
            <w:tcBorders>
              <w:left w:val="single" w:sz="10" w:space="0" w:color="D2D2D2"/>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1148"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711"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638" w:type="dxa"/>
            <w:vMerge/>
            <w:tcBorders>
              <w:left w:val="single" w:sz="4" w:space="0" w:color="000000"/>
              <w:bottom w:val="single" w:sz="4" w:space="0" w:color="000000"/>
              <w:right w:val="single" w:sz="4" w:space="0" w:color="000000"/>
            </w:tcBorders>
          </w:tcPr>
          <w:p>
            <w:pPr/>
          </w:p>
        </w:tc>
      </w:tr>
      <w:tr>
        <w:trPr>
          <w:trHeight w:val="163" w:hRule="exact"/>
        </w:trPr>
        <w:tc>
          <w:tcPr>
            <w:tcW w:w="2544" w:type="dxa"/>
            <w:tcBorders>
              <w:top w:val="single" w:sz="4" w:space="0" w:color="000000"/>
              <w:left w:val="single" w:sz="4" w:space="0" w:color="000000"/>
              <w:bottom w:val="nil" w:sz="6" w:space="0" w:color="auto"/>
              <w:right w:val="single" w:sz="4" w:space="0" w:color="000000"/>
            </w:tcBorders>
            <w:shd w:val="clear" w:color="auto" w:fill="D2D2D2"/>
          </w:tcPr>
          <w:p>
            <w:pPr/>
          </w:p>
        </w:tc>
        <w:tc>
          <w:tcPr>
            <w:tcW w:w="975" w:type="dxa"/>
            <w:vMerge w:val="restart"/>
            <w:tcBorders>
              <w:top w:val="single" w:sz="4" w:space="0" w:color="000000"/>
              <w:left w:val="single" w:sz="10" w:space="0" w:color="D2D2D2"/>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979,663.68</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740,935.7</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0</w:t>
            </w:r>
          </w:p>
        </w:tc>
        <w:tc>
          <w:tcPr>
            <w:tcW w:w="1148" w:type="dxa"/>
            <w:vMerge w:val="restart"/>
            <w:tcBorders>
              <w:top w:val="single" w:sz="4" w:space="0" w:color="000000"/>
              <w:left w:val="single" w:sz="4" w:space="0" w:color="000000"/>
              <w:right w:val="single" w:sz="4" w:space="0" w:color="000000"/>
            </w:tcBorders>
          </w:tcPr>
          <w:p>
            <w:pPr/>
          </w:p>
        </w:tc>
        <w:tc>
          <w:tcPr>
            <w:tcW w:w="1416" w:type="dxa"/>
            <w:vMerge w:val="restart"/>
            <w:tcBorders>
              <w:top w:val="single" w:sz="4" w:space="0" w:color="000000"/>
              <w:left w:val="single" w:sz="4" w:space="0" w:color="000000"/>
              <w:right w:val="single" w:sz="4" w:space="0" w:color="000000"/>
            </w:tcBorders>
          </w:tcPr>
          <w:p>
            <w:pPr/>
          </w:p>
        </w:tc>
        <w:tc>
          <w:tcPr>
            <w:tcW w:w="566" w:type="dxa"/>
            <w:vMerge w:val="restart"/>
            <w:tcBorders>
              <w:top w:val="single" w:sz="4" w:space="0" w:color="000000"/>
              <w:left w:val="single" w:sz="4" w:space="0" w:color="000000"/>
              <w:right w:val="single" w:sz="4" w:space="0" w:color="000000"/>
            </w:tcBorders>
          </w:tcPr>
          <w:p>
            <w:pPr/>
          </w:p>
        </w:tc>
        <w:tc>
          <w:tcPr>
            <w:tcW w:w="711"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740,935.</w:t>
            </w:r>
          </w:p>
          <w:p>
            <w:pPr>
              <w:pStyle w:val="TableParagraph"/>
              <w:spacing w:line="240" w:lineRule="auto" w:before="103"/>
              <w:ind w:right="17"/>
              <w:jc w:val="right"/>
              <w:rPr>
                <w:rFonts w:ascii="Times New Roman" w:hAnsi="Times New Roman" w:cs="Times New Roman" w:eastAsia="Times New Roman" w:hint="default"/>
                <w:sz w:val="18"/>
                <w:szCs w:val="18"/>
              </w:rPr>
            </w:pPr>
            <w:r>
              <w:rPr>
                <w:rFonts w:ascii="Times New Roman"/>
                <w:sz w:val="18"/>
              </w:rPr>
              <w:t>70</w:t>
            </w:r>
          </w:p>
        </w:tc>
        <w:tc>
          <w:tcPr>
            <w:tcW w:w="708" w:type="dxa"/>
            <w:vMerge w:val="restart"/>
            <w:tcBorders>
              <w:top w:val="single" w:sz="4" w:space="0" w:color="000000"/>
              <w:left w:val="single" w:sz="4" w:space="0" w:color="000000"/>
              <w:right w:val="single" w:sz="4" w:space="0" w:color="000000"/>
            </w:tcBorders>
          </w:tcPr>
          <w:p>
            <w:pPr/>
          </w:p>
        </w:tc>
        <w:tc>
          <w:tcPr>
            <w:tcW w:w="638" w:type="dxa"/>
            <w:vMerge w:val="restart"/>
            <w:tcBorders>
              <w:top w:val="single" w:sz="4" w:space="0" w:color="000000"/>
              <w:left w:val="single" w:sz="4" w:space="0" w:color="000000"/>
              <w:right w:val="single" w:sz="4" w:space="0" w:color="000000"/>
            </w:tcBorders>
          </w:tcPr>
          <w:p>
            <w:pPr>
              <w:pStyle w:val="TableParagraph"/>
              <w:spacing w:line="240" w:lineRule="auto" w:before="93"/>
              <w:ind w:left="41" w:right="0"/>
              <w:jc w:val="center"/>
              <w:rPr>
                <w:rFonts w:ascii="Times New Roman" w:hAnsi="Times New Roman" w:cs="Times New Roman" w:eastAsia="Times New Roman" w:hint="default"/>
                <w:sz w:val="18"/>
                <w:szCs w:val="18"/>
              </w:rPr>
            </w:pPr>
            <w:r>
              <w:rPr>
                <w:rFonts w:ascii="Times New Roman"/>
                <w:sz w:val="18"/>
              </w:rPr>
              <w:t>1,720,5</w:t>
            </w:r>
          </w:p>
          <w:p>
            <w:pPr>
              <w:pStyle w:val="TableParagraph"/>
              <w:spacing w:line="240" w:lineRule="auto" w:before="103"/>
              <w:ind w:left="176" w:right="0"/>
              <w:jc w:val="center"/>
              <w:rPr>
                <w:rFonts w:ascii="Times New Roman" w:hAnsi="Times New Roman" w:cs="Times New Roman" w:eastAsia="Times New Roman" w:hint="default"/>
                <w:sz w:val="18"/>
                <w:szCs w:val="18"/>
              </w:rPr>
            </w:pPr>
            <w:r>
              <w:rPr>
                <w:rFonts w:ascii="Times New Roman"/>
                <w:sz w:val="18"/>
              </w:rPr>
              <w:t>99.38</w:t>
            </w:r>
          </w:p>
        </w:tc>
      </w:tr>
      <w:tr>
        <w:trPr>
          <w:trHeight w:val="392" w:hRule="exact"/>
        </w:trPr>
        <w:tc>
          <w:tcPr>
            <w:tcW w:w="2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975" w:type="dxa"/>
            <w:vMerge/>
            <w:tcBorders>
              <w:left w:val="single" w:sz="10" w:space="0" w:color="D2D2D2"/>
              <w:right w:val="single" w:sz="4" w:space="0" w:color="000000"/>
            </w:tcBorders>
          </w:tcPr>
          <w:p>
            <w:pPr/>
          </w:p>
        </w:tc>
        <w:tc>
          <w:tcPr>
            <w:tcW w:w="852" w:type="dxa"/>
            <w:vMerge/>
            <w:tcBorders>
              <w:left w:val="single" w:sz="4" w:space="0" w:color="000000"/>
              <w:right w:val="single" w:sz="4" w:space="0" w:color="000000"/>
            </w:tcBorders>
          </w:tcPr>
          <w:p>
            <w:pPr/>
          </w:p>
        </w:tc>
        <w:tc>
          <w:tcPr>
            <w:tcW w:w="1148"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711"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638" w:type="dxa"/>
            <w:vMerge/>
            <w:tcBorders>
              <w:left w:val="single" w:sz="4" w:space="0" w:color="000000"/>
              <w:right w:val="single" w:sz="4" w:space="0" w:color="000000"/>
            </w:tcBorders>
          </w:tcPr>
          <w:p>
            <w:pPr/>
          </w:p>
        </w:tc>
      </w:tr>
      <w:tr>
        <w:trPr>
          <w:trHeight w:val="161" w:hRule="exact"/>
        </w:trPr>
        <w:tc>
          <w:tcPr>
            <w:tcW w:w="2544" w:type="dxa"/>
            <w:tcBorders>
              <w:top w:val="nil" w:sz="6" w:space="0" w:color="auto"/>
              <w:left w:val="single" w:sz="4" w:space="0" w:color="000000"/>
              <w:bottom w:val="single" w:sz="4" w:space="0" w:color="000000"/>
              <w:right w:val="single" w:sz="4" w:space="0" w:color="000000"/>
            </w:tcBorders>
            <w:shd w:val="clear" w:color="auto" w:fill="D2D2D2"/>
          </w:tcPr>
          <w:p>
            <w:pPr/>
          </w:p>
        </w:tc>
        <w:tc>
          <w:tcPr>
            <w:tcW w:w="975" w:type="dxa"/>
            <w:vMerge/>
            <w:tcBorders>
              <w:left w:val="single" w:sz="10" w:space="0" w:color="D2D2D2"/>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1148"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711"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638"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58、专项储备" w:id="376"/>
      <w:bookmarkEnd w:id="376"/>
      <w:r>
        <w:rPr>
          <w:b w:val="0"/>
          <w:bCs w:val="0"/>
        </w:rPr>
      </w:r>
      <w:r>
        <w:rPr>
          <w:rFonts w:ascii="Times New Roman" w:hAnsi="Times New Roman" w:cs="Times New Roman" w:eastAsia="Times New Roman" w:hint="default"/>
        </w:rPr>
        <w:t>58</w:t>
      </w:r>
      <w:r>
        <w:rPr/>
        <w:t>、专项储备</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240" w:lineRule="auto"/>
        <w:ind w:right="2602"/>
        <w:jc w:val="left"/>
        <w:rPr>
          <w:b w:val="0"/>
          <w:bCs w:val="0"/>
        </w:rPr>
      </w:pPr>
      <w:bookmarkStart w:name="59、盈余公积" w:id="377"/>
      <w:bookmarkEnd w:id="377"/>
      <w:r>
        <w:rPr>
          <w:b w:val="0"/>
          <w:bCs w:val="0"/>
        </w:rPr>
      </w:r>
      <w:r>
        <w:rPr>
          <w:rFonts w:ascii="Times New Roman" w:hAnsi="Times New Roman" w:cs="Times New Roman" w:eastAsia="Times New Roman" w:hint="default"/>
        </w:rPr>
        <w:t>59</w:t>
      </w:r>
      <w:r>
        <w:rPr/>
        <w:t>、盈余公积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150,153,223.42</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150,153,223.42</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150,153,223.42</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150,153,223.42</w:t>
            </w:r>
          </w:p>
        </w:tc>
      </w:tr>
    </w:tbl>
    <w:p>
      <w:pPr>
        <w:pStyle w:val="BodyText"/>
        <w:spacing w:line="240" w:lineRule="auto" w:before="49"/>
        <w:ind w:right="2602"/>
        <w:jc w:val="left"/>
      </w:pPr>
      <w:r>
        <w:rPr/>
        <w:t>盈余公积说明，包括本期增减变动情况、变动原因说明：</w:t>
      </w:r>
    </w:p>
    <w:p>
      <w:pPr>
        <w:pStyle w:val="Heading4"/>
        <w:spacing w:line="264" w:lineRule="auto" w:before="94"/>
        <w:ind w:right="1126" w:firstLine="420"/>
        <w:jc w:val="both"/>
      </w:pPr>
      <w:r>
        <w:rPr>
          <w:spacing w:val="-2"/>
        </w:rPr>
        <w:t>因执行新金融工具准则而在首次执行日进行了相关调整，根据涉及留存收益调整情况而相应补记了法</w:t>
      </w:r>
      <w:r>
        <w:rPr>
          <w:w w:val="100"/>
        </w:rPr>
        <w:t> </w:t>
      </w:r>
      <w:r>
        <w:rPr>
          <w:spacing w:val="-3"/>
        </w:rPr>
        <w:t>定盈余公积，由此在首次执行日盈余公积较上年年末余额增加了</w:t>
      </w:r>
      <w:r>
        <w:rPr>
          <w:rFonts w:ascii="Times New Roman" w:hAnsi="Times New Roman" w:cs="Times New Roman" w:eastAsia="Times New Roman" w:hint="default"/>
          <w:spacing w:val="-3"/>
        </w:rPr>
        <w:t>4,318,620.60</w:t>
      </w:r>
      <w:r>
        <w:rPr>
          <w:spacing w:val="-3"/>
        </w:rPr>
        <w:t>元。详见本章节“五、</w:t>
      </w:r>
      <w:r>
        <w:rPr>
          <w:rFonts w:ascii="Times New Roman" w:hAnsi="Times New Roman" w:cs="Times New Roman" w:eastAsia="Times New Roman" w:hint="default"/>
          <w:spacing w:val="-3"/>
        </w:rPr>
        <w:t>44</w:t>
      </w:r>
      <w:r>
        <w:rPr>
          <w:spacing w:val="-3"/>
        </w:rPr>
        <w:t>、重</w:t>
      </w:r>
      <w:r>
        <w:rPr>
          <w:spacing w:val="-29"/>
        </w:rPr>
        <w:t> </w:t>
      </w:r>
      <w:r>
        <w:rPr>
          <w:spacing w:val="-29"/>
        </w:rPr>
      </w:r>
      <w:r>
        <w:rPr/>
        <w:t>要会计政策和会计估计的变更”。</w:t>
      </w:r>
    </w:p>
    <w:p>
      <w:pPr>
        <w:spacing w:line="240" w:lineRule="auto" w:before="2"/>
        <w:rPr>
          <w:rFonts w:ascii="宋体" w:hAnsi="宋体" w:cs="宋体" w:eastAsia="宋体" w:hint="default"/>
          <w:sz w:val="24"/>
          <w:szCs w:val="24"/>
        </w:rPr>
      </w:pPr>
    </w:p>
    <w:p>
      <w:pPr>
        <w:pStyle w:val="Heading3"/>
        <w:spacing w:line="240" w:lineRule="auto"/>
        <w:ind w:right="2602"/>
        <w:jc w:val="left"/>
        <w:rPr>
          <w:b w:val="0"/>
          <w:bCs w:val="0"/>
        </w:rPr>
      </w:pPr>
      <w:bookmarkStart w:name="60、未分配利润" w:id="378"/>
      <w:bookmarkEnd w:id="378"/>
      <w:r>
        <w:rPr>
          <w:b w:val="0"/>
          <w:bCs w:val="0"/>
        </w:rPr>
      </w:r>
      <w:r>
        <w:rPr>
          <w:rFonts w:ascii="Times New Roman" w:hAnsi="Times New Roman" w:cs="Times New Roman" w:eastAsia="Times New Roman" w:hint="default"/>
        </w:rPr>
        <w:t>60</w:t>
      </w:r>
      <w:r>
        <w:rPr/>
        <w:t>、未分配利润</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703"/>
        <w:gridCol w:w="2934"/>
        <w:gridCol w:w="2919"/>
      </w:tblGrid>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1"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1,288,393,574.83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2"/>
                <w:sz w:val="18"/>
              </w:rPr>
              <w:t>1,117,231,532.11</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38,867,585.39</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1,327,261,160.22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2"/>
                <w:sz w:val="18"/>
              </w:rPr>
              <w:t>1,117,231,532.11</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-1,397,325,377.07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231,999,258.41</w:t>
            </w:r>
          </w:p>
        </w:tc>
      </w:tr>
      <w:tr>
        <w:trPr>
          <w:trHeight w:val="401"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4" w:type="dxa"/>
            <w:tcBorders>
              <w:top w:val="single" w:sz="4" w:space="0" w:color="000000"/>
              <w:left w:val="single" w:sz="9" w:space="0" w:color="D2D2D2"/>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22,680,497.34</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27,422,156.82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39,181,140.39</w:t>
            </w:r>
          </w:p>
        </w:tc>
      </w:tr>
      <w:tr>
        <w:trPr>
          <w:trHeight w:val="401" w:hRule="exact"/>
        </w:trPr>
        <w:tc>
          <w:tcPr>
            <w:tcW w:w="3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34"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1,024,422.04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703"/>
        <w:gridCol w:w="2934"/>
        <w:gridCol w:w="2919"/>
      </w:tblGrid>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1802" w:right="0"/>
              <w:jc w:val="left"/>
              <w:rPr>
                <w:rFonts w:ascii="Times New Roman" w:hAnsi="Times New Roman" w:cs="Times New Roman" w:eastAsia="Times New Roman" w:hint="default"/>
                <w:sz w:val="18"/>
                <w:szCs w:val="18"/>
              </w:rPr>
            </w:pPr>
            <w:r>
              <w:rPr>
                <w:rFonts w:ascii="Times New Roman"/>
                <w:sz w:val="18"/>
              </w:rPr>
              <w:t>-97,486,373.67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30" w:right="0"/>
              <w:jc w:val="left"/>
              <w:rPr>
                <w:rFonts w:ascii="Times New Roman" w:hAnsi="Times New Roman" w:cs="Times New Roman" w:eastAsia="Times New Roman" w:hint="default"/>
                <w:sz w:val="18"/>
                <w:szCs w:val="18"/>
              </w:rPr>
            </w:pPr>
            <w:r>
              <w:rPr>
                <w:rFonts w:ascii="Times New Roman"/>
                <w:sz w:val="18"/>
              </w:rPr>
              <w:t>1,288,393,574.83</w:t>
            </w:r>
          </w:p>
        </w:tc>
      </w:tr>
    </w:tbl>
    <w:p>
      <w:pPr>
        <w:pStyle w:val="BodyText"/>
        <w:spacing w:line="240" w:lineRule="auto" w:before="49"/>
        <w:ind w:right="2602"/>
        <w:jc w:val="left"/>
      </w:pPr>
      <w:r>
        <w:rPr/>
        <w:t>调整期初未分配利润明细：</w:t>
      </w:r>
    </w:p>
    <w:p>
      <w:pPr>
        <w:pStyle w:val="Heading4"/>
        <w:spacing w:line="240" w:lineRule="auto" w:before="94"/>
        <w:ind w:left="573" w:right="2602"/>
        <w:jc w:val="left"/>
      </w:pPr>
      <w:r>
        <w:rPr/>
        <w:t>由于会计政策变更，影响期初未分配利润</w:t>
      </w:r>
      <w:r>
        <w:rPr>
          <w:spacing w:val="-54"/>
        </w:rPr>
        <w:t> </w:t>
      </w:r>
      <w:r>
        <w:rPr>
          <w:rFonts w:ascii="Times New Roman" w:hAnsi="Times New Roman" w:cs="Times New Roman" w:eastAsia="Times New Roman" w:hint="default"/>
        </w:rPr>
        <w:t>38,867,585.39</w:t>
      </w:r>
      <w:r>
        <w:rPr>
          <w:rFonts w:ascii="Times New Roman" w:hAnsi="Times New Roman" w:cs="Times New Roman" w:eastAsia="Times New Roman" w:hint="default"/>
          <w:spacing w:val="-1"/>
        </w:rPr>
        <w:t> </w:t>
      </w:r>
      <w:r>
        <w:rPr>
          <w:spacing w:val="-3"/>
        </w:rPr>
        <w:t>元。</w:t>
      </w:r>
      <w:r>
        <w:rPr/>
      </w:r>
    </w:p>
    <w:p>
      <w:pPr>
        <w:spacing w:line="240" w:lineRule="auto" w:before="7"/>
        <w:rPr>
          <w:rFonts w:ascii="宋体" w:hAnsi="宋体" w:cs="宋体" w:eastAsia="宋体" w:hint="default"/>
          <w:sz w:val="24"/>
          <w:szCs w:val="24"/>
        </w:rPr>
      </w:pPr>
    </w:p>
    <w:p>
      <w:pPr>
        <w:pStyle w:val="Heading3"/>
        <w:spacing w:line="240" w:lineRule="auto"/>
        <w:ind w:right="2602"/>
        <w:jc w:val="left"/>
        <w:rPr>
          <w:b w:val="0"/>
          <w:bCs w:val="0"/>
        </w:rPr>
      </w:pPr>
      <w:bookmarkStart w:name="61、营业收入和营业成本" w:id="379"/>
      <w:bookmarkEnd w:id="379"/>
      <w:r>
        <w:rPr>
          <w:b w:val="0"/>
          <w:bCs w:val="0"/>
        </w:rPr>
      </w:r>
      <w:r>
        <w:rPr>
          <w:rFonts w:ascii="Times New Roman" w:hAnsi="Times New Roman" w:cs="Times New Roman" w:eastAsia="Times New Roman" w:hint="default"/>
        </w:rPr>
        <w:t>61</w:t>
      </w:r>
      <w:r>
        <w:rPr/>
        <w:t>、营业收入和营业成本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01"/>
        <w:gridCol w:w="1916"/>
        <w:gridCol w:w="1916"/>
        <w:gridCol w:w="1913"/>
        <w:gridCol w:w="1916"/>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0"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2,123,224,486.20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1,637,724,770.18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2,203,436,272.94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1,222,681,695.01</w:t>
            </w: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1,276,501.09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1,067,129.76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1,245,489.65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1,013,497.98</w:t>
            </w:r>
          </w:p>
        </w:tc>
      </w:tr>
      <w:tr>
        <w:trPr>
          <w:trHeight w:val="401"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2,124,500,987.29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1,638,791,899.94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2,204,681,762.59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1,223,695,192.99</w:t>
            </w:r>
          </w:p>
        </w:tc>
      </w:tr>
    </w:tbl>
    <w:p>
      <w:pPr>
        <w:pStyle w:val="BodyText"/>
        <w:spacing w:line="240" w:lineRule="auto" w:before="49"/>
        <w:ind w:right="2602"/>
        <w:jc w:val="left"/>
      </w:pPr>
      <w:r>
        <w:rPr/>
        <w:t>是否已执行新收入准则</w:t>
      </w:r>
    </w:p>
    <w:p>
      <w:pPr>
        <w:pStyle w:val="BodyText"/>
        <w:spacing w:line="240" w:lineRule="auto" w:before="117"/>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13"/>
        <w:rPr>
          <w:rFonts w:ascii="宋体" w:hAnsi="宋体" w:cs="宋体" w:eastAsia="宋体" w:hint="default"/>
          <w:sz w:val="25"/>
          <w:szCs w:val="25"/>
        </w:rPr>
      </w:pPr>
    </w:p>
    <w:p>
      <w:pPr>
        <w:pStyle w:val="Heading3"/>
        <w:spacing w:line="240" w:lineRule="auto"/>
        <w:ind w:right="2602"/>
        <w:jc w:val="left"/>
        <w:rPr>
          <w:b w:val="0"/>
          <w:bCs w:val="0"/>
        </w:rPr>
      </w:pPr>
      <w:bookmarkStart w:name="62、税金及附加" w:id="380"/>
      <w:bookmarkEnd w:id="380"/>
      <w:r>
        <w:rPr>
          <w:b w:val="0"/>
          <w:bCs w:val="0"/>
        </w:rPr>
      </w:r>
      <w:r>
        <w:rPr>
          <w:rFonts w:ascii="Times New Roman" w:hAnsi="Times New Roman" w:cs="Times New Roman" w:eastAsia="Times New Roman" w:hint="default"/>
        </w:rPr>
        <w:t>62</w:t>
      </w:r>
      <w:r>
        <w:rPr/>
        <w:t>、税金及附加</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3,237,958.51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5,529,843.91</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2,260,594.30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3,744,927.76</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3,257,725.03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2,496,289.39</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149,461.14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289,725.67</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37,434.36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15,341.25</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667,364.60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484,730.22</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9,610,537.94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12,560,858.20</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63、销售费用" w:id="381"/>
      <w:bookmarkEnd w:id="381"/>
      <w:r>
        <w:rPr>
          <w:b w:val="0"/>
          <w:bCs w:val="0"/>
        </w:rPr>
      </w:r>
      <w:r>
        <w:rPr>
          <w:rFonts w:ascii="Times New Roman" w:hAnsi="Times New Roman" w:cs="Times New Roman" w:eastAsia="Times New Roman" w:hint="default"/>
        </w:rPr>
        <w:t>63</w:t>
      </w:r>
      <w:r>
        <w:rPr/>
        <w:t>、销售费用</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工资薪酬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72,104,110.34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45,988,932.35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差旅、交通费其他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45,333,785.44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38,405,171.12</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办公费及其他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22,396,747.05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19,343,708.65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139,834,642.83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103,737,812.12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64、管理费用" w:id="382"/>
      <w:bookmarkEnd w:id="382"/>
      <w:r>
        <w:rPr>
          <w:b w:val="0"/>
          <w:bCs w:val="0"/>
        </w:rPr>
      </w:r>
      <w:r>
        <w:rPr>
          <w:rFonts w:ascii="Times New Roman" w:hAnsi="Times New Roman" w:cs="Times New Roman" w:eastAsia="Times New Roman" w:hint="default"/>
        </w:rPr>
        <w:t>64</w:t>
      </w:r>
      <w:r>
        <w:rPr/>
        <w:t>、管理费用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工资薪酬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200,535,902.47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175,636,507.59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期权费用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528,300.00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27,686,500.00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折旧与摊销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40,357,882.32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14,120,786.04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办公费及其他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24,854,081.12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10,670,282.73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先行实施项目费用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76,786,617.10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343,062,783.01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228,114,076.36</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65、研发费用" w:id="383"/>
      <w:bookmarkEnd w:id="383"/>
      <w:r>
        <w:rPr>
          <w:b w:val="0"/>
          <w:bCs w:val="0"/>
        </w:rPr>
      </w:r>
      <w:r>
        <w:rPr>
          <w:rFonts w:ascii="Times New Roman" w:hAnsi="Times New Roman" w:cs="Times New Roman" w:eastAsia="Times New Roman" w:hint="default"/>
        </w:rPr>
        <w:t>65</w:t>
      </w:r>
      <w:r>
        <w:rPr/>
        <w:t>、研发费用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367,272,485.77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238,308,167.47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367,272,485.77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238,308,167.47</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66、财务费用" w:id="384"/>
      <w:bookmarkEnd w:id="384"/>
      <w:r>
        <w:rPr>
          <w:b w:val="0"/>
          <w:bCs w:val="0"/>
        </w:rPr>
      </w:r>
      <w:r>
        <w:rPr>
          <w:rFonts w:ascii="Times New Roman" w:hAnsi="Times New Roman" w:cs="Times New Roman" w:eastAsia="Times New Roman" w:hint="default"/>
        </w:rPr>
        <w:t>66</w:t>
      </w:r>
      <w:r>
        <w:rPr/>
        <w:t>、财务费用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199,056,365.51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184,953,689.85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24,617,208.30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34,075,531.20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-55,006.80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2"/>
                <w:sz w:val="18"/>
              </w:rPr>
              <w:t>-111,967.28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5,752,191.84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4,505,261.32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180,136,342.25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155,271,452.69</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67、其他收益" w:id="385"/>
      <w:bookmarkEnd w:id="385"/>
      <w:r>
        <w:rPr>
          <w:b w:val="0"/>
          <w:bCs w:val="0"/>
        </w:rPr>
      </w:r>
      <w:r>
        <w:rPr>
          <w:rFonts w:ascii="Times New Roman" w:hAnsi="Times New Roman" w:cs="Times New Roman" w:eastAsia="Times New Roman" w:hint="default"/>
        </w:rPr>
        <w:t>67</w:t>
      </w:r>
      <w:r>
        <w:rPr/>
        <w:t>、其他收益</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26,294,819.76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19,293,574.44</w:t>
            </w:r>
            <w:r>
              <w:rPr>
                <w:rFonts w:ascii="Times New Roman"/>
                <w:sz w:val="18"/>
              </w:rPr>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进项税加计抵减</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7,764,119.26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代扣个人所得税手续费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247,194.70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7,671,470.80</w:t>
            </w:r>
            <w:r>
              <w:rPr>
                <w:rFonts w:ascii="Times New Roman"/>
                <w:sz w:val="18"/>
              </w:rPr>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34,306,133.72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26,965,045.24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68、投资收益" w:id="386"/>
      <w:bookmarkEnd w:id="386"/>
      <w:r>
        <w:rPr>
          <w:b w:val="0"/>
          <w:bCs w:val="0"/>
        </w:rPr>
      </w:r>
      <w:r>
        <w:rPr>
          <w:rFonts w:ascii="Times New Roman" w:hAnsi="Times New Roman" w:cs="Times New Roman" w:eastAsia="Times New Roman" w:hint="default"/>
        </w:rPr>
        <w:t>68</w:t>
      </w:r>
      <w:r>
        <w:rPr/>
        <w:t>、投资收益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438"/>
        <w:gridCol w:w="3202"/>
        <w:gridCol w:w="2919"/>
      </w:tblGrid>
      <w:tr>
        <w:trPr>
          <w:trHeight w:val="40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-152,389.86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-2,920,676.82</w:t>
            </w:r>
          </w:p>
        </w:tc>
      </w:tr>
      <w:tr>
        <w:trPr>
          <w:trHeight w:val="40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58,498.27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46,590,169.75</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交易性金融资产在持有期间的投资收益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10,350,440.90</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202" w:type="dxa"/>
            <w:tcBorders>
              <w:top w:val="single" w:sz="4" w:space="0" w:color="000000"/>
              <w:left w:val="single" w:sz="13" w:space="0" w:color="D2D2D2"/>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1,425,895.10</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成本法投资分红产生的投资收益</w:t>
            </w:r>
          </w:p>
        </w:tc>
        <w:tc>
          <w:tcPr>
            <w:tcW w:w="3202"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8,064,204.00</w:t>
            </w:r>
          </w:p>
        </w:tc>
      </w:tr>
      <w:tr>
        <w:trPr>
          <w:trHeight w:val="403" w:hRule="exact"/>
        </w:trPr>
        <w:tc>
          <w:tcPr>
            <w:tcW w:w="3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其他理财产品收益</w:t>
            </w:r>
          </w:p>
        </w:tc>
        <w:tc>
          <w:tcPr>
            <w:tcW w:w="3202"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2,161,796.90</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10,256,549.31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55,321,388.93</w:t>
            </w:r>
          </w:p>
        </w:tc>
      </w:tr>
    </w:tbl>
    <w:p>
      <w:pPr>
        <w:spacing w:line="240" w:lineRule="auto" w:before="3"/>
        <w:rPr>
          <w:rFonts w:ascii="宋体" w:hAnsi="宋体" w:cs="宋体" w:eastAsia="宋体" w:hint="default"/>
          <w:sz w:val="19"/>
          <w:szCs w:val="19"/>
        </w:rPr>
      </w:pPr>
    </w:p>
    <w:p>
      <w:pPr>
        <w:pStyle w:val="Heading3"/>
        <w:spacing w:line="506" w:lineRule="auto" w:before="36"/>
        <w:ind w:left="573" w:right="8857" w:hanging="421"/>
        <w:jc w:val="left"/>
        <w:rPr>
          <w:rFonts w:ascii="宋体" w:hAnsi="宋体" w:cs="宋体" w:eastAsia="宋体" w:hint="default"/>
          <w:b w:val="0"/>
          <w:bCs w:val="0"/>
        </w:rPr>
      </w:pPr>
      <w:bookmarkStart w:name="69、净敞口套期收益" w:id="387"/>
      <w:bookmarkEnd w:id="387"/>
      <w:r>
        <w:rPr>
          <w:b w:val="0"/>
          <w:bCs w:val="0"/>
        </w:rPr>
      </w:r>
      <w:r>
        <w:rPr>
          <w:rFonts w:ascii="Times New Roman" w:hAnsi="Times New Roman" w:cs="Times New Roman" w:eastAsia="Times New Roman" w:hint="default"/>
        </w:rPr>
        <w:t>69</w:t>
      </w:r>
      <w:r>
        <w:rPr/>
        <w:t>、净敞口套期收益</w:t>
      </w:r>
      <w:r>
        <w:rPr>
          <w:spacing w:val="-104"/>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70、公允价值变动收益" w:id="388"/>
      <w:bookmarkEnd w:id="388"/>
      <w:r>
        <w:rPr>
          <w:b w:val="0"/>
          <w:bCs w:val="0"/>
        </w:rPr>
      </w:r>
      <w:r>
        <w:rPr>
          <w:rFonts w:ascii="Times New Roman" w:hAnsi="Times New Roman" w:cs="Times New Roman" w:eastAsia="Times New Roman" w:hint="default"/>
        </w:rPr>
        <w:t>70</w:t>
      </w:r>
      <w:r>
        <w:rPr/>
        <w:t>、公允价值变动收益</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0"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444,383.13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167,949.81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7,249,732.81</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7,694,115.94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167,949.81</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71、信用减值损失" w:id="389"/>
      <w:bookmarkEnd w:id="389"/>
      <w:r>
        <w:rPr>
          <w:b w:val="0"/>
          <w:bCs w:val="0"/>
        </w:rPr>
      </w:r>
      <w:r>
        <w:rPr>
          <w:rFonts w:ascii="Times New Roman" w:hAnsi="Times New Roman" w:cs="Times New Roman" w:eastAsia="Times New Roman" w:hint="default"/>
        </w:rPr>
        <w:t>71</w:t>
      </w:r>
      <w:r>
        <w:rPr/>
        <w:t>、信用减值损失</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9"/>
        <w:gridCol w:w="3190"/>
        <w:gridCol w:w="3190"/>
      </w:tblGrid>
      <w:tr>
        <w:trPr>
          <w:trHeight w:val="403"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2"/>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其他应收款坏账损失</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-6,898,929.90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长期应收款坏账损失</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-25,489,512.56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应收账款坏账损失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-27,513,303.77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-59,901,746.23</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Heading3"/>
        <w:spacing w:line="240" w:lineRule="auto" w:before="36"/>
        <w:ind w:right="2602"/>
        <w:jc w:val="left"/>
        <w:rPr>
          <w:b w:val="0"/>
          <w:bCs w:val="0"/>
        </w:rPr>
      </w:pPr>
      <w:bookmarkStart w:name="72、资产减值损失" w:id="390"/>
      <w:bookmarkEnd w:id="390"/>
      <w:r>
        <w:rPr>
          <w:b w:val="0"/>
          <w:bCs w:val="0"/>
        </w:rPr>
      </w:r>
      <w:r>
        <w:rPr>
          <w:rFonts w:ascii="Times New Roman" w:hAnsi="Times New Roman" w:cs="Times New Roman" w:eastAsia="Times New Roman" w:hint="default"/>
        </w:rPr>
        <w:t>72</w:t>
      </w:r>
      <w:r>
        <w:rPr/>
        <w:t>、资产减值损失</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是否已执行新收入准则</w:t>
      </w:r>
    </w:p>
    <w:p>
      <w:pPr>
        <w:pStyle w:val="BodyText"/>
        <w:spacing w:line="240" w:lineRule="auto" w:before="117"/>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953" w:space="6876"/>
            <w:col w:w="2101"/>
          </w:cols>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-48,229,795.94</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-783,998,722.17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九、在建工程减值损失</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-4,334,994.75</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十二、无形资产减值损失</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-970,768.04</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-60,486,554.17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-22,307,373.39</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-844,485,276.34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-75,842,932.12</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73、资产处置收益" w:id="391"/>
      <w:bookmarkEnd w:id="391"/>
      <w:r>
        <w:rPr>
          <w:b w:val="0"/>
          <w:bCs w:val="0"/>
        </w:rPr>
      </w:r>
      <w:r>
        <w:rPr>
          <w:rFonts w:ascii="Times New Roman" w:hAnsi="Times New Roman" w:cs="Times New Roman" w:eastAsia="Times New Roman" w:hint="default"/>
        </w:rPr>
        <w:t>73</w:t>
      </w:r>
      <w:r>
        <w:rPr/>
        <w:t>、资产处置收益</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固定资产处置利得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-50,621.97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106,970.55</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74、营业外收入" w:id="392"/>
      <w:bookmarkEnd w:id="392"/>
      <w:r>
        <w:rPr>
          <w:b w:val="0"/>
          <w:bCs w:val="0"/>
        </w:rPr>
      </w:r>
      <w:r>
        <w:rPr>
          <w:rFonts w:ascii="Times New Roman" w:hAnsi="Times New Roman" w:cs="Times New Roman" w:eastAsia="Times New Roman" w:hint="default"/>
        </w:rPr>
        <w:t>74</w:t>
      </w:r>
      <w:r>
        <w:rPr/>
        <w:t>、营业外收入</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161" w:hRule="exact"/>
        </w:trPr>
        <w:tc>
          <w:tcPr>
            <w:tcW w:w="2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4" w:hRule="exact"/>
        </w:trPr>
        <w:tc>
          <w:tcPr>
            <w:tcW w:w="23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8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16,612,500.00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8,612,759.50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16,612,500.00</w:t>
            </w:r>
          </w:p>
        </w:tc>
      </w:tr>
      <w:tr>
        <w:trPr>
          <w:trHeight w:val="40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158,129.63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69,521.15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158,129.63</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16,770,629.63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8,682,280.65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16,770,629.63</w:t>
            </w:r>
          </w:p>
        </w:tc>
      </w:tr>
    </w:tbl>
    <w:p>
      <w:pPr>
        <w:pStyle w:val="BodyText"/>
        <w:spacing w:line="240" w:lineRule="auto" w:before="49"/>
        <w:ind w:right="2602"/>
        <w:jc w:val="left"/>
      </w:pPr>
      <w:r>
        <w:rPr/>
        <w:t>计入当期损益的政府补助：</w:t>
      </w:r>
    </w:p>
    <w:p>
      <w:pPr>
        <w:pStyle w:val="BodyText"/>
        <w:spacing w:line="240" w:lineRule="auto" w:before="117"/>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263"/>
        <w:gridCol w:w="425"/>
        <w:gridCol w:w="425"/>
        <w:gridCol w:w="425"/>
        <w:gridCol w:w="994"/>
        <w:gridCol w:w="708"/>
        <w:gridCol w:w="1133"/>
        <w:gridCol w:w="1136"/>
        <w:gridCol w:w="1063"/>
      </w:tblGrid>
      <w:tr>
        <w:trPr>
          <w:trHeight w:val="715" w:hRule="exact"/>
        </w:trPr>
        <w:tc>
          <w:tcPr>
            <w:tcW w:w="32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补助项目</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8" w:right="24"/>
              <w:jc w:val="left"/>
              <w:rPr>
                <w:rFonts w:ascii="宋体" w:hAnsi="宋体" w:cs="宋体" w:eastAsia="宋体" w:hint="default"/>
                <w:sz w:val="18"/>
                <w:szCs w:val="18"/>
              </w:rPr>
            </w:pPr>
            <w:r>
              <w:rPr>
                <w:rFonts w:ascii="宋体" w:hAnsi="宋体" w:cs="宋体" w:eastAsia="宋体" w:hint="default"/>
                <w:sz w:val="18"/>
                <w:szCs w:val="18"/>
              </w:rPr>
              <w:t>发放 主体</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8" w:right="24"/>
              <w:jc w:val="left"/>
              <w:rPr>
                <w:rFonts w:ascii="宋体" w:hAnsi="宋体" w:cs="宋体" w:eastAsia="宋体" w:hint="default"/>
                <w:sz w:val="18"/>
                <w:szCs w:val="18"/>
              </w:rPr>
            </w:pPr>
            <w:r>
              <w:rPr>
                <w:rFonts w:ascii="宋体" w:hAnsi="宋体" w:cs="宋体" w:eastAsia="宋体" w:hint="default"/>
                <w:sz w:val="18"/>
                <w:szCs w:val="18"/>
              </w:rPr>
              <w:t>发放 原因</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8" w:right="24"/>
              <w:jc w:val="left"/>
              <w:rPr>
                <w:rFonts w:ascii="宋体" w:hAnsi="宋体" w:cs="宋体" w:eastAsia="宋体" w:hint="default"/>
                <w:sz w:val="18"/>
                <w:szCs w:val="18"/>
              </w:rPr>
            </w:pPr>
            <w:r>
              <w:rPr>
                <w:rFonts w:ascii="宋体" w:hAnsi="宋体" w:cs="宋体" w:eastAsia="宋体" w:hint="default"/>
                <w:sz w:val="18"/>
                <w:szCs w:val="18"/>
              </w:rPr>
              <w:t>性质 类型</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40" w:right="41"/>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79" w:right="77"/>
              <w:jc w:val="left"/>
              <w:rPr>
                <w:rFonts w:ascii="宋体" w:hAnsi="宋体" w:cs="宋体" w:eastAsia="宋体" w:hint="default"/>
                <w:sz w:val="18"/>
                <w:szCs w:val="18"/>
              </w:rPr>
            </w:pPr>
            <w:r>
              <w:rPr>
                <w:rFonts w:ascii="宋体" w:hAnsi="宋体" w:cs="宋体" w:eastAsia="宋体" w:hint="default"/>
                <w:sz w:val="18"/>
                <w:szCs w:val="18"/>
              </w:rPr>
              <w:t>是否特 殊补贴</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472" w:right="108"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473" w:right="111" w:hanging="361"/>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76" w:right="48" w:hanging="24"/>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高新财政信用评级补助</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表彰奖励</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财政企业品牌奖励</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4"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科技厅科技进步奖励金</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1,083,500.00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170,000.00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地方政府扶持补助资金</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12,929,000.00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6,861,000.00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知识产权补助</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34,800.00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软件人员奖励款</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962,959.50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地方教育补贴</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年高成长软件企业奖励</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2,600,000.00</w:t>
            </w:r>
          </w:p>
        </w:tc>
        <w:tc>
          <w:tcPr>
            <w:tcW w:w="113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footerReference w:type="default" r:id="rId35"/>
          <w:pgSz w:w="11910" w:h="16840"/>
          <w:pgMar w:footer="980" w:header="745" w:top="1060" w:bottom="1160" w:left="980" w:right="0"/>
          <w:pgNumType w:start="19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75、营业外支出" w:id="393"/>
      <w:bookmarkEnd w:id="393"/>
      <w:r>
        <w:rPr>
          <w:b w:val="0"/>
          <w:bCs w:val="0"/>
        </w:rPr>
      </w:r>
      <w:r>
        <w:rPr>
          <w:rFonts w:ascii="Times New Roman" w:hAnsi="Times New Roman" w:cs="Times New Roman" w:eastAsia="Times New Roman" w:hint="default"/>
        </w:rPr>
        <w:t>75</w:t>
      </w:r>
      <w:r>
        <w:rPr/>
        <w:t>、营业外支出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161" w:hRule="exact"/>
        </w:trPr>
        <w:tc>
          <w:tcPr>
            <w:tcW w:w="2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4" w:hRule="exact"/>
        </w:trPr>
        <w:tc>
          <w:tcPr>
            <w:tcW w:w="23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8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970,000.00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975,000.00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970,000.00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25,755.74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133,587.13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25,755.74</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21,715.45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716,042.77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21,715.45</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1,017,471.19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1,824,629.90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1,017,471.19</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76、所得税费用" w:id="394"/>
      <w:bookmarkEnd w:id="394"/>
      <w:r>
        <w:rPr>
          <w:b w:val="0"/>
          <w:bCs w:val="0"/>
        </w:rPr>
      </w:r>
      <w:r>
        <w:rPr>
          <w:rFonts w:ascii="Times New Roman" w:hAnsi="Times New Roman" w:cs="Times New Roman" w:eastAsia="Times New Roman" w:hint="default"/>
        </w:rPr>
        <w:t>76</w:t>
      </w:r>
      <w:r>
        <w:rPr/>
        <w:t>、所得税费用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2602"/>
        <w:jc w:val="left"/>
        <w:rPr>
          <w:b w:val="0"/>
          <w:bCs w:val="0"/>
        </w:rPr>
      </w:pPr>
      <w:bookmarkStart w:name="（1）所得税费用表" w:id="395"/>
      <w:bookmarkEnd w:id="395"/>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10,676,085.58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31,298,678.40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1,087,459.92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26,947.04</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11,763,545.50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31,325,625.44</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会计利润与所得税费用调整过程" w:id="396"/>
      <w:bookmarkEnd w:id="396"/>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57"/>
        <w:gridCol w:w="4802"/>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-1,390,635,391.58</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-208,595,308.74</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31,530,435.87</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-2,990,392.39</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802" w:type="dxa"/>
            <w:tcBorders>
              <w:top w:val="single" w:sz="4" w:space="0" w:color="000000"/>
              <w:left w:val="single" w:sz="10" w:space="0" w:color="D2D2D2"/>
              <w:bottom w:val="single" w:sz="4" w:space="0" w:color="000000"/>
              <w:right w:val="single" w:sz="4" w:space="0" w:color="000000"/>
            </w:tcBorders>
          </w:tcPr>
          <w:p>
            <w:pP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126,834,229.04</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-1,211,549.47</w:t>
            </w:r>
          </w:p>
        </w:tc>
      </w:tr>
      <w:tr>
        <w:trPr>
          <w:trHeight w:val="71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107,190,651.80</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加计扣除</w:t>
            </w:r>
          </w:p>
        </w:tc>
        <w:tc>
          <w:tcPr>
            <w:tcW w:w="4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-40,994,520.62</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11,763,545.50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spacing w:line="506" w:lineRule="auto" w:before="36"/>
        <w:ind w:left="573" w:right="8453" w:hanging="421"/>
        <w:jc w:val="left"/>
        <w:rPr>
          <w:rFonts w:ascii="宋体" w:hAnsi="宋体" w:cs="宋体" w:eastAsia="宋体" w:hint="default"/>
          <w:sz w:val="21"/>
          <w:szCs w:val="21"/>
        </w:rPr>
      </w:pPr>
      <w:bookmarkStart w:name="77、其他综合收益" w:id="397"/>
      <w:bookmarkEnd w:id="397"/>
      <w:r>
        <w:rPr/>
      </w:r>
      <w:r>
        <w:rPr>
          <w:rFonts w:ascii="Times New Roman" w:hAnsi="Times New Roman" w:cs="Times New Roman" w:eastAsia="Times New Roman" w:hint="default"/>
          <w:b/>
          <w:bCs/>
          <w:sz w:val="21"/>
          <w:szCs w:val="21"/>
        </w:rPr>
        <w:t>77</w:t>
      </w:r>
      <w:r>
        <w:rPr>
          <w:rFonts w:ascii="宋体" w:hAnsi="宋体" w:cs="宋体" w:eastAsia="宋体" w:hint="default"/>
          <w:b/>
          <w:bCs/>
          <w:sz w:val="21"/>
          <w:szCs w:val="21"/>
        </w:rPr>
        <w:t>、其他综合收益</w:t>
      </w:r>
      <w:r>
        <w:rPr>
          <w:rFonts w:ascii="宋体" w:hAnsi="宋体" w:cs="宋体" w:eastAsia="宋体" w:hint="default"/>
          <w:b/>
          <w:bCs/>
          <w:w w:val="100"/>
          <w:sz w:val="21"/>
          <w:szCs w:val="21"/>
        </w:rPr>
        <w:t> </w:t>
      </w:r>
      <w:r>
        <w:rPr>
          <w:rFonts w:ascii="宋体" w:hAnsi="宋体" w:cs="宋体" w:eastAsia="宋体" w:hint="default"/>
          <w:spacing w:val="-1"/>
          <w:sz w:val="21"/>
          <w:szCs w:val="21"/>
        </w:rPr>
        <w:t>详见本章节七、</w:t>
      </w:r>
      <w:r>
        <w:rPr>
          <w:rFonts w:ascii="Times New Roman" w:hAnsi="Times New Roman" w:cs="Times New Roman" w:eastAsia="Times New Roman" w:hint="default"/>
          <w:spacing w:val="-1"/>
          <w:sz w:val="21"/>
          <w:szCs w:val="21"/>
        </w:rPr>
        <w:t>57</w:t>
      </w:r>
      <w:r>
        <w:rPr>
          <w:rFonts w:ascii="宋体" w:hAnsi="宋体" w:cs="宋体" w:eastAsia="宋体" w:hint="default"/>
          <w:spacing w:val="-1"/>
          <w:sz w:val="21"/>
          <w:szCs w:val="21"/>
        </w:rPr>
        <w:t>。</w:t>
      </w:r>
    </w:p>
    <w:p>
      <w:pPr>
        <w:pStyle w:val="Heading3"/>
        <w:spacing w:line="240" w:lineRule="auto" w:before="63"/>
        <w:ind w:right="2602"/>
        <w:jc w:val="left"/>
        <w:rPr>
          <w:b w:val="0"/>
          <w:bCs w:val="0"/>
        </w:rPr>
      </w:pPr>
      <w:bookmarkStart w:name="78、现金流量表项目" w:id="398"/>
      <w:bookmarkEnd w:id="398"/>
      <w:r>
        <w:rPr>
          <w:b w:val="0"/>
          <w:bCs w:val="0"/>
        </w:rPr>
      </w:r>
      <w:r>
        <w:rPr>
          <w:rFonts w:ascii="Times New Roman" w:hAnsi="Times New Roman" w:cs="Times New Roman" w:eastAsia="Times New Roman" w:hint="default"/>
        </w:rPr>
        <w:t>78</w:t>
      </w:r>
      <w:r>
        <w:rPr/>
        <w:t>、现金流量表项目</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收到的其他与经营活动有关的现金" w:id="399"/>
      <w:bookmarkEnd w:id="399"/>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785,632,454.79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30,009,434.12</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90,693,367.42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14,480,624.94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5,166,816.17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12,470,520.16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4,769.86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3,821,420.02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租赁收入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1,276,501.09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1,245,489.65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882,773,909.33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62,027,488.89</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支付的其他与经营活动有关的现金" w:id="400"/>
      <w:bookmarkEnd w:id="400"/>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期间费用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257,331,965.97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162,402,054.15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807,031,669.54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66,277,024.74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2,817,735.22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6,588,346.74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1,067,181,370.73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235,267,425.63</w:t>
            </w:r>
          </w:p>
        </w:tc>
      </w:tr>
    </w:tbl>
    <w:p>
      <w:pPr>
        <w:spacing w:line="240" w:lineRule="auto" w:before="3"/>
        <w:rPr>
          <w:rFonts w:ascii="宋体" w:hAnsi="宋体" w:cs="宋体" w:eastAsia="宋体" w:hint="default"/>
          <w:sz w:val="19"/>
          <w:szCs w:val="19"/>
        </w:rPr>
      </w:pPr>
    </w:p>
    <w:p>
      <w:pPr>
        <w:pStyle w:val="Heading3"/>
        <w:spacing w:line="506" w:lineRule="auto" w:before="36"/>
        <w:ind w:left="573" w:right="6974" w:hanging="421"/>
        <w:jc w:val="left"/>
        <w:rPr>
          <w:rFonts w:ascii="宋体" w:hAnsi="宋体" w:cs="宋体" w:eastAsia="宋体" w:hint="default"/>
          <w:b w:val="0"/>
          <w:bCs w:val="0"/>
        </w:rPr>
      </w:pPr>
      <w:bookmarkStart w:name="（3）收到的其他与投资活动有关的现金" w:id="401"/>
      <w:bookmarkEnd w:id="401"/>
      <w:r>
        <w:rPr>
          <w:b w:val="0"/>
          <w:bCs w:val="0"/>
        </w:rPr>
      </w:r>
      <w:r>
        <w:rPr>
          <w:spacing w:val="-1"/>
        </w:rPr>
        <w:t>（</w:t>
      </w:r>
      <w:r>
        <w:rPr>
          <w:rFonts w:ascii="Times New Roman" w:hAnsi="Times New Roman" w:cs="Times New Roman" w:eastAsia="Times New Roman" w:hint="default"/>
          <w:spacing w:val="-1"/>
        </w:rPr>
        <w:t>3</w:t>
      </w:r>
      <w:r>
        <w:rPr>
          <w:spacing w:val="-1"/>
        </w:rPr>
        <w:t>）收到的其他与投资活动有关的现金</w:t>
      </w:r>
      <w:r>
        <w:rPr>
          <w:spacing w:val="-88"/>
        </w:rPr>
        <w:t> </w:t>
      </w:r>
      <w:r>
        <w:rPr>
          <w:spacing w:val="-88"/>
        </w:rPr>
      </w:r>
      <w:r>
        <w:rPr>
          <w:rFonts w:ascii="宋体" w:hAnsi="宋体" w:cs="宋体" w:eastAsia="宋体" w:hint="default"/>
          <w:b w:val="0"/>
          <w:bCs w:val="0"/>
        </w:rPr>
        <w:t>无</w:t>
      </w:r>
    </w:p>
    <w:p>
      <w:pPr>
        <w:pStyle w:val="Heading3"/>
        <w:spacing w:line="508" w:lineRule="auto" w:before="104"/>
        <w:ind w:left="573" w:right="6974" w:hanging="421"/>
        <w:jc w:val="left"/>
        <w:rPr>
          <w:rFonts w:ascii="宋体" w:hAnsi="宋体" w:cs="宋体" w:eastAsia="宋体" w:hint="default"/>
          <w:b w:val="0"/>
          <w:bCs w:val="0"/>
        </w:rPr>
      </w:pPr>
      <w:bookmarkStart w:name="（4）支付的其他与投资活动有关的现金" w:id="402"/>
      <w:bookmarkEnd w:id="402"/>
      <w:r>
        <w:rPr>
          <w:b w:val="0"/>
          <w:bCs w:val="0"/>
        </w:rPr>
      </w:r>
      <w:r>
        <w:rPr>
          <w:spacing w:val="-1"/>
        </w:rPr>
        <w:t>（</w:t>
      </w:r>
      <w:r>
        <w:rPr>
          <w:rFonts w:ascii="Times New Roman" w:hAnsi="Times New Roman" w:cs="Times New Roman" w:eastAsia="Times New Roman" w:hint="default"/>
          <w:spacing w:val="-1"/>
        </w:rPr>
        <w:t>4</w:t>
      </w:r>
      <w:r>
        <w:rPr>
          <w:spacing w:val="-1"/>
        </w:rPr>
        <w:t>）支付的其他与投资活动有关的现金</w:t>
      </w:r>
      <w:r>
        <w:rPr>
          <w:spacing w:val="-88"/>
        </w:rPr>
        <w:t> </w:t>
      </w:r>
      <w:r>
        <w:rPr>
          <w:spacing w:val="-88"/>
        </w:rPr>
      </w:r>
      <w:r>
        <w:rPr>
          <w:rFonts w:ascii="宋体" w:hAnsi="宋体" w:cs="宋体" w:eastAsia="宋体" w:hint="default"/>
          <w:b w:val="0"/>
          <w:bCs w:val="0"/>
        </w:rPr>
        <w:t>无</w:t>
      </w:r>
    </w:p>
    <w:p>
      <w:pPr>
        <w:pStyle w:val="Heading3"/>
        <w:spacing w:line="506" w:lineRule="auto" w:before="102"/>
        <w:ind w:left="573" w:right="6974" w:hanging="421"/>
        <w:jc w:val="left"/>
        <w:rPr>
          <w:rFonts w:ascii="宋体" w:hAnsi="宋体" w:cs="宋体" w:eastAsia="宋体" w:hint="default"/>
          <w:b w:val="0"/>
          <w:bCs w:val="0"/>
        </w:rPr>
      </w:pPr>
      <w:bookmarkStart w:name="（5）收到的其他与筹资活动有关的现金" w:id="403"/>
      <w:bookmarkEnd w:id="403"/>
      <w:r>
        <w:rPr>
          <w:b w:val="0"/>
          <w:bCs w:val="0"/>
        </w:rPr>
      </w:r>
      <w:r>
        <w:rPr>
          <w:spacing w:val="-1"/>
        </w:rPr>
        <w:t>（</w:t>
      </w:r>
      <w:r>
        <w:rPr>
          <w:rFonts w:ascii="Times New Roman" w:hAnsi="Times New Roman" w:cs="Times New Roman" w:eastAsia="Times New Roman" w:hint="default"/>
          <w:spacing w:val="-1"/>
        </w:rPr>
        <w:t>5</w:t>
      </w:r>
      <w:r>
        <w:rPr>
          <w:spacing w:val="-1"/>
        </w:rPr>
        <w:t>）收到的其他与筹资活动有关的现金</w:t>
      </w:r>
      <w:r>
        <w:rPr>
          <w:spacing w:val="-88"/>
        </w:rPr>
        <w:t> </w:t>
      </w:r>
      <w:r>
        <w:rPr>
          <w:spacing w:val="-88"/>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6）支付的其他与筹资活动有关的现金" w:id="404"/>
      <w:bookmarkEnd w:id="404"/>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子公司少数股东减资</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1,219,100.00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9,408,900.00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可转债发行费用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990,566.04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库存股回购</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29,984,265.25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33,003,365.25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10,399,466.04</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79、现金流量表补充资料" w:id="405"/>
      <w:bookmarkEnd w:id="405"/>
      <w:r>
        <w:rPr>
          <w:b w:val="0"/>
          <w:bCs w:val="0"/>
        </w:rPr>
      </w:r>
      <w:r>
        <w:rPr>
          <w:rFonts w:ascii="Times New Roman" w:hAnsi="Times New Roman" w:cs="Times New Roman" w:eastAsia="Times New Roman" w:hint="default"/>
        </w:rPr>
        <w:t>79</w:t>
      </w:r>
      <w:r>
        <w:rPr/>
        <w:t>、现金流量表补充资料</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现金流量表补充资料" w:id="406"/>
      <w:bookmarkEnd w:id="406"/>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6358"/>
        <w:gridCol w:w="1713"/>
        <w:gridCol w:w="1488"/>
      </w:tblGrid>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9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9"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c>
          <w:tcPr>
            <w:tcW w:w="1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-1,402,398,937.08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225,244,650.48</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904,387,022.57</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75,842,932.12</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54,597,921.10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51,465,012.80</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236,079,757.69</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159,679,753.46</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12,855,278.83</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6,357,074.05</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50,419.70</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-106,970.55</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25,755.74</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133,587.13</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-7,694,115.94</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-167,949.81</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199,001,358.71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184,841,722.57</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-10,256,549.31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-55,321,388.93</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26,947.04</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1,087,459.92</w:t>
            </w:r>
          </w:p>
        </w:tc>
        <w:tc>
          <w:tcPr>
            <w:tcW w:w="148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-176,673,803.96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123,472,515.16</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127,180,827.61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-383,049,250.34</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227,904,361.39</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-343,849,004.59</w:t>
            </w:r>
          </w:p>
        </w:tc>
      </w:tr>
      <w:tr>
        <w:trPr>
          <w:trHeight w:val="403"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528,300.00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27,686,500.00</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166,675,056.97</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72,256,130.59</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c>
          <w:tcPr>
            <w:tcW w:w="1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7" w:right="0"/>
              <w:jc w:val="center"/>
              <w:rPr>
                <w:rFonts w:ascii="Times New Roman" w:hAnsi="Times New Roman" w:cs="Times New Roman" w:eastAsia="Times New Roman" w:hint="default"/>
                <w:sz w:val="18"/>
                <w:szCs w:val="18"/>
              </w:rPr>
            </w:pPr>
            <w:r>
              <w:rPr>
                <w:rFonts w:ascii="Times New Roman"/>
                <w:sz w:val="18"/>
              </w:rPr>
              <w:t>--</w:t>
            </w:r>
          </w:p>
        </w:tc>
        <w:tc>
          <w:tcPr>
            <w:tcW w:w="1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1,620,212,260.90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1,041,109,161.16</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1,041,109,161.16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1,875,429,283.00</w:t>
            </w:r>
          </w:p>
        </w:tc>
      </w:tr>
      <w:tr>
        <w:trPr>
          <w:trHeight w:val="402" w:hRule="exact"/>
        </w:trPr>
        <w:tc>
          <w:tcPr>
            <w:tcW w:w="6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1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579,103,099.74</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-834,320,121.84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506" w:lineRule="auto" w:before="36"/>
        <w:ind w:left="573" w:right="6974" w:hanging="421"/>
        <w:jc w:val="left"/>
        <w:rPr>
          <w:rFonts w:ascii="宋体" w:hAnsi="宋体" w:cs="宋体" w:eastAsia="宋体" w:hint="default"/>
          <w:b w:val="0"/>
          <w:bCs w:val="0"/>
        </w:rPr>
      </w:pPr>
      <w:bookmarkStart w:name="（2）本期支付的取得子公司的现金净额" w:id="407"/>
      <w:bookmarkEnd w:id="407"/>
      <w:r>
        <w:rPr>
          <w:b w:val="0"/>
          <w:bCs w:val="0"/>
        </w:rPr>
      </w:r>
      <w:r>
        <w:rPr>
          <w:spacing w:val="-1"/>
        </w:rPr>
        <w:t>（</w:t>
      </w:r>
      <w:r>
        <w:rPr>
          <w:rFonts w:ascii="Times New Roman" w:hAnsi="Times New Roman" w:cs="Times New Roman" w:eastAsia="Times New Roman" w:hint="default"/>
          <w:spacing w:val="-1"/>
        </w:rPr>
        <w:t>2</w:t>
      </w:r>
      <w:r>
        <w:rPr>
          <w:spacing w:val="-1"/>
        </w:rPr>
        <w:t>）本期支付的取得子公司的现金净额</w:t>
      </w:r>
      <w:r>
        <w:rPr>
          <w:spacing w:val="-88"/>
        </w:rPr>
        <w:t> </w:t>
      </w:r>
      <w:r>
        <w:rPr>
          <w:spacing w:val="-88"/>
        </w:rPr>
      </w:r>
      <w:r>
        <w:rPr>
          <w:rFonts w:ascii="宋体" w:hAnsi="宋体" w:cs="宋体" w:eastAsia="宋体" w:hint="default"/>
          <w:b w:val="0"/>
          <w:bCs w:val="0"/>
        </w:rPr>
        <w:t>无</w:t>
      </w:r>
    </w:p>
    <w:p>
      <w:pPr>
        <w:pStyle w:val="Heading3"/>
        <w:spacing w:line="506" w:lineRule="auto" w:before="104"/>
        <w:ind w:left="573" w:right="6974" w:hanging="421"/>
        <w:jc w:val="left"/>
        <w:rPr>
          <w:rFonts w:ascii="宋体" w:hAnsi="宋体" w:cs="宋体" w:eastAsia="宋体" w:hint="default"/>
          <w:b w:val="0"/>
          <w:bCs w:val="0"/>
        </w:rPr>
      </w:pPr>
      <w:bookmarkStart w:name="（3）本期收到的处置子公司的现金净额" w:id="408"/>
      <w:bookmarkEnd w:id="408"/>
      <w:r>
        <w:rPr>
          <w:b w:val="0"/>
          <w:bCs w:val="0"/>
        </w:rPr>
      </w:r>
      <w:r>
        <w:rPr>
          <w:spacing w:val="-1"/>
        </w:rPr>
        <w:t>（</w:t>
      </w:r>
      <w:r>
        <w:rPr>
          <w:rFonts w:ascii="Times New Roman" w:hAnsi="Times New Roman" w:cs="Times New Roman" w:eastAsia="Times New Roman" w:hint="default"/>
          <w:spacing w:val="-1"/>
        </w:rPr>
        <w:t>3</w:t>
      </w:r>
      <w:r>
        <w:rPr>
          <w:spacing w:val="-1"/>
        </w:rPr>
        <w:t>）本期收到的处置子公司的现金净额</w:t>
      </w:r>
      <w:r>
        <w:rPr>
          <w:spacing w:val="-88"/>
        </w:rPr>
        <w:t> </w:t>
      </w:r>
      <w:r>
        <w:rPr>
          <w:spacing w:val="-88"/>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现金和现金等价物的构成" w:id="409"/>
      <w:bookmarkEnd w:id="409"/>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508"/>
        <w:gridCol w:w="1993"/>
        <w:gridCol w:w="2057"/>
      </w:tblGrid>
      <w:tr>
        <w:trPr>
          <w:trHeight w:val="403" w:hRule="exact"/>
        </w:trPr>
        <w:tc>
          <w:tcPr>
            <w:tcW w:w="5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3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65"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5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19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1,620,212,260.90</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1,041,109,161.16</w:t>
            </w:r>
          </w:p>
        </w:tc>
      </w:tr>
      <w:tr>
        <w:trPr>
          <w:trHeight w:val="403" w:hRule="exact"/>
        </w:trPr>
        <w:tc>
          <w:tcPr>
            <w:tcW w:w="5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9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118,348.78</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298,523.67</w:t>
            </w:r>
          </w:p>
        </w:tc>
      </w:tr>
      <w:tr>
        <w:trPr>
          <w:trHeight w:val="401" w:hRule="exact"/>
        </w:trPr>
        <w:tc>
          <w:tcPr>
            <w:tcW w:w="5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9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1,619,766,473.29</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1,040,079,675.10</w:t>
            </w:r>
          </w:p>
        </w:tc>
      </w:tr>
      <w:tr>
        <w:trPr>
          <w:trHeight w:val="403" w:hRule="exact"/>
        </w:trPr>
        <w:tc>
          <w:tcPr>
            <w:tcW w:w="5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9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327,438.83</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730,962.39</w:t>
            </w:r>
          </w:p>
        </w:tc>
      </w:tr>
      <w:tr>
        <w:trPr>
          <w:trHeight w:val="401" w:hRule="exact"/>
        </w:trPr>
        <w:tc>
          <w:tcPr>
            <w:tcW w:w="5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19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1,620,212,260.90</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1,041,109,161.16</w:t>
            </w:r>
          </w:p>
        </w:tc>
      </w:tr>
      <w:tr>
        <w:trPr>
          <w:trHeight w:val="403" w:hRule="exact"/>
        </w:trPr>
        <w:tc>
          <w:tcPr>
            <w:tcW w:w="5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其中：母公司或集团内子公司使用受限制的现金和现金等价物</w:t>
            </w:r>
          </w:p>
        </w:tc>
        <w:tc>
          <w:tcPr>
            <w:tcW w:w="19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1,805,124.6</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3,783,647.27</w:t>
            </w:r>
          </w:p>
        </w:tc>
      </w:tr>
    </w:tbl>
    <w:p>
      <w:pPr>
        <w:spacing w:line="240" w:lineRule="auto" w:before="3"/>
        <w:rPr>
          <w:rFonts w:ascii="宋体" w:hAnsi="宋体" w:cs="宋体" w:eastAsia="宋体" w:hint="default"/>
          <w:sz w:val="19"/>
          <w:szCs w:val="19"/>
        </w:rPr>
      </w:pPr>
    </w:p>
    <w:p>
      <w:pPr>
        <w:pStyle w:val="Heading3"/>
        <w:spacing w:line="506" w:lineRule="auto" w:before="36"/>
        <w:ind w:left="573" w:right="7818" w:hanging="421"/>
        <w:jc w:val="left"/>
        <w:rPr>
          <w:rFonts w:ascii="宋体" w:hAnsi="宋体" w:cs="宋体" w:eastAsia="宋体" w:hint="default"/>
          <w:b w:val="0"/>
          <w:bCs w:val="0"/>
        </w:rPr>
      </w:pPr>
      <w:bookmarkStart w:name="80、所有者权益变动表项目注释" w:id="410"/>
      <w:bookmarkEnd w:id="410"/>
      <w:r>
        <w:rPr>
          <w:b w:val="0"/>
          <w:bCs w:val="0"/>
        </w:rPr>
      </w:r>
      <w:r>
        <w:rPr>
          <w:rFonts w:ascii="Times New Roman" w:hAnsi="Times New Roman" w:cs="Times New Roman" w:eastAsia="Times New Roman" w:hint="default"/>
          <w:spacing w:val="-1"/>
        </w:rPr>
        <w:t>80</w:t>
      </w:r>
      <w:r>
        <w:rPr>
          <w:spacing w:val="-1"/>
        </w:rPr>
        <w:t>、所有者权益变动表项目注释</w:t>
      </w:r>
      <w:r>
        <w:rPr>
          <w:spacing w:val="-90"/>
        </w:rPr>
        <w:t> </w:t>
      </w:r>
      <w:r>
        <w:rPr>
          <w:spacing w:val="-90"/>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81、所有权或使用权受到限制的资产" w:id="411"/>
      <w:bookmarkEnd w:id="411"/>
      <w:r>
        <w:rPr>
          <w:b w:val="0"/>
          <w:bCs w:val="0"/>
        </w:rPr>
      </w:r>
      <w:r>
        <w:rPr>
          <w:rFonts w:ascii="Times New Roman" w:hAnsi="Times New Roman" w:cs="Times New Roman" w:eastAsia="Times New Roman" w:hint="default"/>
        </w:rPr>
        <w:t>81</w:t>
      </w:r>
      <w:r>
        <w:rPr/>
        <w:t>、所有权或使用权受到限制的资产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127"/>
        <w:gridCol w:w="1419"/>
        <w:gridCol w:w="6025"/>
      </w:tblGrid>
      <w:tr>
        <w:trPr>
          <w:trHeight w:val="401"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60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1,805,124.60</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货币资金受限的原因详见本章节</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七</w:t>
            </w:r>
            <w:r>
              <w:rPr>
                <w:rFonts w:ascii="宋体" w:hAnsi="宋体" w:cs="宋体" w:eastAsia="宋体" w:hint="default"/>
                <w:spacing w:val="-92"/>
                <w:sz w:val="18"/>
                <w:szCs w:val="18"/>
              </w:rPr>
              <w:t>、</w:t>
            </w:r>
            <w:r>
              <w:rPr>
                <w:rFonts w:ascii="宋体" w:hAnsi="宋体" w:cs="宋体" w:eastAsia="宋体" w:hint="default"/>
                <w:sz w:val="18"/>
                <w:szCs w:val="18"/>
              </w:rPr>
              <w:t>（一）</w:t>
            </w:r>
            <w:r>
              <w:rPr>
                <w:rFonts w:ascii="Times New Roman" w:hAnsi="Times New Roman" w:cs="Times New Roman" w:eastAsia="Times New Roman" w:hint="default"/>
                <w:w w:val="100"/>
                <w:sz w:val="18"/>
                <w:szCs w:val="18"/>
              </w:rPr>
              <w:t>”</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6,417,230.05</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固定资产受限的原因详见本章节</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十四（一）</w:t>
            </w:r>
            <w:r>
              <w:rPr>
                <w:rFonts w:ascii="Times New Roman" w:hAnsi="Times New Roman" w:cs="Times New Roman" w:eastAsia="Times New Roman" w:hint="default"/>
                <w:spacing w:val="1"/>
                <w:sz w:val="18"/>
                <w:szCs w:val="18"/>
              </w:rPr>
              <w:t>1</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5</w:t>
            </w:r>
            <w:r>
              <w:rPr>
                <w:rFonts w:ascii="宋体" w:hAnsi="宋体" w:cs="宋体" w:eastAsia="宋体" w:hint="default"/>
                <w:sz w:val="18"/>
                <w:szCs w:val="18"/>
              </w:rPr>
              <w:t>）</w:t>
            </w:r>
            <w:r>
              <w:rPr>
                <w:rFonts w:ascii="Times New Roman" w:hAnsi="Times New Roman" w:cs="Times New Roman" w:eastAsia="Times New Roman" w:hint="default"/>
                <w:w w:val="100"/>
                <w:sz w:val="18"/>
                <w:szCs w:val="18"/>
              </w:rPr>
              <w:t>”</w:t>
            </w:r>
          </w:p>
        </w:tc>
      </w:tr>
      <w:tr>
        <w:trPr>
          <w:trHeight w:val="40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43,264,331.11</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一年内到期的非流动资产受限的原因详见本章节</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十</w:t>
            </w:r>
            <w:r>
              <w:rPr>
                <w:rFonts w:ascii="宋体" w:hAnsi="宋体" w:cs="宋体" w:eastAsia="宋体" w:hint="default"/>
                <w:spacing w:val="-36"/>
                <w:sz w:val="18"/>
                <w:szCs w:val="18"/>
              </w:rPr>
              <w:t>四</w:t>
            </w:r>
            <w:r>
              <w:rPr>
                <w:rFonts w:ascii="宋体" w:hAnsi="宋体" w:cs="宋体" w:eastAsia="宋体" w:hint="default"/>
                <w:sz w:val="18"/>
                <w:szCs w:val="18"/>
              </w:rPr>
              <w:t>（一</w:t>
            </w:r>
            <w:r>
              <w:rPr>
                <w:rFonts w:ascii="宋体" w:hAnsi="宋体" w:cs="宋体" w:eastAsia="宋体" w:hint="default"/>
                <w:spacing w:val="-36"/>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128"/>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128"/>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pacing w:val="-128"/>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2"/>
                <w:sz w:val="18"/>
                <w:szCs w:val="18"/>
              </w:rPr>
              <w:t>5</w:t>
            </w:r>
            <w:r>
              <w:rPr>
                <w:rFonts w:ascii="宋体" w:hAnsi="宋体" w:cs="宋体" w:eastAsia="宋体" w:hint="default"/>
                <w:spacing w:val="-36"/>
                <w:sz w:val="18"/>
                <w:szCs w:val="18"/>
              </w:rPr>
              <w:t>）</w:t>
            </w:r>
            <w:r>
              <w:rPr>
                <w:rFonts w:ascii="Times New Roman" w:hAnsi="Times New Roman" w:cs="Times New Roman" w:eastAsia="Times New Roman" w:hint="default"/>
                <w:w w:val="100"/>
                <w:sz w:val="18"/>
                <w:szCs w:val="18"/>
              </w:rPr>
              <w:t>”</w:t>
            </w:r>
          </w:p>
        </w:tc>
      </w:tr>
      <w:tr>
        <w:trPr>
          <w:trHeight w:val="401"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101,864,110.77</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长期应收款受限的原因详见本章节</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十四（一）</w:t>
            </w:r>
            <w:r>
              <w:rPr>
                <w:rFonts w:ascii="Times New Roman" w:hAnsi="Times New Roman" w:cs="Times New Roman" w:eastAsia="Times New Roman" w:hint="default"/>
                <w:spacing w:val="1"/>
                <w:sz w:val="18"/>
                <w:szCs w:val="18"/>
              </w:rPr>
              <w:t>1</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5</w:t>
            </w:r>
            <w:r>
              <w:rPr>
                <w:rFonts w:ascii="宋体" w:hAnsi="宋体" w:cs="宋体" w:eastAsia="宋体" w:hint="default"/>
                <w:sz w:val="18"/>
                <w:szCs w:val="18"/>
              </w:rPr>
              <w:t>）</w:t>
            </w:r>
            <w:r>
              <w:rPr>
                <w:rFonts w:ascii="Times New Roman" w:hAnsi="Times New Roman" w:cs="Times New Roman" w:eastAsia="Times New Roman" w:hint="default"/>
                <w:w w:val="100"/>
                <w:sz w:val="18"/>
                <w:szCs w:val="18"/>
              </w:rPr>
              <w:t>”</w:t>
            </w:r>
          </w:p>
        </w:tc>
      </w:tr>
      <w:tr>
        <w:trPr>
          <w:trHeight w:val="404"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153,350,796.53</w:t>
            </w:r>
          </w:p>
        </w:tc>
        <w:tc>
          <w:tcPr>
            <w:tcW w:w="60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82、外币货币性项目" w:id="412"/>
      <w:bookmarkEnd w:id="412"/>
      <w:r>
        <w:rPr>
          <w:b w:val="0"/>
          <w:bCs w:val="0"/>
        </w:rPr>
      </w:r>
      <w:r>
        <w:rPr>
          <w:rFonts w:ascii="Times New Roman" w:hAnsi="Times New Roman" w:cs="Times New Roman" w:eastAsia="Times New Roman" w:hint="default"/>
        </w:rPr>
        <w:t>82</w:t>
      </w:r>
      <w:r>
        <w:rPr/>
        <w:t>、外币货币性项目</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外币货币性项目" w:id="413"/>
      <w:bookmarkEnd w:id="413"/>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79"/>
        <w:gridCol w:w="2402"/>
      </w:tblGrid>
      <w:tr>
        <w:trPr>
          <w:trHeight w:val="401"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期末外币余额</w:t>
            </w:r>
          </w:p>
        </w:tc>
        <w:tc>
          <w:tcPr>
            <w:tcW w:w="2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3"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2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w:t>
            </w:r>
          </w:p>
        </w:tc>
        <w:tc>
          <w:tcPr>
            <w:tcW w:w="240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1411" w:right="0"/>
              <w:jc w:val="left"/>
              <w:rPr>
                <w:rFonts w:ascii="Times New Roman" w:hAnsi="Times New Roman" w:cs="Times New Roman" w:eastAsia="Times New Roman" w:hint="default"/>
                <w:sz w:val="18"/>
                <w:szCs w:val="18"/>
              </w:rPr>
            </w:pPr>
            <w:r>
              <w:rPr>
                <w:rFonts w:ascii="Times New Roman"/>
                <w:sz w:val="18"/>
              </w:rPr>
              <w:t>3,350,489.15</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83"/>
        <w:gridCol w:w="2305"/>
        <w:gridCol w:w="2391"/>
        <w:gridCol w:w="2391"/>
      </w:tblGrid>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5"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3"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480,274.24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6.9762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3,350,489.15</w:t>
            </w:r>
          </w:p>
        </w:tc>
      </w:tr>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6,278.58</w:t>
            </w:r>
          </w:p>
        </w:tc>
      </w:tr>
      <w:tr>
        <w:trPr>
          <w:trHeight w:val="403"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6.9762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6,278.58</w:t>
            </w:r>
          </w:p>
        </w:tc>
      </w:tr>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11,803.73</w:t>
            </w:r>
          </w:p>
        </w:tc>
      </w:tr>
      <w:tr>
        <w:trPr>
          <w:trHeight w:val="403"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1,692.00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6.9762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w w:val="95"/>
                <w:sz w:val="18"/>
              </w:rPr>
              <w:t>11,803.73</w:t>
            </w:r>
          </w:p>
        </w:tc>
      </w:tr>
    </w:tbl>
    <w:p>
      <w:pPr>
        <w:spacing w:line="240" w:lineRule="auto" w:before="3"/>
        <w:rPr>
          <w:rFonts w:ascii="宋体" w:hAnsi="宋体" w:cs="宋体" w:eastAsia="宋体" w:hint="default"/>
          <w:sz w:val="19"/>
          <w:szCs w:val="19"/>
        </w:rPr>
      </w:pPr>
    </w:p>
    <w:p>
      <w:pPr>
        <w:pStyle w:val="Heading3"/>
        <w:spacing w:line="259" w:lineRule="auto" w:before="36"/>
        <w:ind w:right="0"/>
        <w:jc w:val="left"/>
        <w:rPr>
          <w:b w:val="0"/>
          <w:bCs w:val="0"/>
        </w:rPr>
      </w:pPr>
      <w:bookmarkStart w:name="（2）境外经营实体说明，包括对于重要的境外经营实体，应披露其境外主要经营地、记账" w:id="414"/>
      <w:bookmarkEnd w:id="414"/>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65"/>
        </w:rPr>
        <w:t> </w:t>
      </w:r>
      <w:r>
        <w:rPr>
          <w:spacing w:val="-65"/>
        </w:rPr>
      </w:r>
      <w:r>
        <w:rPr/>
        <w:t>依据，记账本位币发生变化的还应披露原因。</w:t>
      </w:r>
      <w:r>
        <w:rPr>
          <w:b w:val="0"/>
          <w:bCs w:val="0"/>
        </w:rPr>
      </w:r>
    </w:p>
    <w:p>
      <w:pPr>
        <w:spacing w:line="240" w:lineRule="auto" w:before="1"/>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6"/>
          <w:szCs w:val="26"/>
        </w:rPr>
      </w:pPr>
    </w:p>
    <w:p>
      <w:pPr>
        <w:pStyle w:val="Heading3"/>
        <w:spacing w:line="240" w:lineRule="auto"/>
        <w:ind w:right="2602"/>
        <w:jc w:val="left"/>
        <w:rPr>
          <w:b w:val="0"/>
          <w:bCs w:val="0"/>
        </w:rPr>
      </w:pPr>
      <w:bookmarkStart w:name="83、套期" w:id="415"/>
      <w:bookmarkEnd w:id="415"/>
      <w:r>
        <w:rPr>
          <w:b w:val="0"/>
          <w:bCs w:val="0"/>
        </w:rPr>
      </w:r>
      <w:r>
        <w:rPr>
          <w:rFonts w:ascii="Times New Roman" w:hAnsi="Times New Roman" w:cs="Times New Roman" w:eastAsia="Times New Roman" w:hint="default"/>
        </w:rPr>
        <w:t>83</w:t>
      </w:r>
      <w:r>
        <w:rPr/>
        <w:t>、套期</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240" w:lineRule="auto"/>
        <w:ind w:right="2602"/>
        <w:jc w:val="left"/>
        <w:rPr>
          <w:b w:val="0"/>
          <w:bCs w:val="0"/>
        </w:rPr>
      </w:pPr>
      <w:bookmarkStart w:name="84、政府补助" w:id="416"/>
      <w:bookmarkEnd w:id="416"/>
      <w:r>
        <w:rPr>
          <w:b w:val="0"/>
          <w:bCs w:val="0"/>
        </w:rPr>
      </w:r>
      <w:r>
        <w:rPr>
          <w:rFonts w:ascii="Times New Roman" w:hAnsi="Times New Roman" w:cs="Times New Roman" w:eastAsia="Times New Roman" w:hint="default"/>
        </w:rPr>
        <w:t>84</w:t>
      </w:r>
      <w:r>
        <w:rPr/>
        <w:t>、政府补助</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政府补助基本情况" w:id="417"/>
      <w:bookmarkEnd w:id="417"/>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5673"/>
        <w:gridCol w:w="1133"/>
        <w:gridCol w:w="994"/>
        <w:gridCol w:w="1771"/>
      </w:tblGrid>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17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7"/>
              <w:jc w:val="righ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发改委云计算软件和整体解决方案</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24,860,000.00</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面向医疗健康服务行业的公共云计算服务平台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1,009,604.12</w:t>
            </w:r>
          </w:p>
        </w:tc>
      </w:tr>
      <w:tr>
        <w:trPr>
          <w:trHeight w:val="715"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经信委基于医疗健康大数据的上海市重点疾病预防与综合评价的应用示 范</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1,190,000.00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113,272.30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经信委面向专病的智能临床辅助决策产品研发与产业化</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2,950,000.00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1,769,399.33</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医疗健康大数据处理与管理平台的研发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2,860,000.00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医养结合的养老云服务平台及集成化养老智能终端设备研发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4,160,000.00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289,901.00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基于大数据的慢病管理平台研究与应用示范</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480,000.00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基于开发者关联分析的智能协作关键技术与支撑环境</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132,111.48</w:t>
            </w:r>
          </w:p>
        </w:tc>
      </w:tr>
      <w:tr>
        <w:trPr>
          <w:trHeight w:val="404"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支持数据交易的大数据试验场管理平台研制</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660,000.00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上海电子政务工程技术研究中心能力提升二期</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583,771.10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上海卫生信息工程技术研究中心能力提升二期</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245,600.00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建设 </w:t>
            </w:r>
            <w:r>
              <w:rPr>
                <w:rFonts w:ascii="Times New Roman" w:hAnsi="Times New Roman" w:cs="Times New Roman" w:eastAsia="Times New Roman" w:hint="default"/>
                <w:sz w:val="18"/>
                <w:szCs w:val="18"/>
              </w:rPr>
              <w:t>2 </w:t>
            </w:r>
            <w:r>
              <w:rPr>
                <w:rFonts w:ascii="宋体" w:hAnsi="宋体" w:cs="宋体" w:eastAsia="宋体" w:hint="default"/>
                <w:sz w:val="18"/>
                <w:szCs w:val="18"/>
              </w:rPr>
              <w:t>型糖尿病与糖尿病高风险早期筛查与综合管理的示范区域</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102,492.00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长三角城市群医疗机构异地分级诊疗应用平台关键技术攻关</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169,862.00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轨道交通大数据服务平台关键技术研究</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616,200.00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124,200.00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基于区域卫生信息平台的全人群健康监测研究</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142,140.00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5673"/>
        <w:gridCol w:w="1133"/>
        <w:gridCol w:w="994"/>
        <w:gridCol w:w="1771"/>
      </w:tblGrid>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17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7"/>
              <w:jc w:val="righ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高龄产妇妊娠并发症预测及预警模型建立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52,500.00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万达信息云业务支撑平台研发与行业应用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2,714,466.36</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面向科技政务的大数据服务平台研究及应用示范</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1,698,689.32</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基于大数据和人工智能的区域医学影像协作共享平台研究</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662,623.26</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基于人工智能的新一代互联网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政务服务平台研发与产业化</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757,623.17</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建立具有国家代表性的糖尿病防诊治与协作研究信息化平台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84,736.00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重大慢病流行病学监测大数据平台构建与决策支持研究</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228,750.00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闵行浦江镇事务受理中心政府补贴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60,500.00</w:t>
            </w:r>
          </w:p>
        </w:tc>
      </w:tr>
      <w:tr>
        <w:trPr>
          <w:trHeight w:val="404"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政府房租补助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825,068.36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136,898.64</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增值税即征即退</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9,964,977.41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5,678,162.21</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上海市知识产权局专利资助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11,366.00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11,366.00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企业稳岗补贴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2,445,935.65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2,293,139.49</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八六三软件孵化基地突出贡献奖奖励</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5,000.00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5,000.00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闵行区科委会园区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个重点项目立项资助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市委办公厅办文系统国产化试点项目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电视剧互动项目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成都市知识产权服务中心专利资助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1,500.00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1,500.00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宋体" w:hAnsi="宋体" w:cs="宋体" w:eastAsia="宋体" w:hint="default"/>
                <w:sz w:val="16"/>
                <w:szCs w:val="16"/>
              </w:rPr>
            </w:pPr>
            <w:r>
              <w:rPr>
                <w:rFonts w:ascii="宋体" w:hAnsi="宋体" w:cs="宋体" w:eastAsia="宋体" w:hint="default"/>
                <w:sz w:val="16"/>
                <w:szCs w:val="16"/>
              </w:rPr>
              <w:t>成都高新技术产业开发区经济运行与安全生产监管局一次性企业诊断专项补贴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5,000.00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成都高新技术产业开发区财政金融局债权融资补助</w:t>
            </w:r>
            <w:r>
              <w:rPr>
                <w:rFonts w:ascii="Times New Roman" w:hAnsi="Times New Roman" w:cs="Times New Roman" w:eastAsia="Times New Roman" w:hint="default"/>
                <w:sz w:val="18"/>
                <w:szCs w:val="18"/>
              </w:rPr>
              <w:t>-</w:t>
            </w:r>
            <w:r>
              <w:rPr>
                <w:rFonts w:ascii="宋体" w:hAnsi="宋体" w:cs="宋体" w:eastAsia="宋体" w:hint="default"/>
                <w:sz w:val="18"/>
                <w:szCs w:val="18"/>
              </w:rPr>
              <w:t>信用评级补助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3,000.00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3,000.00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年收入上规模奖励</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1,600,000.00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年研发投入奖励</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宁波国家高新区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年度第五批科技项目经费</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466,900.00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吸纳就业社保补贴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988,554.00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240,337.00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国家高新区科技局重大科技专项经费</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年度第九批科技项目经费</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466,900.00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江干区科技局著作权补贴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54,800.00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53,000.00</w:t>
            </w:r>
          </w:p>
        </w:tc>
      </w:tr>
      <w:tr>
        <w:trPr>
          <w:trHeight w:val="404"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基于大数据全景洞察的上海医保支付模式构建与应用专项补助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392,900.00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长沙市财政局高新区分局高新技术企业研发经费补贴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嘉定区智慧城市示范项目专项补助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700,000.00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基于政务大数据的市民服务云应用示范项目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374,400.00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374,400.00</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年静安大数据产业补贴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240,000.00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特大城市服务集成与治理技术研究与应用示范课题任务专项补助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370,774.98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370,774.98</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申 </w:t>
            </w:r>
            <w:r>
              <w:rPr>
                <w:rFonts w:ascii="Times New Roman" w:hAnsi="Times New Roman" w:cs="Times New Roman" w:eastAsia="Times New Roman" w:hint="default"/>
                <w:sz w:val="18"/>
                <w:szCs w:val="18"/>
              </w:rPr>
              <w:t>App  </w:t>
            </w:r>
            <w:r>
              <w:rPr>
                <w:rFonts w:ascii="宋体" w:hAnsi="宋体" w:cs="宋体" w:eastAsia="宋体" w:hint="default"/>
                <w:sz w:val="18"/>
                <w:szCs w:val="18"/>
              </w:rPr>
              <w:t>项目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5673"/>
        <w:gridCol w:w="1133"/>
        <w:gridCol w:w="994"/>
        <w:gridCol w:w="1771"/>
      </w:tblGrid>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17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7"/>
              <w:jc w:val="righ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信息化建设和运用项目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鄞州区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年度第五批科技项目补助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宁波市地方税务局国家高新技术产业开发区分局退税</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33,273.14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明楼街道退税</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636.00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高新财政信用评级补助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4,000.00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表彰奖励</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财政企业品牌奖励</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科技厅科技进步奖励金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1,253,500.00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1,083,500.00</w:t>
            </w:r>
          </w:p>
        </w:tc>
      </w:tr>
      <w:tr>
        <w:trPr>
          <w:trHeight w:val="404"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地方政府扶持补助资金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19,790,000.00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12,929,000.00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知识产权补助</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34,800.00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软件人员奖励款</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962,959.50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地方教育补贴</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年高成长软件企业奖励</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2,600,000.00</w:t>
            </w:r>
          </w:p>
        </w:tc>
      </w:tr>
    </w:tbl>
    <w:p>
      <w:pPr>
        <w:spacing w:line="240" w:lineRule="auto" w:before="10"/>
        <w:rPr>
          <w:rFonts w:ascii="Times New Roman" w:hAnsi="Times New Roman" w:cs="Times New Roman" w:eastAsia="Times New Roman" w:hint="default"/>
          <w:sz w:val="21"/>
          <w:szCs w:val="21"/>
        </w:rPr>
      </w:pPr>
    </w:p>
    <w:p>
      <w:pPr>
        <w:pStyle w:val="Heading3"/>
        <w:spacing w:line="506" w:lineRule="auto" w:before="36"/>
        <w:ind w:left="573" w:right="8541" w:hanging="421"/>
        <w:jc w:val="left"/>
        <w:rPr>
          <w:rFonts w:ascii="宋体" w:hAnsi="宋体" w:cs="宋体" w:eastAsia="宋体" w:hint="default"/>
          <w:b w:val="0"/>
          <w:bCs w:val="0"/>
        </w:rPr>
      </w:pPr>
      <w:bookmarkStart w:name="（2）政府补助退回情况" w:id="418"/>
      <w:bookmarkEnd w:id="418"/>
      <w:r>
        <w:rPr>
          <w:b w:val="0"/>
          <w:bCs w:val="0"/>
        </w:rPr>
      </w:r>
      <w:r>
        <w:rPr/>
        <w:t>（</w:t>
      </w:r>
      <w:r>
        <w:rPr>
          <w:rFonts w:ascii="Times New Roman" w:hAnsi="Times New Roman" w:cs="Times New Roman" w:eastAsia="Times New Roman" w:hint="default"/>
        </w:rPr>
        <w:t>2</w:t>
      </w:r>
      <w:r>
        <w:rPr/>
        <w:t>）政府补助退回情况</w:t>
      </w:r>
      <w:r>
        <w:rPr>
          <w:w w:val="100"/>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85、其他" w:id="419"/>
      <w:bookmarkEnd w:id="419"/>
      <w:r>
        <w:rPr>
          <w:b w:val="0"/>
          <w:bCs w:val="0"/>
        </w:rPr>
      </w:r>
      <w:r>
        <w:rPr>
          <w:rFonts w:ascii="Times New Roman" w:hAnsi="Times New Roman" w:cs="Times New Roman" w:eastAsia="Times New Roman" w:hint="default"/>
        </w:rPr>
        <w:t>85</w:t>
      </w:r>
      <w:r>
        <w:rPr/>
        <w:t>、其他</w:t>
      </w:r>
      <w:r>
        <w:rPr>
          <w:b w:val="0"/>
          <w:bCs w:val="0"/>
        </w:rPr>
      </w:r>
    </w:p>
    <w:p>
      <w:pPr>
        <w:spacing w:line="240" w:lineRule="auto" w:before="8"/>
        <w:rPr>
          <w:rFonts w:ascii="宋体" w:hAnsi="宋体" w:cs="宋体" w:eastAsia="宋体" w:hint="default"/>
          <w:b/>
          <w:bCs/>
          <w:sz w:val="24"/>
          <w:szCs w:val="24"/>
        </w:rPr>
      </w:pPr>
    </w:p>
    <w:p>
      <w:pPr>
        <w:spacing w:line="501" w:lineRule="auto" w:before="0"/>
        <w:ind w:left="152" w:right="8330" w:firstLine="42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w w:val="100"/>
          <w:sz w:val="21"/>
          <w:szCs w:val="21"/>
        </w:rPr>
        <w:t> </w:t>
      </w:r>
      <w:bookmarkStart w:name="八、合并范围的变更" w:id="420"/>
      <w:bookmarkEnd w:id="420"/>
      <w:r>
        <w:rPr>
          <w:rFonts w:ascii="宋体" w:hAnsi="宋体" w:cs="宋体" w:eastAsia="宋体" w:hint="default"/>
          <w:w w:val="100"/>
          <w:sz w:val="21"/>
          <w:szCs w:val="21"/>
        </w:rPr>
      </w: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bookmarkStart w:name="1、非同一控制下企业合并" w:id="421"/>
      <w:bookmarkEnd w:id="421"/>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pStyle w:val="Heading4"/>
        <w:spacing w:line="240" w:lineRule="auto" w:before="68"/>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508" w:lineRule="auto"/>
        <w:ind w:left="573" w:right="8541" w:hanging="421"/>
        <w:jc w:val="left"/>
        <w:rPr>
          <w:rFonts w:ascii="宋体" w:hAnsi="宋体" w:cs="宋体" w:eastAsia="宋体" w:hint="default"/>
          <w:b w:val="0"/>
          <w:bCs w:val="0"/>
        </w:rPr>
      </w:pPr>
      <w:bookmarkStart w:name="2、同一控制下企业合并" w:id="422"/>
      <w:bookmarkEnd w:id="422"/>
      <w:r>
        <w:rPr>
          <w:b w:val="0"/>
          <w:bCs w:val="0"/>
        </w:rPr>
      </w:r>
      <w:r>
        <w:rPr>
          <w:rFonts w:ascii="Times New Roman" w:hAnsi="Times New Roman" w:cs="Times New Roman" w:eastAsia="Times New Roman" w:hint="default"/>
        </w:rPr>
        <w:t>2</w:t>
      </w:r>
      <w:r>
        <w:rPr/>
        <w:t>、同一控制下企业合并</w:t>
      </w:r>
      <w:r>
        <w:rPr>
          <w:w w:val="100"/>
        </w:rPr>
        <w:t> </w:t>
      </w:r>
      <w:r>
        <w:rPr>
          <w:rFonts w:ascii="宋体" w:hAnsi="宋体" w:cs="宋体" w:eastAsia="宋体" w:hint="default"/>
          <w:b w:val="0"/>
          <w:bCs w:val="0"/>
        </w:rPr>
        <w:t>无</w:t>
      </w:r>
    </w:p>
    <w:p>
      <w:pPr>
        <w:pStyle w:val="Heading3"/>
        <w:spacing w:line="506" w:lineRule="auto" w:before="102"/>
        <w:ind w:left="573" w:right="9595" w:hanging="421"/>
        <w:jc w:val="left"/>
        <w:rPr>
          <w:rFonts w:ascii="宋体" w:hAnsi="宋体" w:cs="宋体" w:eastAsia="宋体" w:hint="default"/>
          <w:b w:val="0"/>
          <w:bCs w:val="0"/>
        </w:rPr>
      </w:pPr>
      <w:bookmarkStart w:name="3、反向购买" w:id="423"/>
      <w:bookmarkEnd w:id="423"/>
      <w:r>
        <w:rPr>
          <w:b w:val="0"/>
          <w:bCs w:val="0"/>
        </w:rPr>
      </w:r>
      <w:r>
        <w:rPr>
          <w:rFonts w:ascii="Times New Roman" w:hAnsi="Times New Roman" w:cs="Times New Roman" w:eastAsia="Times New Roman" w:hint="default"/>
        </w:rPr>
        <w:t>3</w:t>
      </w:r>
      <w:r>
        <w:rPr/>
        <w:t>、反向购买</w:t>
      </w:r>
      <w:r>
        <w:rPr>
          <w:spacing w:val="-104"/>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处置子公司" w:id="424"/>
      <w:bookmarkEnd w:id="424"/>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t>是否存在单次处置对子公司投资即丧失控制权的情形</w:t>
      </w:r>
    </w:p>
    <w:p>
      <w:pPr>
        <w:pStyle w:val="BodyText"/>
        <w:spacing w:line="240" w:lineRule="auto" w:before="117"/>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2602"/>
        <w:jc w:val="left"/>
      </w:pPr>
      <w:r>
        <w:rPr/>
        <w:t>是否存在通过多次交易分步处置对子公司投资且在本期丧失控制权的情形</w:t>
      </w:r>
    </w:p>
    <w:p>
      <w:pPr>
        <w:pStyle w:val="BodyText"/>
        <w:spacing w:line="240" w:lineRule="auto" w:before="117"/>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610" w:lineRule="atLeast" w:before="20"/>
        <w:ind w:left="573" w:right="0" w:hanging="421"/>
        <w:jc w:val="left"/>
        <w:rPr>
          <w:rFonts w:ascii="宋体" w:hAnsi="宋体" w:cs="宋体" w:eastAsia="宋体" w:hint="default"/>
          <w:sz w:val="21"/>
          <w:szCs w:val="21"/>
        </w:rPr>
      </w:pPr>
      <w:bookmarkStart w:name="5、其他原因的合并范围变动" w:id="425"/>
      <w:bookmarkEnd w:id="425"/>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、其他原因的合并范围变动</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本公司于</w:t>
      </w:r>
      <w:r>
        <w:rPr>
          <w:rFonts w:ascii="Times New Roman" w:hAnsi="Times New Roman" w:cs="Times New Roman" w:eastAsia="Times New Roman" w:hint="default"/>
          <w:spacing w:val="-2"/>
          <w:sz w:val="21"/>
          <w:szCs w:val="21"/>
        </w:rPr>
        <w:t>2019</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22</w:t>
      </w:r>
      <w:r>
        <w:rPr>
          <w:rFonts w:ascii="宋体" w:hAnsi="宋体" w:cs="宋体" w:eastAsia="宋体" w:hint="default"/>
          <w:spacing w:val="-2"/>
          <w:sz w:val="21"/>
          <w:szCs w:val="21"/>
        </w:rPr>
        <w:t>日投资设立</w:t>
      </w:r>
      <w:hyperlink r:id="rId28">
        <w:r>
          <w:rPr>
            <w:rFonts w:ascii="宋体" w:hAnsi="宋体" w:cs="宋体" w:eastAsia="宋体" w:hint="default"/>
            <w:spacing w:val="-2"/>
            <w:sz w:val="21"/>
            <w:szCs w:val="21"/>
          </w:rPr>
          <w:t>上海爱可及医疗科技有限公司</w:t>
        </w:r>
      </w:hyperlink>
      <w:r>
        <w:rPr>
          <w:rFonts w:ascii="宋体" w:hAnsi="宋体" w:cs="宋体" w:eastAsia="宋体" w:hint="default"/>
          <w:spacing w:val="-2"/>
          <w:sz w:val="21"/>
          <w:szCs w:val="21"/>
        </w:rPr>
        <w:t>，注册资本人民币</w:t>
      </w:r>
      <w:r>
        <w:rPr>
          <w:rFonts w:ascii="Times New Roman" w:hAnsi="Times New Roman" w:cs="Times New Roman" w:eastAsia="Times New Roman" w:hint="default"/>
          <w:spacing w:val="-2"/>
          <w:sz w:val="21"/>
          <w:szCs w:val="21"/>
        </w:rPr>
        <w:t>2,000.00</w:t>
      </w:r>
      <w:r>
        <w:rPr>
          <w:rFonts w:ascii="宋体" w:hAnsi="宋体" w:cs="宋体" w:eastAsia="宋体" w:hint="default"/>
          <w:spacing w:val="-2"/>
          <w:sz w:val="21"/>
          <w:szCs w:val="21"/>
        </w:rPr>
        <w:t>万元，本公</w:t>
      </w:r>
    </w:p>
    <w:p>
      <w:pPr>
        <w:pStyle w:val="Heading4"/>
        <w:spacing w:line="256" w:lineRule="auto" w:before="21"/>
        <w:ind w:right="0"/>
        <w:jc w:val="left"/>
      </w:pPr>
      <w:r>
        <w:rPr>
          <w:spacing w:val="-1"/>
        </w:rPr>
        <w:t>司出资人民币</w:t>
      </w:r>
      <w:r>
        <w:rPr>
          <w:rFonts w:ascii="Times New Roman" w:hAnsi="Times New Roman" w:cs="Times New Roman" w:eastAsia="Times New Roman" w:hint="default"/>
          <w:spacing w:val="-1"/>
        </w:rPr>
        <w:t>1,200.00</w:t>
      </w:r>
      <w:r>
        <w:rPr>
          <w:spacing w:val="-1"/>
        </w:rPr>
        <w:t>万元，持股比例</w:t>
      </w:r>
      <w:r>
        <w:rPr>
          <w:rFonts w:ascii="Times New Roman" w:hAnsi="Times New Roman" w:cs="Times New Roman" w:eastAsia="Times New Roman" w:hint="default"/>
          <w:spacing w:val="-1"/>
        </w:rPr>
        <w:t>60%</w:t>
      </w:r>
      <w:hyperlink r:id="rId28">
        <w:r>
          <w:rPr>
            <w:spacing w:val="-1"/>
          </w:rPr>
          <w:t>，上海爱可及医疗科技有限公司</w:t>
        </w:r>
      </w:hyperlink>
      <w:r>
        <w:rPr>
          <w:spacing w:val="-1"/>
        </w:rPr>
        <w:t>已于</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22</w:t>
      </w:r>
      <w:r>
        <w:rPr>
          <w:spacing w:val="-1"/>
        </w:rPr>
        <w:t>日办妥工商登</w:t>
      </w:r>
      <w:r>
        <w:rPr>
          <w:spacing w:val="-45"/>
        </w:rPr>
        <w:t> </w:t>
      </w:r>
      <w:r>
        <w:rPr>
          <w:spacing w:val="-45"/>
        </w:rPr>
      </w:r>
      <w:r>
        <w:rPr/>
        <w:t>记手续并领取了统一社会信用代码为</w:t>
      </w:r>
      <w:r>
        <w:rPr>
          <w:rFonts w:ascii="Times New Roman" w:hAnsi="Times New Roman" w:cs="Times New Roman" w:eastAsia="Times New Roman" w:hint="default"/>
        </w:rPr>
        <w:t>91310115MA1K4AXJ1L</w:t>
      </w:r>
      <w:r>
        <w:rPr/>
        <w:t>号营业执照。</w:t>
      </w:r>
    </w:p>
    <w:p>
      <w:pPr>
        <w:pStyle w:val="Heading4"/>
        <w:spacing w:line="256" w:lineRule="auto" w:before="5"/>
        <w:ind w:right="1128" w:firstLine="420"/>
        <w:jc w:val="both"/>
      </w:pPr>
      <w:r>
        <w:rPr>
          <w:spacing w:val="-3"/>
        </w:rPr>
        <w:t>本公司于</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31</w:t>
      </w:r>
      <w:r>
        <w:rPr>
          <w:spacing w:val="-3"/>
        </w:rPr>
        <w:t>日投资设立上海资哲企业管理有限责任公司，注册资本人民币</w:t>
      </w:r>
      <w:r>
        <w:rPr>
          <w:rFonts w:ascii="Times New Roman" w:hAnsi="Times New Roman" w:cs="Times New Roman" w:eastAsia="Times New Roman" w:hint="default"/>
          <w:spacing w:val="-3"/>
        </w:rPr>
        <w:t>300.00</w:t>
      </w:r>
      <w:r>
        <w:rPr>
          <w:spacing w:val="-3"/>
        </w:rPr>
        <w:t>万元，本公</w:t>
      </w:r>
      <w:r>
        <w:rPr>
          <w:w w:val="100"/>
        </w:rPr>
        <w:t> </w:t>
      </w:r>
      <w:r>
        <w:rPr/>
        <w:t>司出资人民币</w:t>
      </w:r>
      <w:r>
        <w:rPr>
          <w:rFonts w:ascii="Times New Roman" w:hAnsi="Times New Roman" w:cs="Times New Roman" w:eastAsia="Times New Roman" w:hint="default"/>
        </w:rPr>
        <w:t>300.00</w:t>
      </w:r>
      <w:r>
        <w:rPr/>
        <w:t>万元，持股比例</w:t>
      </w:r>
      <w:r>
        <w:rPr>
          <w:rFonts w:ascii="Times New Roman" w:hAnsi="Times New Roman" w:cs="Times New Roman" w:eastAsia="Times New Roman" w:hint="default"/>
        </w:rPr>
        <w:t>100%</w:t>
      </w:r>
      <w:r>
        <w:rPr/>
        <w:t>，上海资哲企业管理有限责任公司已于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31</w:t>
      </w:r>
      <w:r>
        <w:rPr/>
        <w:t>日办妥工商</w:t>
      </w:r>
      <w:r>
        <w:rPr>
          <w:spacing w:val="-42"/>
        </w:rPr>
        <w:t> </w:t>
      </w:r>
      <w:r>
        <w:rPr>
          <w:spacing w:val="-42"/>
        </w:rPr>
      </w:r>
      <w:r>
        <w:rPr/>
        <w:t>登记手续并领取了统一社会信用代码为</w:t>
      </w:r>
      <w:r>
        <w:rPr>
          <w:rFonts w:ascii="Times New Roman" w:hAnsi="Times New Roman" w:cs="Times New Roman" w:eastAsia="Times New Roman" w:hint="default"/>
        </w:rPr>
        <w:t>91310104MA1FRHMG7L</w:t>
      </w:r>
      <w:r>
        <w:rPr/>
        <w:t>号营业执照。</w:t>
      </w:r>
    </w:p>
    <w:p>
      <w:pPr>
        <w:pStyle w:val="Heading4"/>
        <w:spacing w:line="256" w:lineRule="auto" w:before="5"/>
        <w:ind w:right="1128" w:firstLine="420"/>
        <w:jc w:val="both"/>
      </w:pPr>
      <w:r>
        <w:rPr>
          <w:spacing w:val="-1"/>
        </w:rPr>
        <w:t>本公司于</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11</w:t>
      </w:r>
      <w:r>
        <w:rPr>
          <w:spacing w:val="-1"/>
        </w:rPr>
        <w:t>日投资设立上海蛮牛健康管理有限公司，注册资本人民币</w:t>
      </w:r>
      <w:r>
        <w:rPr>
          <w:rFonts w:ascii="Times New Roman" w:hAnsi="Times New Roman" w:cs="Times New Roman" w:eastAsia="Times New Roman" w:hint="default"/>
          <w:spacing w:val="-1"/>
        </w:rPr>
        <w:t>500.00</w:t>
      </w:r>
      <w:r>
        <w:rPr>
          <w:spacing w:val="-1"/>
        </w:rPr>
        <w:t>万元，本公司</w:t>
      </w:r>
      <w:r>
        <w:rPr>
          <w:w w:val="100"/>
        </w:rPr>
        <w:t> </w:t>
      </w:r>
      <w:r>
        <w:rPr/>
        <w:t>出资人民币</w:t>
      </w:r>
      <w:r>
        <w:rPr>
          <w:rFonts w:ascii="Times New Roman" w:hAnsi="Times New Roman" w:cs="Times New Roman" w:eastAsia="Times New Roman" w:hint="default"/>
        </w:rPr>
        <w:t>350.00</w:t>
      </w:r>
      <w:r>
        <w:rPr/>
        <w:t>万元，持股比例</w:t>
      </w:r>
      <w:r>
        <w:rPr>
          <w:rFonts w:ascii="Times New Roman" w:hAnsi="Times New Roman" w:cs="Times New Roman" w:eastAsia="Times New Roman" w:hint="default"/>
        </w:rPr>
        <w:t>70%</w:t>
      </w:r>
      <w:r>
        <w:rPr/>
        <w:t>，上海蛮牛健康管理有限公司已于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11</w:t>
      </w:r>
      <w:r>
        <w:rPr/>
        <w:t>日办妥工商登记手</w:t>
      </w:r>
      <w:r>
        <w:rPr>
          <w:spacing w:val="-41"/>
        </w:rPr>
        <w:t> </w:t>
      </w:r>
      <w:r>
        <w:rPr>
          <w:spacing w:val="-41"/>
        </w:rPr>
      </w:r>
      <w:r>
        <w:rPr/>
        <w:t>续并领取了统一社会信用代码为</w:t>
      </w:r>
      <w:r>
        <w:rPr>
          <w:rFonts w:ascii="Times New Roman" w:hAnsi="Times New Roman" w:cs="Times New Roman" w:eastAsia="Times New Roman" w:hint="default"/>
        </w:rPr>
        <w:t>91310104MA1FRJBR2W</w:t>
      </w:r>
      <w:r>
        <w:rPr/>
        <w:t>号营业执照。</w:t>
      </w:r>
    </w:p>
    <w:p>
      <w:pPr>
        <w:pStyle w:val="Heading4"/>
        <w:spacing w:line="256" w:lineRule="auto" w:before="5"/>
        <w:ind w:right="1130" w:firstLine="420"/>
        <w:jc w:val="both"/>
      </w:pPr>
      <w:r>
        <w:rPr/>
        <w:t>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15</w:t>
      </w:r>
      <w:r>
        <w:rPr/>
        <w:t>日投资设立蛮牛健康管理服务有限公司，注册资本人民币</w:t>
      </w:r>
      <w:r>
        <w:rPr>
          <w:rFonts w:ascii="Times New Roman" w:hAnsi="Times New Roman" w:cs="Times New Roman" w:eastAsia="Times New Roman" w:hint="default"/>
        </w:rPr>
        <w:t>5,000.00</w:t>
      </w:r>
      <w:r>
        <w:rPr/>
        <w:t>万元，本公</w:t>
      </w:r>
      <w:r>
        <w:rPr>
          <w:w w:val="100"/>
        </w:rPr>
        <w:t> </w:t>
      </w:r>
      <w:r>
        <w:rPr>
          <w:spacing w:val="-3"/>
        </w:rPr>
        <w:t>司出资人民币</w:t>
      </w:r>
      <w:r>
        <w:rPr>
          <w:rFonts w:ascii="Times New Roman" w:hAnsi="Times New Roman" w:cs="Times New Roman" w:eastAsia="Times New Roman" w:hint="default"/>
          <w:spacing w:val="-3"/>
        </w:rPr>
        <w:t>3,500.00</w:t>
      </w:r>
      <w:r>
        <w:rPr>
          <w:spacing w:val="-3"/>
        </w:rPr>
        <w:t>万元，持股比例</w:t>
      </w:r>
      <w:r>
        <w:rPr>
          <w:rFonts w:ascii="Times New Roman" w:hAnsi="Times New Roman" w:cs="Times New Roman" w:eastAsia="Times New Roman" w:hint="default"/>
          <w:spacing w:val="-3"/>
        </w:rPr>
        <w:t>70%</w:t>
      </w:r>
      <w:r>
        <w:rPr>
          <w:spacing w:val="-3"/>
        </w:rPr>
        <w:t>，蛮牛健康管理服务有限公司已于</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15</w:t>
      </w:r>
      <w:r>
        <w:rPr>
          <w:spacing w:val="-3"/>
        </w:rPr>
        <w:t>日办妥工商登记</w:t>
      </w:r>
      <w:r>
        <w:rPr>
          <w:spacing w:val="-46"/>
        </w:rPr>
        <w:t> </w:t>
      </w:r>
      <w:r>
        <w:rPr>
          <w:spacing w:val="-46"/>
        </w:rPr>
      </w:r>
      <w:r>
        <w:rPr/>
        <w:t>手续并领取了统一社会信用代码为</w:t>
      </w:r>
      <w:r>
        <w:rPr>
          <w:rFonts w:ascii="Times New Roman" w:hAnsi="Times New Roman" w:cs="Times New Roman" w:eastAsia="Times New Roman" w:hint="default"/>
        </w:rPr>
        <w:t>91310104MA1FRJMX1N</w:t>
      </w:r>
      <w:r>
        <w:rPr/>
        <w:t>号营业执照。</w:t>
      </w:r>
    </w:p>
    <w:p>
      <w:pPr>
        <w:spacing w:line="240" w:lineRule="auto" w:before="5"/>
        <w:rPr>
          <w:rFonts w:ascii="宋体" w:hAnsi="宋体" w:cs="宋体" w:eastAsia="宋体" w:hint="default"/>
          <w:sz w:val="21"/>
          <w:szCs w:val="21"/>
        </w:rPr>
      </w:pPr>
    </w:p>
    <w:p>
      <w:pPr>
        <w:pStyle w:val="Heading2"/>
        <w:spacing w:line="240" w:lineRule="auto"/>
        <w:ind w:right="2602"/>
        <w:jc w:val="left"/>
        <w:rPr>
          <w:b w:val="0"/>
          <w:bCs w:val="0"/>
        </w:rPr>
      </w:pPr>
      <w:bookmarkStart w:name="九、在其他主体中的权益" w:id="426"/>
      <w:bookmarkEnd w:id="426"/>
      <w:r>
        <w:rPr>
          <w:b w:val="0"/>
          <w:bCs w:val="0"/>
        </w:rPr>
      </w:r>
      <w:r>
        <w:rPr/>
        <w:t>九、在其他主体中的权益</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在子公司中的权益" w:id="427"/>
      <w:bookmarkEnd w:id="427"/>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企业集团的构成" w:id="428"/>
      <w:bookmarkEnd w:id="428"/>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395"/>
        <w:gridCol w:w="1136"/>
        <w:gridCol w:w="850"/>
        <w:gridCol w:w="991"/>
        <w:gridCol w:w="711"/>
        <w:gridCol w:w="708"/>
        <w:gridCol w:w="782"/>
      </w:tblGrid>
      <w:tr>
        <w:trPr>
          <w:trHeight w:val="401" w:hRule="exact"/>
        </w:trPr>
        <w:tc>
          <w:tcPr>
            <w:tcW w:w="43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41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6"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7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3" w:hRule="exact"/>
        </w:trPr>
        <w:tc>
          <w:tcPr>
            <w:tcW w:w="4395" w:type="dxa"/>
            <w:vMerge/>
            <w:tcBorders>
              <w:left w:val="single" w:sz="4" w:space="0" w:color="000000"/>
              <w:bottom w:val="single" w:sz="4" w:space="0" w:color="000000"/>
              <w:right w:val="single" w:sz="4" w:space="0" w:color="000000"/>
            </w:tcBorders>
            <w:shd w:val="clear" w:color="auto" w:fill="D2D2D2"/>
          </w:tcPr>
          <w:p>
            <w:pPr/>
          </w:p>
        </w:tc>
        <w:tc>
          <w:tcPr>
            <w:tcW w:w="1136"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782"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美国万达信息有限公司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深圳市万达信息有限公司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南京爱递吉供应链管理服务有限公司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55.00%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上海万达信息服务有限公司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上海卫生信息工程技术研究中心有限公司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74.07%</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天津万达信息技术有限责任公司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北京万达全城信息系统有限公司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上海格言管理有限公司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四川万达智能安防数据有限公司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雅安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雅安</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4395"/>
        <w:gridCol w:w="1136"/>
        <w:gridCol w:w="850"/>
        <w:gridCol w:w="991"/>
        <w:gridCol w:w="711"/>
        <w:gridCol w:w="708"/>
        <w:gridCol w:w="782"/>
      </w:tblGrid>
      <w:tr>
        <w:trPr>
          <w:trHeight w:val="402" w:hRule="exact"/>
        </w:trPr>
        <w:tc>
          <w:tcPr>
            <w:tcW w:w="43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41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6"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7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4395" w:type="dxa"/>
            <w:vMerge/>
            <w:tcBorders>
              <w:left w:val="single" w:sz="4" w:space="0" w:color="000000"/>
              <w:bottom w:val="single" w:sz="4" w:space="0" w:color="000000"/>
              <w:right w:val="single" w:sz="4" w:space="0" w:color="000000"/>
            </w:tcBorders>
            <w:shd w:val="clear" w:color="auto" w:fill="D2D2D2"/>
          </w:tcPr>
          <w:p>
            <w:pPr/>
          </w:p>
        </w:tc>
        <w:tc>
          <w:tcPr>
            <w:tcW w:w="1136"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70"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70"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782"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上海华奕医疗信息技术有限公司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宁波金唐软件有限公司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杭州莱域科技有限公司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上海复高计算机科技有限公司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上海易可思信息技术有限公司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上海格金信息技术有限公司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克拉玛依市复高计算机科技有限公司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卡拉玛依</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卡拉玛依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4"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湖南凯歌医疗信息技术有限公司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长沙</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长沙</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上海市民信箱信息服务有限公司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湖南万达智慧城市信息技术有限公司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长沙</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长沙</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永州潇湘云技术有限公司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永州</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永州</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万达云医疗科技健康产业（上海）有限公司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51.00%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四川万达智城云数据有限公司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四川万达健康数据有限公司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宁波市万达数据应用服务有限公司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万达志翔医疗科技（北京）有限责任公司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企业合并</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上海耀学信息科技有限公司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上海慈铭智能网络科技有限责任公司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51.00%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上海爱可及医疗科技有限公司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上海大亿精诚智能网络科技有限责任公司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75.00%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上海振民智能网络科技有限责任公司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上海资哲企业管理有限责任公司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蛮牛健康管理服务有限公司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上海蛮牛健康管理有限公司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line="240" w:lineRule="auto" w:before="3"/>
        <w:rPr>
          <w:rFonts w:ascii="宋体" w:hAnsi="宋体" w:cs="宋体" w:eastAsia="宋体" w:hint="default"/>
          <w:b/>
          <w:bCs/>
          <w:sz w:val="19"/>
          <w:szCs w:val="19"/>
        </w:rPr>
      </w:pPr>
    </w:p>
    <w:p>
      <w:pPr>
        <w:pStyle w:val="Heading3"/>
        <w:spacing w:line="240" w:lineRule="auto" w:before="36"/>
        <w:ind w:right="2602"/>
        <w:jc w:val="left"/>
        <w:rPr>
          <w:b w:val="0"/>
          <w:bCs w:val="0"/>
        </w:rPr>
      </w:pPr>
      <w:bookmarkStart w:name="（2）重要的非全资子公司" w:id="429"/>
      <w:bookmarkEnd w:id="429"/>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404"/>
        <w:gridCol w:w="850"/>
        <w:gridCol w:w="1844"/>
        <w:gridCol w:w="1560"/>
        <w:gridCol w:w="1916"/>
      </w:tblGrid>
      <w:tr>
        <w:trPr>
          <w:trHeight w:val="764" w:hRule="exact"/>
        </w:trPr>
        <w:tc>
          <w:tcPr>
            <w:tcW w:w="3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4"/>
              <w:ind w:left="59" w:right="59"/>
              <w:jc w:val="left"/>
              <w:rPr>
                <w:rFonts w:ascii="宋体" w:hAnsi="宋体" w:cs="宋体" w:eastAsia="宋体" w:hint="default"/>
                <w:sz w:val="18"/>
                <w:szCs w:val="18"/>
              </w:rPr>
            </w:pPr>
            <w:r>
              <w:rPr>
                <w:rFonts w:ascii="宋体" w:hAnsi="宋体" w:cs="宋体" w:eastAsia="宋体" w:hint="default"/>
                <w:sz w:val="18"/>
                <w:szCs w:val="18"/>
              </w:rPr>
              <w:t>少数股东 持股比例</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4"/>
              <w:ind w:left="648" w:right="105" w:hanging="540"/>
              <w:jc w:val="left"/>
              <w:rPr>
                <w:rFonts w:ascii="宋体" w:hAnsi="宋体" w:cs="宋体" w:eastAsia="宋体" w:hint="default"/>
                <w:sz w:val="18"/>
                <w:szCs w:val="18"/>
              </w:rPr>
            </w:pPr>
            <w:r>
              <w:rPr>
                <w:rFonts w:ascii="宋体" w:hAnsi="宋体" w:cs="宋体" w:eastAsia="宋体" w:hint="default"/>
                <w:sz w:val="18"/>
                <w:szCs w:val="18"/>
              </w:rPr>
              <w:t>本期归属于少数股东 的损益</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4"/>
              <w:ind w:left="235" w:right="53" w:hanging="180"/>
              <w:jc w:val="left"/>
              <w:rPr>
                <w:rFonts w:ascii="宋体" w:hAnsi="宋体" w:cs="宋体" w:eastAsia="宋体" w:hint="default"/>
                <w:sz w:val="18"/>
                <w:szCs w:val="18"/>
              </w:rPr>
            </w:pPr>
            <w:r>
              <w:rPr>
                <w:rFonts w:ascii="宋体" w:hAnsi="宋体" w:cs="宋体" w:eastAsia="宋体" w:hint="default"/>
                <w:sz w:val="18"/>
                <w:szCs w:val="18"/>
              </w:rPr>
              <w:t>本期向少数股东宣 告分派的股利</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48"/>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401"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上海市民信箱信息服务有限公司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39.00%</w:t>
            </w:r>
          </w:p>
        </w:tc>
        <w:tc>
          <w:tcPr>
            <w:tcW w:w="1844" w:type="dxa"/>
            <w:tcBorders>
              <w:top w:val="single" w:sz="11" w:space="0" w:color="D2D2D2"/>
              <w:left w:val="single" w:sz="4" w:space="0" w:color="000000"/>
              <w:bottom w:val="single" w:sz="4" w:space="0" w:color="000000"/>
              <w:right w:val="single" w:sz="4" w:space="0" w:color="000000"/>
            </w:tcBorders>
          </w:tcPr>
          <w:p>
            <w:pPr>
              <w:pStyle w:val="TableParagraph"/>
              <w:spacing w:line="240" w:lineRule="auto" w:before="82"/>
              <w:ind w:right="19"/>
              <w:jc w:val="right"/>
              <w:rPr>
                <w:rFonts w:ascii="Times New Roman" w:hAnsi="Times New Roman" w:cs="Times New Roman" w:eastAsia="Times New Roman" w:hint="default"/>
                <w:sz w:val="18"/>
                <w:szCs w:val="18"/>
              </w:rPr>
            </w:pPr>
            <w:r>
              <w:rPr>
                <w:rFonts w:ascii="Times New Roman"/>
                <w:spacing w:val="-1"/>
                <w:sz w:val="18"/>
              </w:rPr>
              <w:t>145,460.28</w:t>
            </w:r>
          </w:p>
        </w:tc>
        <w:tc>
          <w:tcPr>
            <w:tcW w:w="1560"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14,604,909.91</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万达志翔医疗科技（北京）有限责任公司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-2,943,121.87</w:t>
            </w:r>
          </w:p>
        </w:tc>
        <w:tc>
          <w:tcPr>
            <w:tcW w:w="1560"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4,624,484.30</w:t>
            </w:r>
          </w:p>
        </w:tc>
      </w:tr>
      <w:tr>
        <w:trPr>
          <w:trHeight w:val="401"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上海卫生信息工程技术研究中心有限公司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25.93%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-23,856.92</w:t>
            </w:r>
          </w:p>
        </w:tc>
        <w:tc>
          <w:tcPr>
            <w:tcW w:w="1560"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6,325,425.61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3）重要非全资子公司的主要财务信息" w:id="430"/>
      <w:bookmarkEnd w:id="430"/>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77"/>
        <w:gridCol w:w="708"/>
        <w:gridCol w:w="711"/>
        <w:gridCol w:w="708"/>
        <w:gridCol w:w="708"/>
        <w:gridCol w:w="708"/>
        <w:gridCol w:w="569"/>
        <w:gridCol w:w="708"/>
        <w:gridCol w:w="708"/>
        <w:gridCol w:w="708"/>
        <w:gridCol w:w="711"/>
        <w:gridCol w:w="708"/>
        <w:gridCol w:w="634"/>
      </w:tblGrid>
      <w:tr>
        <w:trPr>
          <w:trHeight w:val="403" w:hRule="exact"/>
        </w:trPr>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112"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77"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3" w:hRule="exact"/>
        </w:trPr>
        <w:tc>
          <w:tcPr>
            <w:tcW w:w="1277" w:type="dxa"/>
            <w:vMerge/>
            <w:tcBorders>
              <w:left w:val="single" w:sz="4" w:space="0" w:color="000000"/>
              <w:bottom w:val="single" w:sz="4" w:space="0" w:color="000000"/>
              <w:right w:val="single" w:sz="4" w:space="0" w:color="000000"/>
            </w:tcBorders>
            <w:shd w:val="clear" w:color="auto" w:fill="D2D2D2"/>
          </w:tcPr>
          <w:p>
            <w:pP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7"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0" w:right="80" w:hanging="92"/>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7"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7"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0" w:right="77" w:hanging="92"/>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8" w:right="99"/>
              <w:jc w:val="left"/>
              <w:rPr>
                <w:rFonts w:ascii="宋体" w:hAnsi="宋体" w:cs="宋体" w:eastAsia="宋体" w:hint="default"/>
                <w:sz w:val="18"/>
                <w:szCs w:val="18"/>
              </w:rPr>
            </w:pPr>
            <w:r>
              <w:rPr>
                <w:rFonts w:ascii="宋体" w:hAnsi="宋体" w:cs="宋体" w:eastAsia="宋体" w:hint="default"/>
                <w:sz w:val="18"/>
                <w:szCs w:val="18"/>
              </w:rPr>
              <w:t>负债 合计</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7"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0" w:right="77" w:hanging="92"/>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7"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62" w:right="77" w:hanging="181"/>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0" w:right="77" w:hanging="92"/>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0" w:right="4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上海市民信箱 信息服务有限 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26,394,6</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14.05</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14,046,9</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26.39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40,441,5</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40.44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2,500,44</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9.69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492,603.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2,993,</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053.50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24,747,4</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00.02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13,559,9</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13.71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38,307,3</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13.73</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1,231,80</w:t>
            </w:r>
          </w:p>
          <w:p>
            <w:pPr>
              <w:pStyle w:val="TableParagraph"/>
              <w:spacing w:line="240" w:lineRule="auto" w:before="105"/>
              <w:ind w:left="365" w:right="0"/>
              <w:jc w:val="left"/>
              <w:rPr>
                <w:rFonts w:ascii="Times New Roman" w:hAnsi="Times New Roman" w:cs="Times New Roman" w:eastAsia="Times New Roman" w:hint="default"/>
                <w:sz w:val="18"/>
                <w:szCs w:val="18"/>
              </w:rPr>
            </w:pPr>
            <w:r>
              <w:rPr>
                <w:rFonts w:ascii="Times New Roman"/>
                <w:sz w:val="18"/>
              </w:rPr>
              <w:t>1.86</w:t>
            </w:r>
          </w:p>
        </w:tc>
        <w:tc>
          <w:tcPr>
            <w:tcW w:w="708"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1,231,8</w:t>
            </w:r>
          </w:p>
          <w:p>
            <w:pPr>
              <w:pStyle w:val="TableParagraph"/>
              <w:spacing w:line="240" w:lineRule="auto" w:before="105"/>
              <w:ind w:left="171" w:right="0"/>
              <w:jc w:val="center"/>
              <w:rPr>
                <w:rFonts w:ascii="Times New Roman" w:hAnsi="Times New Roman" w:cs="Times New Roman" w:eastAsia="Times New Roman" w:hint="default"/>
                <w:sz w:val="18"/>
                <w:szCs w:val="18"/>
              </w:rPr>
            </w:pPr>
            <w:r>
              <w:rPr>
                <w:rFonts w:ascii="Times New Roman"/>
                <w:sz w:val="18"/>
              </w:rPr>
              <w:t>01.86</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万达志翔医疗 </w:t>
            </w:r>
            <w:r>
              <w:rPr>
                <w:rFonts w:ascii="宋体" w:hAnsi="宋体" w:cs="宋体" w:eastAsia="宋体" w:hint="default"/>
                <w:spacing w:val="-6"/>
                <w:sz w:val="18"/>
                <w:szCs w:val="18"/>
              </w:rPr>
              <w:t>科技（北京）有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限责任公司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15,309,2</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04.39</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1,513,53</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6.20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16,822,7</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40.59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1,407,79</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2.91</w:t>
            </w:r>
          </w:p>
        </w:tc>
        <w:tc>
          <w:tcPr>
            <w:tcW w:w="708"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1,407,</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792.91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24,882,8</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00.71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657,819.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25,540,6</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20.65</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315,266.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70</w:t>
            </w:r>
          </w:p>
        </w:tc>
        <w:tc>
          <w:tcPr>
            <w:tcW w:w="708"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315,26</w:t>
            </w:r>
          </w:p>
          <w:p>
            <w:pPr>
              <w:pStyle w:val="TableParagraph"/>
              <w:spacing w:line="240" w:lineRule="auto" w:before="105"/>
              <w:ind w:left="262" w:right="0"/>
              <w:jc w:val="center"/>
              <w:rPr>
                <w:rFonts w:ascii="Times New Roman" w:hAnsi="Times New Roman" w:cs="Times New Roman" w:eastAsia="Times New Roman" w:hint="default"/>
                <w:sz w:val="18"/>
                <w:szCs w:val="18"/>
              </w:rPr>
            </w:pPr>
            <w:r>
              <w:rPr>
                <w:rFonts w:ascii="Times New Roman"/>
                <w:sz w:val="18"/>
              </w:rPr>
              <w:t>6.70</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上海卫生信息 工程技术研究 中心有限公司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27,299,8</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26.10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53,590.6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27,353,4</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16.78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2,959,17</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9.95</w:t>
            </w:r>
          </w:p>
        </w:tc>
        <w:tc>
          <w:tcPr>
            <w:tcW w:w="708"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2,959,</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179.95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28,528,8</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79.99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181,795.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28,710,6</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75.67</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4,224,43</w:t>
            </w:r>
          </w:p>
          <w:p>
            <w:pPr>
              <w:pStyle w:val="TableParagraph"/>
              <w:spacing w:line="240" w:lineRule="auto" w:before="105"/>
              <w:ind w:left="365" w:right="0"/>
              <w:jc w:val="left"/>
              <w:rPr>
                <w:rFonts w:ascii="Times New Roman" w:hAnsi="Times New Roman" w:cs="Times New Roman" w:eastAsia="Times New Roman" w:hint="default"/>
                <w:sz w:val="18"/>
                <w:szCs w:val="18"/>
              </w:rPr>
            </w:pPr>
            <w:r>
              <w:rPr>
                <w:rFonts w:ascii="Times New Roman"/>
                <w:sz w:val="18"/>
              </w:rPr>
              <w:t>3.75</w:t>
            </w:r>
          </w:p>
        </w:tc>
        <w:tc>
          <w:tcPr>
            <w:tcW w:w="708" w:type="dxa"/>
            <w:tcBorders>
              <w:top w:val="single" w:sz="4" w:space="0" w:color="000000"/>
              <w:left w:val="single" w:sz="4" w:space="0" w:color="000000"/>
              <w:bottom w:val="single" w:sz="4" w:space="0" w:color="000000"/>
              <w:right w:val="single" w:sz="4" w:space="0" w:color="000000"/>
            </w:tcBorders>
          </w:tcPr>
          <w:p>
            <w:pP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4,224,4</w:t>
            </w:r>
          </w:p>
          <w:p>
            <w:pPr>
              <w:pStyle w:val="TableParagraph"/>
              <w:spacing w:line="240" w:lineRule="auto" w:before="105"/>
              <w:ind w:left="171" w:right="0"/>
              <w:jc w:val="center"/>
              <w:rPr>
                <w:rFonts w:ascii="Times New Roman" w:hAnsi="Times New Roman" w:cs="Times New Roman" w:eastAsia="Times New Roman" w:hint="default"/>
                <w:sz w:val="18"/>
                <w:szCs w:val="18"/>
              </w:rPr>
            </w:pPr>
            <w:r>
              <w:rPr>
                <w:rFonts w:ascii="Times New Roman"/>
                <w:sz w:val="18"/>
              </w:rPr>
              <w:t>33.75</w:t>
            </w:r>
          </w:p>
        </w:tc>
      </w:tr>
    </w:tbl>
    <w:p>
      <w:pPr>
        <w:pStyle w:val="BodyText"/>
        <w:spacing w:line="240" w:lineRule="auto" w:before="49"/>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77"/>
        <w:gridCol w:w="991"/>
        <w:gridCol w:w="917"/>
        <w:gridCol w:w="1063"/>
        <w:gridCol w:w="1066"/>
        <w:gridCol w:w="924"/>
        <w:gridCol w:w="994"/>
        <w:gridCol w:w="1273"/>
        <w:gridCol w:w="1066"/>
      </w:tblGrid>
      <w:tr>
        <w:trPr>
          <w:trHeight w:val="403" w:hRule="exact"/>
        </w:trPr>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03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1277" w:type="dxa"/>
            <w:vMerge/>
            <w:tcBorders>
              <w:left w:val="single" w:sz="4" w:space="0" w:color="000000"/>
              <w:bottom w:val="single" w:sz="4" w:space="0" w:color="000000"/>
              <w:right w:val="single" w:sz="4" w:space="0" w:color="000000"/>
            </w:tcBorders>
            <w:shd w:val="clear" w:color="auto" w:fill="D2D2D2"/>
          </w:tcPr>
          <w:p>
            <w:pP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4"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5"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1"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1028"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上海市民信箱 信息服务有限 公司</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12,381,456.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73</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7" w:right="0"/>
              <w:jc w:val="center"/>
              <w:rPr>
                <w:rFonts w:ascii="Times New Roman" w:hAnsi="Times New Roman" w:cs="Times New Roman" w:eastAsia="Times New Roman" w:hint="default"/>
                <w:sz w:val="18"/>
                <w:szCs w:val="18"/>
              </w:rPr>
            </w:pPr>
            <w:r>
              <w:rPr>
                <w:rFonts w:ascii="Times New Roman"/>
                <w:sz w:val="18"/>
              </w:rPr>
              <w:t>372,975.07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372,975.07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8,425,229.72</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10,692,129.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110,416.44</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110,416.44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4,237,192.24</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万达志翔医疗 </w:t>
            </w:r>
            <w:r>
              <w:rPr>
                <w:rFonts w:ascii="宋体" w:hAnsi="宋体" w:cs="宋体" w:eastAsia="宋体" w:hint="default"/>
                <w:spacing w:val="-6"/>
                <w:sz w:val="18"/>
                <w:szCs w:val="18"/>
              </w:rPr>
              <w:t>科技（北京）有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限责任公司</w:t>
            </w:r>
          </w:p>
        </w:tc>
        <w:tc>
          <w:tcPr>
            <w:tcW w:w="991"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-9,810,406.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-9,810,406.27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-8,144,292.61</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580,189.62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-10,063,706.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-10,063,706.32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-9,702,257.28</w:t>
            </w:r>
          </w:p>
        </w:tc>
      </w:tr>
      <w:tr>
        <w:trPr>
          <w:trHeight w:val="102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上海卫生信息 工程技术研究 中心有限公司</w:t>
            </w:r>
          </w:p>
        </w:tc>
        <w:tc>
          <w:tcPr>
            <w:tcW w:w="991"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9" w:right="0"/>
              <w:jc w:val="center"/>
              <w:rPr>
                <w:rFonts w:ascii="Times New Roman" w:hAnsi="Times New Roman" w:cs="Times New Roman" w:eastAsia="Times New Roman" w:hint="default"/>
                <w:sz w:val="18"/>
                <w:szCs w:val="18"/>
              </w:rPr>
            </w:pPr>
            <w:r>
              <w:rPr>
                <w:rFonts w:ascii="Times New Roman"/>
                <w:sz w:val="18"/>
              </w:rPr>
              <w:t>-92,005.09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-92,005.09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-10,519.93</w:t>
            </w:r>
          </w:p>
        </w:tc>
        <w:tc>
          <w:tcPr>
            <w:tcW w:w="92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290,504.15</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290,504.15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628,175.52</w:t>
            </w:r>
          </w:p>
        </w:tc>
      </w:tr>
    </w:tbl>
    <w:p>
      <w:pPr>
        <w:spacing w:line="240" w:lineRule="auto" w:before="3"/>
        <w:rPr>
          <w:rFonts w:ascii="宋体" w:hAnsi="宋体" w:cs="宋体" w:eastAsia="宋体" w:hint="default"/>
          <w:sz w:val="19"/>
          <w:szCs w:val="19"/>
        </w:rPr>
      </w:pPr>
    </w:p>
    <w:p>
      <w:pPr>
        <w:pStyle w:val="Heading3"/>
        <w:spacing w:line="506" w:lineRule="auto" w:before="36"/>
        <w:ind w:left="573" w:right="5444" w:hanging="421"/>
        <w:jc w:val="left"/>
        <w:rPr>
          <w:rFonts w:ascii="宋体" w:hAnsi="宋体" w:cs="宋体" w:eastAsia="宋体" w:hint="default"/>
          <w:b w:val="0"/>
          <w:bCs w:val="0"/>
        </w:rPr>
      </w:pPr>
      <w:bookmarkStart w:name="（4）使用企业集团资产和清偿企业集团债务的重大限制" w:id="431"/>
      <w:bookmarkEnd w:id="431"/>
      <w:r>
        <w:rPr>
          <w:b w:val="0"/>
          <w:bCs w:val="0"/>
        </w:rPr>
      </w:r>
      <w:r>
        <w:rPr>
          <w:spacing w:val="-1"/>
        </w:rPr>
        <w:t>（</w:t>
      </w:r>
      <w:r>
        <w:rPr>
          <w:rFonts w:ascii="Times New Roman" w:hAnsi="Times New Roman" w:cs="Times New Roman" w:eastAsia="Times New Roman" w:hint="default"/>
          <w:spacing w:val="-1"/>
        </w:rPr>
        <w:t>4</w:t>
      </w:r>
      <w:r>
        <w:rPr>
          <w:spacing w:val="-1"/>
        </w:rPr>
        <w:t>）使用企业集团资产和清偿企业集团债务的重大限制</w:t>
      </w:r>
      <w:r>
        <w:rPr>
          <w:spacing w:val="-85"/>
        </w:rPr>
        <w:t> </w:t>
      </w:r>
      <w:r>
        <w:rPr>
          <w:spacing w:val="-85"/>
        </w:rPr>
      </w:r>
      <w:r>
        <w:rPr>
          <w:rFonts w:ascii="宋体" w:hAnsi="宋体" w:cs="宋体" w:eastAsia="宋体" w:hint="default"/>
          <w:b w:val="0"/>
          <w:bCs w:val="0"/>
        </w:rPr>
        <w:t>无</w:t>
      </w:r>
    </w:p>
    <w:p>
      <w:pPr>
        <w:pStyle w:val="Heading3"/>
        <w:spacing w:line="506" w:lineRule="auto" w:before="104"/>
        <w:ind w:left="573" w:right="3975" w:hanging="421"/>
        <w:jc w:val="left"/>
        <w:rPr>
          <w:rFonts w:ascii="宋体" w:hAnsi="宋体" w:cs="宋体" w:eastAsia="宋体" w:hint="default"/>
          <w:b w:val="0"/>
          <w:bCs w:val="0"/>
        </w:rPr>
      </w:pPr>
      <w:bookmarkStart w:name="（5）向纳入合并财务报表范围的结构化主体提供的财务支持或其他支持" w:id="432"/>
      <w:bookmarkEnd w:id="432"/>
      <w:r>
        <w:rPr>
          <w:b w:val="0"/>
          <w:bCs w:val="0"/>
        </w:rPr>
      </w:r>
      <w:r>
        <w:rPr>
          <w:spacing w:val="-1"/>
        </w:rPr>
        <w:t>（</w:t>
      </w:r>
      <w:r>
        <w:rPr>
          <w:rFonts w:ascii="Times New Roman" w:hAnsi="Times New Roman" w:cs="Times New Roman" w:eastAsia="Times New Roman" w:hint="default"/>
          <w:spacing w:val="-1"/>
        </w:rPr>
        <w:t>5</w:t>
      </w:r>
      <w:r>
        <w:rPr>
          <w:spacing w:val="-1"/>
        </w:rPr>
        <w:t>）向纳入合并财务报表范围的结构化主体提供的财务支持或其他支持</w:t>
      </w:r>
      <w:r>
        <w:rPr>
          <w:spacing w:val="-75"/>
        </w:rPr>
        <w:t> </w:t>
      </w:r>
      <w:r>
        <w:rPr>
          <w:spacing w:val="-75"/>
        </w:rPr>
      </w:r>
      <w:r>
        <w:rPr>
          <w:rFonts w:ascii="宋体" w:hAnsi="宋体" w:cs="宋体" w:eastAsia="宋体" w:hint="default"/>
          <w:b w:val="0"/>
          <w:bCs w:val="0"/>
        </w:rPr>
        <w:t>无</w:t>
      </w:r>
    </w:p>
    <w:p>
      <w:pPr>
        <w:pStyle w:val="Heading3"/>
        <w:spacing w:line="506" w:lineRule="auto" w:before="104"/>
        <w:ind w:left="573" w:right="4815" w:hanging="421"/>
        <w:jc w:val="left"/>
        <w:rPr>
          <w:rFonts w:ascii="宋体" w:hAnsi="宋体" w:cs="宋体" w:eastAsia="宋体" w:hint="default"/>
          <w:b w:val="0"/>
          <w:bCs w:val="0"/>
        </w:rPr>
      </w:pPr>
      <w:bookmarkStart w:name="2、在子公司的所有者权益份额发生变化且仍控制子公司的交易" w:id="433"/>
      <w:bookmarkEnd w:id="433"/>
      <w:r>
        <w:rPr>
          <w:b w:val="0"/>
          <w:bCs w:val="0"/>
        </w:rPr>
      </w:r>
      <w:r>
        <w:rPr>
          <w:rFonts w:ascii="Times New Roman" w:hAnsi="Times New Roman" w:cs="Times New Roman" w:eastAsia="Times New Roman" w:hint="default"/>
          <w:spacing w:val="-1"/>
        </w:rPr>
        <w:t>2</w:t>
      </w:r>
      <w:r>
        <w:rPr>
          <w:spacing w:val="-1"/>
        </w:rPr>
        <w:t>、在子公司的所有者权益份额发生变化且仍控制子公司的交易</w:t>
      </w:r>
      <w:r>
        <w:rPr>
          <w:spacing w:val="-79"/>
        </w:rPr>
        <w:t> </w:t>
      </w:r>
      <w:r>
        <w:rPr>
          <w:spacing w:val="-79"/>
        </w:rPr>
      </w:r>
      <w:r>
        <w:rPr>
          <w:rFonts w:ascii="宋体" w:hAnsi="宋体" w:cs="宋体" w:eastAsia="宋体" w:hint="default"/>
          <w:b w:val="0"/>
          <w:bCs w:val="0"/>
        </w:rPr>
        <w:t>无</w:t>
      </w:r>
    </w:p>
    <w:p>
      <w:pPr>
        <w:spacing w:after="0" w:line="506" w:lineRule="auto"/>
        <w:jc w:val="left"/>
        <w:rPr>
          <w:rFonts w:ascii="宋体" w:hAnsi="宋体" w:cs="宋体" w:eastAsia="宋体" w:hint="default"/>
        </w:rPr>
        <w:sectPr>
          <w:footerReference w:type="default" r:id="rId36"/>
          <w:pgSz w:w="11910" w:h="16840"/>
          <w:pgMar w:footer="980" w:header="745"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3、在合营安排或联营企业中的权益" w:id="434"/>
      <w:bookmarkEnd w:id="434"/>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重要的合营企业或联营企业" w:id="435"/>
      <w:bookmarkEnd w:id="435"/>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1"/>
        <w:gridCol w:w="1369"/>
        <w:gridCol w:w="1366"/>
        <w:gridCol w:w="1368"/>
        <w:gridCol w:w="1368"/>
        <w:gridCol w:w="1366"/>
        <w:gridCol w:w="1366"/>
      </w:tblGrid>
      <w:tr>
        <w:trPr>
          <w:trHeight w:val="403"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22" w:right="48" w:hanging="272"/>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上海浦江科技投 资有限公司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25.93%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102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上海达保贵生信 息科技股份有限 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6"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上海全程玖玖健 康服务有限公司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22.00%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上海昕鼎网络科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34.23%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line="240" w:lineRule="auto" w:before="3"/>
        <w:rPr>
          <w:rFonts w:ascii="宋体" w:hAnsi="宋体" w:cs="宋体" w:eastAsia="宋体" w:hint="default"/>
          <w:b/>
          <w:bCs/>
          <w:sz w:val="19"/>
          <w:szCs w:val="19"/>
        </w:rPr>
      </w:pPr>
    </w:p>
    <w:p>
      <w:pPr>
        <w:pStyle w:val="Heading3"/>
        <w:spacing w:line="506" w:lineRule="auto" w:before="36"/>
        <w:ind w:left="573" w:right="7460" w:hanging="421"/>
        <w:jc w:val="left"/>
        <w:rPr>
          <w:rFonts w:ascii="宋体" w:hAnsi="宋体" w:cs="宋体" w:eastAsia="宋体" w:hint="default"/>
          <w:b w:val="0"/>
          <w:bCs w:val="0"/>
        </w:rPr>
      </w:pPr>
      <w:bookmarkStart w:name="（2）重要合营企业的主要财务信息" w:id="436"/>
      <w:bookmarkEnd w:id="436"/>
      <w:r>
        <w:rPr>
          <w:b w:val="0"/>
          <w:bCs w:val="0"/>
        </w:rPr>
      </w:r>
      <w:r>
        <w:rPr>
          <w:spacing w:val="-1"/>
        </w:rPr>
        <w:t>（</w:t>
      </w:r>
      <w:r>
        <w:rPr>
          <w:rFonts w:ascii="Times New Roman" w:hAnsi="Times New Roman" w:cs="Times New Roman" w:eastAsia="Times New Roman" w:hint="default"/>
          <w:spacing w:val="-1"/>
        </w:rPr>
        <w:t>2</w:t>
      </w:r>
      <w:r>
        <w:rPr>
          <w:spacing w:val="-1"/>
        </w:rPr>
        <w:t>）重要合营企业的主要财务信息</w:t>
      </w:r>
      <w:r>
        <w:rPr>
          <w:spacing w:val="-91"/>
        </w:rPr>
        <w:t> </w:t>
      </w:r>
      <w:r>
        <w:rPr>
          <w:spacing w:val="-91"/>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重要联营企业的主要财务信息" w:id="437"/>
      <w:bookmarkEnd w:id="437"/>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041"/>
        <w:gridCol w:w="1074"/>
        <w:gridCol w:w="1064"/>
        <w:gridCol w:w="1063"/>
        <w:gridCol w:w="1064"/>
        <w:gridCol w:w="1063"/>
        <w:gridCol w:w="1061"/>
        <w:gridCol w:w="1064"/>
        <w:gridCol w:w="1063"/>
      </w:tblGrid>
      <w:tr>
        <w:trPr>
          <w:trHeight w:val="403" w:hRule="exact"/>
        </w:trPr>
        <w:tc>
          <w:tcPr>
            <w:tcW w:w="104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26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97"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425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86"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161" w:hRule="exact"/>
        </w:trPr>
        <w:tc>
          <w:tcPr>
            <w:tcW w:w="1041" w:type="dxa"/>
            <w:vMerge w:val="restart"/>
            <w:tcBorders>
              <w:top w:val="single" w:sz="4" w:space="0" w:color="000000"/>
              <w:left w:val="single" w:sz="4" w:space="0" w:color="000000"/>
              <w:right w:val="single" w:sz="4" w:space="0" w:color="000000"/>
            </w:tcBorders>
            <w:shd w:val="clear" w:color="auto" w:fill="D2D2D2"/>
          </w:tcPr>
          <w:p>
            <w:pPr/>
          </w:p>
        </w:tc>
        <w:tc>
          <w:tcPr>
            <w:tcW w:w="107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76" w:right="75"/>
              <w:jc w:val="center"/>
              <w:rPr>
                <w:rFonts w:ascii="宋体" w:hAnsi="宋体" w:cs="宋体" w:eastAsia="宋体" w:hint="default"/>
                <w:sz w:val="18"/>
                <w:szCs w:val="18"/>
              </w:rPr>
            </w:pPr>
            <w:r>
              <w:rPr>
                <w:rFonts w:ascii="宋体" w:hAnsi="宋体" w:cs="宋体" w:eastAsia="宋体" w:hint="default"/>
                <w:sz w:val="18"/>
                <w:szCs w:val="18"/>
              </w:rPr>
              <w:t>上海达保贵 生信息科技 股份有限公 司</w:t>
            </w: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76" w:right="72"/>
              <w:jc w:val="center"/>
              <w:rPr>
                <w:rFonts w:ascii="宋体" w:hAnsi="宋体" w:cs="宋体" w:eastAsia="宋体" w:hint="default"/>
                <w:sz w:val="18"/>
                <w:szCs w:val="18"/>
              </w:rPr>
            </w:pPr>
            <w:r>
              <w:rPr>
                <w:rFonts w:ascii="宋体" w:hAnsi="宋体" w:cs="宋体" w:eastAsia="宋体" w:hint="default"/>
                <w:sz w:val="18"/>
                <w:szCs w:val="18"/>
              </w:rPr>
              <w:t>上海达保贵 生信息科技 股份有限公 司</w:t>
            </w: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12" w:hRule="exact"/>
        </w:trPr>
        <w:tc>
          <w:tcPr>
            <w:tcW w:w="1041" w:type="dxa"/>
            <w:vMerge/>
            <w:tcBorders>
              <w:left w:val="single" w:sz="4" w:space="0" w:color="000000"/>
              <w:bottom w:val="nil" w:sz="6" w:space="0" w:color="auto"/>
              <w:right w:val="single" w:sz="4" w:space="0" w:color="000000"/>
            </w:tcBorders>
            <w:shd w:val="clear" w:color="auto" w:fill="D2D2D2"/>
          </w:tcPr>
          <w:p>
            <w:pPr/>
          </w:p>
        </w:tc>
        <w:tc>
          <w:tcPr>
            <w:tcW w:w="107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87" w:right="74"/>
              <w:jc w:val="center"/>
              <w:rPr>
                <w:rFonts w:ascii="宋体" w:hAnsi="宋体" w:cs="宋体" w:eastAsia="宋体" w:hint="default"/>
                <w:sz w:val="18"/>
                <w:szCs w:val="18"/>
              </w:rPr>
            </w:pPr>
            <w:r>
              <w:rPr>
                <w:rFonts w:ascii="宋体" w:hAnsi="宋体" w:cs="宋体" w:eastAsia="宋体" w:hint="default"/>
                <w:sz w:val="18"/>
                <w:szCs w:val="18"/>
              </w:rPr>
              <w:t>上海浦江科 技投资有限 公司</w:t>
            </w:r>
          </w:p>
        </w:tc>
        <w:tc>
          <w:tcPr>
            <w:tcW w:w="1064" w:type="dxa"/>
            <w:vMerge/>
            <w:tcBorders>
              <w:left w:val="single" w:sz="4" w:space="0" w:color="000000"/>
              <w:right w:val="single" w:sz="4" w:space="0" w:color="000000"/>
            </w:tcBorders>
            <w:shd w:val="clear" w:color="auto" w:fill="D2D2D2"/>
          </w:tcPr>
          <w:p>
            <w:pP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4"/>
              <w:jc w:val="both"/>
              <w:rPr>
                <w:rFonts w:ascii="宋体" w:hAnsi="宋体" w:cs="宋体" w:eastAsia="宋体" w:hint="default"/>
                <w:sz w:val="18"/>
                <w:szCs w:val="18"/>
              </w:rPr>
            </w:pPr>
            <w:r>
              <w:rPr>
                <w:rFonts w:ascii="宋体" w:hAnsi="宋体" w:cs="宋体" w:eastAsia="宋体" w:hint="default"/>
                <w:sz w:val="18"/>
                <w:szCs w:val="18"/>
              </w:rPr>
              <w:t>上海全程玖 玖健康服务 有限公司</w:t>
            </w:r>
          </w:p>
        </w:tc>
        <w:tc>
          <w:tcPr>
            <w:tcW w:w="106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5"/>
              <w:jc w:val="center"/>
              <w:rPr>
                <w:rFonts w:ascii="宋体" w:hAnsi="宋体" w:cs="宋体" w:eastAsia="宋体" w:hint="default"/>
                <w:sz w:val="18"/>
                <w:szCs w:val="18"/>
              </w:rPr>
            </w:pPr>
            <w:r>
              <w:rPr>
                <w:rFonts w:ascii="宋体" w:hAnsi="宋体" w:cs="宋体" w:eastAsia="宋体" w:hint="default"/>
                <w:sz w:val="18"/>
                <w:szCs w:val="18"/>
              </w:rPr>
              <w:t>上海昕鼎网 络科技有限 公司</w:t>
            </w: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上海浦江科 技投资有限 公司</w:t>
            </w:r>
          </w:p>
        </w:tc>
        <w:tc>
          <w:tcPr>
            <w:tcW w:w="1061" w:type="dxa"/>
            <w:vMerge/>
            <w:tcBorders>
              <w:left w:val="single" w:sz="4" w:space="0" w:color="000000"/>
              <w:right w:val="single" w:sz="4" w:space="0" w:color="000000"/>
            </w:tcBorders>
            <w:shd w:val="clear" w:color="auto" w:fill="D2D2D2"/>
          </w:tcPr>
          <w:p>
            <w:pPr/>
          </w:p>
        </w:tc>
        <w:tc>
          <w:tcPr>
            <w:tcW w:w="106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9" w:right="74"/>
              <w:jc w:val="both"/>
              <w:rPr>
                <w:rFonts w:ascii="宋体" w:hAnsi="宋体" w:cs="宋体" w:eastAsia="宋体" w:hint="default"/>
                <w:sz w:val="18"/>
                <w:szCs w:val="18"/>
              </w:rPr>
            </w:pPr>
            <w:r>
              <w:rPr>
                <w:rFonts w:ascii="宋体" w:hAnsi="宋体" w:cs="宋体" w:eastAsia="宋体" w:hint="default"/>
                <w:sz w:val="18"/>
                <w:szCs w:val="18"/>
              </w:rPr>
              <w:t>上海全程玖 玖健康服务 有限公司</w:t>
            </w: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上海昕鼎网 络科技有限 公司</w:t>
            </w:r>
          </w:p>
        </w:tc>
      </w:tr>
      <w:tr>
        <w:trPr>
          <w:trHeight w:val="391" w:hRule="exact"/>
        </w:trPr>
        <w:tc>
          <w:tcPr>
            <w:tcW w:w="1041" w:type="dxa"/>
            <w:tcBorders>
              <w:top w:val="nil" w:sz="6" w:space="0" w:color="auto"/>
              <w:left w:val="single" w:sz="4" w:space="0" w:color="000000"/>
              <w:bottom w:val="nil" w:sz="6" w:space="0" w:color="auto"/>
              <w:right w:val="single" w:sz="4" w:space="0" w:color="000000"/>
            </w:tcBorders>
            <w:shd w:val="clear" w:color="auto" w:fill="D2D2D2"/>
          </w:tcPr>
          <w:p>
            <w:pPr/>
          </w:p>
        </w:tc>
        <w:tc>
          <w:tcPr>
            <w:tcW w:w="1074" w:type="dxa"/>
            <w:vMerge/>
            <w:tcBorders>
              <w:left w:val="single" w:sz="4" w:space="0" w:color="000000"/>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r>
      <w:tr>
        <w:trPr>
          <w:trHeight w:val="312" w:hRule="exact"/>
        </w:trPr>
        <w:tc>
          <w:tcPr>
            <w:tcW w:w="1041" w:type="dxa"/>
            <w:vMerge w:val="restart"/>
            <w:tcBorders>
              <w:top w:val="nil" w:sz="6" w:space="0" w:color="auto"/>
              <w:left w:val="single" w:sz="4" w:space="0" w:color="000000"/>
              <w:right w:val="single" w:sz="4" w:space="0" w:color="000000"/>
            </w:tcBorders>
            <w:shd w:val="clear" w:color="auto" w:fill="D2D2D2"/>
          </w:tcPr>
          <w:p>
            <w:pPr/>
          </w:p>
        </w:tc>
        <w:tc>
          <w:tcPr>
            <w:tcW w:w="1074"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1064"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041" w:type="dxa"/>
            <w:vMerge/>
            <w:tcBorders>
              <w:left w:val="single" w:sz="4" w:space="0" w:color="000000"/>
              <w:bottom w:val="single" w:sz="4" w:space="0" w:color="000000"/>
              <w:right w:val="single" w:sz="4" w:space="0" w:color="000000"/>
            </w:tcBorders>
            <w:shd w:val="clear" w:color="auto" w:fill="D2D2D2"/>
          </w:tcPr>
          <w:p>
            <w:pPr/>
          </w:p>
        </w:tc>
        <w:tc>
          <w:tcPr>
            <w:tcW w:w="107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3" w:hRule="exact"/>
        </w:trPr>
        <w:tc>
          <w:tcPr>
            <w:tcW w:w="1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4" w:type="dxa"/>
            <w:vMerge w:val="restart"/>
            <w:tcBorders>
              <w:top w:val="single" w:sz="4" w:space="0" w:color="000000"/>
              <w:left w:val="single" w:sz="9"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3,301,909.74</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32,560,076.5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2</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33,412,220.9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7</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20,551,720.8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3,239,952.21</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33,438,439.6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1</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43,989,432.2</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32,234,535.7</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r>
      <w:tr>
        <w:trPr>
          <w:trHeight w:val="391" w:hRule="exact"/>
        </w:trPr>
        <w:tc>
          <w:tcPr>
            <w:tcW w:w="1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74"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4"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161" w:hRule="exact"/>
        </w:trPr>
        <w:tc>
          <w:tcPr>
            <w:tcW w:w="1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46,708,709.6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251,108.05</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27,539,130.1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45,370,395.6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40,244,401.4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7" w:right="0"/>
              <w:jc w:val="left"/>
              <w:rPr>
                <w:rFonts w:ascii="Times New Roman" w:hAnsi="Times New Roman" w:cs="Times New Roman" w:eastAsia="Times New Roman" w:hint="default"/>
                <w:sz w:val="18"/>
                <w:szCs w:val="18"/>
              </w:rPr>
            </w:pPr>
            <w:r>
              <w:rPr>
                <w:rFonts w:ascii="Times New Roman"/>
                <w:sz w:val="18"/>
              </w:rPr>
              <w:t>247,116.37</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9,148,748.67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14,593,406.8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r>
      <w:tr>
        <w:trPr>
          <w:trHeight w:val="391" w:hRule="exact"/>
        </w:trPr>
        <w:tc>
          <w:tcPr>
            <w:tcW w:w="1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74"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4"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163" w:hRule="exact"/>
        </w:trPr>
        <w:tc>
          <w:tcPr>
            <w:tcW w:w="1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4" w:type="dxa"/>
            <w:vMerge w:val="restart"/>
            <w:tcBorders>
              <w:top w:val="single" w:sz="4" w:space="0" w:color="000000"/>
              <w:left w:val="single" w:sz="9" w:space="0" w:color="D2D2D2"/>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50,010,619.3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7</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32,811,184.5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60,951,351.1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65,922,116.4</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43,484,353.6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33,685,555.9</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8</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53,138,180.8</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7</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46,827,942.5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w:t>
            </w:r>
          </w:p>
        </w:tc>
      </w:tr>
      <w:tr>
        <w:trPr>
          <w:trHeight w:val="391" w:hRule="exact"/>
        </w:trPr>
        <w:tc>
          <w:tcPr>
            <w:tcW w:w="1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1074"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4"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161" w:hRule="exact"/>
        </w:trPr>
        <w:tc>
          <w:tcPr>
            <w:tcW w:w="1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4" w:type="dxa"/>
            <w:vMerge w:val="restart"/>
            <w:tcBorders>
              <w:top w:val="single" w:sz="4" w:space="0" w:color="000000"/>
              <w:left w:val="single" w:sz="9" w:space="0" w:color="D2D2D2"/>
              <w:right w:val="single" w:sz="4" w:space="0" w:color="000000"/>
            </w:tcBorders>
          </w:tcPr>
          <w:p>
            <w:pP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20,243,776.4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7,980,692.05</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9,094,214.39</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0" w:right="0"/>
              <w:jc w:val="left"/>
              <w:rPr>
                <w:rFonts w:ascii="Times New Roman" w:hAnsi="Times New Roman" w:cs="Times New Roman" w:eastAsia="Times New Roman" w:hint="default"/>
                <w:sz w:val="18"/>
                <w:szCs w:val="18"/>
              </w:rPr>
            </w:pPr>
            <w:r>
              <w:rPr>
                <w:rFonts w:ascii="Times New Roman"/>
                <w:sz w:val="18"/>
              </w:rPr>
              <w:t>8,623.67</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20,653,271.3</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30,930,749.9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2,716,270.30</w:t>
            </w:r>
          </w:p>
        </w:tc>
      </w:tr>
      <w:tr>
        <w:trPr>
          <w:trHeight w:val="391" w:hRule="exact"/>
        </w:trPr>
        <w:tc>
          <w:tcPr>
            <w:tcW w:w="1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74"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4"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403" w:hRule="exact"/>
        </w:trPr>
        <w:tc>
          <w:tcPr>
            <w:tcW w:w="1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74" w:type="dxa"/>
            <w:tcBorders>
              <w:top w:val="single" w:sz="4" w:space="0" w:color="000000"/>
              <w:left w:val="single" w:sz="12" w:space="0" w:color="D2D2D2"/>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0" w:right="0"/>
              <w:jc w:val="left"/>
              <w:rPr>
                <w:rFonts w:ascii="Times New Roman" w:hAnsi="Times New Roman" w:cs="Times New Roman" w:eastAsia="Times New Roman" w:hint="default"/>
                <w:sz w:val="18"/>
                <w:szCs w:val="18"/>
              </w:rPr>
            </w:pPr>
            <w:r>
              <w:rPr>
                <w:rFonts w:ascii="Times New Roman"/>
                <w:sz w:val="18"/>
              </w:rPr>
              <w:t>895,000.00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3" w:right="0"/>
              <w:jc w:val="left"/>
              <w:rPr>
                <w:rFonts w:ascii="Times New Roman" w:hAnsi="Times New Roman" w:cs="Times New Roman" w:eastAsia="Times New Roman" w:hint="default"/>
                <w:sz w:val="18"/>
                <w:szCs w:val="18"/>
              </w:rPr>
            </w:pPr>
            <w:r>
              <w:rPr>
                <w:rFonts w:ascii="Times New Roman"/>
                <w:sz w:val="18"/>
              </w:rPr>
              <w:t>720,000.00</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4" w:type="dxa"/>
            <w:vMerge w:val="restart"/>
            <w:tcBorders>
              <w:top w:val="single" w:sz="4" w:space="0" w:color="000000"/>
              <w:left w:val="single" w:sz="9" w:space="0" w:color="D2D2D2"/>
              <w:right w:val="single" w:sz="4" w:space="0" w:color="000000"/>
            </w:tcBorders>
          </w:tcPr>
          <w:p>
            <w:pP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20,243,776.4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8,875,692.05</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9,094,214.39</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0" w:right="0"/>
              <w:jc w:val="left"/>
              <w:rPr>
                <w:rFonts w:ascii="Times New Roman" w:hAnsi="Times New Roman" w:cs="Times New Roman" w:eastAsia="Times New Roman" w:hint="default"/>
                <w:sz w:val="18"/>
                <w:szCs w:val="18"/>
              </w:rPr>
            </w:pPr>
            <w:r>
              <w:rPr>
                <w:rFonts w:ascii="Times New Roman"/>
                <w:sz w:val="18"/>
              </w:rPr>
              <w:t>8,623.67</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20,653,271.3</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31,650,749.9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2,716,270.30</w:t>
            </w:r>
          </w:p>
        </w:tc>
      </w:tr>
      <w:tr>
        <w:trPr>
          <w:trHeight w:val="391" w:hRule="exact"/>
        </w:trPr>
        <w:tc>
          <w:tcPr>
            <w:tcW w:w="1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074"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3" w:hRule="exact"/>
        </w:trPr>
        <w:tc>
          <w:tcPr>
            <w:tcW w:w="1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4"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bl>
    <w:p>
      <w:pPr>
        <w:spacing w:after="0"/>
        <w:sectPr>
          <w:footerReference w:type="default" r:id="rId37"/>
          <w:pgSz w:w="11910" w:h="16840"/>
          <w:pgMar w:footer="980" w:header="745" w:top="1060" w:bottom="1160" w:left="980" w:right="0"/>
          <w:pgNumType w:start="201"/>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052"/>
        <w:gridCol w:w="1063"/>
        <w:gridCol w:w="1064"/>
        <w:gridCol w:w="1063"/>
        <w:gridCol w:w="1064"/>
        <w:gridCol w:w="1063"/>
        <w:gridCol w:w="1061"/>
        <w:gridCol w:w="1064"/>
        <w:gridCol w:w="1063"/>
      </w:tblGrid>
      <w:tr>
        <w:trPr>
          <w:trHeight w:val="402" w:hRule="exact"/>
        </w:trPr>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2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8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425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86"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162" w:hRule="exact"/>
        </w:trPr>
        <w:tc>
          <w:tcPr>
            <w:tcW w:w="1052" w:type="dxa"/>
            <w:vMerge w:val="restart"/>
            <w:tcBorders>
              <w:top w:val="single" w:sz="4" w:space="0" w:color="000000"/>
              <w:left w:val="single" w:sz="4" w:space="0" w:color="000000"/>
              <w:right w:val="single" w:sz="4" w:space="0" w:color="000000"/>
            </w:tcBorders>
            <w:shd w:val="clear" w:color="auto" w:fill="D2D2D2"/>
          </w:tcPr>
          <w:p>
            <w:pP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76" w:right="75"/>
              <w:jc w:val="center"/>
              <w:rPr>
                <w:rFonts w:ascii="宋体" w:hAnsi="宋体" w:cs="宋体" w:eastAsia="宋体" w:hint="default"/>
                <w:sz w:val="18"/>
                <w:szCs w:val="18"/>
              </w:rPr>
            </w:pPr>
            <w:r>
              <w:rPr>
                <w:rFonts w:ascii="宋体" w:hAnsi="宋体" w:cs="宋体" w:eastAsia="宋体" w:hint="default"/>
                <w:sz w:val="18"/>
                <w:szCs w:val="18"/>
              </w:rPr>
              <w:t>上海达保贵 生信息科技 股份有限公 司</w:t>
            </w: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76" w:right="72"/>
              <w:jc w:val="center"/>
              <w:rPr>
                <w:rFonts w:ascii="宋体" w:hAnsi="宋体" w:cs="宋体" w:eastAsia="宋体" w:hint="default"/>
                <w:sz w:val="18"/>
                <w:szCs w:val="18"/>
              </w:rPr>
            </w:pPr>
            <w:r>
              <w:rPr>
                <w:rFonts w:ascii="宋体" w:hAnsi="宋体" w:cs="宋体" w:eastAsia="宋体" w:hint="default"/>
                <w:sz w:val="18"/>
                <w:szCs w:val="18"/>
              </w:rPr>
              <w:t>上海达保贵 生信息科技 股份有限公 司</w:t>
            </w: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12" w:hRule="exact"/>
        </w:trPr>
        <w:tc>
          <w:tcPr>
            <w:tcW w:w="1052" w:type="dxa"/>
            <w:vMerge/>
            <w:tcBorders>
              <w:left w:val="single" w:sz="4" w:space="0" w:color="000000"/>
              <w:bottom w:val="nil" w:sz="6" w:space="0" w:color="auto"/>
              <w:right w:val="single" w:sz="4" w:space="0" w:color="000000"/>
            </w:tcBorders>
            <w:shd w:val="clear" w:color="auto" w:fill="D2D2D2"/>
          </w:tcPr>
          <w:p>
            <w:pP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上海浦江科 技投资有限 公司</w:t>
            </w:r>
          </w:p>
        </w:tc>
        <w:tc>
          <w:tcPr>
            <w:tcW w:w="1064" w:type="dxa"/>
            <w:vMerge/>
            <w:tcBorders>
              <w:left w:val="single" w:sz="4" w:space="0" w:color="000000"/>
              <w:right w:val="single" w:sz="4" w:space="0" w:color="000000"/>
            </w:tcBorders>
            <w:shd w:val="clear" w:color="auto" w:fill="D2D2D2"/>
          </w:tcPr>
          <w:p>
            <w:pP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4"/>
              <w:jc w:val="both"/>
              <w:rPr>
                <w:rFonts w:ascii="宋体" w:hAnsi="宋体" w:cs="宋体" w:eastAsia="宋体" w:hint="default"/>
                <w:sz w:val="18"/>
                <w:szCs w:val="18"/>
              </w:rPr>
            </w:pPr>
            <w:r>
              <w:rPr>
                <w:rFonts w:ascii="宋体" w:hAnsi="宋体" w:cs="宋体" w:eastAsia="宋体" w:hint="default"/>
                <w:sz w:val="18"/>
                <w:szCs w:val="18"/>
              </w:rPr>
              <w:t>上海全程玖 玖健康服务 有限公司</w:t>
            </w:r>
          </w:p>
        </w:tc>
        <w:tc>
          <w:tcPr>
            <w:tcW w:w="106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5"/>
              <w:jc w:val="center"/>
              <w:rPr>
                <w:rFonts w:ascii="宋体" w:hAnsi="宋体" w:cs="宋体" w:eastAsia="宋体" w:hint="default"/>
                <w:sz w:val="18"/>
                <w:szCs w:val="18"/>
              </w:rPr>
            </w:pPr>
            <w:r>
              <w:rPr>
                <w:rFonts w:ascii="宋体" w:hAnsi="宋体" w:cs="宋体" w:eastAsia="宋体" w:hint="default"/>
                <w:sz w:val="18"/>
                <w:szCs w:val="18"/>
              </w:rPr>
              <w:t>上海昕鼎网 络科技有限 公司</w:t>
            </w: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上海浦江科 技投资有限 公司</w:t>
            </w:r>
          </w:p>
        </w:tc>
        <w:tc>
          <w:tcPr>
            <w:tcW w:w="1061" w:type="dxa"/>
            <w:vMerge/>
            <w:tcBorders>
              <w:left w:val="single" w:sz="4" w:space="0" w:color="000000"/>
              <w:right w:val="single" w:sz="4" w:space="0" w:color="000000"/>
            </w:tcBorders>
            <w:shd w:val="clear" w:color="auto" w:fill="D2D2D2"/>
          </w:tcPr>
          <w:p>
            <w:pPr/>
          </w:p>
        </w:tc>
        <w:tc>
          <w:tcPr>
            <w:tcW w:w="106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9" w:right="74"/>
              <w:jc w:val="both"/>
              <w:rPr>
                <w:rFonts w:ascii="宋体" w:hAnsi="宋体" w:cs="宋体" w:eastAsia="宋体" w:hint="default"/>
                <w:sz w:val="18"/>
                <w:szCs w:val="18"/>
              </w:rPr>
            </w:pPr>
            <w:r>
              <w:rPr>
                <w:rFonts w:ascii="宋体" w:hAnsi="宋体" w:cs="宋体" w:eastAsia="宋体" w:hint="default"/>
                <w:sz w:val="18"/>
                <w:szCs w:val="18"/>
              </w:rPr>
              <w:t>上海全程玖 玖健康服务 有限公司</w:t>
            </w: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上海昕鼎网 络科技有限 公司</w:t>
            </w:r>
          </w:p>
        </w:tc>
      </w:tr>
      <w:tr>
        <w:trPr>
          <w:trHeight w:val="391" w:hRule="exact"/>
        </w:trPr>
        <w:tc>
          <w:tcPr>
            <w:tcW w:w="1052" w:type="dxa"/>
            <w:tcBorders>
              <w:top w:val="nil" w:sz="6" w:space="0" w:color="auto"/>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r>
      <w:tr>
        <w:trPr>
          <w:trHeight w:val="312" w:hRule="exact"/>
        </w:trPr>
        <w:tc>
          <w:tcPr>
            <w:tcW w:w="1052" w:type="dxa"/>
            <w:vMerge w:val="restart"/>
            <w:tcBorders>
              <w:top w:val="nil" w:sz="6" w:space="0" w:color="auto"/>
              <w:left w:val="single" w:sz="4" w:space="0" w:color="000000"/>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1064"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052" w:type="dxa"/>
            <w:vMerge/>
            <w:tcBorders>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3" w:hRule="exact"/>
        </w:trPr>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29"/>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063" w:type="dxa"/>
            <w:tcBorders>
              <w:top w:val="single" w:sz="4" w:space="0" w:color="000000"/>
              <w:left w:val="single" w:sz="12" w:space="0" w:color="D2D2D2"/>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-119,192.92</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29"/>
              <w:jc w:val="left"/>
              <w:rPr>
                <w:rFonts w:ascii="宋体" w:hAnsi="宋体" w:cs="宋体" w:eastAsia="宋体" w:hint="default"/>
                <w:sz w:val="18"/>
                <w:szCs w:val="18"/>
              </w:rPr>
            </w:pPr>
            <w:r>
              <w:rPr>
                <w:rFonts w:ascii="宋体" w:hAnsi="宋体" w:cs="宋体" w:eastAsia="宋体" w:hint="default"/>
                <w:sz w:val="18"/>
                <w:szCs w:val="18"/>
              </w:rPr>
              <w:t>归属于母公 司股东权益</w:t>
            </w:r>
          </w:p>
        </w:tc>
        <w:tc>
          <w:tcPr>
            <w:tcW w:w="106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50,010,619.3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12,567,408.1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52,194,852.0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56,827,902.0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43,475,729.9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13,032,284.6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21,487,430.9</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44,111,672.2</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w:t>
            </w:r>
          </w:p>
        </w:tc>
      </w:tr>
      <w:tr>
        <w:trPr>
          <w:trHeight w:val="1025" w:hRule="exact"/>
        </w:trPr>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29"/>
              <w:jc w:val="both"/>
              <w:rPr>
                <w:rFonts w:ascii="宋体" w:hAnsi="宋体" w:cs="宋体" w:eastAsia="宋体" w:hint="default"/>
                <w:sz w:val="18"/>
                <w:szCs w:val="18"/>
              </w:rPr>
            </w:pPr>
            <w:r>
              <w:rPr>
                <w:rFonts w:ascii="宋体" w:hAnsi="宋体" w:cs="宋体" w:eastAsia="宋体" w:hint="default"/>
                <w:sz w:val="18"/>
                <w:szCs w:val="18"/>
              </w:rPr>
              <w:t>按持股比例 计算的净资 产份额</w:t>
            </w:r>
          </w:p>
        </w:tc>
        <w:tc>
          <w:tcPr>
            <w:tcW w:w="106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12,967,753.6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5,026,963.26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11,482,867.4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19,452,190.8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11,273,256.7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5,212,913.85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10,410,934.8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15,099,425.4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r>
      <w:tr>
        <w:trPr>
          <w:trHeight w:val="1027" w:hRule="exact"/>
        </w:trPr>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 w:right="129"/>
              <w:jc w:val="both"/>
              <w:rPr>
                <w:rFonts w:ascii="宋体" w:hAnsi="宋体" w:cs="宋体" w:eastAsia="宋体" w:hint="default"/>
                <w:sz w:val="18"/>
                <w:szCs w:val="18"/>
              </w:rPr>
            </w:pPr>
            <w:r>
              <w:rPr>
                <w:rFonts w:ascii="宋体" w:hAnsi="宋体" w:cs="宋体" w:eastAsia="宋体" w:hint="default"/>
                <w:sz w:val="18"/>
                <w:szCs w:val="18"/>
              </w:rPr>
              <w:t>对联营企业 权益投资的 账面价值</w:t>
            </w:r>
          </w:p>
        </w:tc>
        <w:tc>
          <w:tcPr>
            <w:tcW w:w="106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13,293,115.7</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8,146,963.27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27,179,399.3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36,938,694.1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12,237,272.5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8,332,913.85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26,107,466.6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35,375,673.6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w:t>
            </w:r>
          </w:p>
        </w:tc>
      </w:tr>
      <w:tr>
        <w:trPr>
          <w:trHeight w:val="161" w:hRule="exact"/>
        </w:trPr>
        <w:tc>
          <w:tcPr>
            <w:tcW w:w="1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vMerge w:val="restart"/>
            <w:tcBorders>
              <w:top w:val="single" w:sz="4" w:space="0" w:color="000000"/>
              <w:left w:val="single" w:sz="9" w:space="0" w:color="D2D2D2"/>
              <w:right w:val="single" w:sz="4" w:space="0" w:color="000000"/>
            </w:tcBorders>
          </w:tcPr>
          <w:p>
            <w:pP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38,631,263.7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101,192,227.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37</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27,913,106.2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3" w:type="dxa"/>
            <w:vMerge w:val="restart"/>
            <w:tcBorders>
              <w:top w:val="single" w:sz="4" w:space="0" w:color="000000"/>
              <w:left w:val="single" w:sz="4" w:space="0" w:color="000000"/>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33,050,886.4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48,460,093.0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25,412,889.9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r>
      <w:tr>
        <w:trPr>
          <w:trHeight w:val="391" w:hRule="exact"/>
        </w:trPr>
        <w:tc>
          <w:tcPr>
            <w:tcW w:w="10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163" w:hRule="exact"/>
        </w:trPr>
        <w:tc>
          <w:tcPr>
            <w:tcW w:w="1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vMerge w:val="restart"/>
            <w:tcBorders>
              <w:top w:val="single" w:sz="4" w:space="0" w:color="000000"/>
              <w:left w:val="single" w:sz="9"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4,071,898.22</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60" w:right="0"/>
              <w:jc w:val="left"/>
              <w:rPr>
                <w:rFonts w:ascii="Times New Roman" w:hAnsi="Times New Roman" w:cs="Times New Roman" w:eastAsia="Times New Roman" w:hint="default"/>
                <w:sz w:val="18"/>
                <w:szCs w:val="18"/>
              </w:rPr>
            </w:pPr>
            <w:r>
              <w:rPr>
                <w:rFonts w:ascii="Times New Roman"/>
                <w:sz w:val="18"/>
              </w:rPr>
              <w:t>-464,876.48</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4,753,228.13</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4,566,229.82</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2,328,768.11</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-4,972,630.12</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-24,334,491.6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5</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8,223,873.70</w:t>
            </w:r>
          </w:p>
        </w:tc>
      </w:tr>
      <w:tr>
        <w:trPr>
          <w:trHeight w:val="391" w:hRule="exact"/>
        </w:trPr>
        <w:tc>
          <w:tcPr>
            <w:tcW w:w="10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r>
      <w:tr>
        <w:trPr>
          <w:trHeight w:val="161" w:hRule="exact"/>
        </w:trPr>
        <w:tc>
          <w:tcPr>
            <w:tcW w:w="1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r>
      <w:tr>
        <w:trPr>
          <w:trHeight w:val="715" w:hRule="exact"/>
        </w:trPr>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29"/>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4,071,898.22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-464,876.48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4,753,228.13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4,566,229.82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2,328,768.11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-4,972,630.12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-24,334,491.6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8,223,873.70</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4）不重要的合营企业和联营企业的汇总财务信息" w:id="438"/>
      <w:bookmarkEnd w:id="438"/>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2"/>
        <w:gridCol w:w="3083"/>
        <w:gridCol w:w="3173"/>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9"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2"/>
              <w:jc w:val="center"/>
              <w:rPr>
                <w:rFonts w:ascii="Times New Roman" w:hAnsi="Times New Roman" w:cs="Times New Roman" w:eastAsia="Times New Roman" w:hint="default"/>
                <w:sz w:val="18"/>
                <w:szCs w:val="18"/>
              </w:rPr>
            </w:pPr>
            <w:r>
              <w:rPr>
                <w:rFonts w:ascii="Times New Roman"/>
                <w:sz w:val="18"/>
              </w:rPr>
              <w:t>--</w:t>
            </w:r>
          </w:p>
        </w:tc>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7"/>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
              <w:jc w:val="center"/>
              <w:rPr>
                <w:rFonts w:ascii="Times New Roman" w:hAnsi="Times New Roman" w:cs="Times New Roman" w:eastAsia="Times New Roman" w:hint="default"/>
                <w:sz w:val="18"/>
                <w:szCs w:val="18"/>
              </w:rPr>
            </w:pPr>
            <w:r>
              <w:rPr>
                <w:rFonts w:ascii="Times New Roman"/>
                <w:sz w:val="18"/>
              </w:rPr>
              <w:t>--</w:t>
            </w:r>
          </w:p>
        </w:tc>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7"/>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2"/>
              <w:jc w:val="center"/>
              <w:rPr>
                <w:rFonts w:ascii="Times New Roman" w:hAnsi="Times New Roman" w:cs="Times New Roman" w:eastAsia="Times New Roman" w:hint="default"/>
                <w:sz w:val="18"/>
                <w:szCs w:val="18"/>
              </w:rPr>
            </w:pPr>
            <w:r>
              <w:rPr>
                <w:rFonts w:ascii="Times New Roman"/>
                <w:sz w:val="18"/>
              </w:rPr>
              <w:t>--</w:t>
            </w:r>
          </w:p>
        </w:tc>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7"/>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8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34"/>
              <w:jc w:val="right"/>
              <w:rPr>
                <w:rFonts w:ascii="Times New Roman" w:hAnsi="Times New Roman" w:cs="Times New Roman" w:eastAsia="Times New Roman" w:hint="default"/>
                <w:sz w:val="18"/>
                <w:szCs w:val="18"/>
              </w:rPr>
            </w:pPr>
            <w:r>
              <w:rPr>
                <w:rFonts w:ascii="Times New Roman"/>
                <w:spacing w:val="-1"/>
                <w:sz w:val="18"/>
              </w:rPr>
              <w:t>13,122,916.43</w:t>
            </w:r>
          </w:p>
        </w:tc>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9,127,403.74</w:t>
            </w:r>
          </w:p>
        </w:tc>
      </w:tr>
      <w:tr>
        <w:trPr>
          <w:trHeight w:val="40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2"/>
              <w:jc w:val="center"/>
              <w:rPr>
                <w:rFonts w:ascii="Times New Roman" w:hAnsi="Times New Roman" w:cs="Times New Roman" w:eastAsia="Times New Roman" w:hint="default"/>
                <w:sz w:val="18"/>
                <w:szCs w:val="18"/>
              </w:rPr>
            </w:pPr>
            <w:r>
              <w:rPr>
                <w:rFonts w:ascii="Times New Roman"/>
                <w:sz w:val="18"/>
              </w:rPr>
              <w:t>--</w:t>
            </w:r>
          </w:p>
        </w:tc>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7"/>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8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34"/>
              <w:jc w:val="right"/>
              <w:rPr>
                <w:rFonts w:ascii="Times New Roman" w:hAnsi="Times New Roman" w:cs="Times New Roman" w:eastAsia="Times New Roman" w:hint="default"/>
                <w:sz w:val="18"/>
                <w:szCs w:val="18"/>
              </w:rPr>
            </w:pPr>
            <w:r>
              <w:rPr>
                <w:rFonts w:ascii="Times New Roman"/>
                <w:spacing w:val="-1"/>
                <w:sz w:val="18"/>
              </w:rPr>
              <w:t>-3,656,737.31</w:t>
            </w:r>
          </w:p>
        </w:tc>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-2,036,571.73</w:t>
            </w:r>
          </w:p>
        </w:tc>
      </w:tr>
    </w:tbl>
    <w:p>
      <w:pPr>
        <w:spacing w:line="240" w:lineRule="auto" w:before="3"/>
        <w:rPr>
          <w:rFonts w:ascii="宋体" w:hAnsi="宋体" w:cs="宋体" w:eastAsia="宋体" w:hint="default"/>
          <w:sz w:val="19"/>
          <w:szCs w:val="19"/>
        </w:rPr>
      </w:pPr>
    </w:p>
    <w:p>
      <w:pPr>
        <w:pStyle w:val="Heading3"/>
        <w:spacing w:line="506" w:lineRule="auto" w:before="36"/>
        <w:ind w:left="573" w:right="3975" w:hanging="421"/>
        <w:jc w:val="left"/>
        <w:rPr>
          <w:rFonts w:ascii="宋体" w:hAnsi="宋体" w:cs="宋体" w:eastAsia="宋体" w:hint="default"/>
          <w:b w:val="0"/>
          <w:bCs w:val="0"/>
        </w:rPr>
      </w:pPr>
      <w:bookmarkStart w:name="（5）合营企业或联营企业向本公司转移资金的能力存在重大限制的说明" w:id="439"/>
      <w:bookmarkEnd w:id="439"/>
      <w:r>
        <w:rPr>
          <w:b w:val="0"/>
          <w:bCs w:val="0"/>
        </w:rPr>
      </w:r>
      <w:r>
        <w:rPr>
          <w:spacing w:val="-1"/>
        </w:rPr>
        <w:t>（</w:t>
      </w:r>
      <w:r>
        <w:rPr>
          <w:rFonts w:ascii="Times New Roman" w:hAnsi="Times New Roman" w:cs="Times New Roman" w:eastAsia="Times New Roman" w:hint="default"/>
          <w:spacing w:val="-1"/>
        </w:rPr>
        <w:t>5</w:t>
      </w:r>
      <w:r>
        <w:rPr>
          <w:spacing w:val="-1"/>
        </w:rPr>
        <w:t>）合营企业或联营企业向本公司转移资金的能力存在重大限制的说明</w:t>
      </w:r>
      <w:r>
        <w:rPr>
          <w:spacing w:val="-75"/>
        </w:rPr>
        <w:t> </w:t>
      </w:r>
      <w:r>
        <w:rPr>
          <w:spacing w:val="-75"/>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6）合营企业或联营企业发生的超额亏损" w:id="440"/>
      <w:bookmarkEnd w:id="440"/>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0"/>
        <w:gridCol w:w="2393"/>
        <w:gridCol w:w="2391"/>
        <w:gridCol w:w="2396"/>
      </w:tblGrid>
      <w:tr>
        <w:trPr>
          <w:trHeight w:val="75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99"/>
              <w:jc w:val="righ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累积未确认前期累计的损失</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本期未确认的损失</w:t>
            </w:r>
          </w:p>
          <w:p>
            <w:pPr>
              <w:pStyle w:val="TableParagraph"/>
              <w:spacing w:line="240" w:lineRule="auto" w:before="115"/>
              <w:ind w:left="1" w:right="0"/>
              <w:jc w:val="center"/>
              <w:rPr>
                <w:rFonts w:ascii="宋体" w:hAnsi="宋体" w:cs="宋体" w:eastAsia="宋体" w:hint="default"/>
                <w:sz w:val="18"/>
                <w:szCs w:val="18"/>
              </w:rPr>
            </w:pPr>
            <w:r>
              <w:rPr>
                <w:rFonts w:ascii="宋体" w:hAnsi="宋体" w:cs="宋体" w:eastAsia="宋体" w:hint="default"/>
                <w:sz w:val="18"/>
                <w:szCs w:val="18"/>
              </w:rPr>
              <w:t>（或本期分享的净利润）</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5"/>
              <w:jc w:val="right"/>
              <w:rPr>
                <w:rFonts w:ascii="宋体" w:hAnsi="宋体" w:cs="宋体" w:eastAsia="宋体" w:hint="default"/>
                <w:sz w:val="18"/>
                <w:szCs w:val="18"/>
              </w:rPr>
            </w:pPr>
            <w:r>
              <w:rPr>
                <w:rFonts w:ascii="宋体" w:hAnsi="宋体" w:cs="宋体" w:eastAsia="宋体" w:hint="default"/>
                <w:sz w:val="18"/>
                <w:szCs w:val="18"/>
              </w:rPr>
              <w:t>上海久事智慧体育有限公司</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3" w:right="0"/>
              <w:jc w:val="left"/>
              <w:rPr>
                <w:rFonts w:ascii="Times New Roman" w:hAnsi="Times New Roman" w:cs="Times New Roman" w:eastAsia="Times New Roman" w:hint="default"/>
                <w:sz w:val="18"/>
                <w:szCs w:val="18"/>
              </w:rPr>
            </w:pPr>
            <w:r>
              <w:rPr>
                <w:rFonts w:ascii="Times New Roman"/>
                <w:sz w:val="18"/>
              </w:rPr>
              <w:t>1,668,847.08</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6" w:right="0"/>
              <w:jc w:val="left"/>
              <w:rPr>
                <w:rFonts w:ascii="Times New Roman" w:hAnsi="Times New Roman" w:cs="Times New Roman" w:eastAsia="Times New Roman" w:hint="default"/>
                <w:sz w:val="18"/>
                <w:szCs w:val="18"/>
              </w:rPr>
            </w:pPr>
            <w:r>
              <w:rPr>
                <w:rFonts w:ascii="Times New Roman"/>
                <w:sz w:val="18"/>
              </w:rPr>
              <w:t>1,668,847.08</w:t>
            </w:r>
          </w:p>
        </w:tc>
      </w:tr>
    </w:tbl>
    <w:p>
      <w:pPr>
        <w:spacing w:line="240" w:lineRule="auto" w:before="3"/>
        <w:rPr>
          <w:rFonts w:ascii="宋体" w:hAnsi="宋体" w:cs="宋体" w:eastAsia="宋体" w:hint="default"/>
          <w:sz w:val="19"/>
          <w:szCs w:val="19"/>
        </w:rPr>
      </w:pPr>
    </w:p>
    <w:p>
      <w:pPr>
        <w:pStyle w:val="Heading3"/>
        <w:spacing w:line="506" w:lineRule="auto" w:before="36"/>
        <w:ind w:left="573" w:right="6974" w:hanging="421"/>
        <w:jc w:val="left"/>
        <w:rPr>
          <w:rFonts w:ascii="宋体" w:hAnsi="宋体" w:cs="宋体" w:eastAsia="宋体" w:hint="default"/>
          <w:b w:val="0"/>
          <w:bCs w:val="0"/>
        </w:rPr>
      </w:pPr>
      <w:bookmarkStart w:name="（7）与合营企业投资相关的未确认承诺" w:id="441"/>
      <w:bookmarkEnd w:id="441"/>
      <w:r>
        <w:rPr>
          <w:b w:val="0"/>
          <w:bCs w:val="0"/>
        </w:rPr>
      </w:r>
      <w:r>
        <w:rPr>
          <w:spacing w:val="-1"/>
        </w:rPr>
        <w:t>（</w:t>
      </w:r>
      <w:r>
        <w:rPr>
          <w:rFonts w:ascii="Times New Roman" w:hAnsi="Times New Roman" w:cs="Times New Roman" w:eastAsia="Times New Roman" w:hint="default"/>
          <w:spacing w:val="-1"/>
        </w:rPr>
        <w:t>7</w:t>
      </w:r>
      <w:r>
        <w:rPr>
          <w:spacing w:val="-1"/>
        </w:rPr>
        <w:t>）与合营企业投资相关的未确认承诺</w:t>
      </w:r>
      <w:r>
        <w:rPr>
          <w:spacing w:val="-88"/>
        </w:rPr>
        <w:t> </w:t>
      </w:r>
      <w:r>
        <w:rPr>
          <w:spacing w:val="-88"/>
        </w:rPr>
      </w:r>
      <w:r>
        <w:rPr>
          <w:rFonts w:ascii="宋体" w:hAnsi="宋体" w:cs="宋体" w:eastAsia="宋体" w:hint="default"/>
          <w:b w:val="0"/>
          <w:bCs w:val="0"/>
        </w:rPr>
        <w:t>无</w:t>
      </w:r>
    </w:p>
    <w:p>
      <w:pPr>
        <w:pStyle w:val="Heading3"/>
        <w:spacing w:line="506" w:lineRule="auto" w:before="104"/>
        <w:ind w:left="573" w:right="6074" w:hanging="421"/>
        <w:jc w:val="left"/>
        <w:rPr>
          <w:rFonts w:ascii="宋体" w:hAnsi="宋体" w:cs="宋体" w:eastAsia="宋体" w:hint="default"/>
          <w:b w:val="0"/>
          <w:bCs w:val="0"/>
        </w:rPr>
      </w:pPr>
      <w:bookmarkStart w:name="（8）与合营企业或联营企业投资相关的或有负债" w:id="442"/>
      <w:bookmarkEnd w:id="442"/>
      <w:r>
        <w:rPr>
          <w:b w:val="0"/>
          <w:bCs w:val="0"/>
        </w:rPr>
      </w:r>
      <w:r>
        <w:rPr>
          <w:spacing w:val="-1"/>
        </w:rPr>
        <w:t>（</w:t>
      </w:r>
      <w:r>
        <w:rPr>
          <w:rFonts w:ascii="Times New Roman" w:hAnsi="Times New Roman" w:cs="Times New Roman" w:eastAsia="Times New Roman" w:hint="default"/>
          <w:spacing w:val="-1"/>
        </w:rPr>
        <w:t>8</w:t>
      </w:r>
      <w:r>
        <w:rPr>
          <w:spacing w:val="-1"/>
        </w:rPr>
        <w:t>）与合营企业或联营企业投资相关的或有负债</w:t>
      </w:r>
      <w:r>
        <w:rPr>
          <w:spacing w:val="-86"/>
        </w:rPr>
        <w:t> </w:t>
      </w:r>
      <w:r>
        <w:rPr>
          <w:spacing w:val="-86"/>
        </w:rPr>
      </w:r>
      <w:r>
        <w:rPr>
          <w:rFonts w:ascii="宋体" w:hAnsi="宋体" w:cs="宋体" w:eastAsia="宋体" w:hint="default"/>
          <w:b w:val="0"/>
          <w:bCs w:val="0"/>
        </w:rPr>
        <w:t>无</w:t>
      </w:r>
    </w:p>
    <w:p>
      <w:pPr>
        <w:pStyle w:val="Heading3"/>
        <w:spacing w:line="506" w:lineRule="auto" w:before="104"/>
        <w:ind w:left="573" w:right="8962" w:hanging="421"/>
        <w:jc w:val="left"/>
        <w:rPr>
          <w:rFonts w:ascii="宋体" w:hAnsi="宋体" w:cs="宋体" w:eastAsia="宋体" w:hint="default"/>
          <w:b w:val="0"/>
          <w:bCs w:val="0"/>
        </w:rPr>
      </w:pPr>
      <w:bookmarkStart w:name="4、重要的共同经营" w:id="443"/>
      <w:bookmarkEnd w:id="443"/>
      <w:r>
        <w:rPr>
          <w:b w:val="0"/>
          <w:bCs w:val="0"/>
        </w:rPr>
      </w:r>
      <w:r>
        <w:rPr>
          <w:rFonts w:ascii="Times New Roman" w:hAnsi="Times New Roman" w:cs="Times New Roman" w:eastAsia="Times New Roman" w:hint="default"/>
        </w:rPr>
        <w:t>4</w:t>
      </w:r>
      <w:r>
        <w:rPr/>
        <w:t>、重要的共同经营</w:t>
      </w:r>
      <w:r>
        <w:rPr>
          <w:spacing w:val="-103"/>
        </w:rPr>
        <w:t> </w:t>
      </w:r>
      <w:r>
        <w:rPr>
          <w:rFonts w:ascii="宋体" w:hAnsi="宋体" w:cs="宋体" w:eastAsia="宋体" w:hint="default"/>
          <w:b w:val="0"/>
          <w:bCs w:val="0"/>
        </w:rPr>
        <w:t>无</w:t>
      </w:r>
    </w:p>
    <w:p>
      <w:pPr>
        <w:pStyle w:val="Heading3"/>
        <w:spacing w:line="506" w:lineRule="auto" w:before="104"/>
        <w:ind w:left="573" w:right="5714" w:hanging="421"/>
        <w:jc w:val="left"/>
        <w:rPr>
          <w:rFonts w:ascii="宋体" w:hAnsi="宋体" w:cs="宋体" w:eastAsia="宋体" w:hint="default"/>
          <w:b w:val="0"/>
          <w:bCs w:val="0"/>
        </w:rPr>
      </w:pPr>
      <w:bookmarkStart w:name="5、在未纳入合并财务报表范围的结构化主体中的权益" w:id="444"/>
      <w:bookmarkEnd w:id="444"/>
      <w:r>
        <w:rPr>
          <w:b w:val="0"/>
          <w:bCs w:val="0"/>
        </w:rPr>
      </w:r>
      <w:r>
        <w:rPr>
          <w:rFonts w:ascii="Times New Roman" w:hAnsi="Times New Roman" w:cs="Times New Roman" w:eastAsia="Times New Roman" w:hint="default"/>
          <w:spacing w:val="-1"/>
        </w:rPr>
        <w:t>5</w:t>
      </w:r>
      <w:r>
        <w:rPr>
          <w:spacing w:val="-1"/>
        </w:rPr>
        <w:t>、在未纳入合并财务报表范围的结构化主体中的权益</w:t>
      </w:r>
      <w:r>
        <w:rPr>
          <w:spacing w:val="-85"/>
        </w:rPr>
        <w:t> </w:t>
      </w:r>
      <w:r>
        <w:rPr>
          <w:spacing w:val="-85"/>
        </w:rPr>
      </w:r>
      <w:r>
        <w:rPr>
          <w:rFonts w:ascii="宋体" w:hAnsi="宋体" w:cs="宋体" w:eastAsia="宋体" w:hint="default"/>
          <w:b w:val="0"/>
          <w:bCs w:val="0"/>
        </w:rPr>
        <w:t>无</w:t>
      </w:r>
    </w:p>
    <w:p>
      <w:pPr>
        <w:pStyle w:val="Heading2"/>
        <w:spacing w:line="240" w:lineRule="auto" w:before="78"/>
        <w:ind w:right="2602"/>
        <w:jc w:val="left"/>
        <w:rPr>
          <w:b w:val="0"/>
          <w:bCs w:val="0"/>
        </w:rPr>
      </w:pPr>
      <w:bookmarkStart w:name="十、与金融工具相关的风险" w:id="445"/>
      <w:bookmarkEnd w:id="445"/>
      <w:r>
        <w:rPr>
          <w:b w:val="0"/>
          <w:bCs w:val="0"/>
        </w:rPr>
      </w:r>
      <w:r>
        <w:rPr/>
        <w:t>十、与金融工具相关的风险</w:t>
      </w:r>
      <w:r>
        <w:rPr>
          <w:b w:val="0"/>
          <w:bCs w:val="0"/>
        </w:rPr>
      </w:r>
    </w:p>
    <w:p>
      <w:pPr>
        <w:spacing w:line="240" w:lineRule="auto" w:before="12"/>
        <w:rPr>
          <w:rFonts w:ascii="宋体" w:hAnsi="宋体" w:cs="宋体" w:eastAsia="宋体" w:hint="default"/>
          <w:b/>
          <w:bCs/>
          <w:sz w:val="24"/>
          <w:szCs w:val="24"/>
        </w:rPr>
      </w:pPr>
    </w:p>
    <w:p>
      <w:pPr>
        <w:pStyle w:val="Heading4"/>
        <w:spacing w:line="273" w:lineRule="auto" w:before="0"/>
        <w:ind w:right="1126" w:firstLine="420"/>
        <w:jc w:val="both"/>
      </w:pPr>
      <w:r>
        <w:rPr>
          <w:spacing w:val="-2"/>
        </w:rPr>
        <w:t>本公司在经营过程中面临各种金融风险：信用风险、市场风险和流动性风险。公司董事会全面负责风</w:t>
      </w:r>
      <w:r>
        <w:rPr>
          <w:w w:val="100"/>
        </w:rPr>
        <w:t> </w:t>
      </w:r>
      <w:r>
        <w:rPr>
          <w:spacing w:val="-2"/>
        </w:rPr>
        <w:t>险管理目标和政策的确定，并对风险管理目标和政策承担最终责任。本公司风险管理的总体目标是在不过</w:t>
      </w:r>
      <w:r>
        <w:rPr>
          <w:spacing w:val="-44"/>
        </w:rPr>
        <w:t> </w:t>
      </w:r>
      <w:r>
        <w:rPr>
          <w:spacing w:val="-44"/>
        </w:rPr>
      </w:r>
      <w:r>
        <w:rPr/>
        <w:t>度影响公司竞争力和应变力的情况下，制定尽可能降低风险的风险管理政策。</w:t>
      </w:r>
    </w:p>
    <w:p>
      <w:pPr>
        <w:spacing w:line="240" w:lineRule="auto" w:before="6"/>
        <w:rPr>
          <w:rFonts w:ascii="宋体" w:hAnsi="宋体" w:cs="宋体" w:eastAsia="宋体" w:hint="default"/>
          <w:sz w:val="24"/>
          <w:szCs w:val="24"/>
        </w:rPr>
      </w:pPr>
    </w:p>
    <w:p>
      <w:pPr>
        <w:pStyle w:val="Heading4"/>
        <w:spacing w:line="256" w:lineRule="auto" w:before="0"/>
        <w:ind w:left="573" w:right="1119" w:firstLine="2"/>
        <w:jc w:val="left"/>
      </w:pPr>
      <w:r>
        <w:rPr>
          <w:rFonts w:ascii="Times New Roman" w:hAnsi="Times New Roman" w:cs="Times New Roman" w:eastAsia="Times New Roman" w:hint="default"/>
          <w:b/>
          <w:bCs/>
        </w:rPr>
        <w:t>1.</w:t>
      </w:r>
      <w:r>
        <w:rPr>
          <w:rFonts w:ascii="Times New Roman" w:hAnsi="Times New Roman" w:cs="Times New Roman" w:eastAsia="Times New Roman" w:hint="default"/>
          <w:b/>
          <w:bCs/>
          <w:spacing w:val="50"/>
        </w:rPr>
        <w:t> </w:t>
      </w:r>
      <w:r>
        <w:rPr>
          <w:rFonts w:ascii="宋体" w:hAnsi="宋体" w:cs="宋体" w:eastAsia="宋体" w:hint="default"/>
          <w:b/>
          <w:bCs/>
        </w:rPr>
        <w:t>信用风险</w:t>
      </w:r>
      <w:r>
        <w:rPr>
          <w:rFonts w:ascii="宋体" w:hAnsi="宋体" w:cs="宋体" w:eastAsia="宋体" w:hint="default"/>
          <w:b/>
          <w:bCs/>
          <w:w w:val="100"/>
        </w:rPr>
        <w:t> </w:t>
      </w:r>
      <w:r>
        <w:rPr>
          <w:spacing w:val="-2"/>
        </w:rPr>
        <w:t>信用风险是指金融工具的一方不履行义务，造成另一方发生财务损失的风险。本公司主要面临赊销导</w:t>
      </w:r>
    </w:p>
    <w:p>
      <w:pPr>
        <w:pStyle w:val="Heading4"/>
        <w:spacing w:line="273" w:lineRule="auto" w:before="22"/>
        <w:ind w:right="1126"/>
        <w:jc w:val="both"/>
      </w:pPr>
      <w:r>
        <w:rPr>
          <w:spacing w:val="-2"/>
        </w:rPr>
        <w:t>致的客户信用风险。在签订新合同之前，本公司会对新客户的信用风险进行评估，包括外部信用评级和在</w:t>
      </w:r>
      <w:r>
        <w:rPr>
          <w:spacing w:val="-44"/>
        </w:rPr>
        <w:t> </w:t>
      </w:r>
      <w:r>
        <w:rPr>
          <w:spacing w:val="-44"/>
        </w:rPr>
      </w:r>
      <w:r>
        <w:rPr>
          <w:spacing w:val="-2"/>
        </w:rPr>
        <w:t>某些情况下的银行资信证明（当此信息可获取时）。公司对每一客户均设置了赊销限额，该限额为无需获</w:t>
      </w:r>
      <w:r>
        <w:rPr>
          <w:spacing w:val="-47"/>
        </w:rPr>
        <w:t> </w:t>
      </w:r>
      <w:r>
        <w:rPr>
          <w:spacing w:val="-47"/>
        </w:rPr>
      </w:r>
      <w:r>
        <w:rPr/>
        <w:t>得额外批准的最大额度。</w:t>
      </w:r>
    </w:p>
    <w:p>
      <w:pPr>
        <w:pStyle w:val="Heading4"/>
        <w:spacing w:line="266" w:lineRule="auto"/>
        <w:ind w:right="1126" w:firstLine="420"/>
        <w:jc w:val="both"/>
      </w:pPr>
      <w:r>
        <w:rPr>
          <w:spacing w:val="2"/>
        </w:rPr>
        <w:t>公司通过对已有客户信用评级的季度监控以及应收账款账龄分析的月度审核来确保公司的整体信用</w:t>
      </w:r>
      <w:r>
        <w:rPr>
          <w:w w:val="100"/>
        </w:rPr>
        <w:t> </w:t>
      </w:r>
      <w:r>
        <w:rPr>
          <w:spacing w:val="-2"/>
        </w:rPr>
        <w:t>风险在可控的范围内。在监控客户的信用风险时，按照客户的信用特征对其分组。被评为</w:t>
      </w:r>
      <w:r>
        <w:rPr>
          <w:rFonts w:ascii="Times New Roman" w:hAnsi="Times New Roman" w:cs="Times New Roman" w:eastAsia="Times New Roman" w:hint="default"/>
          <w:spacing w:val="-2"/>
        </w:rPr>
        <w:t>“</w:t>
      </w:r>
      <w:r>
        <w:rPr>
          <w:spacing w:val="-2"/>
        </w:rPr>
        <w:t>高风险</w:t>
      </w:r>
      <w:r>
        <w:rPr>
          <w:rFonts w:ascii="Times New Roman" w:hAnsi="Times New Roman" w:cs="Times New Roman" w:eastAsia="Times New Roman" w:hint="default"/>
          <w:spacing w:val="-2"/>
        </w:rPr>
        <w:t>”</w:t>
      </w:r>
      <w:r>
        <w:rPr>
          <w:spacing w:val="-2"/>
        </w:rPr>
        <w:t>级别的</w:t>
      </w:r>
      <w:r>
        <w:rPr>
          <w:spacing w:val="-18"/>
        </w:rPr>
        <w:t> </w:t>
      </w:r>
      <w:r>
        <w:rPr>
          <w:spacing w:val="-18"/>
        </w:rPr>
      </w:r>
      <w:r>
        <w:rPr>
          <w:spacing w:val="-2"/>
        </w:rPr>
        <w:t>客户会放在受限制客户名单里，并且只有在额外批准的前提下，公司才可在未来期间内对其赊销，否则必</w:t>
      </w:r>
      <w:r>
        <w:rPr>
          <w:spacing w:val="-44"/>
        </w:rPr>
        <w:t> </w:t>
      </w:r>
      <w:r>
        <w:rPr>
          <w:spacing w:val="-44"/>
        </w:rPr>
      </w:r>
      <w:r>
        <w:rPr/>
        <w:t>须要求其提前支付相应款项。</w:t>
      </w:r>
    </w:p>
    <w:p>
      <w:pPr>
        <w:pStyle w:val="Heading4"/>
        <w:spacing w:line="256" w:lineRule="auto" w:before="14"/>
        <w:ind w:left="573" w:right="1119"/>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0"/>
        </w:rPr>
        <w:t> </w:t>
      </w:r>
      <w:r>
        <w:rPr>
          <w:rFonts w:ascii="宋体" w:hAnsi="宋体" w:cs="宋体" w:eastAsia="宋体" w:hint="default"/>
          <w:b/>
          <w:bCs/>
        </w:rPr>
        <w:t>市场风险</w:t>
      </w:r>
      <w:r>
        <w:rPr>
          <w:rFonts w:ascii="宋体" w:hAnsi="宋体" w:cs="宋体" w:eastAsia="宋体" w:hint="default"/>
          <w:b/>
          <w:bCs/>
          <w:spacing w:val="-104"/>
        </w:rPr>
        <w:t> </w:t>
      </w:r>
      <w:r>
        <w:rPr>
          <w:spacing w:val="-2"/>
        </w:rPr>
        <w:t>市场风险，是指金融工具的公允价值或未来现金流量因市场价格变动而发生波动的风险。市场风险主</w:t>
      </w:r>
    </w:p>
    <w:p>
      <w:pPr>
        <w:pStyle w:val="Heading4"/>
        <w:spacing w:line="240" w:lineRule="auto" w:before="22"/>
        <w:ind w:right="2602"/>
        <w:jc w:val="left"/>
      </w:pPr>
      <w:r>
        <w:rPr/>
        <w:t>要包括利率风险和外汇风险。</w:t>
      </w:r>
    </w:p>
    <w:p>
      <w:pPr>
        <w:pStyle w:val="Heading4"/>
        <w:spacing w:line="256" w:lineRule="auto" w:before="37"/>
        <w:ind w:left="573" w:right="1119"/>
        <w:jc w:val="left"/>
      </w:pPr>
      <w:r>
        <w:rPr>
          <w:rFonts w:ascii="Times New Roman" w:hAnsi="Times New Roman" w:cs="Times New Roman" w:eastAsia="Times New Roman" w:hint="default"/>
        </w:rPr>
        <w:t>1</w:t>
      </w:r>
      <w:r>
        <w:rPr/>
        <w:t>）利率风险</w:t>
      </w:r>
      <w:r>
        <w:rPr>
          <w:w w:val="100"/>
        </w:rPr>
        <w:t> </w:t>
      </w:r>
      <w:r>
        <w:rPr>
          <w:spacing w:val="-2"/>
        </w:rPr>
        <w:t>利率风险，是指金融工具的公允价值或未来现金流量因市场利率变动而发生波动的风险。本公司无重</w:t>
      </w:r>
    </w:p>
    <w:p>
      <w:pPr>
        <w:pStyle w:val="Heading4"/>
        <w:spacing w:line="240" w:lineRule="auto" w:before="22"/>
        <w:ind w:right="2602"/>
        <w:jc w:val="left"/>
      </w:pPr>
      <w:r>
        <w:rPr/>
        <w:t>大利率风险。</w:t>
      </w:r>
    </w:p>
    <w:p>
      <w:pPr>
        <w:pStyle w:val="Heading4"/>
        <w:spacing w:line="256" w:lineRule="auto" w:before="37"/>
        <w:ind w:left="573" w:right="1119"/>
        <w:jc w:val="left"/>
      </w:pPr>
      <w:r>
        <w:rPr>
          <w:rFonts w:ascii="Times New Roman" w:hAnsi="Times New Roman" w:cs="Times New Roman" w:eastAsia="Times New Roman" w:hint="default"/>
        </w:rPr>
        <w:t>2</w:t>
      </w:r>
      <w:r>
        <w:rPr/>
        <w:t>）外汇风险</w:t>
      </w:r>
      <w:r>
        <w:rPr>
          <w:w w:val="100"/>
        </w:rPr>
        <w:t> </w:t>
      </w:r>
      <w:r>
        <w:rPr>
          <w:spacing w:val="-2"/>
        </w:rPr>
        <w:t>外汇风险，是指金融工具的公允价值或未来现金流量因外汇汇率变动而发生波动的风险。本公司主要</w:t>
      </w:r>
    </w:p>
    <w:p>
      <w:pPr>
        <w:pStyle w:val="Heading4"/>
        <w:spacing w:line="240" w:lineRule="auto" w:before="20"/>
        <w:ind w:right="0"/>
        <w:jc w:val="left"/>
      </w:pPr>
      <w:r>
        <w:rPr/>
        <w:t>于中国内地经营，且主要活动以人民币计价。因此，本公司所承担的外汇变动市场风险不重大。</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56" w:lineRule="auto" w:before="36"/>
        <w:ind w:left="573" w:right="0" w:firstLine="2"/>
        <w:jc w:val="left"/>
      </w:pPr>
      <w:r>
        <w:rPr>
          <w:rFonts w:ascii="Times New Roman" w:hAnsi="Times New Roman" w:cs="Times New Roman" w:eastAsia="Times New Roman" w:hint="default"/>
          <w:b/>
          <w:bCs/>
        </w:rPr>
        <w:t>3.</w:t>
      </w:r>
      <w:r>
        <w:rPr>
          <w:rFonts w:ascii="Times New Roman" w:hAnsi="Times New Roman" w:cs="Times New Roman" w:eastAsia="Times New Roman" w:hint="default"/>
          <w:b/>
          <w:bCs/>
          <w:spacing w:val="50"/>
        </w:rPr>
        <w:t> </w:t>
      </w:r>
      <w:r>
        <w:rPr>
          <w:rFonts w:ascii="宋体" w:hAnsi="宋体" w:cs="宋体" w:eastAsia="宋体" w:hint="default"/>
          <w:b/>
          <w:bCs/>
        </w:rPr>
        <w:t>流动性风险</w:t>
      </w:r>
      <w:r>
        <w:rPr>
          <w:rFonts w:ascii="宋体" w:hAnsi="宋体" w:cs="宋体" w:eastAsia="宋体" w:hint="default"/>
          <w:b/>
          <w:bCs/>
          <w:w w:val="100"/>
        </w:rPr>
        <w:t> </w:t>
      </w:r>
      <w:r>
        <w:rPr/>
        <w:t>流动性风险，是指企业在履行以交付现金或其他金融资产的方式结算的义务时发生资金短缺的风险。</w:t>
      </w:r>
    </w:p>
    <w:p>
      <w:pPr>
        <w:pStyle w:val="Heading4"/>
        <w:spacing w:line="264" w:lineRule="auto" w:before="22"/>
        <w:ind w:right="1126"/>
        <w:jc w:val="both"/>
      </w:pPr>
      <w:r>
        <w:rPr>
          <w:spacing w:val="-2"/>
        </w:rPr>
        <w:t>本公司的政策是确保拥有充足的现金以偿还到期债务。流动性风险由本公司的财务部门集中控制。财务部</w:t>
      </w:r>
      <w:r>
        <w:rPr>
          <w:spacing w:val="-44"/>
        </w:rPr>
        <w:t> </w:t>
      </w:r>
      <w:r>
        <w:rPr>
          <w:spacing w:val="-44"/>
        </w:rPr>
      </w:r>
      <w:r>
        <w:rPr>
          <w:spacing w:val="-2"/>
        </w:rPr>
        <w:t>门通过监控现金余额、可随时变现的有价证券以及对未来</w:t>
      </w:r>
      <w:r>
        <w:rPr>
          <w:rFonts w:ascii="Times New Roman" w:hAnsi="Times New Roman" w:cs="Times New Roman" w:eastAsia="Times New Roman" w:hint="default"/>
          <w:spacing w:val="-2"/>
        </w:rPr>
        <w:t>12</w:t>
      </w:r>
      <w:r>
        <w:rPr>
          <w:spacing w:val="-2"/>
        </w:rPr>
        <w:t>个月现金流量的滚动预测，确保公司在所有合</w:t>
      </w:r>
      <w:r>
        <w:rPr>
          <w:spacing w:val="-40"/>
        </w:rPr>
        <w:t> </w:t>
      </w:r>
      <w:r>
        <w:rPr>
          <w:spacing w:val="-40"/>
        </w:rPr>
      </w:r>
      <w:r>
        <w:rPr/>
        <w:t>理预测的情况下拥有充足的资金偿还债务。</w:t>
      </w:r>
    </w:p>
    <w:p>
      <w:pPr>
        <w:pStyle w:val="Heading4"/>
        <w:spacing w:line="240" w:lineRule="auto" w:before="16"/>
        <w:ind w:left="573" w:right="2602"/>
        <w:jc w:val="left"/>
      </w:pPr>
      <w:r>
        <w:rPr/>
        <w:t>本公司各项金融负债以未折现的合同现金流量按到期日列示如下：</w:t>
      </w:r>
    </w:p>
    <w:p>
      <w:pPr>
        <w:spacing w:line="240" w:lineRule="auto" w:before="10"/>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2677"/>
        <w:gridCol w:w="1397"/>
        <w:gridCol w:w="1539"/>
        <w:gridCol w:w="1406"/>
        <w:gridCol w:w="1249"/>
        <w:gridCol w:w="1392"/>
      </w:tblGrid>
      <w:tr>
        <w:trPr>
          <w:trHeight w:val="343" w:hRule="exact"/>
        </w:trPr>
        <w:tc>
          <w:tcPr>
            <w:tcW w:w="2677"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98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3" w:hRule="exact"/>
        </w:trPr>
        <w:tc>
          <w:tcPr>
            <w:tcW w:w="2677" w:type="dxa"/>
            <w:vMerge/>
            <w:tcBorders>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3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34" w:right="0"/>
              <w:jc w:val="left"/>
              <w:rPr>
                <w:rFonts w:ascii="宋体" w:hAnsi="宋体" w:cs="宋体" w:eastAsia="宋体" w:hint="default"/>
                <w:sz w:val="18"/>
                <w:szCs w:val="18"/>
              </w:rPr>
            </w:pPr>
            <w:r>
              <w:rPr>
                <w:rFonts w:ascii="宋体" w:hAnsi="宋体" w:cs="宋体" w:eastAsia="宋体" w:hint="default"/>
                <w:sz w:val="18"/>
                <w:szCs w:val="18"/>
              </w:rPr>
              <w:t>未折现合同金额</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年</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r>
      <w:tr>
        <w:trPr>
          <w:trHeight w:val="65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4" w:right="3"/>
              <w:jc w:val="left"/>
              <w:rPr>
                <w:rFonts w:ascii="宋体" w:hAnsi="宋体" w:cs="宋体" w:eastAsia="宋体" w:hint="default"/>
                <w:sz w:val="18"/>
                <w:szCs w:val="18"/>
              </w:rPr>
            </w:pPr>
            <w:r>
              <w:rPr>
                <w:rFonts w:ascii="宋体" w:hAnsi="宋体" w:cs="宋体" w:eastAsia="宋体" w:hint="default"/>
                <w:spacing w:val="-3"/>
                <w:sz w:val="18"/>
                <w:szCs w:val="18"/>
              </w:rPr>
              <w:t>短期及长期借款（含一年内到期的</w:t>
            </w:r>
            <w:r>
              <w:rPr>
                <w:rFonts w:ascii="宋体" w:hAnsi="宋体" w:cs="宋体" w:eastAsia="宋体" w:hint="default"/>
                <w:sz w:val="18"/>
                <w:szCs w:val="18"/>
              </w:rPr>
              <w:t> 非流动负债）</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3,286,491,710.15</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3,403,838,004.35</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3,163,253,569.47</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2" w:right="0"/>
              <w:jc w:val="center"/>
              <w:rPr>
                <w:rFonts w:ascii="Times New Roman" w:hAnsi="Times New Roman" w:cs="Times New Roman" w:eastAsia="Times New Roman" w:hint="default"/>
                <w:sz w:val="18"/>
                <w:szCs w:val="18"/>
              </w:rPr>
            </w:pPr>
            <w:r>
              <w:rPr>
                <w:rFonts w:ascii="Times New Roman"/>
                <w:sz w:val="18"/>
              </w:rPr>
              <w:t>222,059,334.88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pacing w:val="-1"/>
                <w:sz w:val="18"/>
              </w:rPr>
              <w:t>18,525,100.00</w:t>
            </w:r>
          </w:p>
        </w:tc>
      </w:tr>
      <w:tr>
        <w:trPr>
          <w:trHeight w:val="34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508,444,426.79</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508,444,426.79</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508,444,426.79</w:t>
            </w:r>
          </w:p>
        </w:tc>
        <w:tc>
          <w:tcPr>
            <w:tcW w:w="1249" w:type="dxa"/>
            <w:tcBorders>
              <w:top w:val="single" w:sz="4" w:space="0" w:color="000000"/>
              <w:left w:val="single" w:sz="4" w:space="0" w:color="000000"/>
              <w:bottom w:val="single" w:sz="4" w:space="0" w:color="000000"/>
              <w:right w:val="single" w:sz="4" w:space="0" w:color="000000"/>
            </w:tcBorders>
          </w:tcPr>
          <w:p>
            <w:pPr/>
          </w:p>
        </w:tc>
        <w:tc>
          <w:tcPr>
            <w:tcW w:w="1392" w:type="dxa"/>
            <w:tcBorders>
              <w:top w:val="single" w:sz="4" w:space="0" w:color="000000"/>
              <w:left w:val="single" w:sz="4" w:space="0" w:color="000000"/>
              <w:bottom w:val="single" w:sz="4" w:space="0" w:color="000000"/>
              <w:right w:val="single" w:sz="4" w:space="0" w:color="000000"/>
            </w:tcBorders>
          </w:tcPr>
          <w:p>
            <w:pPr/>
          </w:p>
        </w:tc>
      </w:tr>
      <w:tr>
        <w:trPr>
          <w:trHeight w:val="344"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67,813,106.92</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67,813,106.92</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67,813,106.92</w:t>
            </w:r>
          </w:p>
        </w:tc>
        <w:tc>
          <w:tcPr>
            <w:tcW w:w="1249" w:type="dxa"/>
            <w:tcBorders>
              <w:top w:val="single" w:sz="4" w:space="0" w:color="000000"/>
              <w:left w:val="single" w:sz="4" w:space="0" w:color="000000"/>
              <w:bottom w:val="single" w:sz="4" w:space="0" w:color="000000"/>
              <w:right w:val="single" w:sz="4" w:space="0" w:color="000000"/>
            </w:tcBorders>
          </w:tcPr>
          <w:p>
            <w:pPr/>
          </w:p>
        </w:tc>
        <w:tc>
          <w:tcPr>
            <w:tcW w:w="1392"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540,865,131.01</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540,865,131.01</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540,865,131.01</w:t>
            </w:r>
          </w:p>
        </w:tc>
        <w:tc>
          <w:tcPr>
            <w:tcW w:w="1249" w:type="dxa"/>
            <w:tcBorders>
              <w:top w:val="single" w:sz="4" w:space="0" w:color="000000"/>
              <w:left w:val="single" w:sz="4" w:space="0" w:color="000000"/>
              <w:bottom w:val="single" w:sz="4" w:space="0" w:color="000000"/>
              <w:right w:val="single" w:sz="4" w:space="0" w:color="000000"/>
            </w:tcBorders>
          </w:tcPr>
          <w:p>
            <w:pPr/>
          </w:p>
        </w:tc>
        <w:tc>
          <w:tcPr>
            <w:tcW w:w="1392"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54"/>
              <w:jc w:val="right"/>
              <w:rPr>
                <w:rFonts w:ascii="宋体" w:hAnsi="宋体" w:cs="宋体" w:eastAsia="宋体" w:hint="default"/>
                <w:sz w:val="18"/>
                <w:szCs w:val="18"/>
              </w:rPr>
            </w:pPr>
            <w:r>
              <w:rPr>
                <w:rFonts w:ascii="宋体" w:hAnsi="宋体" w:cs="宋体" w:eastAsia="宋体" w:hint="default"/>
                <w:sz w:val="18"/>
                <w:szCs w:val="18"/>
              </w:rPr>
              <w:t>合计</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4,403,614,374.87</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4,520,960,669.07</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4,280,376,234.19</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2" w:right="0"/>
              <w:jc w:val="center"/>
              <w:rPr>
                <w:rFonts w:ascii="Times New Roman" w:hAnsi="Times New Roman" w:cs="Times New Roman" w:eastAsia="Times New Roman" w:hint="default"/>
                <w:sz w:val="18"/>
                <w:szCs w:val="18"/>
              </w:rPr>
            </w:pPr>
            <w:r>
              <w:rPr>
                <w:rFonts w:ascii="Times New Roman"/>
                <w:sz w:val="18"/>
              </w:rPr>
              <w:t>222,059,334.88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18,525,100.00</w:t>
            </w:r>
          </w:p>
        </w:tc>
      </w:tr>
      <w:tr>
        <w:trPr>
          <w:trHeight w:val="343" w:hRule="exact"/>
        </w:trPr>
        <w:tc>
          <w:tcPr>
            <w:tcW w:w="2677"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98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上年年末余额</w:t>
            </w:r>
          </w:p>
        </w:tc>
      </w:tr>
      <w:tr>
        <w:trPr>
          <w:trHeight w:val="343" w:hRule="exact"/>
        </w:trPr>
        <w:tc>
          <w:tcPr>
            <w:tcW w:w="2677" w:type="dxa"/>
            <w:vMerge/>
            <w:tcBorders>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3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34" w:right="0"/>
              <w:jc w:val="left"/>
              <w:rPr>
                <w:rFonts w:ascii="宋体" w:hAnsi="宋体" w:cs="宋体" w:eastAsia="宋体" w:hint="default"/>
                <w:sz w:val="18"/>
                <w:szCs w:val="18"/>
              </w:rPr>
            </w:pPr>
            <w:r>
              <w:rPr>
                <w:rFonts w:ascii="宋体" w:hAnsi="宋体" w:cs="宋体" w:eastAsia="宋体" w:hint="default"/>
                <w:sz w:val="18"/>
                <w:szCs w:val="18"/>
              </w:rPr>
              <w:t>未折现合同金额</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年</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r>
      <w:tr>
        <w:trPr>
          <w:trHeight w:val="65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4" w:right="3"/>
              <w:jc w:val="left"/>
              <w:rPr>
                <w:rFonts w:ascii="宋体" w:hAnsi="宋体" w:cs="宋体" w:eastAsia="宋体" w:hint="default"/>
                <w:sz w:val="18"/>
                <w:szCs w:val="18"/>
              </w:rPr>
            </w:pPr>
            <w:r>
              <w:rPr>
                <w:rFonts w:ascii="宋体" w:hAnsi="宋体" w:cs="宋体" w:eastAsia="宋体" w:hint="default"/>
                <w:spacing w:val="-3"/>
                <w:sz w:val="18"/>
                <w:szCs w:val="18"/>
              </w:rPr>
              <w:t>短期及长期借款（含一年内到期的</w:t>
            </w:r>
            <w:r>
              <w:rPr>
                <w:rFonts w:ascii="宋体" w:hAnsi="宋体" w:cs="宋体" w:eastAsia="宋体" w:hint="default"/>
                <w:sz w:val="18"/>
                <w:szCs w:val="18"/>
              </w:rPr>
              <w:t> 非流动负债）</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3,429,829,998.50</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3,477,114,606.56</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2,902,564,427.55</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2" w:right="0"/>
              <w:jc w:val="center"/>
              <w:rPr>
                <w:rFonts w:ascii="Times New Roman" w:hAnsi="Times New Roman" w:cs="Times New Roman" w:eastAsia="Times New Roman" w:hint="default"/>
                <w:sz w:val="18"/>
                <w:szCs w:val="18"/>
              </w:rPr>
            </w:pPr>
            <w:r>
              <w:rPr>
                <w:rFonts w:ascii="Times New Roman"/>
                <w:sz w:val="18"/>
              </w:rPr>
              <w:t>277,777,806.93</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pacing w:val="-1"/>
                <w:sz w:val="18"/>
              </w:rPr>
              <w:t>296,772,372.08</w:t>
            </w:r>
          </w:p>
        </w:tc>
      </w:tr>
      <w:tr>
        <w:trPr>
          <w:trHeight w:val="34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383,024,655.62</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383,024,655.62</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383,024,655.62</w:t>
            </w:r>
          </w:p>
        </w:tc>
        <w:tc>
          <w:tcPr>
            <w:tcW w:w="1249" w:type="dxa"/>
            <w:tcBorders>
              <w:top w:val="single" w:sz="4" w:space="0" w:color="000000"/>
              <w:left w:val="single" w:sz="4" w:space="0" w:color="000000"/>
              <w:bottom w:val="single" w:sz="4" w:space="0" w:color="000000"/>
              <w:right w:val="single" w:sz="4" w:space="0" w:color="000000"/>
            </w:tcBorders>
          </w:tcPr>
          <w:p>
            <w:pPr/>
          </w:p>
        </w:tc>
        <w:tc>
          <w:tcPr>
            <w:tcW w:w="1392"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10,308,570.19</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10,308,570.19</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10,308,570.19</w:t>
            </w:r>
          </w:p>
        </w:tc>
        <w:tc>
          <w:tcPr>
            <w:tcW w:w="1249" w:type="dxa"/>
            <w:tcBorders>
              <w:top w:val="single" w:sz="4" w:space="0" w:color="000000"/>
              <w:left w:val="single" w:sz="4" w:space="0" w:color="000000"/>
              <w:bottom w:val="single" w:sz="4" w:space="0" w:color="000000"/>
              <w:right w:val="single" w:sz="4" w:space="0" w:color="000000"/>
            </w:tcBorders>
          </w:tcPr>
          <w:p>
            <w:pPr/>
          </w:p>
        </w:tc>
        <w:tc>
          <w:tcPr>
            <w:tcW w:w="1392"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59,902,271.61</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59,902,271.61</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59,902,271.61</w:t>
            </w:r>
          </w:p>
        </w:tc>
        <w:tc>
          <w:tcPr>
            <w:tcW w:w="1249" w:type="dxa"/>
            <w:tcBorders>
              <w:top w:val="single" w:sz="4" w:space="0" w:color="000000"/>
              <w:left w:val="single" w:sz="4" w:space="0" w:color="000000"/>
              <w:bottom w:val="single" w:sz="4" w:space="0" w:color="000000"/>
              <w:right w:val="single" w:sz="4" w:space="0" w:color="000000"/>
            </w:tcBorders>
          </w:tcPr>
          <w:p>
            <w:pPr/>
          </w:p>
        </w:tc>
        <w:tc>
          <w:tcPr>
            <w:tcW w:w="1392"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54"/>
              <w:jc w:val="right"/>
              <w:rPr>
                <w:rFonts w:ascii="宋体" w:hAnsi="宋体" w:cs="宋体" w:eastAsia="宋体" w:hint="default"/>
                <w:sz w:val="18"/>
                <w:szCs w:val="18"/>
              </w:rPr>
            </w:pPr>
            <w:r>
              <w:rPr>
                <w:rFonts w:ascii="宋体" w:hAnsi="宋体" w:cs="宋体" w:eastAsia="宋体" w:hint="default"/>
                <w:sz w:val="18"/>
                <w:szCs w:val="18"/>
              </w:rPr>
              <w:t>合计</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3,883,065,495.92</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3,930,350,103.98</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3,355,799,924.97</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2" w:right="0"/>
              <w:jc w:val="center"/>
              <w:rPr>
                <w:rFonts w:ascii="Times New Roman" w:hAnsi="Times New Roman" w:cs="Times New Roman" w:eastAsia="Times New Roman" w:hint="default"/>
                <w:sz w:val="18"/>
                <w:szCs w:val="18"/>
              </w:rPr>
            </w:pPr>
            <w:r>
              <w:rPr>
                <w:rFonts w:ascii="Times New Roman"/>
                <w:sz w:val="18"/>
              </w:rPr>
              <w:t>277,777,806.93</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296,772,372.08</w:t>
            </w:r>
          </w:p>
        </w:tc>
      </w:tr>
    </w:tbl>
    <w:p>
      <w:pPr>
        <w:spacing w:line="240" w:lineRule="auto" w:before="1"/>
        <w:rPr>
          <w:rFonts w:ascii="宋体" w:hAnsi="宋体" w:cs="宋体" w:eastAsia="宋体" w:hint="default"/>
          <w:sz w:val="18"/>
          <w:szCs w:val="18"/>
        </w:rPr>
      </w:pPr>
    </w:p>
    <w:p>
      <w:pPr>
        <w:pStyle w:val="Heading2"/>
        <w:spacing w:line="240" w:lineRule="auto" w:before="26"/>
        <w:ind w:right="2602"/>
        <w:jc w:val="left"/>
        <w:rPr>
          <w:b w:val="0"/>
          <w:bCs w:val="0"/>
        </w:rPr>
      </w:pPr>
      <w:bookmarkStart w:name="十一、公允价值的披露" w:id="446"/>
      <w:bookmarkEnd w:id="446"/>
      <w:r>
        <w:rPr>
          <w:b w:val="0"/>
          <w:bCs w:val="0"/>
        </w:rPr>
      </w:r>
      <w:r>
        <w:rPr/>
        <w:t>十一、公允价值的披露</w:t>
      </w:r>
      <w:r>
        <w:rPr>
          <w:b w:val="0"/>
          <w:bCs w:val="0"/>
        </w:rPr>
      </w:r>
    </w:p>
    <w:p>
      <w:pPr>
        <w:spacing w:line="240" w:lineRule="auto" w:before="12"/>
        <w:rPr>
          <w:rFonts w:ascii="宋体" w:hAnsi="宋体" w:cs="宋体" w:eastAsia="宋体" w:hint="default"/>
          <w:b/>
          <w:bCs/>
          <w:sz w:val="24"/>
          <w:szCs w:val="24"/>
        </w:rPr>
      </w:pPr>
    </w:p>
    <w:p>
      <w:pPr>
        <w:spacing w:line="499" w:lineRule="auto" w:before="0"/>
        <w:ind w:left="152" w:right="8104" w:firstLine="42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w w:val="100"/>
          <w:sz w:val="21"/>
          <w:szCs w:val="21"/>
        </w:rPr>
        <w:t> </w:t>
      </w:r>
      <w:bookmarkStart w:name="十二、关联方及关联交易" w:id="447"/>
      <w:bookmarkEnd w:id="447"/>
      <w:r>
        <w:rPr>
          <w:rFonts w:ascii="宋体" w:hAnsi="宋体" w:cs="宋体" w:eastAsia="宋体" w:hint="default"/>
          <w:w w:val="100"/>
          <w:sz w:val="21"/>
          <w:szCs w:val="21"/>
        </w:rPr>
      </w:r>
      <w:r>
        <w:rPr>
          <w:rFonts w:ascii="宋体" w:hAnsi="宋体" w:cs="宋体" w:eastAsia="宋体" w:hint="default"/>
          <w:b/>
          <w:bCs/>
          <w:sz w:val="24"/>
          <w:szCs w:val="24"/>
        </w:rPr>
        <w:t>十二、关联方及关联交易</w:t>
      </w:r>
      <w:r>
        <w:rPr>
          <w:rFonts w:ascii="宋体" w:hAnsi="宋体" w:cs="宋体" w:eastAsia="宋体" w:hint="default"/>
          <w:b/>
          <w:bCs/>
          <w:w w:val="99"/>
          <w:sz w:val="24"/>
          <w:szCs w:val="24"/>
        </w:rPr>
        <w:t> </w:t>
      </w:r>
      <w:bookmarkStart w:name="1、本企业的母公司情况" w:id="448"/>
      <w:bookmarkEnd w:id="448"/>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pStyle w:val="Heading4"/>
        <w:spacing w:line="240" w:lineRule="auto" w:before="72"/>
        <w:ind w:left="573" w:right="2602"/>
        <w:jc w:val="left"/>
      </w:pPr>
      <w:r>
        <w:rPr/>
        <w:t>本企业的母公司情况的说明：</w:t>
      </w:r>
    </w:p>
    <w:p>
      <w:pPr>
        <w:spacing w:line="240" w:lineRule="auto" w:before="10"/>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3555"/>
        <w:gridCol w:w="6104"/>
      </w:tblGrid>
      <w:tr>
        <w:trPr>
          <w:trHeight w:val="341"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主要股东</w:t>
            </w:r>
          </w:p>
        </w:tc>
        <w:tc>
          <w:tcPr>
            <w:tcW w:w="6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与本公司的关系</w:t>
            </w:r>
          </w:p>
        </w:tc>
      </w:tr>
      <w:tr>
        <w:trPr>
          <w:trHeight w:val="344"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中国人寿保险股份有限公司</w:t>
            </w:r>
          </w:p>
        </w:tc>
        <w:tc>
          <w:tcPr>
            <w:tcW w:w="610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73" w:right="0"/>
              <w:jc w:val="left"/>
              <w:rPr>
                <w:rFonts w:ascii="宋体" w:hAnsi="宋体" w:cs="宋体" w:eastAsia="宋体" w:hint="default"/>
                <w:sz w:val="18"/>
                <w:szCs w:val="18"/>
              </w:rPr>
            </w:pPr>
            <w:r>
              <w:rPr>
                <w:rFonts w:ascii="宋体" w:hAnsi="宋体" w:cs="宋体" w:eastAsia="宋体" w:hint="default"/>
                <w:sz w:val="18"/>
                <w:szCs w:val="18"/>
              </w:rPr>
              <w:t>一致行动人合计持有本公司 </w:t>
            </w:r>
            <w:r>
              <w:rPr>
                <w:rFonts w:ascii="Times New Roman" w:hAnsi="Times New Roman" w:cs="Times New Roman" w:eastAsia="Times New Roman" w:hint="default"/>
                <w:sz w:val="18"/>
                <w:szCs w:val="18"/>
              </w:rPr>
              <w:t>206,323,682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股股份，为本公司第一大股东</w:t>
            </w:r>
          </w:p>
        </w:tc>
      </w:tr>
      <w:tr>
        <w:trPr>
          <w:trHeight w:val="341"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中国人寿保险（集团）公司</w:t>
            </w:r>
          </w:p>
        </w:tc>
        <w:tc>
          <w:tcPr>
            <w:tcW w:w="6104" w:type="dxa"/>
            <w:vMerge/>
            <w:tcBorders>
              <w:left w:val="single" w:sz="4" w:space="0" w:color="000000"/>
              <w:right w:val="single" w:sz="4" w:space="0" w:color="000000"/>
            </w:tcBorders>
          </w:tcPr>
          <w:p>
            <w:pPr/>
          </w:p>
        </w:tc>
      </w:tr>
      <w:tr>
        <w:trPr>
          <w:trHeight w:val="343"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中国人寿资产管理有限公司</w:t>
            </w:r>
          </w:p>
        </w:tc>
        <w:tc>
          <w:tcPr>
            <w:tcW w:w="6104" w:type="dxa"/>
            <w:vMerge/>
            <w:tcBorders>
              <w:left w:val="single" w:sz="4" w:space="0" w:color="000000"/>
              <w:bottom w:val="single" w:sz="4" w:space="0" w:color="000000"/>
              <w:right w:val="single" w:sz="4" w:space="0" w:color="000000"/>
            </w:tcBorders>
          </w:tcPr>
          <w:p>
            <w:pPr/>
          </w:p>
        </w:tc>
      </w:tr>
      <w:tr>
        <w:trPr>
          <w:trHeight w:val="341" w:hRule="exact"/>
        </w:trPr>
        <w:tc>
          <w:tcPr>
            <w:tcW w:w="3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上海万豪投资有限公司</w:t>
            </w:r>
          </w:p>
        </w:tc>
        <w:tc>
          <w:tcPr>
            <w:tcW w:w="6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本公司原第一大股东</w:t>
            </w:r>
          </w:p>
        </w:tc>
      </w:tr>
    </w:tbl>
    <w:p>
      <w:pPr>
        <w:pStyle w:val="Heading4"/>
        <w:spacing w:line="262" w:lineRule="exact" w:before="0"/>
        <w:ind w:left="573" w:right="2602"/>
        <w:jc w:val="left"/>
      </w:pPr>
      <w:r>
        <w:rPr/>
        <w:t>本企业无最终控制方。</w:t>
      </w:r>
    </w:p>
    <w:p>
      <w:pPr>
        <w:spacing w:line="240" w:lineRule="auto" w:before="10"/>
        <w:rPr>
          <w:rFonts w:ascii="宋体" w:hAnsi="宋体" w:cs="宋体" w:eastAsia="宋体" w:hint="default"/>
          <w:sz w:val="25"/>
          <w:szCs w:val="25"/>
        </w:rPr>
      </w:pPr>
    </w:p>
    <w:p>
      <w:pPr>
        <w:spacing w:line="506" w:lineRule="auto" w:before="0"/>
        <w:ind w:left="573" w:right="4814" w:hanging="421"/>
        <w:jc w:val="left"/>
        <w:rPr>
          <w:rFonts w:ascii="宋体" w:hAnsi="宋体" w:cs="宋体" w:eastAsia="宋体" w:hint="default"/>
          <w:sz w:val="21"/>
          <w:szCs w:val="21"/>
        </w:rPr>
      </w:pPr>
      <w:bookmarkStart w:name="2、本企业的子公司情况" w:id="449"/>
      <w:bookmarkEnd w:id="44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100"/>
          <w:sz w:val="21"/>
          <w:szCs w:val="21"/>
        </w:rPr>
        <w:t> </w:t>
      </w:r>
      <w:r>
        <w:rPr>
          <w:rFonts w:ascii="宋体" w:hAnsi="宋体" w:cs="宋体" w:eastAsia="宋体" w:hint="default"/>
          <w:spacing w:val="-2"/>
          <w:sz w:val="21"/>
          <w:szCs w:val="21"/>
        </w:rPr>
        <w:t>本企业子公司的情况详见本章节九、在其他主体中的权益。</w:t>
      </w:r>
    </w:p>
    <w:p>
      <w:pPr>
        <w:spacing w:after="0" w:line="506" w:lineRule="auto"/>
        <w:jc w:val="left"/>
        <w:rPr>
          <w:rFonts w:ascii="宋体" w:hAnsi="宋体" w:cs="宋体" w:eastAsia="宋体" w:hint="default"/>
          <w:sz w:val="21"/>
          <w:szCs w:val="21"/>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spacing w:line="506" w:lineRule="auto" w:before="36"/>
        <w:ind w:left="573" w:right="2602" w:hanging="421"/>
        <w:jc w:val="left"/>
        <w:rPr>
          <w:rFonts w:ascii="宋体" w:hAnsi="宋体" w:cs="宋体" w:eastAsia="宋体" w:hint="default"/>
          <w:sz w:val="21"/>
          <w:szCs w:val="21"/>
        </w:rPr>
      </w:pPr>
      <w:bookmarkStart w:name="3、本企业合营和联营企业情况" w:id="450"/>
      <w:bookmarkEnd w:id="450"/>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b/>
          <w:bCs/>
          <w:w w:val="100"/>
          <w:sz w:val="21"/>
          <w:szCs w:val="21"/>
        </w:rPr>
        <w:t> </w:t>
      </w:r>
      <w:r>
        <w:rPr>
          <w:rFonts w:ascii="宋体" w:hAnsi="宋体" w:cs="宋体" w:eastAsia="宋体" w:hint="default"/>
          <w:spacing w:val="-2"/>
          <w:sz w:val="21"/>
          <w:szCs w:val="21"/>
        </w:rPr>
        <w:t>本企业重要的合营或联营企业详见本章节九、在其他主体中的权益。</w:t>
      </w:r>
    </w:p>
    <w:p>
      <w:pPr>
        <w:pStyle w:val="Heading3"/>
        <w:spacing w:line="240" w:lineRule="auto" w:before="104"/>
        <w:ind w:right="2602"/>
        <w:jc w:val="left"/>
        <w:rPr>
          <w:b w:val="0"/>
          <w:bCs w:val="0"/>
        </w:rPr>
      </w:pPr>
      <w:bookmarkStart w:name="4、其他关联方情况" w:id="451"/>
      <w:bookmarkEnd w:id="451"/>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9"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上海嘉达信息科技有限公司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公司参股公司</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长江联合金融租赁有限公司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公司参股公司</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深圳市华波美通信技术有限公司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原子公司少数股东之关联公司</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深圳市华天星通信技术有限公司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原子公司少数股东之关联公司</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宁波市科技园区明天医网科技有限公司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子公司法人之关联公司</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上海慧明软件开发中心（普通合伙）</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子公司高级管理人员之关联公司</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李诗定</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子公司历史股东及高管</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许晓荣</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子公司历史股东及高管</w:t>
            </w:r>
          </w:p>
        </w:tc>
      </w:tr>
    </w:tbl>
    <w:p>
      <w:pPr>
        <w:spacing w:line="240" w:lineRule="auto" w:before="3"/>
        <w:rPr>
          <w:rFonts w:ascii="宋体" w:hAnsi="宋体" w:cs="宋体" w:eastAsia="宋体" w:hint="default"/>
          <w:b/>
          <w:bCs/>
          <w:sz w:val="19"/>
          <w:szCs w:val="19"/>
        </w:rPr>
      </w:pPr>
    </w:p>
    <w:p>
      <w:pPr>
        <w:pStyle w:val="Heading3"/>
        <w:spacing w:line="240" w:lineRule="auto" w:before="36"/>
        <w:ind w:right="2602"/>
        <w:jc w:val="left"/>
        <w:rPr>
          <w:b w:val="0"/>
          <w:bCs w:val="0"/>
        </w:rPr>
      </w:pPr>
      <w:bookmarkStart w:name="5、关联交易情况" w:id="452"/>
      <w:bookmarkEnd w:id="452"/>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购销商品、提供和接受劳务的关联交易" w:id="453"/>
      <w:bookmarkEnd w:id="453"/>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21"/>
        <w:gridCol w:w="850"/>
        <w:gridCol w:w="1419"/>
        <w:gridCol w:w="1416"/>
        <w:gridCol w:w="1561"/>
        <w:gridCol w:w="1205"/>
      </w:tblGrid>
      <w:tr>
        <w:trPr>
          <w:trHeight w:val="715" w:hRule="exact"/>
        </w:trPr>
        <w:tc>
          <w:tcPr>
            <w:tcW w:w="3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9" w:right="59"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深圳市华波美通信技术有限公司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3" w:right="45"/>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452,706.01</w:t>
            </w:r>
          </w:p>
        </w:tc>
      </w:tr>
      <w:tr>
        <w:trPr>
          <w:trHeight w:val="715"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深圳市华天星通信技术有限公司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45"/>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287,260.00</w:t>
            </w:r>
          </w:p>
        </w:tc>
      </w:tr>
      <w:tr>
        <w:trPr>
          <w:trHeight w:val="713"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上海慧明软件开发中心（普通合伙）</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3" w:right="45"/>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8,173,584.68</w:t>
            </w:r>
          </w:p>
        </w:tc>
      </w:tr>
      <w:tr>
        <w:trPr>
          <w:trHeight w:val="709"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长江联合金融租赁有限公司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11,762,942.32</w:t>
            </w: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11,149,488.00</w:t>
            </w:r>
          </w:p>
        </w:tc>
      </w:tr>
      <w:tr>
        <w:trPr>
          <w:trHeight w:val="715"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上海达保贵生信息科技股份有限公司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45"/>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2,596,878.04</w:t>
            </w:r>
          </w:p>
        </w:tc>
      </w:tr>
      <w:tr>
        <w:trPr>
          <w:trHeight w:val="713"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上海全程玖玖健康服务有限公司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3" w:right="45"/>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1,839,622.59</w:t>
            </w: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9,167,313.58</w:t>
            </w:r>
          </w:p>
        </w:tc>
      </w:tr>
      <w:tr>
        <w:trPr>
          <w:trHeight w:val="715"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宁波市科技园区明天医网科技有限公司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45"/>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 </w:t>
            </w: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5,936,061.21</w:t>
            </w: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2,607,160.25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21"/>
        <w:gridCol w:w="850"/>
        <w:gridCol w:w="1419"/>
        <w:gridCol w:w="1416"/>
        <w:gridCol w:w="1561"/>
        <w:gridCol w:w="1205"/>
      </w:tblGrid>
      <w:tr>
        <w:trPr>
          <w:trHeight w:val="713" w:hRule="exact"/>
        </w:trPr>
        <w:tc>
          <w:tcPr>
            <w:tcW w:w="3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39" w:right="59"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694"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许晓荣</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75" w:right="0"/>
              <w:jc w:val="left"/>
              <w:rPr>
                <w:rFonts w:ascii="Times New Roman" w:hAnsi="Times New Roman" w:cs="Times New Roman" w:eastAsia="Times New Roman" w:hint="default"/>
                <w:sz w:val="18"/>
                <w:szCs w:val="18"/>
              </w:rPr>
            </w:pPr>
            <w:r>
              <w:rPr>
                <w:rFonts w:ascii="Times New Roman"/>
                <w:sz w:val="18"/>
              </w:rPr>
              <w:t>645,088.89</w:t>
            </w: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sz w:val="27"/>
          <w:szCs w:val="27"/>
        </w:rPr>
      </w:pPr>
    </w:p>
    <w:p>
      <w:pPr>
        <w:pStyle w:val="BodyText"/>
        <w:spacing w:line="240" w:lineRule="auto" w:before="44"/>
        <w:ind w:right="2602"/>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687"/>
        <w:gridCol w:w="2268"/>
        <w:gridCol w:w="1844"/>
        <w:gridCol w:w="1771"/>
      </w:tblGrid>
      <w:tr>
        <w:trPr>
          <w:trHeight w:val="401"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关联交易内容</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704,577.25</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上海达保贵生信息科技股份有限公司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1,274,433.96</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2,867,126.19</w:t>
            </w:r>
          </w:p>
        </w:tc>
      </w:tr>
      <w:tr>
        <w:trPr>
          <w:trHeight w:val="404"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宁波市科技园区明天医网科技有限公司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181,034.48</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上海全程玖玖健康服务有限公司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w:t>
            </w:r>
          </w:p>
        </w:tc>
        <w:tc>
          <w:tcPr>
            <w:tcW w:w="1844"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1,234,276.73</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上海万达健青网络科技有限公司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391,089.02</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成都天府市民云服务有限公司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15,026,339.11</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长沙市民云信息服务有限公司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801,886.79</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驻马店天中市民云服务有限公司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销售商品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1,344,339.62</w:t>
            </w:r>
          </w:p>
        </w:tc>
        <w:tc>
          <w:tcPr>
            <w:tcW w:w="177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506" w:lineRule="auto" w:before="36"/>
        <w:ind w:left="573" w:right="6434" w:hanging="421"/>
        <w:jc w:val="left"/>
        <w:rPr>
          <w:rFonts w:ascii="宋体" w:hAnsi="宋体" w:cs="宋体" w:eastAsia="宋体" w:hint="default"/>
          <w:b w:val="0"/>
          <w:bCs w:val="0"/>
        </w:rPr>
      </w:pPr>
      <w:bookmarkStart w:name="（2）关联受托管理/承包及委托管理/出包情况" w:id="454"/>
      <w:bookmarkEnd w:id="454"/>
      <w:r>
        <w:rPr>
          <w:b w:val="0"/>
          <w:bCs w:val="0"/>
        </w:rPr>
      </w:r>
      <w:r>
        <w:rPr>
          <w:spacing w:val="-1"/>
        </w:rPr>
        <w:t>（</w:t>
      </w:r>
      <w:r>
        <w:rPr>
          <w:rFonts w:ascii="Times New Roman" w:hAnsi="Times New Roman" w:cs="Times New Roman" w:eastAsia="Times New Roman" w:hint="default"/>
          <w:spacing w:val="-1"/>
        </w:rPr>
        <w:t>2</w:t>
      </w:r>
      <w:r>
        <w:rPr>
          <w:spacing w:val="-1"/>
        </w:rPr>
        <w:t>）关联受托管理</w:t>
      </w:r>
      <w:r>
        <w:rPr>
          <w:rFonts w:ascii="Times New Roman" w:hAnsi="Times New Roman" w:cs="Times New Roman" w:eastAsia="Times New Roman" w:hint="default"/>
          <w:spacing w:val="-1"/>
        </w:rPr>
        <w:t>/</w:t>
      </w:r>
      <w:r>
        <w:rPr>
          <w:spacing w:val="-1"/>
        </w:rPr>
        <w:t>承包及委托管理</w:t>
      </w:r>
      <w:r>
        <w:rPr>
          <w:rFonts w:ascii="Times New Roman" w:hAnsi="Times New Roman" w:cs="Times New Roman" w:eastAsia="Times New Roman" w:hint="default"/>
          <w:spacing w:val="-1"/>
        </w:rPr>
        <w:t>/</w:t>
      </w:r>
      <w:r>
        <w:rPr>
          <w:spacing w:val="-1"/>
        </w:rPr>
        <w:t>出包情况</w:t>
      </w:r>
      <w:r>
        <w:rPr>
          <w:spacing w:val="-83"/>
        </w:rPr>
        <w:t> </w:t>
      </w:r>
      <w:r>
        <w:rPr>
          <w:rFonts w:ascii="宋体" w:hAnsi="宋体" w:cs="宋体" w:eastAsia="宋体" w:hint="default"/>
          <w:b w:val="0"/>
          <w:bCs w:val="0"/>
        </w:rPr>
        <w:t>无</w:t>
      </w:r>
    </w:p>
    <w:p>
      <w:pPr>
        <w:pStyle w:val="Heading3"/>
        <w:spacing w:line="506" w:lineRule="auto" w:before="104"/>
        <w:ind w:left="573" w:right="8962" w:hanging="421"/>
        <w:jc w:val="left"/>
        <w:rPr>
          <w:rFonts w:ascii="宋体" w:hAnsi="宋体" w:cs="宋体" w:eastAsia="宋体" w:hint="default"/>
          <w:b w:val="0"/>
          <w:bCs w:val="0"/>
        </w:rPr>
      </w:pPr>
      <w:bookmarkStart w:name="（3）关联租赁情况" w:id="455"/>
      <w:bookmarkEnd w:id="455"/>
      <w:r>
        <w:rPr>
          <w:b w:val="0"/>
          <w:bCs w:val="0"/>
        </w:rPr>
      </w:r>
      <w:r>
        <w:rPr/>
        <w:t>（</w:t>
      </w:r>
      <w:r>
        <w:rPr>
          <w:rFonts w:ascii="Times New Roman" w:hAnsi="Times New Roman" w:cs="Times New Roman" w:eastAsia="Times New Roman" w:hint="default"/>
        </w:rPr>
        <w:t>3</w:t>
      </w:r>
      <w:r>
        <w:rPr/>
        <w:t>）关联租赁情况</w:t>
      </w:r>
      <w:r>
        <w:rPr>
          <w:spacing w:val="-104"/>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关联担保情况" w:id="456"/>
      <w:bookmarkEnd w:id="456"/>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t>本公司作为担保方</w:t>
      </w:r>
    </w:p>
    <w:p>
      <w:pPr>
        <w:pStyle w:val="BodyText"/>
        <w:spacing w:line="240" w:lineRule="auto" w:before="117"/>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977"/>
        <w:gridCol w:w="1560"/>
        <w:gridCol w:w="1560"/>
        <w:gridCol w:w="1560"/>
        <w:gridCol w:w="1916"/>
      </w:tblGrid>
      <w:tr>
        <w:trPr>
          <w:trHeight w:val="403" w:hRule="exact"/>
        </w:trPr>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被担保方</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7"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担保起始日</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担保到期日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1"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4"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9,000.00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4,600.00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61" w:lineRule="auto" w:before="36"/>
        <w:ind w:right="1126" w:firstLine="420"/>
        <w:jc w:val="both"/>
      </w:pPr>
      <w:r>
        <w:rPr>
          <w:spacing w:val="-5"/>
        </w:rPr>
        <w:t>注</w:t>
      </w:r>
      <w:r>
        <w:rPr>
          <w:rFonts w:ascii="Times New Roman" w:hAnsi="Times New Roman" w:cs="Times New Roman" w:eastAsia="Times New Roman" w:hint="default"/>
          <w:spacing w:val="-5"/>
        </w:rPr>
        <w:t>1</w:t>
      </w:r>
      <w:r>
        <w:rPr>
          <w:spacing w:val="-5"/>
        </w:rPr>
        <w:t>：本公司与中国民生银行股份有限公司上海分行基于《综合授信合同》签订《最高额保证合同》，</w:t>
      </w:r>
      <w:r>
        <w:rPr>
          <w:w w:val="100"/>
        </w:rPr>
        <w:t> </w:t>
      </w:r>
      <w:r>
        <w:rPr>
          <w:spacing w:val="-3"/>
        </w:rPr>
        <w:t>为四川浩特通信有限公司提供最高债权额</w:t>
      </w:r>
      <w:r>
        <w:rPr>
          <w:rFonts w:ascii="Times New Roman" w:hAnsi="Times New Roman" w:cs="Times New Roman" w:eastAsia="Times New Roman" w:hint="default"/>
          <w:spacing w:val="-3"/>
        </w:rPr>
        <w:t>1.5</w:t>
      </w:r>
      <w:r>
        <w:rPr>
          <w:spacing w:val="-3"/>
        </w:rPr>
        <w:t>亿元的连带责任保证，担保发生在</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9</w:t>
      </w:r>
      <w:r>
        <w:rPr>
          <w:spacing w:val="-3"/>
        </w:rPr>
        <w:t>月</w:t>
      </w:r>
      <w:r>
        <w:rPr>
          <w:rFonts w:ascii="Times New Roman" w:hAnsi="Times New Roman" w:cs="Times New Roman" w:eastAsia="Times New Roman" w:hint="default"/>
          <w:spacing w:val="-3"/>
        </w:rPr>
        <w:t>6</w:t>
      </w:r>
      <w:r>
        <w:rPr>
          <w:spacing w:val="-3"/>
        </w:rPr>
        <w:t>日至</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9</w:t>
      </w:r>
      <w:r>
        <w:rPr>
          <w:spacing w:val="-3"/>
        </w:rPr>
        <w:t>月</w:t>
      </w:r>
      <w:r>
        <w:rPr>
          <w:rFonts w:ascii="Times New Roman" w:hAnsi="Times New Roman" w:cs="Times New Roman" w:eastAsia="Times New Roman" w:hint="default"/>
          <w:spacing w:val="-3"/>
        </w:rPr>
        <w:t>6</w:t>
      </w:r>
      <w:r>
        <w:rPr>
          <w:rFonts w:ascii="Times New Roman" w:hAnsi="Times New Roman" w:cs="Times New Roman" w:eastAsia="Times New Roman" w:hint="default"/>
          <w:spacing w:val="24"/>
        </w:rPr>
        <w:t> </w:t>
      </w:r>
      <w:r>
        <w:rPr>
          <w:spacing w:val="-2"/>
        </w:rPr>
        <w:t>日之间的主债权。每一笔债务单独计算保证期间，起算日为主合同项下任何一笔债务的履行期限届满日与</w:t>
      </w:r>
      <w:r>
        <w:rPr>
          <w:spacing w:val="-43"/>
        </w:rPr>
        <w:t> </w:t>
      </w:r>
      <w:r>
        <w:rPr>
          <w:spacing w:val="-43"/>
        </w:rPr>
      </w:r>
      <w:r>
        <w:rPr/>
        <w:t>被担保债权的确定日中的孰晚日，保证期间为两年。</w:t>
      </w:r>
    </w:p>
    <w:p>
      <w:pPr>
        <w:pStyle w:val="Heading4"/>
        <w:spacing w:line="256" w:lineRule="auto" w:before="18"/>
        <w:ind w:right="1126" w:firstLine="420"/>
        <w:jc w:val="both"/>
      </w:pPr>
      <w:r>
        <w:rPr>
          <w:spacing w:val="-5"/>
        </w:rPr>
        <w:t>注</w:t>
      </w:r>
      <w:r>
        <w:rPr>
          <w:rFonts w:ascii="Times New Roman" w:hAnsi="Times New Roman" w:cs="Times New Roman" w:eastAsia="Times New Roman" w:hint="default"/>
          <w:spacing w:val="-5"/>
        </w:rPr>
        <w:t>2</w:t>
      </w:r>
      <w:r>
        <w:rPr>
          <w:spacing w:val="-5"/>
        </w:rPr>
        <w:t>：本公司与中国民生银行股份有限公司上海分行基于《综合授信合同》签订《最高额保证合同》，</w:t>
      </w:r>
      <w:r>
        <w:rPr>
          <w:w w:val="100"/>
        </w:rPr>
        <w:t> </w:t>
      </w:r>
      <w:r>
        <w:rPr/>
        <w:t>为四川浩特通信有限公司提供最高债权额</w:t>
      </w:r>
      <w:r>
        <w:rPr>
          <w:rFonts w:ascii="Times New Roman" w:hAnsi="Times New Roman" w:cs="Times New Roman" w:eastAsia="Times New Roman" w:hint="default"/>
        </w:rPr>
        <w:t>5</w:t>
      </w:r>
      <w:r>
        <w:rPr/>
        <w:t>千万元的连带责任保证，担保发生在</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16</w:t>
      </w:r>
      <w:r>
        <w:rPr/>
        <w:t>日至</w:t>
      </w:r>
      <w:r>
        <w:rPr>
          <w:rFonts w:ascii="Times New Roman" w:hAnsi="Times New Roman" w:cs="Times New Roman" w:eastAsia="Times New Roman" w:hint="default"/>
        </w:rPr>
        <w:t>2020</w:t>
      </w:r>
      <w:r>
        <w:rPr/>
        <w:t>年</w:t>
      </w:r>
      <w:r>
        <w:rPr>
          <w:spacing w:val="-28"/>
        </w:rPr>
        <w:t> </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15</w:t>
      </w:r>
      <w:r>
        <w:rPr>
          <w:spacing w:val="-2"/>
        </w:rPr>
        <w:t>日之间的主债权。每一笔债务单独计算保证期间，起算日为主合同项下任何一笔债务的履行期限届</w:t>
      </w:r>
      <w:r>
        <w:rPr>
          <w:spacing w:val="-38"/>
        </w:rPr>
        <w:t> </w:t>
      </w:r>
      <w:r>
        <w:rPr>
          <w:spacing w:val="-38"/>
        </w:rPr>
      </w:r>
      <w:r>
        <w:rPr/>
        <w:t>满日与被担保债权的确定日中的孰晚日，保证期间为三年。</w:t>
      </w:r>
    </w:p>
    <w:p>
      <w:pPr>
        <w:pStyle w:val="Heading4"/>
        <w:spacing w:line="256" w:lineRule="auto" w:before="22"/>
        <w:ind w:right="1124" w:firstLine="420"/>
        <w:jc w:val="both"/>
      </w:pPr>
      <w:r>
        <w:rPr>
          <w:spacing w:val="-5"/>
        </w:rPr>
        <w:t>注</w:t>
      </w:r>
      <w:r>
        <w:rPr>
          <w:rFonts w:ascii="Times New Roman" w:hAnsi="Times New Roman" w:cs="Times New Roman" w:eastAsia="Times New Roman" w:hint="default"/>
          <w:spacing w:val="-5"/>
        </w:rPr>
        <w:t>3</w:t>
      </w:r>
      <w:r>
        <w:rPr>
          <w:spacing w:val="-5"/>
        </w:rPr>
        <w:t>：本公司与中国民生银行股份有限公司上海分行基于《综合授信合同》签订《最高额保证合同》，</w:t>
      </w:r>
      <w:r>
        <w:rPr>
          <w:w w:val="100"/>
        </w:rPr>
        <w:t> </w:t>
      </w:r>
      <w:r>
        <w:rPr>
          <w:spacing w:val="3"/>
        </w:rPr>
        <w:t>为上海万达信息系统有限公司提供最高债权额</w:t>
      </w:r>
      <w:r>
        <w:rPr>
          <w:rFonts w:ascii="Times New Roman" w:hAnsi="Times New Roman" w:cs="Times New Roman" w:eastAsia="Times New Roman" w:hint="default"/>
          <w:spacing w:val="3"/>
        </w:rPr>
        <w:t>3</w:t>
      </w:r>
      <w:r>
        <w:rPr>
          <w:spacing w:val="3"/>
        </w:rPr>
        <w:t>千万元的连带责任保证，担保发生在</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10</w:t>
      </w:r>
      <w:r>
        <w:rPr>
          <w:spacing w:val="3"/>
        </w:rPr>
        <w:t>月</w:t>
      </w:r>
      <w:r>
        <w:rPr>
          <w:rFonts w:ascii="Times New Roman" w:hAnsi="Times New Roman" w:cs="Times New Roman" w:eastAsia="Times New Roman" w:hint="default"/>
          <w:spacing w:val="3"/>
        </w:rPr>
        <w:t>16</w:t>
      </w:r>
      <w:r>
        <w:rPr>
          <w:spacing w:val="3"/>
        </w:rPr>
        <w:t>日至</w:t>
      </w:r>
      <w:r>
        <w:rPr>
          <w:spacing w:val="16"/>
        </w:rPr>
        <w:t> </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15</w:t>
      </w:r>
      <w:r>
        <w:rPr>
          <w:spacing w:val="-2"/>
        </w:rPr>
        <w:t>日之间的主债权。每一笔债务单独计算保证期间，起算日为主合同项下任何一笔债务的履行</w:t>
      </w:r>
      <w:r>
        <w:rPr>
          <w:spacing w:val="-34"/>
        </w:rPr>
        <w:t> </w:t>
      </w:r>
      <w:r>
        <w:rPr>
          <w:spacing w:val="-34"/>
        </w:rPr>
      </w:r>
      <w:r>
        <w:rPr/>
        <w:t>期限届满日与被担保债权的确定日中的孰晚日，保证期间为三年。</w:t>
      </w:r>
    </w:p>
    <w:p>
      <w:pPr>
        <w:pStyle w:val="Heading4"/>
        <w:spacing w:line="256" w:lineRule="auto" w:before="23"/>
        <w:ind w:right="1126" w:firstLine="420"/>
        <w:jc w:val="both"/>
      </w:pPr>
      <w:r>
        <w:rPr>
          <w:spacing w:val="-4"/>
        </w:rPr>
        <w:t>注</w:t>
      </w:r>
      <w:r>
        <w:rPr>
          <w:rFonts w:ascii="Times New Roman" w:hAnsi="Times New Roman" w:cs="Times New Roman" w:eastAsia="Times New Roman" w:hint="default"/>
          <w:spacing w:val="-4"/>
        </w:rPr>
        <w:t>4</w:t>
      </w:r>
      <w:r>
        <w:rPr>
          <w:spacing w:val="-4"/>
        </w:rPr>
        <w:t>：本公司全资子公司四川浩特通信有限公司（以下简称</w:t>
      </w:r>
      <w:r>
        <w:rPr>
          <w:rFonts w:ascii="Times New Roman" w:hAnsi="Times New Roman" w:cs="Times New Roman" w:eastAsia="Times New Roman" w:hint="default"/>
          <w:spacing w:val="-4"/>
        </w:rPr>
        <w:t>“</w:t>
      </w:r>
      <w:r>
        <w:rPr>
          <w:spacing w:val="-4"/>
        </w:rPr>
        <w:t>四川浩特</w:t>
      </w:r>
      <w:r>
        <w:rPr>
          <w:rFonts w:ascii="Times New Roman" w:hAnsi="Times New Roman" w:cs="Times New Roman" w:eastAsia="Times New Roman" w:hint="default"/>
          <w:spacing w:val="-4"/>
        </w:rPr>
        <w:t>”</w:t>
      </w:r>
      <w:r>
        <w:rPr>
          <w:spacing w:val="-4"/>
        </w:rPr>
        <w:t>）因公司经营发展需要，与长江</w:t>
      </w:r>
      <w:r>
        <w:rPr>
          <w:w w:val="100"/>
        </w:rPr>
        <w:t> </w:t>
      </w:r>
      <w:r>
        <w:rPr>
          <w:spacing w:val="-6"/>
        </w:rPr>
        <w:t>联合金融租赁有限公司（以下简称</w:t>
      </w:r>
      <w:r>
        <w:rPr>
          <w:rFonts w:ascii="Times New Roman" w:hAnsi="Times New Roman" w:cs="Times New Roman" w:eastAsia="Times New Roman" w:hint="default"/>
          <w:spacing w:val="-6"/>
        </w:rPr>
        <w:t>“</w:t>
      </w:r>
      <w:r>
        <w:rPr>
          <w:spacing w:val="-6"/>
        </w:rPr>
        <w:t>长江联合</w:t>
      </w:r>
      <w:r>
        <w:rPr>
          <w:rFonts w:ascii="Times New Roman" w:hAnsi="Times New Roman" w:cs="Times New Roman" w:eastAsia="Times New Roman" w:hint="default"/>
          <w:spacing w:val="-6"/>
        </w:rPr>
        <w:t>”</w:t>
      </w:r>
      <w:r>
        <w:rPr>
          <w:spacing w:val="-6"/>
        </w:rPr>
        <w:t>）签订《融资租赁合同》（售后回租类），通过融资租赁（售</w:t>
      </w:r>
      <w:r>
        <w:rPr>
          <w:spacing w:val="-38"/>
        </w:rPr>
        <w:t> </w:t>
      </w:r>
      <w:r>
        <w:rPr>
          <w:spacing w:val="-38"/>
        </w:rPr>
      </w:r>
      <w:r>
        <w:rPr>
          <w:spacing w:val="-4"/>
        </w:rPr>
        <w:t>后回租类）形式，向长江联合融资人民币</w:t>
      </w:r>
      <w:r>
        <w:rPr>
          <w:rFonts w:ascii="Times New Roman" w:hAnsi="Times New Roman" w:cs="Times New Roman" w:eastAsia="Times New Roman" w:hint="default"/>
          <w:spacing w:val="-4"/>
        </w:rPr>
        <w:t>9,000.00</w:t>
      </w:r>
      <w:r>
        <w:rPr>
          <w:spacing w:val="-4"/>
        </w:rPr>
        <w:t>万元。本公司为四川浩特提供不可撤销的连带责任保证。</w:t>
      </w:r>
      <w:r>
        <w:rPr>
          <w:spacing w:val="-39"/>
        </w:rPr>
        <w:t> </w:t>
      </w:r>
      <w:r>
        <w:rPr>
          <w:spacing w:val="-39"/>
        </w:rPr>
      </w:r>
      <w:r>
        <w:rPr/>
        <w:t>保证期间自保证合同签署之日至租赁合同项下主债务履行期届满之日起满两年的期间。</w:t>
      </w:r>
    </w:p>
    <w:p>
      <w:pPr>
        <w:pStyle w:val="Heading4"/>
        <w:spacing w:line="256" w:lineRule="auto" w:before="22"/>
        <w:ind w:right="1126" w:firstLine="420"/>
        <w:jc w:val="both"/>
      </w:pPr>
      <w:r>
        <w:rPr>
          <w:spacing w:val="-4"/>
        </w:rPr>
        <w:t>注</w:t>
      </w:r>
      <w:r>
        <w:rPr>
          <w:rFonts w:ascii="Times New Roman" w:hAnsi="Times New Roman" w:cs="Times New Roman" w:eastAsia="Times New Roman" w:hint="default"/>
          <w:spacing w:val="-4"/>
        </w:rPr>
        <w:t>5</w:t>
      </w:r>
      <w:r>
        <w:rPr>
          <w:spacing w:val="-4"/>
        </w:rPr>
        <w:t>：本公司全资子公司四川浩特通信有限公司（以下简称</w:t>
      </w:r>
      <w:r>
        <w:rPr>
          <w:rFonts w:ascii="Times New Roman" w:hAnsi="Times New Roman" w:cs="Times New Roman" w:eastAsia="Times New Roman" w:hint="default"/>
          <w:spacing w:val="-4"/>
        </w:rPr>
        <w:t>“</w:t>
      </w:r>
      <w:r>
        <w:rPr>
          <w:spacing w:val="-4"/>
        </w:rPr>
        <w:t>四川浩特</w:t>
      </w:r>
      <w:r>
        <w:rPr>
          <w:rFonts w:ascii="Times New Roman" w:hAnsi="Times New Roman" w:cs="Times New Roman" w:eastAsia="Times New Roman" w:hint="default"/>
          <w:spacing w:val="-4"/>
        </w:rPr>
        <w:t>”</w:t>
      </w:r>
      <w:r>
        <w:rPr>
          <w:spacing w:val="-4"/>
        </w:rPr>
        <w:t>）因公司经营发展需要，与长江</w:t>
      </w:r>
      <w:r>
        <w:rPr>
          <w:w w:val="100"/>
        </w:rPr>
        <w:t> </w:t>
      </w:r>
      <w:r>
        <w:rPr>
          <w:spacing w:val="-6"/>
        </w:rPr>
        <w:t>联合金融租赁有限公司（以下简称</w:t>
      </w:r>
      <w:r>
        <w:rPr>
          <w:rFonts w:ascii="Times New Roman" w:hAnsi="Times New Roman" w:cs="Times New Roman" w:eastAsia="Times New Roman" w:hint="default"/>
          <w:spacing w:val="-6"/>
        </w:rPr>
        <w:t>“</w:t>
      </w:r>
      <w:r>
        <w:rPr>
          <w:spacing w:val="-6"/>
        </w:rPr>
        <w:t>长江联合</w:t>
      </w:r>
      <w:r>
        <w:rPr>
          <w:rFonts w:ascii="Times New Roman" w:hAnsi="Times New Roman" w:cs="Times New Roman" w:eastAsia="Times New Roman" w:hint="default"/>
          <w:spacing w:val="-6"/>
        </w:rPr>
        <w:t>”</w:t>
      </w:r>
      <w:r>
        <w:rPr>
          <w:spacing w:val="-6"/>
        </w:rPr>
        <w:t>）签订《融资租赁合同》（售后回租类），通过融资租赁（售</w:t>
      </w:r>
      <w:r>
        <w:rPr>
          <w:spacing w:val="-38"/>
        </w:rPr>
        <w:t> </w:t>
      </w:r>
      <w:r>
        <w:rPr>
          <w:spacing w:val="-38"/>
        </w:rPr>
      </w:r>
      <w:r>
        <w:rPr>
          <w:spacing w:val="-4"/>
        </w:rPr>
        <w:t>后回租类）形式，向长江联合融资人民币</w:t>
      </w:r>
      <w:r>
        <w:rPr>
          <w:rFonts w:ascii="Times New Roman" w:hAnsi="Times New Roman" w:cs="Times New Roman" w:eastAsia="Times New Roman" w:hint="default"/>
          <w:spacing w:val="-4"/>
        </w:rPr>
        <w:t>1,000.00</w:t>
      </w:r>
      <w:r>
        <w:rPr>
          <w:spacing w:val="-4"/>
        </w:rPr>
        <w:t>万元。本公司为四川浩特提供不可撤销的连带责任保证。</w:t>
      </w:r>
      <w:r>
        <w:rPr>
          <w:spacing w:val="-39"/>
        </w:rPr>
        <w:t> </w:t>
      </w:r>
      <w:r>
        <w:rPr>
          <w:spacing w:val="-39"/>
        </w:rPr>
      </w:r>
      <w:r>
        <w:rPr/>
        <w:t>保证期间自保证合同签署之日至租赁合同项下主债务履行期届满之日起满两年的期间。</w:t>
      </w:r>
    </w:p>
    <w:p>
      <w:pPr>
        <w:pStyle w:val="Heading4"/>
        <w:spacing w:line="261" w:lineRule="auto" w:before="22"/>
        <w:ind w:right="0" w:firstLine="420"/>
        <w:jc w:val="left"/>
      </w:pPr>
      <w:r>
        <w:rPr>
          <w:spacing w:val="-4"/>
        </w:rPr>
        <w:t>注</w:t>
      </w:r>
      <w:r>
        <w:rPr>
          <w:rFonts w:ascii="Times New Roman" w:hAnsi="Times New Roman" w:cs="Times New Roman" w:eastAsia="Times New Roman" w:hint="default"/>
          <w:spacing w:val="-4"/>
        </w:rPr>
        <w:t>6</w:t>
      </w:r>
      <w:r>
        <w:rPr>
          <w:spacing w:val="-4"/>
        </w:rPr>
        <w:t>：本公司全资子公司四川浩特通信有限公司（以下简称</w:t>
      </w:r>
      <w:r>
        <w:rPr>
          <w:rFonts w:ascii="Times New Roman" w:hAnsi="Times New Roman" w:cs="Times New Roman" w:eastAsia="Times New Roman" w:hint="default"/>
          <w:spacing w:val="-4"/>
        </w:rPr>
        <w:t>“</w:t>
      </w:r>
      <w:r>
        <w:rPr>
          <w:spacing w:val="-4"/>
        </w:rPr>
        <w:t>四川浩特</w:t>
      </w:r>
      <w:r>
        <w:rPr>
          <w:rFonts w:ascii="Times New Roman" w:hAnsi="Times New Roman" w:cs="Times New Roman" w:eastAsia="Times New Roman" w:hint="default"/>
          <w:spacing w:val="-4"/>
        </w:rPr>
        <w:t>”</w:t>
      </w:r>
      <w:r>
        <w:rPr>
          <w:spacing w:val="-4"/>
        </w:rPr>
        <w:t>）因公司项目建设需要，由成都</w:t>
      </w:r>
      <w:r>
        <w:rPr>
          <w:w w:val="100"/>
        </w:rPr>
        <w:t> </w:t>
      </w:r>
      <w:r>
        <w:rPr>
          <w:spacing w:val="-4"/>
        </w:rPr>
        <w:t>盈开投资有限公司（以下简称</w:t>
      </w:r>
      <w:r>
        <w:rPr>
          <w:rFonts w:ascii="Times New Roman" w:hAnsi="Times New Roman" w:cs="Times New Roman" w:eastAsia="Times New Roman" w:hint="default"/>
          <w:spacing w:val="-4"/>
        </w:rPr>
        <w:t>“</w:t>
      </w:r>
      <w:r>
        <w:rPr>
          <w:spacing w:val="-4"/>
        </w:rPr>
        <w:t>盈开投资</w:t>
      </w:r>
      <w:r>
        <w:rPr>
          <w:rFonts w:ascii="Times New Roman" w:hAnsi="Times New Roman" w:cs="Times New Roman" w:eastAsia="Times New Roman" w:hint="default"/>
          <w:spacing w:val="-4"/>
        </w:rPr>
        <w:t>”</w:t>
      </w:r>
      <w:r>
        <w:rPr>
          <w:spacing w:val="-4"/>
        </w:rPr>
        <w:t>）委托中国民生银行股份有限公司成都分行（以下简称</w:t>
      </w:r>
      <w:r>
        <w:rPr>
          <w:rFonts w:ascii="Times New Roman" w:hAnsi="Times New Roman" w:cs="Times New Roman" w:eastAsia="Times New Roman" w:hint="default"/>
          <w:spacing w:val="-4"/>
        </w:rPr>
        <w:t>“</w:t>
      </w:r>
      <w:r>
        <w:rPr>
          <w:spacing w:val="-4"/>
        </w:rPr>
        <w:t>民生银行</w:t>
      </w:r>
      <w:r>
        <w:rPr>
          <w:spacing w:val="-15"/>
        </w:rPr>
        <w:t> </w:t>
      </w:r>
      <w:r>
        <w:rPr>
          <w:spacing w:val="-15"/>
        </w:rPr>
      </w:r>
      <w:r>
        <w:rPr>
          <w:spacing w:val="-4"/>
        </w:rPr>
        <w:t>成都分行</w:t>
      </w:r>
      <w:r>
        <w:rPr>
          <w:rFonts w:ascii="Times New Roman" w:hAnsi="Times New Roman" w:cs="Times New Roman" w:eastAsia="Times New Roman" w:hint="default"/>
          <w:spacing w:val="-4"/>
        </w:rPr>
        <w:t>”</w:t>
      </w:r>
      <w:r>
        <w:rPr>
          <w:spacing w:val="-4"/>
        </w:rPr>
        <w:t>）向四川浩特发放</w:t>
      </w:r>
      <w:r>
        <w:rPr>
          <w:rFonts w:ascii="Times New Roman" w:hAnsi="Times New Roman" w:cs="Times New Roman" w:eastAsia="Times New Roman" w:hint="default"/>
          <w:spacing w:val="-4"/>
        </w:rPr>
        <w:t>4,600.00</w:t>
      </w:r>
      <w:r>
        <w:rPr>
          <w:spacing w:val="-4"/>
        </w:rPr>
        <w:t>万元借款，成都中小企业融资担保有限责任公司为上述借款提供担保。</w:t>
      </w:r>
      <w:r>
        <w:rPr>
          <w:spacing w:val="-23"/>
        </w:rPr>
        <w:t> </w:t>
      </w:r>
      <w:r>
        <w:rPr>
          <w:spacing w:val="-23"/>
        </w:rPr>
      </w:r>
      <w:r>
        <w:rPr>
          <w:spacing w:val="2"/>
        </w:rPr>
        <w:t>本公司向成都中小企业融资担保有限责任公司为四川浩特在盈开投资申请的上述借款提供连带责任反担</w:t>
      </w:r>
      <w:r>
        <w:rPr>
          <w:spacing w:val="-30"/>
        </w:rPr>
        <w:t> </w:t>
      </w:r>
      <w:r>
        <w:rPr>
          <w:spacing w:val="-30"/>
        </w:rPr>
      </w:r>
      <w:r>
        <w:rPr/>
        <w:t>保，反担保期限为两年，自成都中小企业融资担保有限责任公司实际代偿每笔担保债务之次日开始计算。</w:t>
      </w:r>
    </w:p>
    <w:p>
      <w:pPr>
        <w:pStyle w:val="Heading4"/>
        <w:spacing w:line="256" w:lineRule="auto" w:before="18"/>
        <w:ind w:right="1126" w:firstLine="420"/>
        <w:jc w:val="both"/>
      </w:pPr>
      <w:r>
        <w:rPr>
          <w:spacing w:val="-4"/>
        </w:rPr>
        <w:t>注</w:t>
      </w:r>
      <w:r>
        <w:rPr>
          <w:rFonts w:ascii="Times New Roman" w:hAnsi="Times New Roman" w:cs="Times New Roman" w:eastAsia="Times New Roman" w:hint="default"/>
          <w:spacing w:val="-4"/>
        </w:rPr>
        <w:t>7</w:t>
      </w:r>
      <w:r>
        <w:rPr>
          <w:spacing w:val="-4"/>
        </w:rPr>
        <w:t>：本公司全资子公司四川浩特通信有限公司（以下简称</w:t>
      </w:r>
      <w:r>
        <w:rPr>
          <w:rFonts w:ascii="Times New Roman" w:hAnsi="Times New Roman" w:cs="Times New Roman" w:eastAsia="Times New Roman" w:hint="default"/>
          <w:spacing w:val="-4"/>
        </w:rPr>
        <w:t>“</w:t>
      </w:r>
      <w:r>
        <w:rPr>
          <w:spacing w:val="-4"/>
        </w:rPr>
        <w:t>四川浩特</w:t>
      </w:r>
      <w:r>
        <w:rPr>
          <w:rFonts w:ascii="Times New Roman" w:hAnsi="Times New Roman" w:cs="Times New Roman" w:eastAsia="Times New Roman" w:hint="default"/>
          <w:spacing w:val="-4"/>
        </w:rPr>
        <w:t>”</w:t>
      </w:r>
      <w:r>
        <w:rPr>
          <w:spacing w:val="-4"/>
        </w:rPr>
        <w:t>）因公司经营发展需要，与长江</w:t>
      </w:r>
      <w:r>
        <w:rPr>
          <w:w w:val="100"/>
        </w:rPr>
        <w:t> </w:t>
      </w:r>
      <w:r>
        <w:rPr>
          <w:spacing w:val="-6"/>
        </w:rPr>
        <w:t>联合金融租赁有限公司（以下简称</w:t>
      </w:r>
      <w:r>
        <w:rPr>
          <w:rFonts w:ascii="Times New Roman" w:hAnsi="Times New Roman" w:cs="Times New Roman" w:eastAsia="Times New Roman" w:hint="default"/>
          <w:spacing w:val="-6"/>
        </w:rPr>
        <w:t>“</w:t>
      </w:r>
      <w:r>
        <w:rPr>
          <w:spacing w:val="-6"/>
        </w:rPr>
        <w:t>长江联合</w:t>
      </w:r>
      <w:r>
        <w:rPr>
          <w:rFonts w:ascii="Times New Roman" w:hAnsi="Times New Roman" w:cs="Times New Roman" w:eastAsia="Times New Roman" w:hint="default"/>
          <w:spacing w:val="-6"/>
        </w:rPr>
        <w:t>”</w:t>
      </w:r>
      <w:r>
        <w:rPr>
          <w:spacing w:val="-6"/>
        </w:rPr>
        <w:t>）签订《融资租赁合同》（售后回租类），通过融资租赁（售</w:t>
      </w:r>
      <w:r>
        <w:rPr>
          <w:spacing w:val="-38"/>
        </w:rPr>
        <w:t> </w:t>
      </w:r>
      <w:r>
        <w:rPr>
          <w:spacing w:val="-38"/>
        </w:rPr>
      </w:r>
      <w:r>
        <w:rPr>
          <w:spacing w:val="-4"/>
        </w:rPr>
        <w:t>后回租类）形式，向长江联合融资人民币</w:t>
      </w:r>
      <w:r>
        <w:rPr>
          <w:rFonts w:ascii="Times New Roman" w:hAnsi="Times New Roman" w:cs="Times New Roman" w:eastAsia="Times New Roman" w:hint="default"/>
          <w:spacing w:val="-4"/>
        </w:rPr>
        <w:t>4,000.00</w:t>
      </w:r>
      <w:r>
        <w:rPr>
          <w:spacing w:val="-4"/>
        </w:rPr>
        <w:t>万元。本公司为四川浩特提供不可撤销的连带责任保证。</w:t>
      </w:r>
      <w:r>
        <w:rPr>
          <w:spacing w:val="-39"/>
        </w:rPr>
        <w:t> </w:t>
      </w:r>
      <w:r>
        <w:rPr>
          <w:spacing w:val="-39"/>
        </w:rPr>
      </w:r>
      <w:r>
        <w:rPr/>
        <w:t>保证期间自保证合同签署之日至租赁合同项下主债务履行期届满之日起满两年的期间。</w:t>
      </w:r>
    </w:p>
    <w:p>
      <w:pPr>
        <w:spacing w:line="240" w:lineRule="auto" w:before="8"/>
        <w:rPr>
          <w:rFonts w:ascii="宋体" w:hAnsi="宋体" w:cs="宋体" w:eastAsia="宋体" w:hint="default"/>
          <w:sz w:val="24"/>
          <w:szCs w:val="24"/>
        </w:rPr>
      </w:pPr>
    </w:p>
    <w:p>
      <w:pPr>
        <w:pStyle w:val="Heading3"/>
        <w:spacing w:line="506" w:lineRule="auto"/>
        <w:ind w:left="573" w:right="8752" w:hanging="421"/>
        <w:jc w:val="left"/>
        <w:rPr>
          <w:rFonts w:ascii="宋体" w:hAnsi="宋体" w:cs="宋体" w:eastAsia="宋体" w:hint="default"/>
          <w:b w:val="0"/>
          <w:bCs w:val="0"/>
        </w:rPr>
      </w:pPr>
      <w:bookmarkStart w:name="（5）关联方资金拆借" w:id="457"/>
      <w:bookmarkEnd w:id="457"/>
      <w:r>
        <w:rPr>
          <w:b w:val="0"/>
          <w:bCs w:val="0"/>
        </w:rPr>
      </w:r>
      <w:r>
        <w:rPr/>
        <w:t>（</w:t>
      </w:r>
      <w:r>
        <w:rPr>
          <w:rFonts w:ascii="Times New Roman" w:hAnsi="Times New Roman" w:cs="Times New Roman" w:eastAsia="Times New Roman" w:hint="default"/>
        </w:rPr>
        <w:t>5</w:t>
      </w:r>
      <w:r>
        <w:rPr/>
        <w:t>）关联方资金拆借</w:t>
      </w:r>
      <w:r>
        <w:rPr>
          <w:w w:val="100"/>
        </w:rPr>
        <w:t> </w:t>
      </w:r>
      <w:r>
        <w:rPr>
          <w:rFonts w:ascii="宋体" w:hAnsi="宋体" w:cs="宋体" w:eastAsia="宋体" w:hint="default"/>
          <w:b w:val="0"/>
          <w:bCs w:val="0"/>
        </w:rPr>
        <w:t>无</w:t>
      </w:r>
    </w:p>
    <w:p>
      <w:pPr>
        <w:pStyle w:val="Heading3"/>
        <w:spacing w:line="506" w:lineRule="auto" w:before="104"/>
        <w:ind w:left="573" w:right="7154" w:hanging="421"/>
        <w:jc w:val="left"/>
        <w:rPr>
          <w:rFonts w:ascii="宋体" w:hAnsi="宋体" w:cs="宋体" w:eastAsia="宋体" w:hint="default"/>
          <w:b w:val="0"/>
          <w:bCs w:val="0"/>
        </w:rPr>
      </w:pPr>
      <w:bookmarkStart w:name="（6）关联方资产转让、债务重组情况" w:id="458"/>
      <w:bookmarkEnd w:id="458"/>
      <w:r>
        <w:rPr>
          <w:b w:val="0"/>
          <w:bCs w:val="0"/>
        </w:rPr>
      </w:r>
      <w:r>
        <w:rPr>
          <w:spacing w:val="-1"/>
        </w:rPr>
        <w:t>（</w:t>
      </w:r>
      <w:r>
        <w:rPr>
          <w:rFonts w:ascii="Times New Roman" w:hAnsi="Times New Roman" w:cs="Times New Roman" w:eastAsia="Times New Roman" w:hint="default"/>
          <w:spacing w:val="-1"/>
        </w:rPr>
        <w:t>6</w:t>
      </w:r>
      <w:r>
        <w:rPr>
          <w:spacing w:val="-1"/>
        </w:rPr>
        <w:t>）关联方资产转让、债务重组情况</w:t>
      </w:r>
      <w:r>
        <w:rPr>
          <w:spacing w:val="-90"/>
        </w:rPr>
        <w:t> </w:t>
      </w:r>
      <w:r>
        <w:rPr>
          <w:spacing w:val="-90"/>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7）关键管理人员报酬" w:id="459"/>
      <w:bookmarkEnd w:id="459"/>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16,200,000.00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8,430,000.00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8）其他关联交易" w:id="460"/>
      <w:bookmarkEnd w:id="460"/>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10"/>
        <w:rPr>
          <w:rFonts w:ascii="宋体" w:hAnsi="宋体" w:cs="宋体" w:eastAsia="宋体" w:hint="default"/>
          <w:b/>
          <w:bCs/>
          <w:sz w:val="24"/>
          <w:szCs w:val="24"/>
        </w:rPr>
      </w:pPr>
    </w:p>
    <w:p>
      <w:pPr>
        <w:spacing w:line="273" w:lineRule="auto" w:before="0"/>
        <w:ind w:left="573" w:right="0" w:firstLine="2"/>
        <w:jc w:val="left"/>
        <w:rPr>
          <w:rFonts w:ascii="宋体" w:hAnsi="宋体" w:cs="宋体" w:eastAsia="宋体" w:hint="default"/>
          <w:sz w:val="21"/>
          <w:szCs w:val="21"/>
        </w:rPr>
      </w:pPr>
      <w:r>
        <w:rPr>
          <w:rFonts w:ascii="宋体" w:hAnsi="宋体" w:cs="宋体" w:eastAsia="宋体" w:hint="default"/>
          <w:b/>
          <w:bCs/>
          <w:sz w:val="21"/>
          <w:szCs w:val="21"/>
        </w:rPr>
        <w:t>与参股公司签订融资租赁借款合同</w:t>
      </w:r>
      <w:r>
        <w:rPr>
          <w:rFonts w:ascii="宋体" w:hAnsi="宋体" w:cs="宋体" w:eastAsia="宋体" w:hint="default"/>
          <w:b/>
          <w:bCs/>
          <w:w w:val="100"/>
          <w:sz w:val="21"/>
          <w:szCs w:val="21"/>
        </w:rPr>
        <w:t> </w:t>
      </w:r>
      <w:r>
        <w:rPr>
          <w:rFonts w:ascii="宋体" w:hAnsi="宋体" w:cs="宋体" w:eastAsia="宋体" w:hint="default"/>
          <w:spacing w:val="-2"/>
          <w:sz w:val="21"/>
          <w:szCs w:val="21"/>
        </w:rPr>
        <w:t>公司全资子公司四川浩特通信有限公司因公司经营发展需要，分别于</w:t>
      </w:r>
      <w:r>
        <w:rPr>
          <w:rFonts w:ascii="Times New Roman" w:hAnsi="Times New Roman" w:cs="Times New Roman" w:eastAsia="Times New Roman" w:hint="default"/>
          <w:spacing w:val="-2"/>
          <w:sz w:val="21"/>
          <w:szCs w:val="21"/>
        </w:rPr>
        <w:t>2016</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8</w:t>
      </w:r>
      <w:r>
        <w:rPr>
          <w:rFonts w:ascii="宋体" w:hAnsi="宋体" w:cs="宋体" w:eastAsia="宋体" w:hint="default"/>
          <w:spacing w:val="-2"/>
          <w:sz w:val="21"/>
          <w:szCs w:val="21"/>
        </w:rPr>
        <w:t>月及</w:t>
      </w:r>
      <w:r>
        <w:rPr>
          <w:rFonts w:ascii="Times New Roman" w:hAnsi="Times New Roman" w:cs="Times New Roman" w:eastAsia="Times New Roman" w:hint="default"/>
          <w:spacing w:val="-2"/>
          <w:sz w:val="21"/>
          <w:szCs w:val="21"/>
        </w:rPr>
        <w:t>2016</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9</w:t>
      </w:r>
      <w:r>
        <w:rPr>
          <w:rFonts w:ascii="宋体" w:hAnsi="宋体" w:cs="宋体" w:eastAsia="宋体" w:hint="default"/>
          <w:spacing w:val="-2"/>
          <w:sz w:val="21"/>
          <w:szCs w:val="21"/>
        </w:rPr>
        <w:t>月与长江联</w:t>
      </w:r>
    </w:p>
    <w:p>
      <w:pPr>
        <w:pStyle w:val="Heading4"/>
        <w:spacing w:line="256" w:lineRule="auto" w:before="0"/>
        <w:ind w:right="0"/>
        <w:jc w:val="left"/>
      </w:pPr>
      <w:r>
        <w:rPr>
          <w:spacing w:val="-3"/>
        </w:rPr>
        <w:t>合金融租赁有限公司签订《融资租赁合同》（售后回租类），共向长江联合融资合计人民币</w:t>
      </w:r>
      <w:r>
        <w:rPr>
          <w:rFonts w:ascii="Times New Roman" w:hAnsi="Times New Roman" w:cs="Times New Roman" w:eastAsia="Times New Roman" w:hint="default"/>
          <w:spacing w:val="-3"/>
        </w:rPr>
        <w:t>100,000,000.00</w:t>
      </w:r>
      <w:r>
        <w:rPr>
          <w:rFonts w:ascii="Times New Roman" w:hAnsi="Times New Roman" w:cs="Times New Roman" w:eastAsia="Times New Roman" w:hint="default"/>
          <w:spacing w:val="25"/>
        </w:rPr>
        <w:t> </w:t>
      </w:r>
      <w:r>
        <w:rPr>
          <w:rFonts w:ascii="Times New Roman" w:hAnsi="Times New Roman" w:cs="Times New Roman" w:eastAsia="Times New Roman" w:hint="default"/>
          <w:spacing w:val="25"/>
        </w:rPr>
      </w:r>
      <w:r>
        <w:rPr/>
        <w:t>元，融资期限</w:t>
      </w:r>
      <w:r>
        <w:rPr>
          <w:rFonts w:ascii="Times New Roman" w:hAnsi="Times New Roman" w:cs="Times New Roman" w:eastAsia="Times New Roman" w:hint="default"/>
        </w:rPr>
        <w:t>5</w:t>
      </w:r>
      <w:r>
        <w:rPr/>
        <w:t>年。</w:t>
      </w:r>
    </w:p>
    <w:p>
      <w:pPr>
        <w:pStyle w:val="Heading4"/>
        <w:spacing w:line="256" w:lineRule="auto" w:before="5"/>
        <w:ind w:right="0" w:firstLine="420"/>
        <w:jc w:val="left"/>
      </w:pPr>
      <w:r>
        <w:rPr/>
        <w:t>公司全资子公司四川浩特通信有限公司因公司经营发展需要，于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月与长江联合金融租赁有限</w:t>
      </w:r>
      <w:r>
        <w:rPr>
          <w:w w:val="100"/>
        </w:rPr>
        <w:t> </w:t>
      </w:r>
      <w:r>
        <w:rPr>
          <w:spacing w:val="-1"/>
        </w:rPr>
        <w:t>公司签订《融资租赁合同》（售后回租类），向长江联合融资合计人民币</w:t>
      </w:r>
      <w:r>
        <w:rPr>
          <w:rFonts w:ascii="Times New Roman" w:hAnsi="Times New Roman" w:cs="Times New Roman" w:eastAsia="Times New Roman" w:hint="default"/>
          <w:spacing w:val="-1"/>
        </w:rPr>
        <w:t>40,000,000.00</w:t>
      </w:r>
      <w:r>
        <w:rPr>
          <w:spacing w:val="-1"/>
        </w:rPr>
        <w:t>元，融资期限</w:t>
      </w:r>
      <w:r>
        <w:rPr>
          <w:rFonts w:ascii="Times New Roman" w:hAnsi="Times New Roman" w:cs="Times New Roman" w:eastAsia="Times New Roman" w:hint="default"/>
          <w:spacing w:val="-1"/>
        </w:rPr>
        <w:t>5</w:t>
      </w:r>
      <w:r>
        <w:rPr>
          <w:spacing w:val="-1"/>
        </w:rPr>
        <w:t>年。</w:t>
      </w:r>
      <w:r>
        <w:rPr/>
      </w:r>
    </w:p>
    <w:p>
      <w:pPr>
        <w:pStyle w:val="Heading4"/>
        <w:spacing w:line="256" w:lineRule="auto" w:before="5"/>
        <w:ind w:right="0" w:firstLine="420"/>
        <w:jc w:val="left"/>
      </w:pPr>
      <w:r>
        <w:rPr/>
        <w:t>本公司经因营发展需要，于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月与长江联合金融租赁有限公司签订《融资租赁合同》（售后回</w:t>
      </w:r>
      <w:r>
        <w:rPr>
          <w:w w:val="100"/>
        </w:rPr>
        <w:t> </w:t>
      </w:r>
      <w:r>
        <w:rPr/>
        <w:t>租类），向长江联合融资合计人民币</w:t>
      </w:r>
      <w:r>
        <w:rPr>
          <w:rFonts w:ascii="Times New Roman" w:hAnsi="Times New Roman" w:cs="Times New Roman" w:eastAsia="Times New Roman" w:hint="default"/>
        </w:rPr>
        <w:t>60,000,000.00</w:t>
      </w:r>
      <w:r>
        <w:rPr/>
        <w:t>元，融资期限</w:t>
      </w:r>
      <w:r>
        <w:rPr>
          <w:rFonts w:ascii="Times New Roman" w:hAnsi="Times New Roman" w:cs="Times New Roman" w:eastAsia="Times New Roman" w:hint="default"/>
        </w:rPr>
        <w:t>5</w:t>
      </w:r>
      <w:r>
        <w:rPr/>
        <w:t>年。</w:t>
      </w:r>
    </w:p>
    <w:p>
      <w:pPr>
        <w:spacing w:line="240" w:lineRule="auto" w:before="4"/>
        <w:rPr>
          <w:rFonts w:ascii="宋体" w:hAnsi="宋体" w:cs="宋体" w:eastAsia="宋体" w:hint="default"/>
          <w:sz w:val="23"/>
          <w:szCs w:val="23"/>
        </w:rPr>
      </w:pPr>
    </w:p>
    <w:p>
      <w:pPr>
        <w:pStyle w:val="Heading3"/>
        <w:spacing w:line="240" w:lineRule="auto"/>
        <w:ind w:right="2602"/>
        <w:jc w:val="left"/>
        <w:rPr>
          <w:b w:val="0"/>
          <w:bCs w:val="0"/>
        </w:rPr>
      </w:pPr>
      <w:bookmarkStart w:name="6、关联方应收应付款项" w:id="461"/>
      <w:bookmarkEnd w:id="461"/>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2602"/>
        <w:jc w:val="left"/>
        <w:rPr>
          <w:b w:val="0"/>
          <w:bCs w:val="0"/>
        </w:rPr>
      </w:pPr>
      <w:bookmarkStart w:name="（1）应收项目" w:id="462"/>
      <w:bookmarkEnd w:id="462"/>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77"/>
        <w:gridCol w:w="3260"/>
        <w:gridCol w:w="1419"/>
        <w:gridCol w:w="1277"/>
        <w:gridCol w:w="1275"/>
        <w:gridCol w:w="1061"/>
      </w:tblGrid>
      <w:tr>
        <w:trPr>
          <w:trHeight w:val="403" w:hRule="exact"/>
        </w:trPr>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32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6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277" w:type="dxa"/>
            <w:vMerge/>
            <w:tcBorders>
              <w:left w:val="single" w:sz="4" w:space="0" w:color="000000"/>
              <w:bottom w:val="single" w:sz="4" w:space="0" w:color="000000"/>
              <w:right w:val="single" w:sz="4" w:space="0" w:color="000000"/>
            </w:tcBorders>
            <w:shd w:val="clear" w:color="auto" w:fill="D2D2D2"/>
          </w:tcPr>
          <w:p>
            <w:pPr/>
          </w:p>
        </w:tc>
        <w:tc>
          <w:tcPr>
            <w:tcW w:w="3260" w:type="dxa"/>
            <w:vMerge/>
            <w:tcBorders>
              <w:left w:val="single" w:sz="4" w:space="0" w:color="000000"/>
              <w:bottom w:val="single" w:sz="4" w:space="0" w:color="000000"/>
              <w:right w:val="single" w:sz="4" w:space="0" w:color="000000"/>
            </w:tcBorders>
            <w:shd w:val="clear" w:color="auto" w:fill="D2D2D2"/>
          </w:tcPr>
          <w:p>
            <w:pP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上海全程玖玖健康服务有限公司</w:t>
            </w:r>
          </w:p>
        </w:tc>
        <w:tc>
          <w:tcPr>
            <w:tcW w:w="141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1,570,000.00</w:t>
            </w: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上海达保贵生信息科技股份有限公司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18,827,592.76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2,582,895.83</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17,476,692.76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8" w:right="0"/>
              <w:jc w:val="left"/>
              <w:rPr>
                <w:rFonts w:ascii="Times New Roman" w:hAnsi="Times New Roman" w:cs="Times New Roman" w:eastAsia="Times New Roman" w:hint="default"/>
                <w:sz w:val="18"/>
                <w:szCs w:val="18"/>
              </w:rPr>
            </w:pPr>
            <w:r>
              <w:rPr>
                <w:rFonts w:ascii="Times New Roman"/>
                <w:sz w:val="18"/>
              </w:rPr>
              <w:t>622,708.66</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宁波市科技园区明天医网科技有限公司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其他应收账款</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上海嘉达信息科技有限公司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150,000.00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3,000,000.00</w:t>
            </w: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其他应收账款</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长江联合金融租赁有限公司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1,200,000.00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12,000,000.00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8" w:right="0"/>
              <w:jc w:val="left"/>
              <w:rPr>
                <w:rFonts w:ascii="Times New Roman" w:hAnsi="Times New Roman" w:cs="Times New Roman" w:eastAsia="Times New Roman" w:hint="default"/>
                <w:sz w:val="18"/>
                <w:szCs w:val="18"/>
              </w:rPr>
            </w:pPr>
            <w:r>
              <w:rPr>
                <w:rFonts w:ascii="Times New Roman"/>
                <w:sz w:val="18"/>
              </w:rPr>
              <w:t>600,000.00</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应付项目" w:id="463"/>
      <w:bookmarkEnd w:id="463"/>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1"/>
        <w:gridCol w:w="3565"/>
        <w:gridCol w:w="1844"/>
        <w:gridCol w:w="177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3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6"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17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宁波市科技园区明天医网科技有限公司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8,216,550.00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9,672,200.00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上海达保贵生信息科技股份有限公司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3,707,165.71</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2,752,690.79</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上海全程玖玖健康服务有限公司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171,278.15</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4,079,825.15</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上海全程玖玖健康门诊部有限公司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449,500.00</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李诗定</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2,351,825.34</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2,351,825.34</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许晓荣</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19,596,914.23</w:t>
            </w:r>
          </w:p>
        </w:tc>
        <w:tc>
          <w:tcPr>
            <w:tcW w:w="177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长江联合金融租赁有限公司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55,540,854.59</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26,303,273.24</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长江联合金融租赁有限公司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92,405,916.76</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147,346,984.34</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7、关联方承诺" w:id="464"/>
      <w:bookmarkEnd w:id="464"/>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7"/>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2602"/>
        <w:jc w:val="left"/>
        <w:rPr>
          <w:b w:val="0"/>
          <w:bCs w:val="0"/>
        </w:rPr>
      </w:pPr>
      <w:bookmarkStart w:name="十三、股份支付" w:id="465"/>
      <w:bookmarkEnd w:id="465"/>
      <w:r>
        <w:rPr>
          <w:b w:val="0"/>
          <w:bCs w:val="0"/>
        </w:rPr>
      </w:r>
      <w:r>
        <w:rPr/>
        <w:t>十三、股份支付</w:t>
      </w:r>
      <w:r>
        <w:rPr>
          <w:b w:val="0"/>
          <w:bCs w:val="0"/>
        </w:rPr>
      </w:r>
    </w:p>
    <w:p>
      <w:pPr>
        <w:spacing w:line="240" w:lineRule="auto" w:before="12"/>
        <w:rPr>
          <w:rFonts w:ascii="宋体" w:hAnsi="宋体" w:cs="宋体" w:eastAsia="宋体" w:hint="default"/>
          <w:b/>
          <w:bCs/>
          <w:sz w:val="24"/>
          <w:szCs w:val="24"/>
        </w:rPr>
      </w:pPr>
    </w:p>
    <w:p>
      <w:pPr>
        <w:pStyle w:val="Heading3"/>
        <w:spacing w:line="240" w:lineRule="auto"/>
        <w:ind w:right="2602"/>
        <w:jc w:val="left"/>
        <w:rPr>
          <w:b w:val="0"/>
          <w:bCs w:val="0"/>
        </w:rPr>
      </w:pPr>
      <w:bookmarkStart w:name="1、股份支付总体情况" w:id="466"/>
      <w:bookmarkEnd w:id="466"/>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12,000,000.00</w:t>
            </w:r>
          </w:p>
        </w:tc>
      </w:tr>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r>
    </w:tbl>
    <w:p>
      <w:pPr>
        <w:pStyle w:val="BodyText"/>
        <w:spacing w:line="240" w:lineRule="auto" w:before="49"/>
        <w:ind w:right="2602"/>
        <w:jc w:val="left"/>
      </w:pPr>
      <w:r>
        <w:rPr/>
        <w:t>其他说明</w:t>
      </w:r>
    </w:p>
    <w:p>
      <w:pPr>
        <w:pStyle w:val="Heading4"/>
        <w:spacing w:line="240" w:lineRule="auto" w:before="95"/>
        <w:ind w:left="573" w:right="2602"/>
        <w:jc w:val="left"/>
      </w:pPr>
      <w:r>
        <w:rPr>
          <w:rFonts w:ascii="Times New Roman" w:hAnsi="Times New Roman" w:cs="Times New Roman" w:eastAsia="Times New Roman" w:hint="default"/>
        </w:rPr>
        <w:t>1.</w:t>
      </w:r>
      <w:r>
        <w:rPr/>
        <w:t>本次激励计划的审议程序</w:t>
      </w:r>
    </w:p>
    <w:p>
      <w:pPr>
        <w:pStyle w:val="Heading4"/>
        <w:spacing w:line="261" w:lineRule="auto" w:before="21"/>
        <w:ind w:right="1126" w:firstLine="42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13</w:t>
      </w:r>
      <w:r>
        <w:rPr/>
        <w:t>日，公司第六届董事会</w:t>
      </w:r>
      <w:r>
        <w:rPr>
          <w:rFonts w:ascii="Times New Roman" w:hAnsi="Times New Roman" w:cs="Times New Roman" w:eastAsia="Times New Roman" w:hint="default"/>
        </w:rPr>
        <w:t>2018</w:t>
      </w:r>
      <w:r>
        <w:rPr/>
        <w:t>年第六次临时会议和第六届监事会</w:t>
      </w:r>
      <w:r>
        <w:rPr>
          <w:rFonts w:ascii="Times New Roman" w:hAnsi="Times New Roman" w:cs="Times New Roman" w:eastAsia="Times New Roman" w:hint="default"/>
        </w:rPr>
        <w:t>2018</w:t>
      </w:r>
      <w:r>
        <w:rPr/>
        <w:t>年第二次临时会议分</w:t>
      </w:r>
      <w:r>
        <w:rPr>
          <w:w w:val="100"/>
        </w:rPr>
        <w:t> </w:t>
      </w:r>
      <w:r>
        <w:rPr>
          <w:spacing w:val="-2"/>
        </w:rPr>
        <w:t>别审议通过了《万达信息股份有限公司</w:t>
      </w:r>
      <w:r>
        <w:rPr>
          <w:rFonts w:ascii="Times New Roman" w:hAnsi="Times New Roman" w:cs="Times New Roman" w:eastAsia="Times New Roman" w:hint="default"/>
          <w:spacing w:val="-2"/>
        </w:rPr>
        <w:t>2018</w:t>
      </w:r>
      <w:r>
        <w:rPr>
          <w:spacing w:val="-2"/>
        </w:rPr>
        <w:t>年股票期权激励计划（草案）》等相关议案，公司独立董事发</w:t>
      </w:r>
      <w:r>
        <w:rPr>
          <w:spacing w:val="-40"/>
        </w:rPr>
        <w:t> </w:t>
      </w:r>
      <w:r>
        <w:rPr>
          <w:spacing w:val="-40"/>
        </w:rPr>
      </w:r>
      <w:r>
        <w:rPr>
          <w:spacing w:val="-2"/>
        </w:rPr>
        <w:t>表了明确同意的独立意见，公司监事会对激励对象名单发表了同意意见，律师事务所出具了同意的法律意</w:t>
      </w:r>
      <w:r>
        <w:rPr>
          <w:spacing w:val="-44"/>
        </w:rPr>
        <w:t> </w:t>
      </w:r>
      <w:r>
        <w:rPr>
          <w:spacing w:val="-44"/>
        </w:rPr>
      </w:r>
      <w:r>
        <w:rPr/>
        <w:t>见。</w:t>
      </w:r>
    </w:p>
    <w:p>
      <w:pPr>
        <w:pStyle w:val="Heading4"/>
        <w:spacing w:line="256" w:lineRule="auto" w:before="18"/>
        <w:ind w:right="0" w:firstLine="420"/>
        <w:jc w:val="left"/>
      </w:pPr>
      <w:r>
        <w:rPr>
          <w:spacing w:val="-2"/>
        </w:rPr>
        <w:t>公司对首次授予的激励对象名单在公司内部进行了公示，公示时间为</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13</w:t>
      </w:r>
      <w:r>
        <w:rPr>
          <w:spacing w:val="-2"/>
        </w:rPr>
        <w:t>日至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24</w:t>
      </w:r>
      <w:r>
        <w:rPr>
          <w:spacing w:val="-2"/>
        </w:rPr>
        <w:t>日。</w:t>
      </w:r>
      <w:r>
        <w:rPr>
          <w:spacing w:val="-3"/>
          <w:w w:val="100"/>
        </w:rPr>
        <w:t> </w:t>
      </w:r>
      <w:r>
        <w:rPr/>
        <w:t>在公示期内，公司监事会未接到与本激励计划拟激励对象有关的任何异议，并于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9</w:t>
      </w:r>
      <w:r>
        <w:rPr/>
        <w:t>日披露了《监</w:t>
      </w:r>
      <w:r>
        <w:rPr>
          <w:w w:val="100"/>
        </w:rPr>
        <w:t> </w:t>
      </w:r>
      <w:r>
        <w:rPr/>
        <w:t>事会关于公司</w:t>
      </w:r>
      <w:r>
        <w:rPr>
          <w:rFonts w:ascii="Times New Roman" w:hAnsi="Times New Roman" w:cs="Times New Roman" w:eastAsia="Times New Roman" w:hint="default"/>
        </w:rPr>
        <w:t>2018</w:t>
      </w:r>
      <w:r>
        <w:rPr/>
        <w:t>年股票期权激励计划激励对象名单的审核意见及公示情况说明》。</w:t>
      </w:r>
    </w:p>
    <w:p>
      <w:pPr>
        <w:pStyle w:val="Heading4"/>
        <w:spacing w:line="261" w:lineRule="auto" w:before="5"/>
        <w:ind w:right="1126" w:firstLine="42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日，公司</w:t>
      </w:r>
      <w:r>
        <w:rPr>
          <w:rFonts w:ascii="Times New Roman" w:hAnsi="Times New Roman" w:cs="Times New Roman" w:eastAsia="Times New Roman" w:hint="default"/>
        </w:rPr>
        <w:t>2017</w:t>
      </w:r>
      <w:r>
        <w:rPr/>
        <w:t>年度股东大会逐项审议通过了《</w:t>
      </w:r>
      <w:r>
        <w:rPr>
          <w:rFonts w:ascii="Times New Roman" w:hAnsi="Times New Roman" w:cs="Times New Roman" w:eastAsia="Times New Roman" w:hint="default"/>
        </w:rPr>
        <w:t>&lt;</w:t>
      </w:r>
      <w:r>
        <w:rPr/>
        <w:t>公司</w:t>
      </w:r>
      <w:r>
        <w:rPr>
          <w:rFonts w:ascii="Times New Roman" w:hAnsi="Times New Roman" w:cs="Times New Roman" w:eastAsia="Times New Roman" w:hint="default"/>
        </w:rPr>
        <w:t>2018</w:t>
      </w:r>
      <w:r>
        <w:rPr/>
        <w:t>年股票期权激励计划（草案）</w:t>
      </w:r>
      <w:r>
        <w:rPr>
          <w:rFonts w:ascii="Times New Roman" w:hAnsi="Times New Roman" w:cs="Times New Roman" w:eastAsia="Times New Roman" w:hint="default"/>
        </w:rPr>
        <w:t>&gt;</w:t>
      </w:r>
      <w:r>
        <w:rPr>
          <w:rFonts w:ascii="Times New Roman" w:hAnsi="Times New Roman" w:cs="Times New Roman" w:eastAsia="Times New Roman" w:hint="default"/>
          <w:w w:val="100"/>
        </w:rPr>
        <w:t> </w:t>
      </w:r>
      <w:r>
        <w:rPr>
          <w:spacing w:val="-3"/>
        </w:rPr>
        <w:t>及其摘要的议案》、《</w:t>
      </w:r>
      <w:r>
        <w:rPr>
          <w:rFonts w:ascii="Times New Roman" w:hAnsi="Times New Roman" w:cs="Times New Roman" w:eastAsia="Times New Roman" w:hint="default"/>
          <w:spacing w:val="-3"/>
        </w:rPr>
        <w:t>&lt;</w:t>
      </w:r>
      <w:r>
        <w:rPr>
          <w:spacing w:val="-3"/>
        </w:rPr>
        <w:t>公司</w:t>
      </w:r>
      <w:r>
        <w:rPr>
          <w:rFonts w:ascii="Times New Roman" w:hAnsi="Times New Roman" w:cs="Times New Roman" w:eastAsia="Times New Roman" w:hint="default"/>
          <w:spacing w:val="-3"/>
        </w:rPr>
        <w:t>2018</w:t>
      </w:r>
      <w:r>
        <w:rPr>
          <w:spacing w:val="-3"/>
        </w:rPr>
        <w:t>年股票期权激励计划实施考核管理办法</w:t>
      </w:r>
      <w:r>
        <w:rPr>
          <w:rFonts w:ascii="Times New Roman" w:hAnsi="Times New Roman" w:cs="Times New Roman" w:eastAsia="Times New Roman" w:hint="default"/>
          <w:spacing w:val="-3"/>
        </w:rPr>
        <w:t>&gt;</w:t>
      </w:r>
      <w:r>
        <w:rPr>
          <w:spacing w:val="-3"/>
        </w:rPr>
        <w:t>的议案》及《关于提请股东大会</w:t>
      </w:r>
      <w:r>
        <w:rPr>
          <w:spacing w:val="-20"/>
        </w:rPr>
        <w:t> </w:t>
      </w:r>
      <w:r>
        <w:rPr>
          <w:spacing w:val="-20"/>
        </w:rPr>
      </w:r>
      <w:r>
        <w:rPr>
          <w:spacing w:val="-2"/>
        </w:rPr>
        <w:t>授权董事会办理股权激励相关事宜的议案》。股东大会授权董事会办理本次股权激励计划顺利实施所必需</w:t>
      </w:r>
      <w:r>
        <w:rPr>
          <w:spacing w:val="-44"/>
        </w:rPr>
        <w:t> </w:t>
      </w:r>
      <w:r>
        <w:rPr>
          <w:spacing w:val="-44"/>
        </w:rPr>
      </w:r>
      <w:r>
        <w:rPr>
          <w:spacing w:val="-2"/>
        </w:rPr>
        <w:t>的所有相关事宜。《关于公司</w:t>
      </w:r>
      <w:r>
        <w:rPr>
          <w:rFonts w:ascii="Times New Roman" w:hAnsi="Times New Roman" w:cs="Times New Roman" w:eastAsia="Times New Roman" w:hint="default"/>
          <w:spacing w:val="-2"/>
        </w:rPr>
        <w:t>2018</w:t>
      </w:r>
      <w:r>
        <w:rPr>
          <w:spacing w:val="-2"/>
        </w:rPr>
        <w:t>年股票期权激励计划内幕信息知情人及激励对象买卖公司股票情况的自</w:t>
      </w:r>
      <w:r>
        <w:rPr>
          <w:spacing w:val="-40"/>
        </w:rPr>
        <w:t> </w:t>
      </w:r>
      <w:r>
        <w:rPr>
          <w:spacing w:val="-40"/>
        </w:rPr>
      </w:r>
      <w:r>
        <w:rPr/>
        <w:t>查报告》已于同日与《公司</w:t>
      </w:r>
      <w:r>
        <w:rPr>
          <w:rFonts w:ascii="Times New Roman" w:hAnsi="Times New Roman" w:cs="Times New Roman" w:eastAsia="Times New Roman" w:hint="default"/>
        </w:rPr>
        <w:t>2017</w:t>
      </w:r>
      <w:r>
        <w:rPr/>
        <w:t>年度股东大会决议公告》同时披露。</w:t>
      </w:r>
    </w:p>
    <w:p>
      <w:pPr>
        <w:pStyle w:val="Heading4"/>
        <w:spacing w:line="261" w:lineRule="auto" w:before="0"/>
        <w:ind w:right="1126" w:firstLine="42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日，公司第六届董事会</w:t>
      </w:r>
      <w:r>
        <w:rPr>
          <w:rFonts w:ascii="Times New Roman" w:hAnsi="Times New Roman" w:cs="Times New Roman" w:eastAsia="Times New Roman" w:hint="default"/>
        </w:rPr>
        <w:t>2018</w:t>
      </w:r>
      <w:r>
        <w:rPr/>
        <w:t>年第九次临时会议和第六届监事会</w:t>
      </w:r>
      <w:r>
        <w:rPr>
          <w:rFonts w:ascii="Times New Roman" w:hAnsi="Times New Roman" w:cs="Times New Roman" w:eastAsia="Times New Roman" w:hint="default"/>
        </w:rPr>
        <w:t>2018</w:t>
      </w:r>
      <w:r>
        <w:rPr/>
        <w:t>年第五次临时会议审</w:t>
      </w:r>
      <w:r>
        <w:rPr>
          <w:w w:val="100"/>
        </w:rPr>
        <w:t> </w:t>
      </w:r>
      <w:r>
        <w:rPr>
          <w:spacing w:val="-2"/>
        </w:rPr>
        <w:t>议通过了《关于</w:t>
      </w:r>
      <w:r>
        <w:rPr>
          <w:rFonts w:ascii="Times New Roman" w:hAnsi="Times New Roman" w:cs="Times New Roman" w:eastAsia="Times New Roman" w:hint="default"/>
          <w:spacing w:val="-2"/>
        </w:rPr>
        <w:t>2018</w:t>
      </w:r>
      <w:r>
        <w:rPr>
          <w:spacing w:val="-2"/>
        </w:rPr>
        <w:t>年股票期权激励计划所涉激励对象调整的议案》及《关于</w:t>
      </w:r>
      <w:r>
        <w:rPr>
          <w:rFonts w:ascii="Times New Roman" w:hAnsi="Times New Roman" w:cs="Times New Roman" w:eastAsia="Times New Roman" w:hint="default"/>
          <w:spacing w:val="-2"/>
        </w:rPr>
        <w:t>2018</w:t>
      </w:r>
      <w:r>
        <w:rPr>
          <w:spacing w:val="-2"/>
        </w:rPr>
        <w:t>年股票期权激励计划首</w:t>
      </w:r>
      <w:r>
        <w:rPr>
          <w:spacing w:val="-35"/>
        </w:rPr>
        <w:t> </w:t>
      </w:r>
      <w:r>
        <w:rPr>
          <w:spacing w:val="-35"/>
        </w:rPr>
      </w:r>
      <w:r>
        <w:rPr>
          <w:spacing w:val="-2"/>
        </w:rPr>
        <w:t>次授予期权相关事项的议案》。</w:t>
      </w:r>
      <w:r>
        <w:rPr>
          <w:rFonts w:ascii="Times New Roman" w:hAnsi="Times New Roman" w:cs="Times New Roman" w:eastAsia="Times New Roman" w:hint="default"/>
          <w:spacing w:val="-2"/>
        </w:rPr>
        <w:t>2018</w:t>
      </w:r>
      <w:r>
        <w:rPr>
          <w:spacing w:val="-2"/>
        </w:rPr>
        <w:t>年股票期权激励计划所涉首次授予的激励对象人数由</w:t>
      </w:r>
      <w:r>
        <w:rPr>
          <w:rFonts w:ascii="Times New Roman" w:hAnsi="Times New Roman" w:cs="Times New Roman" w:eastAsia="Times New Roman" w:hint="default"/>
          <w:spacing w:val="-2"/>
        </w:rPr>
        <w:t>939</w:t>
      </w:r>
      <w:r>
        <w:rPr>
          <w:spacing w:val="-2"/>
        </w:rPr>
        <w:t>人调整为</w:t>
      </w:r>
      <w:r>
        <w:rPr>
          <w:rFonts w:ascii="Times New Roman" w:hAnsi="Times New Roman" w:cs="Times New Roman" w:eastAsia="Times New Roman" w:hint="default"/>
          <w:spacing w:val="-2"/>
        </w:rPr>
        <w:t>921</w:t>
      </w:r>
      <w:r>
        <w:rPr>
          <w:rFonts w:ascii="Times New Roman" w:hAnsi="Times New Roman" w:cs="Times New Roman" w:eastAsia="Times New Roman" w:hint="default"/>
          <w:spacing w:val="14"/>
        </w:rPr>
        <w:t> </w:t>
      </w:r>
      <w:r>
        <w:rPr>
          <w:spacing w:val="-2"/>
        </w:rPr>
        <w:t>人。董事会确认本次激励对象调整符合相关规定。公司独立董事发表了同意的独立意见。监事会确认调整</w:t>
      </w:r>
      <w:r>
        <w:rPr>
          <w:spacing w:val="-42"/>
        </w:rPr>
        <w:t> </w:t>
      </w:r>
      <w:r>
        <w:rPr>
          <w:spacing w:val="-42"/>
        </w:rPr>
      </w:r>
      <w:r>
        <w:rPr>
          <w:spacing w:val="-2"/>
        </w:rPr>
        <w:t>后的激励对象作为公司股票期权激励计划激励对象的主体资格合法、有效；公司</w:t>
      </w:r>
      <w:r>
        <w:rPr>
          <w:rFonts w:ascii="Times New Roman" w:hAnsi="Times New Roman" w:cs="Times New Roman" w:eastAsia="Times New Roman" w:hint="default"/>
          <w:spacing w:val="-2"/>
        </w:rPr>
        <w:t>2018</w:t>
      </w:r>
      <w:r>
        <w:rPr>
          <w:spacing w:val="-2"/>
        </w:rPr>
        <w:t>年股票期权激励计划</w:t>
      </w:r>
      <w:r>
        <w:rPr>
          <w:spacing w:val="-39"/>
        </w:rPr>
        <w:t> </w:t>
      </w:r>
      <w:r>
        <w:rPr>
          <w:spacing w:val="-39"/>
        </w:rPr>
      </w:r>
      <w:r>
        <w:rPr>
          <w:spacing w:val="-2"/>
        </w:rPr>
        <w:t>规定的首次授予条件已经成就，首次授予激励对象不存在不能授予或者不得成为激励对象的情形，本次首</w:t>
      </w:r>
      <w:r>
        <w:rPr>
          <w:spacing w:val="-43"/>
        </w:rPr>
        <w:t> </w:t>
      </w:r>
      <w:r>
        <w:rPr>
          <w:spacing w:val="-43"/>
        </w:rPr>
      </w:r>
      <w:r>
        <w:rPr/>
        <w:t>次授予计划与已披露的《公司</w:t>
      </w:r>
      <w:r>
        <w:rPr>
          <w:rFonts w:ascii="Times New Roman" w:hAnsi="Times New Roman" w:cs="Times New Roman" w:eastAsia="Times New Roman" w:hint="default"/>
        </w:rPr>
        <w:t>2018</w:t>
      </w:r>
      <w:r>
        <w:rPr/>
        <w:t>年股票期权激励计划》不存在差异。同意以</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日为授予日，</w:t>
      </w:r>
      <w:r>
        <w:rPr>
          <w:spacing w:val="-25"/>
        </w:rPr>
        <w:t> </w:t>
      </w:r>
      <w:r>
        <w:rPr>
          <w:spacing w:val="-25"/>
        </w:rPr>
      </w:r>
      <w:r>
        <w:rPr/>
        <w:t>首次授予</w:t>
      </w:r>
      <w:r>
        <w:rPr>
          <w:rFonts w:ascii="Times New Roman" w:hAnsi="Times New Roman" w:cs="Times New Roman" w:eastAsia="Times New Roman" w:hint="default"/>
        </w:rPr>
        <w:t>921</w:t>
      </w:r>
      <w:r>
        <w:rPr/>
        <w:t>名激励对象合计</w:t>
      </w:r>
      <w:r>
        <w:rPr>
          <w:rFonts w:ascii="Times New Roman" w:hAnsi="Times New Roman" w:cs="Times New Roman" w:eastAsia="Times New Roman" w:hint="default"/>
        </w:rPr>
        <w:t>3500</w:t>
      </w:r>
      <w:r>
        <w:rPr/>
        <w:t>万份股票期权，行权价格为</w:t>
      </w:r>
      <w:r>
        <w:rPr>
          <w:rFonts w:ascii="Times New Roman" w:hAnsi="Times New Roman" w:cs="Times New Roman" w:eastAsia="Times New Roman" w:hint="default"/>
        </w:rPr>
        <w:t>17.51</w:t>
      </w:r>
      <w:r>
        <w:rPr/>
        <w:t>元。</w:t>
      </w:r>
    </w:p>
    <w:p>
      <w:pPr>
        <w:pStyle w:val="Heading4"/>
        <w:spacing w:line="261" w:lineRule="auto" w:before="0"/>
        <w:ind w:right="1126" w:firstLine="42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13</w:t>
      </w:r>
      <w:r>
        <w:rPr/>
        <w:t>日，公司第六届董事会</w:t>
      </w:r>
      <w:r>
        <w:rPr>
          <w:rFonts w:ascii="Times New Roman" w:hAnsi="Times New Roman" w:cs="Times New Roman" w:eastAsia="Times New Roman" w:hint="default"/>
        </w:rPr>
        <w:t>2018</w:t>
      </w:r>
      <w:r>
        <w:rPr/>
        <w:t>年第十次临时会议和第六届监事会</w:t>
      </w:r>
      <w:r>
        <w:rPr>
          <w:rFonts w:ascii="Times New Roman" w:hAnsi="Times New Roman" w:cs="Times New Roman" w:eastAsia="Times New Roman" w:hint="default"/>
        </w:rPr>
        <w:t>2018</w:t>
      </w:r>
      <w:r>
        <w:rPr/>
        <w:t>年第六次临时会议审</w:t>
      </w:r>
      <w:r>
        <w:rPr>
          <w:w w:val="100"/>
        </w:rPr>
        <w:t> </w:t>
      </w:r>
      <w:r>
        <w:rPr>
          <w:spacing w:val="-2"/>
        </w:rPr>
        <w:t>议通过了《关于</w:t>
      </w:r>
      <w:r>
        <w:rPr>
          <w:rFonts w:ascii="Times New Roman" w:hAnsi="Times New Roman" w:cs="Times New Roman" w:eastAsia="Times New Roman" w:hint="default"/>
          <w:spacing w:val="-2"/>
        </w:rPr>
        <w:t>2018</w:t>
      </w:r>
      <w:r>
        <w:rPr>
          <w:spacing w:val="-2"/>
        </w:rPr>
        <w:t>年股票期权激励计划所涉激励对象和行权价格调整的议案》，决议同意根据公司</w:t>
      </w:r>
      <w:r>
        <w:rPr>
          <w:rFonts w:ascii="Times New Roman" w:hAnsi="Times New Roman" w:cs="Times New Roman" w:eastAsia="Times New Roman" w:hint="default"/>
          <w:spacing w:val="-2"/>
        </w:rPr>
        <w:t>2017</w:t>
      </w:r>
      <w:r>
        <w:rPr>
          <w:rFonts w:ascii="Times New Roman" w:hAnsi="Times New Roman" w:cs="Times New Roman" w:eastAsia="Times New Roman" w:hint="default"/>
          <w:spacing w:val="17"/>
        </w:rPr>
        <w:t> </w:t>
      </w:r>
      <w:r>
        <w:rPr>
          <w:rFonts w:ascii="Times New Roman" w:hAnsi="Times New Roman" w:cs="Times New Roman" w:eastAsia="Times New Roman" w:hint="default"/>
          <w:spacing w:val="17"/>
        </w:rPr>
      </w:r>
      <w:r>
        <w:rPr>
          <w:spacing w:val="-3"/>
        </w:rPr>
        <w:t>年度利润分配方案调整股票期权行权价格，调整后的行权价格为</w:t>
      </w:r>
      <w:r>
        <w:rPr>
          <w:rFonts w:ascii="Times New Roman" w:hAnsi="Times New Roman" w:cs="Times New Roman" w:eastAsia="Times New Roman" w:hint="default"/>
          <w:spacing w:val="-3"/>
        </w:rPr>
        <w:t>17.47</w:t>
      </w:r>
      <w:r>
        <w:rPr>
          <w:spacing w:val="-3"/>
        </w:rPr>
        <w:t>元，同时取消</w:t>
      </w:r>
      <w:r>
        <w:rPr>
          <w:rFonts w:ascii="Times New Roman" w:hAnsi="Times New Roman" w:cs="Times New Roman" w:eastAsia="Times New Roman" w:hint="default"/>
          <w:spacing w:val="-3"/>
        </w:rPr>
        <w:t>11</w:t>
      </w:r>
      <w:r>
        <w:rPr>
          <w:spacing w:val="-3"/>
        </w:rPr>
        <w:t>名离职人员的激励对</w:t>
      </w:r>
      <w:r>
        <w:rPr>
          <w:spacing w:val="-37"/>
        </w:rPr>
        <w:t> </w:t>
      </w:r>
      <w:r>
        <w:rPr>
          <w:spacing w:val="-37"/>
        </w:rPr>
      </w:r>
      <w:r>
        <w:rPr>
          <w:spacing w:val="-2"/>
        </w:rPr>
        <w:t>象资格。经过本次调整后的股票期权激励计划所涉首次授予的激励对象人数由</w:t>
      </w:r>
      <w:r>
        <w:rPr>
          <w:rFonts w:ascii="Times New Roman" w:hAnsi="Times New Roman" w:cs="Times New Roman" w:eastAsia="Times New Roman" w:hint="default"/>
          <w:spacing w:val="-2"/>
        </w:rPr>
        <w:t>921</w:t>
      </w:r>
      <w:r>
        <w:rPr>
          <w:spacing w:val="-2"/>
        </w:rPr>
        <w:t>人调整为</w:t>
      </w:r>
      <w:r>
        <w:rPr>
          <w:rFonts w:ascii="Times New Roman" w:hAnsi="Times New Roman" w:cs="Times New Roman" w:eastAsia="Times New Roman" w:hint="default"/>
          <w:spacing w:val="-2"/>
        </w:rPr>
        <w:t>910</w:t>
      </w:r>
      <w:r>
        <w:rPr>
          <w:spacing w:val="-2"/>
        </w:rPr>
        <w:t>人。董事会</w:t>
      </w:r>
      <w:r>
        <w:rPr>
          <w:spacing w:val="-39"/>
        </w:rPr>
        <w:t> </w:t>
      </w:r>
      <w:r>
        <w:rPr>
          <w:spacing w:val="-39"/>
        </w:rPr>
      </w:r>
      <w:r>
        <w:rPr>
          <w:spacing w:val="-2"/>
        </w:rPr>
        <w:t>确认本次激励对象和行权价格调整符合相关规定。公司独立董事发表了同意的独立意见。监事会确认调整</w:t>
      </w:r>
      <w:r>
        <w:rPr>
          <w:spacing w:val="-43"/>
        </w:rPr>
        <w:t> </w:t>
      </w:r>
      <w:r>
        <w:rPr>
          <w:spacing w:val="-43"/>
        </w:rPr>
      </w:r>
      <w:r>
        <w:rPr>
          <w:spacing w:val="-2"/>
        </w:rPr>
        <w:t>后的激励对象作为公司股票期权激励计划激励对象的主体资格合法、有效。同意对公司股票期权激励计划</w:t>
      </w:r>
      <w:r>
        <w:rPr>
          <w:spacing w:val="-43"/>
        </w:rPr>
        <w:t> </w:t>
      </w:r>
      <w:r>
        <w:rPr>
          <w:spacing w:val="-43"/>
        </w:rPr>
      </w:r>
      <w:r>
        <w:rPr/>
        <w:t>激励对象和行权价格进行调整。</w:t>
      </w:r>
    </w:p>
    <w:p>
      <w:pPr>
        <w:pStyle w:val="Heading4"/>
        <w:spacing w:line="256" w:lineRule="auto" w:before="18"/>
        <w:ind w:right="1126" w:firstLine="420"/>
        <w:jc w:val="both"/>
      </w:pP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8</w:t>
      </w:r>
      <w:r>
        <w:rPr>
          <w:spacing w:val="-2"/>
        </w:rPr>
        <w:t>日，公司第六届董事会</w:t>
      </w:r>
      <w:r>
        <w:rPr>
          <w:rFonts w:ascii="Times New Roman" w:hAnsi="Times New Roman" w:cs="Times New Roman" w:eastAsia="Times New Roman" w:hint="default"/>
          <w:spacing w:val="-2"/>
        </w:rPr>
        <w:t>2019</w:t>
      </w:r>
      <w:r>
        <w:rPr>
          <w:spacing w:val="-2"/>
        </w:rPr>
        <w:t>年第五次临时会议审议通过了《关于向激励对象授予</w:t>
      </w:r>
      <w:r>
        <w:rPr>
          <w:rFonts w:ascii="Times New Roman" w:hAnsi="Times New Roman" w:cs="Times New Roman" w:eastAsia="Times New Roman" w:hint="default"/>
          <w:spacing w:val="-2"/>
        </w:rPr>
        <w:t>2018</w:t>
      </w:r>
      <w:r>
        <w:rPr>
          <w:spacing w:val="-2"/>
        </w:rPr>
        <w:t>年股</w:t>
      </w:r>
      <w:r>
        <w:rPr>
          <w:w w:val="100"/>
        </w:rPr>
        <w:t> </w:t>
      </w:r>
      <w:r>
        <w:rPr>
          <w:spacing w:val="-2"/>
        </w:rPr>
        <w:t>票期权激励计划预留部分股票期权的议案》。董事会认为《</w:t>
      </w:r>
      <w:r>
        <w:rPr>
          <w:rFonts w:ascii="Times New Roman" w:hAnsi="Times New Roman" w:cs="Times New Roman" w:eastAsia="Times New Roman" w:hint="default"/>
          <w:spacing w:val="-2"/>
        </w:rPr>
        <w:t>2018</w:t>
      </w:r>
      <w:r>
        <w:rPr>
          <w:spacing w:val="-2"/>
        </w:rPr>
        <w:t>年股票期权激励计划》规定的预留授予条</w:t>
      </w:r>
      <w:r>
        <w:rPr>
          <w:spacing w:val="-42"/>
        </w:rPr>
        <w:t> </w:t>
      </w:r>
      <w:r>
        <w:rPr>
          <w:spacing w:val="-42"/>
        </w:rPr>
      </w:r>
      <w:r>
        <w:rPr>
          <w:spacing w:val="-4"/>
        </w:rPr>
        <w:t>件已经成就，同意授予</w:t>
      </w:r>
      <w:r>
        <w:rPr>
          <w:rFonts w:ascii="Times New Roman" w:hAnsi="Times New Roman" w:cs="Times New Roman" w:eastAsia="Times New Roman" w:hint="default"/>
          <w:spacing w:val="-4"/>
        </w:rPr>
        <w:t>30</w:t>
      </w:r>
      <w:r>
        <w:rPr>
          <w:spacing w:val="-4"/>
        </w:rPr>
        <w:t>名激励对象合计</w:t>
      </w:r>
      <w:r>
        <w:rPr>
          <w:rFonts w:ascii="Times New Roman" w:hAnsi="Times New Roman" w:cs="Times New Roman" w:eastAsia="Times New Roman" w:hint="default"/>
          <w:spacing w:val="-4"/>
        </w:rPr>
        <w:t>300</w:t>
      </w:r>
      <w:r>
        <w:rPr>
          <w:spacing w:val="-4"/>
        </w:rPr>
        <w:t>万份预留部分股票期权。根据公司</w:t>
      </w:r>
      <w:r>
        <w:rPr>
          <w:rFonts w:ascii="Times New Roman" w:hAnsi="Times New Roman" w:cs="Times New Roman" w:eastAsia="Times New Roman" w:hint="default"/>
          <w:spacing w:val="-4"/>
        </w:rPr>
        <w:t>2017</w:t>
      </w:r>
      <w:r>
        <w:rPr>
          <w:spacing w:val="-4"/>
        </w:rPr>
        <w:t>年度股东大会的授权，</w:t>
      </w:r>
      <w:r>
        <w:rPr>
          <w:spacing w:val="-38"/>
        </w:rPr>
        <w:t> </w:t>
      </w:r>
      <w:r>
        <w:rPr>
          <w:spacing w:val="-38"/>
        </w:rPr>
      </w:r>
      <w:r>
        <w:rPr/>
        <w:t>董事会确定</w:t>
      </w:r>
      <w:r>
        <w:rPr>
          <w:rFonts w:ascii="Times New Roman" w:hAnsi="Times New Roman" w:cs="Times New Roman" w:eastAsia="Times New Roman" w:hint="default"/>
        </w:rPr>
        <w:t>2018</w:t>
      </w:r>
      <w:r>
        <w:rPr/>
        <w:t>年股权激励计划授予预留部分股票期权的授予日为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8</w:t>
      </w:r>
      <w:r>
        <w:rPr/>
        <w:t>日，行权价格为</w:t>
      </w:r>
      <w:r>
        <w:rPr>
          <w:rFonts w:ascii="Times New Roman" w:hAnsi="Times New Roman" w:cs="Times New Roman" w:eastAsia="Times New Roman" w:hint="default"/>
        </w:rPr>
        <w:t>17.47</w:t>
      </w:r>
      <w:r>
        <w:rPr/>
        <w:t>元。</w:t>
      </w:r>
    </w:p>
    <w:p>
      <w:pPr>
        <w:spacing w:after="0" w:line="256"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61" w:lineRule="auto" w:before="36"/>
        <w:ind w:left="573" w:right="1034"/>
        <w:jc w:val="left"/>
      </w:pPr>
      <w:r>
        <w:rPr>
          <w:rFonts w:ascii="Times New Roman" w:hAnsi="Times New Roman" w:cs="Times New Roman" w:eastAsia="Times New Roman" w:hint="default"/>
        </w:rPr>
        <w:t>2.</w:t>
      </w:r>
      <w:r>
        <w:rPr/>
        <w:t>本次激励计划的具体方案：</w:t>
      </w:r>
      <w:r>
        <w:rPr>
          <w:w w:val="100"/>
        </w:rPr>
        <w:t> </w:t>
      </w:r>
      <w:r>
        <w:rPr/>
        <w:t>标的股票种类：激励计划拟授予股票期权所涉及的标的股票种类为公司</w:t>
      </w:r>
      <w:r>
        <w:rPr>
          <w:rFonts w:ascii="Times New Roman" w:hAnsi="Times New Roman" w:cs="Times New Roman" w:eastAsia="Times New Roman" w:hint="default"/>
        </w:rPr>
        <w:t>A</w:t>
      </w:r>
      <w:r>
        <w:rPr/>
        <w:t>股股票。</w:t>
      </w:r>
      <w:r>
        <w:rPr>
          <w:w w:val="100"/>
        </w:rPr>
        <w:t> </w:t>
      </w:r>
      <w:r>
        <w:rPr/>
        <w:t>标的股票来源：公司向激励对象定向发行的普通股股票。</w:t>
      </w:r>
      <w:r>
        <w:rPr>
          <w:w w:val="100"/>
        </w:rPr>
        <w:t> </w:t>
      </w:r>
      <w:r>
        <w:rPr>
          <w:spacing w:val="-4"/>
        </w:rPr>
        <w:t>激励计划拟向激励对象授予</w:t>
      </w:r>
      <w:r>
        <w:rPr>
          <w:rFonts w:ascii="Times New Roman" w:hAnsi="Times New Roman" w:cs="Times New Roman" w:eastAsia="Times New Roman" w:hint="default"/>
          <w:spacing w:val="-4"/>
        </w:rPr>
        <w:t>3,800</w:t>
      </w:r>
      <w:r>
        <w:rPr>
          <w:spacing w:val="-4"/>
        </w:rPr>
        <w:t>万份股票期权，其中首次授予期权</w:t>
      </w:r>
      <w:r>
        <w:rPr>
          <w:rFonts w:ascii="Times New Roman" w:hAnsi="Times New Roman" w:cs="Times New Roman" w:eastAsia="Times New Roman" w:hint="default"/>
          <w:spacing w:val="-4"/>
        </w:rPr>
        <w:t>3,500</w:t>
      </w:r>
      <w:r>
        <w:rPr>
          <w:spacing w:val="-4"/>
        </w:rPr>
        <w:t>万份，预留股票期权</w:t>
      </w:r>
      <w:r>
        <w:rPr>
          <w:rFonts w:ascii="Times New Roman" w:hAnsi="Times New Roman" w:cs="Times New Roman" w:eastAsia="Times New Roman" w:hint="default"/>
          <w:spacing w:val="-4"/>
        </w:rPr>
        <w:t>300</w:t>
      </w:r>
      <w:r>
        <w:rPr>
          <w:spacing w:val="-4"/>
        </w:rPr>
        <w:t>万份。</w:t>
      </w:r>
      <w:r>
        <w:rPr>
          <w:spacing w:val="-38"/>
        </w:rPr>
        <w:t> </w:t>
      </w:r>
      <w:r>
        <w:rPr>
          <w:spacing w:val="-38"/>
        </w:rPr>
      </w:r>
      <w:r>
        <w:rPr>
          <w:spacing w:val="-2"/>
        </w:rPr>
        <w:t>有效期：自股票期权授予之日起至激励对象获授的股票期权全部行权或注销之日止，最长不超过</w:t>
      </w:r>
      <w:r>
        <w:rPr>
          <w:rFonts w:ascii="Times New Roman" w:hAnsi="Times New Roman" w:cs="Times New Roman" w:eastAsia="Times New Roman" w:hint="default"/>
          <w:spacing w:val="-2"/>
        </w:rPr>
        <w:t>48</w:t>
      </w:r>
      <w:r>
        <w:rPr>
          <w:spacing w:val="-2"/>
        </w:rPr>
        <w:t>个</w:t>
      </w:r>
    </w:p>
    <w:p>
      <w:pPr>
        <w:pStyle w:val="Heading4"/>
        <w:spacing w:line="240" w:lineRule="auto" w:before="0"/>
        <w:ind w:right="2602"/>
        <w:jc w:val="left"/>
      </w:pPr>
      <w:r>
        <w:rPr/>
        <w:t>月。</w:t>
      </w:r>
    </w:p>
    <w:p>
      <w:pPr>
        <w:pStyle w:val="Heading4"/>
        <w:spacing w:line="256" w:lineRule="auto" w:before="37"/>
        <w:ind w:left="573" w:right="6793"/>
        <w:jc w:val="left"/>
      </w:pPr>
      <w:r>
        <w:rPr>
          <w:spacing w:val="-2"/>
        </w:rPr>
        <w:t>（</w:t>
      </w:r>
      <w:r>
        <w:rPr>
          <w:rFonts w:ascii="Times New Roman" w:hAnsi="Times New Roman" w:cs="Times New Roman" w:eastAsia="Times New Roman" w:hint="default"/>
          <w:spacing w:val="-2"/>
        </w:rPr>
        <w:t>1</w:t>
      </w:r>
      <w:r>
        <w:rPr>
          <w:spacing w:val="-2"/>
        </w:rPr>
        <w:t>）首次授予股票期权的具体情况</w:t>
      </w:r>
      <w:r>
        <w:rPr>
          <w:spacing w:val="-76"/>
        </w:rPr>
        <w:t> </w:t>
      </w:r>
      <w:r>
        <w:rPr>
          <w:spacing w:val="-76"/>
        </w:rPr>
      </w:r>
      <w:r>
        <w:rPr/>
        <w:t>授权日：</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w:t>
      </w:r>
    </w:p>
    <w:p>
      <w:pPr>
        <w:pStyle w:val="Heading4"/>
        <w:spacing w:line="256" w:lineRule="auto" w:before="5"/>
        <w:ind w:right="1128" w:firstLine="420"/>
        <w:jc w:val="both"/>
      </w:pPr>
      <w:r>
        <w:rPr/>
        <w:t>授予对象：首次授予激励对象共</w:t>
      </w:r>
      <w:r>
        <w:rPr>
          <w:rFonts w:ascii="Times New Roman" w:hAnsi="Times New Roman" w:cs="Times New Roman" w:eastAsia="Times New Roman" w:hint="default"/>
        </w:rPr>
        <w:t>910</w:t>
      </w:r>
      <w:r>
        <w:rPr/>
        <w:t>名，包括在公司（含子公司）任职的董事、高级管理人员、核心</w:t>
      </w:r>
      <w:r>
        <w:rPr>
          <w:w w:val="100"/>
        </w:rPr>
        <w:t> </w:t>
      </w:r>
      <w:r>
        <w:rPr>
          <w:spacing w:val="-8"/>
        </w:rPr>
        <w:t>管理、业务骨干人员。不含独立董事、监事、单独或合计持股</w:t>
      </w:r>
      <w:r>
        <w:rPr>
          <w:rFonts w:ascii="Times New Roman" w:hAnsi="Times New Roman" w:cs="Times New Roman" w:eastAsia="Times New Roman" w:hint="default"/>
          <w:spacing w:val="-8"/>
        </w:rPr>
        <w:t>5%</w:t>
      </w:r>
      <w:r>
        <w:rPr>
          <w:spacing w:val="-8"/>
        </w:rPr>
        <w:t>以上的股东或实际控制人及其配偶、父母、</w:t>
      </w:r>
      <w:r>
        <w:rPr>
          <w:spacing w:val="-34"/>
        </w:rPr>
        <w:t> </w:t>
      </w:r>
      <w:r>
        <w:rPr>
          <w:spacing w:val="-34"/>
        </w:rPr>
      </w:r>
      <w:r>
        <w:rPr/>
        <w:t>子女。</w:t>
      </w:r>
    </w:p>
    <w:p>
      <w:pPr>
        <w:pStyle w:val="Heading4"/>
        <w:spacing w:line="259" w:lineRule="auto" w:before="22"/>
        <w:ind w:left="573" w:right="4814"/>
        <w:jc w:val="left"/>
      </w:pPr>
      <w:r>
        <w:rPr>
          <w:spacing w:val="-2"/>
        </w:rPr>
        <w:t>授予数量：首次授予股票期权数量为</w:t>
      </w:r>
      <w:r>
        <w:rPr>
          <w:rFonts w:ascii="Times New Roman" w:hAnsi="Times New Roman" w:cs="Times New Roman" w:eastAsia="Times New Roman" w:hint="default"/>
          <w:spacing w:val="-2"/>
        </w:rPr>
        <w:t>3,500</w:t>
      </w:r>
      <w:r>
        <w:rPr>
          <w:spacing w:val="-2"/>
        </w:rPr>
        <w:t>万份。</w:t>
      </w:r>
      <w:r>
        <w:rPr>
          <w:spacing w:val="-60"/>
        </w:rPr>
        <w:t> </w:t>
      </w:r>
      <w:r>
        <w:rPr>
          <w:spacing w:val="-60"/>
        </w:rPr>
      </w:r>
      <w:r>
        <w:rPr/>
        <w:t>行权价格：</w:t>
      </w:r>
      <w:r>
        <w:rPr>
          <w:rFonts w:ascii="Times New Roman" w:hAnsi="Times New Roman" w:cs="Times New Roman" w:eastAsia="Times New Roman" w:hint="default"/>
        </w:rPr>
        <w:t>17.47</w:t>
      </w:r>
      <w:r>
        <w:rPr/>
        <w:t>元</w:t>
      </w:r>
    </w:p>
    <w:p>
      <w:pPr>
        <w:pStyle w:val="Heading4"/>
        <w:spacing w:line="256" w:lineRule="auto" w:before="2"/>
        <w:ind w:right="1126" w:firstLine="420"/>
        <w:jc w:val="both"/>
      </w:pPr>
      <w:r>
        <w:rPr>
          <w:spacing w:val="-2"/>
        </w:rPr>
        <w:t>行权安排：首次授予的股票期权自授予日起</w:t>
      </w:r>
      <w:r>
        <w:rPr>
          <w:rFonts w:ascii="Times New Roman" w:hAnsi="Times New Roman" w:cs="Times New Roman" w:eastAsia="Times New Roman" w:hint="default"/>
          <w:spacing w:val="-2"/>
        </w:rPr>
        <w:t>12</w:t>
      </w:r>
      <w:r>
        <w:rPr>
          <w:spacing w:val="-2"/>
        </w:rPr>
        <w:t>个月后，满足行权条件的，激励对象可以分三期申请行</w:t>
      </w:r>
      <w:r>
        <w:rPr>
          <w:w w:val="100"/>
        </w:rPr>
        <w:t> </w:t>
      </w:r>
      <w:r>
        <w:rPr/>
        <w:t>权。具体行权安排如下表所示：</w:t>
      </w:r>
    </w:p>
    <w:p>
      <w:pPr>
        <w:spacing w:line="240" w:lineRule="auto" w:before="8"/>
        <w:rPr>
          <w:rFonts w:ascii="宋体" w:hAnsi="宋体" w:cs="宋体" w:eastAsia="宋体" w:hint="default"/>
          <w:sz w:val="14"/>
          <w:szCs w:val="14"/>
        </w:rPr>
      </w:pPr>
    </w:p>
    <w:tbl>
      <w:tblPr>
        <w:tblW w:w="0" w:type="auto"/>
        <w:jc w:val="left"/>
        <w:tblInd w:w="923" w:type="dxa"/>
        <w:tblLayout w:type="fixed"/>
        <w:tblCellMar>
          <w:top w:w="0" w:type="dxa"/>
          <w:left w:w="0" w:type="dxa"/>
          <w:bottom w:w="0" w:type="dxa"/>
          <w:right w:w="0" w:type="dxa"/>
        </w:tblCellMar>
        <w:tblLook w:val="01E0"/>
      </w:tblPr>
      <w:tblGrid>
        <w:gridCol w:w="2986"/>
        <w:gridCol w:w="3545"/>
        <w:gridCol w:w="1558"/>
      </w:tblGrid>
      <w:tr>
        <w:trPr>
          <w:trHeight w:val="341" w:hRule="exact"/>
        </w:trPr>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color w:val="333333"/>
                <w:sz w:val="18"/>
                <w:szCs w:val="18"/>
              </w:rPr>
              <w:t>行权期</w:t>
            </w:r>
            <w:r>
              <w:rPr>
                <w:rFonts w:ascii="宋体" w:hAnsi="宋体" w:cs="宋体" w:eastAsia="宋体" w:hint="default"/>
                <w:sz w:val="18"/>
                <w:szCs w:val="18"/>
              </w:rPr>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color w:val="333333"/>
                <w:sz w:val="18"/>
                <w:szCs w:val="18"/>
              </w:rPr>
              <w:t>行权时间</w:t>
            </w:r>
            <w:r>
              <w:rPr>
                <w:rFonts w:ascii="宋体" w:hAnsi="宋体" w:cs="宋体" w:eastAsia="宋体"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color w:val="333333"/>
                <w:sz w:val="18"/>
                <w:szCs w:val="18"/>
              </w:rPr>
              <w:t>可行权比例</w:t>
            </w:r>
            <w:r>
              <w:rPr>
                <w:rFonts w:ascii="宋体" w:hAnsi="宋体" w:cs="宋体" w:eastAsia="宋体" w:hint="default"/>
                <w:sz w:val="18"/>
                <w:szCs w:val="18"/>
              </w:rPr>
            </w:r>
          </w:p>
        </w:tc>
      </w:tr>
      <w:tr>
        <w:trPr>
          <w:trHeight w:val="655" w:hRule="exact"/>
        </w:trPr>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color w:val="333333"/>
                <w:sz w:val="18"/>
                <w:szCs w:val="18"/>
              </w:rPr>
              <w:t>首次授予股票期权的第一个行权期</w:t>
            </w:r>
            <w:r>
              <w:rPr>
                <w:rFonts w:ascii="宋体" w:hAnsi="宋体" w:cs="宋体" w:eastAsia="宋体" w:hint="default"/>
                <w:sz w:val="18"/>
                <w:szCs w:val="18"/>
              </w:rPr>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0"/>
              <w:ind w:left="237" w:right="55" w:hanging="180"/>
              <w:jc w:val="left"/>
              <w:rPr>
                <w:rFonts w:ascii="宋体" w:hAnsi="宋体" w:cs="宋体" w:eastAsia="宋体" w:hint="default"/>
                <w:sz w:val="18"/>
                <w:szCs w:val="18"/>
              </w:rPr>
            </w:pPr>
            <w:r>
              <w:rPr>
                <w:rFonts w:ascii="宋体" w:hAnsi="宋体" w:cs="宋体" w:eastAsia="宋体" w:hint="default"/>
                <w:color w:val="333333"/>
                <w:sz w:val="18"/>
                <w:szCs w:val="18"/>
              </w:rPr>
              <w:t>自首次授予日起满</w:t>
            </w:r>
            <w:r>
              <w:rPr>
                <w:rFonts w:ascii="Times New Roman" w:hAnsi="Times New Roman" w:cs="Times New Roman" w:eastAsia="Times New Roman" w:hint="default"/>
                <w:color w:val="333333"/>
                <w:sz w:val="18"/>
                <w:szCs w:val="18"/>
              </w:rPr>
              <w:t>12</w:t>
            </w:r>
            <w:r>
              <w:rPr>
                <w:rFonts w:ascii="宋体" w:hAnsi="宋体" w:cs="宋体" w:eastAsia="宋体" w:hint="default"/>
                <w:color w:val="333333"/>
                <w:sz w:val="18"/>
                <w:szCs w:val="18"/>
              </w:rPr>
              <w:t>个月后的首个交易日至 授予日起</w:t>
            </w:r>
            <w:r>
              <w:rPr>
                <w:rFonts w:ascii="Times New Roman" w:hAnsi="Times New Roman" w:cs="Times New Roman" w:eastAsia="Times New Roman" w:hint="default"/>
                <w:color w:val="333333"/>
                <w:sz w:val="18"/>
                <w:szCs w:val="18"/>
              </w:rPr>
              <w:t>24</w:t>
            </w:r>
            <w:r>
              <w:rPr>
                <w:rFonts w:ascii="宋体" w:hAnsi="宋体" w:cs="宋体" w:eastAsia="宋体" w:hint="default"/>
                <w:color w:val="333333"/>
                <w:sz w:val="18"/>
                <w:szCs w:val="18"/>
              </w:rPr>
              <w:t>个月内的最后一个交易日止</w:t>
            </w:r>
            <w:r>
              <w:rPr>
                <w:rFonts w:ascii="宋体" w:hAnsi="宋体" w:cs="宋体" w:eastAsia="宋体"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color w:val="333333"/>
                <w:sz w:val="18"/>
              </w:rPr>
              <w:t>40%</w:t>
            </w:r>
            <w:r>
              <w:rPr>
                <w:rFonts w:ascii="Times New Roman"/>
                <w:sz w:val="18"/>
              </w:rPr>
            </w:r>
          </w:p>
        </w:tc>
      </w:tr>
      <w:tr>
        <w:trPr>
          <w:trHeight w:val="653" w:hRule="exact"/>
        </w:trPr>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color w:val="333333"/>
                <w:sz w:val="18"/>
                <w:szCs w:val="18"/>
              </w:rPr>
              <w:t>首次授予股票期权的第二个行权期</w:t>
            </w:r>
            <w:r>
              <w:rPr>
                <w:rFonts w:ascii="宋体" w:hAnsi="宋体" w:cs="宋体" w:eastAsia="宋体" w:hint="default"/>
                <w:sz w:val="18"/>
                <w:szCs w:val="18"/>
              </w:rPr>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17"/>
              <w:ind w:left="237" w:right="55" w:hanging="180"/>
              <w:jc w:val="left"/>
              <w:rPr>
                <w:rFonts w:ascii="宋体" w:hAnsi="宋体" w:cs="宋体" w:eastAsia="宋体" w:hint="default"/>
                <w:sz w:val="18"/>
                <w:szCs w:val="18"/>
              </w:rPr>
            </w:pPr>
            <w:r>
              <w:rPr>
                <w:rFonts w:ascii="宋体" w:hAnsi="宋体" w:cs="宋体" w:eastAsia="宋体" w:hint="default"/>
                <w:color w:val="333333"/>
                <w:sz w:val="18"/>
                <w:szCs w:val="18"/>
              </w:rPr>
              <w:t>自首次授予日起满</w:t>
            </w:r>
            <w:r>
              <w:rPr>
                <w:rFonts w:ascii="Times New Roman" w:hAnsi="Times New Roman" w:cs="Times New Roman" w:eastAsia="Times New Roman" w:hint="default"/>
                <w:color w:val="333333"/>
                <w:sz w:val="18"/>
                <w:szCs w:val="18"/>
              </w:rPr>
              <w:t>24</w:t>
            </w:r>
            <w:r>
              <w:rPr>
                <w:rFonts w:ascii="宋体" w:hAnsi="宋体" w:cs="宋体" w:eastAsia="宋体" w:hint="default"/>
                <w:color w:val="333333"/>
                <w:sz w:val="18"/>
                <w:szCs w:val="18"/>
              </w:rPr>
              <w:t>个月后的首个交易日至 授予日起</w:t>
            </w:r>
            <w:r>
              <w:rPr>
                <w:rFonts w:ascii="Times New Roman" w:hAnsi="Times New Roman" w:cs="Times New Roman" w:eastAsia="Times New Roman" w:hint="default"/>
                <w:color w:val="333333"/>
                <w:sz w:val="18"/>
                <w:szCs w:val="18"/>
              </w:rPr>
              <w:t>36</w:t>
            </w:r>
            <w:r>
              <w:rPr>
                <w:rFonts w:ascii="宋体" w:hAnsi="宋体" w:cs="宋体" w:eastAsia="宋体" w:hint="default"/>
                <w:color w:val="333333"/>
                <w:sz w:val="18"/>
                <w:szCs w:val="18"/>
              </w:rPr>
              <w:t>个月内的最后一个交易日止</w:t>
            </w:r>
            <w:r>
              <w:rPr>
                <w:rFonts w:ascii="宋体" w:hAnsi="宋体" w:cs="宋体" w:eastAsia="宋体"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color w:val="333333"/>
                <w:sz w:val="18"/>
              </w:rPr>
              <w:t>30%</w:t>
            </w:r>
            <w:r>
              <w:rPr>
                <w:rFonts w:ascii="Times New Roman"/>
                <w:sz w:val="18"/>
              </w:rPr>
            </w:r>
          </w:p>
        </w:tc>
      </w:tr>
      <w:tr>
        <w:trPr>
          <w:trHeight w:val="655" w:hRule="exact"/>
        </w:trPr>
        <w:tc>
          <w:tcPr>
            <w:tcW w:w="2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color w:val="333333"/>
                <w:sz w:val="18"/>
                <w:szCs w:val="18"/>
              </w:rPr>
              <w:t>首次授予股票期权的第三个行权期</w:t>
            </w:r>
            <w:r>
              <w:rPr>
                <w:rFonts w:ascii="宋体" w:hAnsi="宋体" w:cs="宋体" w:eastAsia="宋体" w:hint="default"/>
                <w:sz w:val="18"/>
                <w:szCs w:val="18"/>
              </w:rPr>
            </w:r>
          </w:p>
        </w:tc>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0"/>
              <w:ind w:left="237" w:right="55" w:hanging="180"/>
              <w:jc w:val="left"/>
              <w:rPr>
                <w:rFonts w:ascii="宋体" w:hAnsi="宋体" w:cs="宋体" w:eastAsia="宋体" w:hint="default"/>
                <w:sz w:val="18"/>
                <w:szCs w:val="18"/>
              </w:rPr>
            </w:pPr>
            <w:r>
              <w:rPr>
                <w:rFonts w:ascii="宋体" w:hAnsi="宋体" w:cs="宋体" w:eastAsia="宋体" w:hint="default"/>
                <w:color w:val="333333"/>
                <w:sz w:val="18"/>
                <w:szCs w:val="18"/>
              </w:rPr>
              <w:t>自首次授予日起满</w:t>
            </w:r>
            <w:r>
              <w:rPr>
                <w:rFonts w:ascii="Times New Roman" w:hAnsi="Times New Roman" w:cs="Times New Roman" w:eastAsia="Times New Roman" w:hint="default"/>
                <w:color w:val="333333"/>
                <w:sz w:val="18"/>
                <w:szCs w:val="18"/>
              </w:rPr>
              <w:t>36</w:t>
            </w:r>
            <w:r>
              <w:rPr>
                <w:rFonts w:ascii="宋体" w:hAnsi="宋体" w:cs="宋体" w:eastAsia="宋体" w:hint="default"/>
                <w:color w:val="333333"/>
                <w:sz w:val="18"/>
                <w:szCs w:val="18"/>
              </w:rPr>
              <w:t>个月后的首个交易日至 授予日起</w:t>
            </w:r>
            <w:r>
              <w:rPr>
                <w:rFonts w:ascii="Times New Roman" w:hAnsi="Times New Roman" w:cs="Times New Roman" w:eastAsia="Times New Roman" w:hint="default"/>
                <w:color w:val="333333"/>
                <w:sz w:val="18"/>
                <w:szCs w:val="18"/>
              </w:rPr>
              <w:t>48</w:t>
            </w:r>
            <w:r>
              <w:rPr>
                <w:rFonts w:ascii="宋体" w:hAnsi="宋体" w:cs="宋体" w:eastAsia="宋体" w:hint="default"/>
                <w:color w:val="333333"/>
                <w:sz w:val="18"/>
                <w:szCs w:val="18"/>
              </w:rPr>
              <w:t>个月内的最后一个交易日止</w:t>
            </w:r>
            <w:r>
              <w:rPr>
                <w:rFonts w:ascii="宋体" w:hAnsi="宋体" w:cs="宋体" w:eastAsia="宋体"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color w:val="333333"/>
                <w:sz w:val="18"/>
              </w:rPr>
              <w:t>30%</w:t>
            </w:r>
            <w:r>
              <w:rPr>
                <w:rFonts w:ascii="Times New Roman"/>
                <w:sz w:val="18"/>
              </w:rPr>
            </w:r>
          </w:p>
        </w:tc>
      </w:tr>
    </w:tbl>
    <w:p>
      <w:pPr>
        <w:spacing w:line="240" w:lineRule="auto" w:before="3"/>
        <w:rPr>
          <w:rFonts w:ascii="宋体" w:hAnsi="宋体" w:cs="宋体" w:eastAsia="宋体" w:hint="default"/>
          <w:sz w:val="8"/>
          <w:szCs w:val="8"/>
        </w:rPr>
      </w:pPr>
    </w:p>
    <w:p>
      <w:pPr>
        <w:pStyle w:val="Heading4"/>
        <w:spacing w:line="273" w:lineRule="auto" w:before="36"/>
        <w:ind w:right="1126" w:firstLine="420"/>
        <w:jc w:val="both"/>
      </w:pPr>
      <w:r>
        <w:rPr>
          <w:spacing w:val="-2"/>
        </w:rPr>
        <w:t>激励对象必须在股票期权对应的可行权期内行权完毕，本次激励计划有效期届满后，已获授但尚未行</w:t>
      </w:r>
      <w:r>
        <w:rPr>
          <w:w w:val="100"/>
        </w:rPr>
        <w:t> </w:t>
      </w:r>
      <w:r>
        <w:rPr>
          <w:spacing w:val="-2"/>
        </w:rPr>
        <w:t>权的股票期权不得行权。各期可行权的部分必须在对应行权时间内的最后一个交易日前完成行权，不可以</w:t>
      </w:r>
      <w:r>
        <w:rPr>
          <w:spacing w:val="-43"/>
        </w:rPr>
        <w:t> </w:t>
      </w:r>
      <w:r>
        <w:rPr>
          <w:spacing w:val="-43"/>
        </w:rPr>
      </w:r>
      <w:r>
        <w:rPr/>
        <w:t>与之后的可行权部分统一行权，逾期期权不得行权，未行权的则注销。</w:t>
      </w:r>
    </w:p>
    <w:p>
      <w:pPr>
        <w:pStyle w:val="Heading4"/>
        <w:spacing w:line="256" w:lineRule="auto"/>
        <w:ind w:right="1126" w:firstLine="420"/>
        <w:jc w:val="both"/>
      </w:pPr>
      <w:r>
        <w:rPr>
          <w:spacing w:val="-4"/>
        </w:rPr>
        <w:t>行权条件：本激励计划在</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-2020</w:t>
      </w:r>
      <w:r>
        <w:rPr>
          <w:spacing w:val="-4"/>
        </w:rPr>
        <w:t>年会计年度中，分年度对公司的业绩指标进行考核，以达到业绩</w:t>
      </w:r>
      <w:r>
        <w:rPr>
          <w:w w:val="100"/>
        </w:rPr>
        <w:t> </w:t>
      </w:r>
      <w:r>
        <w:rPr/>
        <w:t>考核目标作为激励对象当年度的行权条件之一。本激励计划业绩考核目标如下表所示：</w:t>
      </w:r>
    </w:p>
    <w:p>
      <w:pPr>
        <w:spacing w:line="240" w:lineRule="auto" w:before="8"/>
        <w:rPr>
          <w:rFonts w:ascii="宋体" w:hAnsi="宋体" w:cs="宋体" w:eastAsia="宋体" w:hint="default"/>
          <w:sz w:val="14"/>
          <w:szCs w:val="14"/>
        </w:rPr>
      </w:pPr>
    </w:p>
    <w:tbl>
      <w:tblPr>
        <w:tblW w:w="0" w:type="auto"/>
        <w:jc w:val="left"/>
        <w:tblInd w:w="1000" w:type="dxa"/>
        <w:tblLayout w:type="fixed"/>
        <w:tblCellMar>
          <w:top w:w="0" w:type="dxa"/>
          <w:left w:w="0" w:type="dxa"/>
          <w:bottom w:w="0" w:type="dxa"/>
          <w:right w:w="0" w:type="dxa"/>
        </w:tblCellMar>
        <w:tblLook w:val="01E0"/>
      </w:tblPr>
      <w:tblGrid>
        <w:gridCol w:w="1964"/>
        <w:gridCol w:w="1817"/>
        <w:gridCol w:w="3788"/>
      </w:tblGrid>
      <w:tr>
        <w:trPr>
          <w:trHeight w:val="343" w:hRule="exact"/>
        </w:trPr>
        <w:tc>
          <w:tcPr>
            <w:tcW w:w="3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color w:val="333333"/>
                <w:sz w:val="18"/>
                <w:szCs w:val="18"/>
              </w:rPr>
              <w:t>行权期</w:t>
            </w:r>
            <w:r>
              <w:rPr>
                <w:rFonts w:ascii="宋体" w:hAnsi="宋体" w:cs="宋体" w:eastAsia="宋体" w:hint="default"/>
                <w:sz w:val="18"/>
                <w:szCs w:val="18"/>
              </w:rPr>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color w:val="333333"/>
                <w:sz w:val="18"/>
                <w:szCs w:val="18"/>
              </w:rPr>
              <w:t>业绩考核目标</w:t>
            </w:r>
            <w:r>
              <w:rPr>
                <w:rFonts w:ascii="宋体" w:hAnsi="宋体" w:cs="宋体" w:eastAsia="宋体" w:hint="default"/>
                <w:sz w:val="18"/>
                <w:szCs w:val="18"/>
              </w:rPr>
            </w:r>
          </w:p>
        </w:tc>
      </w:tr>
      <w:tr>
        <w:trPr>
          <w:trHeight w:val="341" w:hRule="exact"/>
        </w:trPr>
        <w:tc>
          <w:tcPr>
            <w:tcW w:w="1964" w:type="dxa"/>
            <w:vMerge w:val="restart"/>
            <w:tcBorders>
              <w:top w:val="single" w:sz="4" w:space="0" w:color="000000"/>
              <w:left w:val="single" w:sz="4" w:space="0" w:color="000000"/>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宋体" w:hAnsi="宋体" w:cs="宋体" w:eastAsia="宋体" w:hint="default"/>
                <w:color w:val="333333"/>
                <w:sz w:val="18"/>
                <w:szCs w:val="18"/>
              </w:rPr>
              <w:t>首次授予的股票期权</w:t>
            </w:r>
            <w:r>
              <w:rPr>
                <w:rFonts w:ascii="宋体" w:hAnsi="宋体" w:cs="宋体" w:eastAsia="宋体" w:hint="default"/>
                <w:sz w:val="18"/>
                <w:szCs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color w:val="333333"/>
                <w:sz w:val="18"/>
                <w:szCs w:val="18"/>
              </w:rPr>
              <w:t>第一个行权期</w:t>
            </w:r>
            <w:r>
              <w:rPr>
                <w:rFonts w:ascii="宋体" w:hAnsi="宋体" w:cs="宋体" w:eastAsia="宋体" w:hint="default"/>
                <w:sz w:val="18"/>
                <w:szCs w:val="18"/>
              </w:rPr>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color w:val="333333"/>
                <w:sz w:val="18"/>
                <w:szCs w:val="18"/>
              </w:rPr>
              <w:t>2018</w:t>
            </w:r>
            <w:r>
              <w:rPr>
                <w:rFonts w:ascii="宋体" w:hAnsi="宋体" w:cs="宋体" w:eastAsia="宋体" w:hint="default"/>
                <w:color w:val="333333"/>
                <w:sz w:val="18"/>
                <w:szCs w:val="18"/>
              </w:rPr>
              <w:t>年净利润不低于</w:t>
            </w:r>
            <w:r>
              <w:rPr>
                <w:rFonts w:ascii="Times New Roman" w:hAnsi="Times New Roman" w:cs="Times New Roman" w:eastAsia="Times New Roman" w:hint="default"/>
                <w:color w:val="333333"/>
                <w:sz w:val="18"/>
                <w:szCs w:val="18"/>
              </w:rPr>
              <w:t>3.8</w:t>
            </w:r>
            <w:r>
              <w:rPr>
                <w:rFonts w:ascii="宋体" w:hAnsi="宋体" w:cs="宋体" w:eastAsia="宋体" w:hint="default"/>
                <w:color w:val="333333"/>
                <w:sz w:val="18"/>
                <w:szCs w:val="18"/>
              </w:rPr>
              <w:t>亿元</w:t>
            </w:r>
            <w:r>
              <w:rPr>
                <w:rFonts w:ascii="宋体" w:hAnsi="宋体" w:cs="宋体" w:eastAsia="宋体" w:hint="default"/>
                <w:sz w:val="18"/>
                <w:szCs w:val="18"/>
              </w:rPr>
            </w:r>
          </w:p>
        </w:tc>
      </w:tr>
      <w:tr>
        <w:trPr>
          <w:trHeight w:val="343" w:hRule="exact"/>
        </w:trPr>
        <w:tc>
          <w:tcPr>
            <w:tcW w:w="1964" w:type="dxa"/>
            <w:vMerge/>
            <w:tcBorders>
              <w:left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color w:val="333333"/>
                <w:sz w:val="18"/>
                <w:szCs w:val="18"/>
              </w:rPr>
              <w:t>第二个行权期</w:t>
            </w:r>
            <w:r>
              <w:rPr>
                <w:rFonts w:ascii="宋体" w:hAnsi="宋体" w:cs="宋体" w:eastAsia="宋体" w:hint="default"/>
                <w:sz w:val="18"/>
                <w:szCs w:val="18"/>
              </w:rPr>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color w:val="333333"/>
                <w:sz w:val="18"/>
                <w:szCs w:val="18"/>
              </w:rPr>
              <w:t>2019</w:t>
            </w:r>
            <w:r>
              <w:rPr>
                <w:rFonts w:ascii="宋体" w:hAnsi="宋体" w:cs="宋体" w:eastAsia="宋体" w:hint="default"/>
                <w:color w:val="333333"/>
                <w:sz w:val="18"/>
                <w:szCs w:val="18"/>
              </w:rPr>
              <w:t>年净利润不低于</w:t>
            </w:r>
            <w:r>
              <w:rPr>
                <w:rFonts w:ascii="Times New Roman" w:hAnsi="Times New Roman" w:cs="Times New Roman" w:eastAsia="Times New Roman" w:hint="default"/>
                <w:color w:val="333333"/>
                <w:sz w:val="18"/>
                <w:szCs w:val="18"/>
              </w:rPr>
              <w:t>4.5</w:t>
            </w:r>
            <w:r>
              <w:rPr>
                <w:rFonts w:ascii="宋体" w:hAnsi="宋体" w:cs="宋体" w:eastAsia="宋体" w:hint="default"/>
                <w:color w:val="333333"/>
                <w:sz w:val="18"/>
                <w:szCs w:val="18"/>
              </w:rPr>
              <w:t>亿元</w:t>
            </w:r>
            <w:r>
              <w:rPr>
                <w:rFonts w:ascii="宋体" w:hAnsi="宋体" w:cs="宋体" w:eastAsia="宋体" w:hint="default"/>
                <w:sz w:val="18"/>
                <w:szCs w:val="18"/>
              </w:rPr>
            </w:r>
          </w:p>
        </w:tc>
      </w:tr>
      <w:tr>
        <w:trPr>
          <w:trHeight w:val="341" w:hRule="exact"/>
        </w:trPr>
        <w:tc>
          <w:tcPr>
            <w:tcW w:w="1964" w:type="dxa"/>
            <w:vMerge/>
            <w:tcBorders>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color w:val="333333"/>
                <w:sz w:val="18"/>
                <w:szCs w:val="18"/>
              </w:rPr>
              <w:t>第三个行权期</w:t>
            </w:r>
            <w:r>
              <w:rPr>
                <w:rFonts w:ascii="宋体" w:hAnsi="宋体" w:cs="宋体" w:eastAsia="宋体" w:hint="default"/>
                <w:sz w:val="18"/>
                <w:szCs w:val="18"/>
              </w:rPr>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color w:val="333333"/>
                <w:sz w:val="18"/>
                <w:szCs w:val="18"/>
              </w:rPr>
              <w:t>2020</w:t>
            </w:r>
            <w:r>
              <w:rPr>
                <w:rFonts w:ascii="宋体" w:hAnsi="宋体" w:cs="宋体" w:eastAsia="宋体" w:hint="default"/>
                <w:color w:val="333333"/>
                <w:sz w:val="18"/>
                <w:szCs w:val="18"/>
              </w:rPr>
              <w:t>年净利润不低于</w:t>
            </w:r>
            <w:r>
              <w:rPr>
                <w:rFonts w:ascii="Times New Roman" w:hAnsi="Times New Roman" w:cs="Times New Roman" w:eastAsia="Times New Roman" w:hint="default"/>
                <w:color w:val="333333"/>
                <w:sz w:val="18"/>
                <w:szCs w:val="18"/>
              </w:rPr>
              <w:t>5.5</w:t>
            </w:r>
            <w:r>
              <w:rPr>
                <w:rFonts w:ascii="宋体" w:hAnsi="宋体" w:cs="宋体" w:eastAsia="宋体" w:hint="default"/>
                <w:color w:val="333333"/>
                <w:sz w:val="18"/>
                <w:szCs w:val="18"/>
              </w:rPr>
              <w:t>亿元</w:t>
            </w:r>
            <w:r>
              <w:rPr>
                <w:rFonts w:ascii="宋体" w:hAnsi="宋体" w:cs="宋体" w:eastAsia="宋体" w:hint="default"/>
                <w:sz w:val="18"/>
                <w:szCs w:val="18"/>
              </w:rPr>
            </w:r>
          </w:p>
        </w:tc>
      </w:tr>
    </w:tbl>
    <w:p>
      <w:pPr>
        <w:pStyle w:val="BodyText"/>
        <w:spacing w:line="240" w:lineRule="auto" w:before="8"/>
        <w:ind w:left="964" w:right="2602"/>
        <w:jc w:val="left"/>
      </w:pPr>
      <w:r>
        <w:rPr/>
        <w:t>注：上述各指标计算时使用的净利润为经审计的归属于母公司所有者的净利润。</w:t>
      </w:r>
    </w:p>
    <w:p>
      <w:pPr>
        <w:spacing w:line="240" w:lineRule="auto" w:before="3"/>
        <w:rPr>
          <w:rFonts w:ascii="宋体" w:hAnsi="宋体" w:cs="宋体" w:eastAsia="宋体" w:hint="default"/>
          <w:sz w:val="16"/>
          <w:szCs w:val="16"/>
        </w:rPr>
      </w:pPr>
    </w:p>
    <w:p>
      <w:pPr>
        <w:pStyle w:val="Heading4"/>
        <w:spacing w:line="256" w:lineRule="auto" w:before="0"/>
        <w:ind w:left="573" w:right="7460"/>
        <w:jc w:val="left"/>
      </w:pPr>
      <w:r>
        <w:rPr>
          <w:spacing w:val="-2"/>
        </w:rPr>
        <w:t>（</w:t>
      </w:r>
      <w:r>
        <w:rPr>
          <w:rFonts w:ascii="Times New Roman" w:hAnsi="Times New Roman" w:cs="Times New Roman" w:eastAsia="Times New Roman" w:hint="default"/>
          <w:spacing w:val="-2"/>
        </w:rPr>
        <w:t>2</w:t>
      </w:r>
      <w:r>
        <w:rPr>
          <w:spacing w:val="-2"/>
        </w:rPr>
        <w:t>）预留股票期权的具体情况</w:t>
      </w:r>
      <w:r>
        <w:rPr>
          <w:spacing w:val="-79"/>
        </w:rPr>
        <w:t> </w:t>
      </w:r>
      <w:r>
        <w:rPr>
          <w:spacing w:val="-79"/>
        </w:rPr>
      </w:r>
      <w:r>
        <w:rPr/>
        <w:t>授权日：</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8</w:t>
      </w:r>
      <w:r>
        <w:rPr/>
        <w:t>日。</w:t>
      </w:r>
    </w:p>
    <w:p>
      <w:pPr>
        <w:pStyle w:val="Heading4"/>
        <w:spacing w:line="256" w:lineRule="auto" w:before="5"/>
        <w:ind w:right="0" w:firstLine="420"/>
        <w:jc w:val="left"/>
      </w:pPr>
      <w:r>
        <w:rPr>
          <w:spacing w:val="-7"/>
        </w:rPr>
        <w:t>授予对象：预留股票期权授予激励对象共</w:t>
      </w:r>
      <w:r>
        <w:rPr>
          <w:rFonts w:ascii="Times New Roman" w:hAnsi="Times New Roman" w:cs="Times New Roman" w:eastAsia="Times New Roman" w:hint="default"/>
          <w:spacing w:val="-7"/>
        </w:rPr>
        <w:t>30</w:t>
      </w:r>
      <w:r>
        <w:rPr>
          <w:spacing w:val="-7"/>
        </w:rPr>
        <w:t>名，包括在公司（含子公司）任职的董事、高级管理人员、</w:t>
      </w:r>
      <w:r>
        <w:rPr>
          <w:w w:val="100"/>
        </w:rPr>
        <w:t> </w:t>
      </w:r>
      <w:r>
        <w:rPr>
          <w:spacing w:val="-2"/>
        </w:rPr>
        <w:t>核心管理、业务骨干人员。不含独立董事、监事、单独或合计持股</w:t>
      </w:r>
      <w:r>
        <w:rPr>
          <w:rFonts w:ascii="Times New Roman" w:hAnsi="Times New Roman" w:cs="Times New Roman" w:eastAsia="Times New Roman" w:hint="default"/>
          <w:spacing w:val="-2"/>
        </w:rPr>
        <w:t>5%</w:t>
      </w:r>
      <w:r>
        <w:rPr>
          <w:spacing w:val="-2"/>
        </w:rPr>
        <w:t>以上的股东或实际控制人及其配偶、</w:t>
      </w:r>
      <w:r>
        <w:rPr>
          <w:spacing w:val="-5"/>
        </w:rPr>
        <w:t> </w:t>
      </w:r>
      <w:r>
        <w:rPr>
          <w:spacing w:val="-5"/>
        </w:rPr>
      </w:r>
      <w:r>
        <w:rPr/>
        <w:t>父母、子女。</w:t>
      </w:r>
    </w:p>
    <w:p>
      <w:pPr>
        <w:pStyle w:val="Heading4"/>
        <w:spacing w:line="256" w:lineRule="auto" w:before="22"/>
        <w:ind w:left="573" w:right="4814"/>
        <w:jc w:val="left"/>
      </w:pPr>
      <w:r>
        <w:rPr>
          <w:spacing w:val="-2"/>
        </w:rPr>
        <w:t>授予数量：首次授予股票期权数量为</w:t>
      </w:r>
      <w:r>
        <w:rPr>
          <w:rFonts w:ascii="Times New Roman" w:hAnsi="Times New Roman" w:cs="Times New Roman" w:eastAsia="Times New Roman" w:hint="default"/>
          <w:spacing w:val="-2"/>
        </w:rPr>
        <w:t>300</w:t>
      </w:r>
      <w:r>
        <w:rPr>
          <w:spacing w:val="-2"/>
        </w:rPr>
        <w:t>万份。</w:t>
      </w:r>
      <w:r>
        <w:rPr>
          <w:spacing w:val="-64"/>
        </w:rPr>
        <w:t> </w:t>
      </w:r>
      <w:r>
        <w:rPr>
          <w:spacing w:val="-64"/>
        </w:rPr>
      </w:r>
      <w:r>
        <w:rPr/>
        <w:t>行权价格：</w:t>
      </w:r>
      <w:r>
        <w:rPr>
          <w:rFonts w:ascii="Times New Roman" w:hAnsi="Times New Roman" w:cs="Times New Roman" w:eastAsia="Times New Roman" w:hint="default"/>
        </w:rPr>
        <w:t>17.47</w:t>
      </w:r>
      <w:r>
        <w:rPr/>
        <w:t>元</w:t>
      </w:r>
    </w:p>
    <w:p>
      <w:pPr>
        <w:pStyle w:val="Heading4"/>
        <w:spacing w:line="256" w:lineRule="auto" w:before="5"/>
        <w:ind w:right="0" w:firstLine="420"/>
        <w:jc w:val="left"/>
      </w:pPr>
      <w:r>
        <w:rPr>
          <w:spacing w:val="-2"/>
        </w:rPr>
        <w:t>行权安排：预留的股票期权自该部分股票期权授予日起</w:t>
      </w:r>
      <w:r>
        <w:rPr>
          <w:rFonts w:ascii="Times New Roman" w:hAnsi="Times New Roman" w:cs="Times New Roman" w:eastAsia="Times New Roman" w:hint="default"/>
          <w:spacing w:val="-2"/>
        </w:rPr>
        <w:t>12</w:t>
      </w:r>
      <w:r>
        <w:rPr>
          <w:spacing w:val="-2"/>
        </w:rPr>
        <w:t>个月后，满足行权条件的，激励对象在行权</w:t>
      </w:r>
      <w:r>
        <w:rPr>
          <w:w w:val="100"/>
        </w:rPr>
        <w:t> </w:t>
      </w:r>
      <w:r>
        <w:rPr/>
        <w:t>期内按</w:t>
      </w:r>
      <w:r>
        <w:rPr>
          <w:rFonts w:ascii="Times New Roman" w:hAnsi="Times New Roman" w:cs="Times New Roman" w:eastAsia="Times New Roman" w:hint="default"/>
        </w:rPr>
        <w:t>50%</w:t>
      </w:r>
      <w:r>
        <w:rPr/>
        <w:t>，</w:t>
      </w:r>
      <w:r>
        <w:rPr>
          <w:rFonts w:ascii="Times New Roman" w:hAnsi="Times New Roman" w:cs="Times New Roman" w:eastAsia="Times New Roman" w:hint="default"/>
        </w:rPr>
        <w:t>50%</w:t>
      </w:r>
      <w:r>
        <w:rPr/>
        <w:t>的行权比例分两期行权。具体行权安排如下表所示：</w:t>
      </w:r>
    </w:p>
    <w:p>
      <w:pPr>
        <w:spacing w:after="0" w:line="256" w:lineRule="auto"/>
        <w:jc w:val="lef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592" w:type="dxa"/>
        <w:tblLayout w:type="fixed"/>
        <w:tblCellMar>
          <w:top w:w="0" w:type="dxa"/>
          <w:left w:w="0" w:type="dxa"/>
          <w:bottom w:w="0" w:type="dxa"/>
          <w:right w:w="0" w:type="dxa"/>
        </w:tblCellMar>
        <w:tblLook w:val="01E0"/>
      </w:tblPr>
      <w:tblGrid>
        <w:gridCol w:w="3080"/>
        <w:gridCol w:w="4112"/>
        <w:gridCol w:w="1561"/>
      </w:tblGrid>
      <w:tr>
        <w:trPr>
          <w:trHeight w:val="341"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color w:val="333333"/>
                <w:sz w:val="18"/>
                <w:szCs w:val="18"/>
              </w:rPr>
              <w:t>行权期</w:t>
            </w:r>
            <w:r>
              <w:rPr>
                <w:rFonts w:ascii="宋体" w:hAnsi="宋体" w:cs="宋体" w:eastAsia="宋体" w:hint="default"/>
                <w:sz w:val="18"/>
                <w:szCs w:val="18"/>
              </w:rPr>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color w:val="333333"/>
                <w:sz w:val="18"/>
                <w:szCs w:val="18"/>
              </w:rPr>
              <w:t>行权时间</w:t>
            </w:r>
            <w:r>
              <w:rPr>
                <w:rFonts w:ascii="宋体" w:hAnsi="宋体" w:cs="宋体" w:eastAsia="宋体" w:hint="default"/>
                <w:sz w:val="18"/>
                <w:szCs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 w:right="0"/>
              <w:jc w:val="center"/>
              <w:rPr>
                <w:rFonts w:ascii="宋体" w:hAnsi="宋体" w:cs="宋体" w:eastAsia="宋体" w:hint="default"/>
                <w:sz w:val="18"/>
                <w:szCs w:val="18"/>
              </w:rPr>
            </w:pPr>
            <w:r>
              <w:rPr>
                <w:rFonts w:ascii="宋体" w:hAnsi="宋体" w:cs="宋体" w:eastAsia="宋体" w:hint="default"/>
                <w:color w:val="333333"/>
                <w:sz w:val="18"/>
                <w:szCs w:val="18"/>
              </w:rPr>
              <w:t>可行权比例</w:t>
            </w:r>
            <w:r>
              <w:rPr>
                <w:rFonts w:ascii="宋体" w:hAnsi="宋体" w:cs="宋体" w:eastAsia="宋体" w:hint="default"/>
                <w:sz w:val="18"/>
                <w:szCs w:val="18"/>
              </w:rPr>
            </w:r>
          </w:p>
        </w:tc>
      </w:tr>
      <w:tr>
        <w:trPr>
          <w:trHeight w:val="655"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color w:val="333333"/>
                <w:sz w:val="18"/>
                <w:szCs w:val="18"/>
              </w:rPr>
              <w:t>预留股票期权的第一个行权期</w:t>
            </w:r>
            <w:r>
              <w:rPr>
                <w:rFonts w:ascii="宋体" w:hAnsi="宋体" w:cs="宋体" w:eastAsia="宋体" w:hint="default"/>
                <w:sz w:val="18"/>
                <w:szCs w:val="18"/>
              </w:rPr>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0"/>
              <w:ind w:left="523" w:right="67" w:hanging="452"/>
              <w:jc w:val="left"/>
              <w:rPr>
                <w:rFonts w:ascii="宋体" w:hAnsi="宋体" w:cs="宋体" w:eastAsia="宋体" w:hint="default"/>
                <w:sz w:val="18"/>
                <w:szCs w:val="18"/>
              </w:rPr>
            </w:pPr>
            <w:r>
              <w:rPr>
                <w:rFonts w:ascii="宋体" w:hAnsi="宋体" w:cs="宋体" w:eastAsia="宋体" w:hint="default"/>
                <w:color w:val="333333"/>
                <w:sz w:val="18"/>
                <w:szCs w:val="18"/>
              </w:rPr>
              <w:t>自该部分股票授予日起满</w:t>
            </w:r>
            <w:r>
              <w:rPr>
                <w:rFonts w:ascii="Times New Roman" w:hAnsi="Times New Roman" w:cs="Times New Roman" w:eastAsia="Times New Roman" w:hint="default"/>
                <w:color w:val="333333"/>
                <w:sz w:val="18"/>
                <w:szCs w:val="18"/>
              </w:rPr>
              <w:t>12</w:t>
            </w:r>
            <w:r>
              <w:rPr>
                <w:rFonts w:ascii="宋体" w:hAnsi="宋体" w:cs="宋体" w:eastAsia="宋体" w:hint="default"/>
                <w:color w:val="333333"/>
                <w:sz w:val="18"/>
                <w:szCs w:val="18"/>
              </w:rPr>
              <w:t>个月后的首个交易日至 授予日起</w:t>
            </w:r>
            <w:r>
              <w:rPr>
                <w:rFonts w:ascii="Times New Roman" w:hAnsi="Times New Roman" w:cs="Times New Roman" w:eastAsia="Times New Roman" w:hint="default"/>
                <w:color w:val="333333"/>
                <w:sz w:val="18"/>
                <w:szCs w:val="18"/>
              </w:rPr>
              <w:t>24</w:t>
            </w:r>
            <w:r>
              <w:rPr>
                <w:rFonts w:ascii="宋体" w:hAnsi="宋体" w:cs="宋体" w:eastAsia="宋体" w:hint="default"/>
                <w:color w:val="333333"/>
                <w:sz w:val="18"/>
                <w:szCs w:val="18"/>
              </w:rPr>
              <w:t>个月内的最后一个交易日止</w:t>
            </w:r>
            <w:r>
              <w:rPr>
                <w:rFonts w:ascii="宋体" w:hAnsi="宋体" w:cs="宋体" w:eastAsia="宋体" w:hint="default"/>
                <w:sz w:val="18"/>
                <w:szCs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color w:val="333333"/>
                <w:sz w:val="18"/>
              </w:rPr>
              <w:t>50%</w:t>
            </w:r>
            <w:r>
              <w:rPr>
                <w:rFonts w:ascii="Times New Roman"/>
                <w:sz w:val="18"/>
              </w:rPr>
            </w:r>
          </w:p>
        </w:tc>
      </w:tr>
      <w:tr>
        <w:trPr>
          <w:trHeight w:val="655"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color w:val="333333"/>
                <w:sz w:val="18"/>
                <w:szCs w:val="18"/>
              </w:rPr>
              <w:t>预留股票期权的第二个行权期</w:t>
            </w:r>
            <w:r>
              <w:rPr>
                <w:rFonts w:ascii="宋体" w:hAnsi="宋体" w:cs="宋体" w:eastAsia="宋体" w:hint="default"/>
                <w:sz w:val="18"/>
                <w:szCs w:val="18"/>
              </w:rPr>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17"/>
              <w:ind w:left="523" w:right="67" w:hanging="452"/>
              <w:jc w:val="left"/>
              <w:rPr>
                <w:rFonts w:ascii="宋体" w:hAnsi="宋体" w:cs="宋体" w:eastAsia="宋体" w:hint="default"/>
                <w:sz w:val="18"/>
                <w:szCs w:val="18"/>
              </w:rPr>
            </w:pPr>
            <w:r>
              <w:rPr>
                <w:rFonts w:ascii="宋体" w:hAnsi="宋体" w:cs="宋体" w:eastAsia="宋体" w:hint="default"/>
                <w:color w:val="333333"/>
                <w:sz w:val="18"/>
                <w:szCs w:val="18"/>
              </w:rPr>
              <w:t>自该部分股票授予日起满</w:t>
            </w:r>
            <w:r>
              <w:rPr>
                <w:rFonts w:ascii="Times New Roman" w:hAnsi="Times New Roman" w:cs="Times New Roman" w:eastAsia="Times New Roman" w:hint="default"/>
                <w:color w:val="333333"/>
                <w:sz w:val="18"/>
                <w:szCs w:val="18"/>
              </w:rPr>
              <w:t>24</w:t>
            </w:r>
            <w:r>
              <w:rPr>
                <w:rFonts w:ascii="宋体" w:hAnsi="宋体" w:cs="宋体" w:eastAsia="宋体" w:hint="default"/>
                <w:color w:val="333333"/>
                <w:sz w:val="18"/>
                <w:szCs w:val="18"/>
              </w:rPr>
              <w:t>个月后的首个交易日至 授予日起</w:t>
            </w:r>
            <w:r>
              <w:rPr>
                <w:rFonts w:ascii="Times New Roman" w:hAnsi="Times New Roman" w:cs="Times New Roman" w:eastAsia="Times New Roman" w:hint="default"/>
                <w:color w:val="333333"/>
                <w:sz w:val="18"/>
                <w:szCs w:val="18"/>
              </w:rPr>
              <w:t>36</w:t>
            </w:r>
            <w:r>
              <w:rPr>
                <w:rFonts w:ascii="宋体" w:hAnsi="宋体" w:cs="宋体" w:eastAsia="宋体" w:hint="default"/>
                <w:color w:val="333333"/>
                <w:sz w:val="18"/>
                <w:szCs w:val="18"/>
              </w:rPr>
              <w:t>个月内的最后一个交易日止</w:t>
            </w:r>
            <w:r>
              <w:rPr>
                <w:rFonts w:ascii="宋体" w:hAnsi="宋体" w:cs="宋体" w:eastAsia="宋体" w:hint="default"/>
                <w:sz w:val="18"/>
                <w:szCs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color w:val="333333"/>
                <w:sz w:val="18"/>
              </w:rPr>
              <w:t>50%</w:t>
            </w:r>
            <w:r>
              <w:rPr>
                <w:rFonts w:ascii="Times New Roman"/>
                <w:sz w:val="18"/>
              </w:rPr>
            </w:r>
          </w:p>
        </w:tc>
      </w:tr>
    </w:tbl>
    <w:p>
      <w:pPr>
        <w:spacing w:line="240" w:lineRule="auto" w:before="3"/>
        <w:rPr>
          <w:rFonts w:ascii="宋体" w:hAnsi="宋体" w:cs="宋体" w:eastAsia="宋体" w:hint="default"/>
          <w:sz w:val="8"/>
          <w:szCs w:val="8"/>
        </w:rPr>
      </w:pPr>
    </w:p>
    <w:p>
      <w:pPr>
        <w:pStyle w:val="Heading4"/>
        <w:spacing w:line="273" w:lineRule="auto" w:before="36"/>
        <w:ind w:right="1126" w:firstLine="420"/>
        <w:jc w:val="both"/>
      </w:pPr>
      <w:r>
        <w:rPr>
          <w:spacing w:val="-2"/>
        </w:rPr>
        <w:t>激励对象必须在股票期权对应的可行权期内行权完毕，本次激励计划有效期届满后，已获授但尚未行</w:t>
      </w:r>
      <w:r>
        <w:rPr>
          <w:w w:val="100"/>
        </w:rPr>
        <w:t> </w:t>
      </w:r>
      <w:r>
        <w:rPr>
          <w:spacing w:val="-2"/>
        </w:rPr>
        <w:t>权的股票期权不得行权。各期可行权的部分必须在对应行权时间内的最后一个交易日前完成行权，不可以</w:t>
      </w:r>
      <w:r>
        <w:rPr>
          <w:spacing w:val="-43"/>
        </w:rPr>
        <w:t> </w:t>
      </w:r>
      <w:r>
        <w:rPr>
          <w:spacing w:val="-43"/>
        </w:rPr>
      </w:r>
      <w:r>
        <w:rPr/>
        <w:t>与之后的可行权部分统一行权，逾期期权不得行权，未行权的则注销。</w:t>
      </w:r>
    </w:p>
    <w:p>
      <w:pPr>
        <w:pStyle w:val="Heading4"/>
        <w:spacing w:line="256" w:lineRule="auto"/>
        <w:ind w:right="1126" w:firstLine="420"/>
        <w:jc w:val="both"/>
      </w:pPr>
      <w:r>
        <w:rPr>
          <w:spacing w:val="-4"/>
        </w:rPr>
        <w:t>行权条件：本激励计划在</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-2020</w:t>
      </w:r>
      <w:r>
        <w:rPr>
          <w:spacing w:val="-4"/>
        </w:rPr>
        <w:t>年会计年度中，分年度对公司的业绩指标进行考核，以达到业绩</w:t>
      </w:r>
      <w:r>
        <w:rPr>
          <w:w w:val="100"/>
        </w:rPr>
        <w:t> </w:t>
      </w:r>
      <w:r>
        <w:rPr/>
        <w:t>考核目标作为激励对象当年度的行权条件之一。本激励计划业绩考核目标如下表所示：</w:t>
      </w:r>
    </w:p>
    <w:p>
      <w:pPr>
        <w:spacing w:line="240" w:lineRule="auto" w:before="8"/>
        <w:rPr>
          <w:rFonts w:ascii="宋体" w:hAnsi="宋体" w:cs="宋体" w:eastAsia="宋体" w:hint="default"/>
          <w:sz w:val="14"/>
          <w:szCs w:val="14"/>
        </w:rPr>
      </w:pPr>
    </w:p>
    <w:tbl>
      <w:tblPr>
        <w:tblW w:w="0" w:type="auto"/>
        <w:jc w:val="left"/>
        <w:tblInd w:w="1000" w:type="dxa"/>
        <w:tblLayout w:type="fixed"/>
        <w:tblCellMar>
          <w:top w:w="0" w:type="dxa"/>
          <w:left w:w="0" w:type="dxa"/>
          <w:bottom w:w="0" w:type="dxa"/>
          <w:right w:w="0" w:type="dxa"/>
        </w:tblCellMar>
        <w:tblLook w:val="01E0"/>
      </w:tblPr>
      <w:tblGrid>
        <w:gridCol w:w="1964"/>
        <w:gridCol w:w="1817"/>
        <w:gridCol w:w="3788"/>
      </w:tblGrid>
      <w:tr>
        <w:trPr>
          <w:trHeight w:val="341" w:hRule="exact"/>
        </w:trPr>
        <w:tc>
          <w:tcPr>
            <w:tcW w:w="3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color w:val="333333"/>
                <w:sz w:val="18"/>
                <w:szCs w:val="18"/>
              </w:rPr>
              <w:t>行权期</w:t>
            </w:r>
            <w:r>
              <w:rPr>
                <w:rFonts w:ascii="宋体" w:hAnsi="宋体" w:cs="宋体" w:eastAsia="宋体" w:hint="default"/>
                <w:sz w:val="18"/>
                <w:szCs w:val="18"/>
              </w:rPr>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color w:val="333333"/>
                <w:sz w:val="18"/>
                <w:szCs w:val="18"/>
              </w:rPr>
              <w:t>业绩考核目标</w:t>
            </w:r>
            <w:r>
              <w:rPr>
                <w:rFonts w:ascii="宋体" w:hAnsi="宋体" w:cs="宋体" w:eastAsia="宋体" w:hint="default"/>
                <w:sz w:val="18"/>
                <w:szCs w:val="18"/>
              </w:rPr>
            </w:r>
          </w:p>
        </w:tc>
      </w:tr>
      <w:tr>
        <w:trPr>
          <w:trHeight w:val="344" w:hRule="exact"/>
        </w:trPr>
        <w:tc>
          <w:tcPr>
            <w:tcW w:w="1964"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color w:val="333333"/>
                <w:sz w:val="18"/>
                <w:szCs w:val="18"/>
              </w:rPr>
              <w:t>预留授予的股票期权</w:t>
            </w:r>
            <w:r>
              <w:rPr>
                <w:rFonts w:ascii="宋体" w:hAnsi="宋体" w:cs="宋体" w:eastAsia="宋体" w:hint="default"/>
                <w:sz w:val="18"/>
                <w:szCs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 w:right="0"/>
              <w:jc w:val="center"/>
              <w:rPr>
                <w:rFonts w:ascii="宋体" w:hAnsi="宋体" w:cs="宋体" w:eastAsia="宋体" w:hint="default"/>
                <w:sz w:val="18"/>
                <w:szCs w:val="18"/>
              </w:rPr>
            </w:pPr>
            <w:r>
              <w:rPr>
                <w:rFonts w:ascii="宋体" w:hAnsi="宋体" w:cs="宋体" w:eastAsia="宋体" w:hint="default"/>
                <w:color w:val="333333"/>
                <w:sz w:val="18"/>
                <w:szCs w:val="18"/>
              </w:rPr>
              <w:t>第一个行权期</w:t>
            </w:r>
            <w:r>
              <w:rPr>
                <w:rFonts w:ascii="宋体" w:hAnsi="宋体" w:cs="宋体" w:eastAsia="宋体" w:hint="default"/>
                <w:sz w:val="18"/>
                <w:szCs w:val="18"/>
              </w:rPr>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Times New Roman" w:hAnsi="Times New Roman" w:cs="Times New Roman" w:eastAsia="Times New Roman" w:hint="default"/>
                <w:color w:val="333333"/>
                <w:sz w:val="18"/>
                <w:szCs w:val="18"/>
              </w:rPr>
              <w:t>2019</w:t>
            </w:r>
            <w:r>
              <w:rPr>
                <w:rFonts w:ascii="宋体" w:hAnsi="宋体" w:cs="宋体" w:eastAsia="宋体" w:hint="default"/>
                <w:color w:val="333333"/>
                <w:sz w:val="18"/>
                <w:szCs w:val="18"/>
              </w:rPr>
              <w:t>年净利润不低于</w:t>
            </w:r>
            <w:r>
              <w:rPr>
                <w:rFonts w:ascii="Times New Roman" w:hAnsi="Times New Roman" w:cs="Times New Roman" w:eastAsia="Times New Roman" w:hint="default"/>
                <w:color w:val="333333"/>
                <w:sz w:val="18"/>
                <w:szCs w:val="18"/>
              </w:rPr>
              <w:t>4.5</w:t>
            </w:r>
            <w:r>
              <w:rPr>
                <w:rFonts w:ascii="宋体" w:hAnsi="宋体" w:cs="宋体" w:eastAsia="宋体" w:hint="default"/>
                <w:color w:val="333333"/>
                <w:sz w:val="18"/>
                <w:szCs w:val="18"/>
              </w:rPr>
              <w:t>亿元</w:t>
            </w:r>
            <w:r>
              <w:rPr>
                <w:rFonts w:ascii="宋体" w:hAnsi="宋体" w:cs="宋体" w:eastAsia="宋体" w:hint="default"/>
                <w:sz w:val="18"/>
                <w:szCs w:val="18"/>
              </w:rPr>
            </w:r>
          </w:p>
        </w:tc>
      </w:tr>
      <w:tr>
        <w:trPr>
          <w:trHeight w:val="341" w:hRule="exact"/>
        </w:trPr>
        <w:tc>
          <w:tcPr>
            <w:tcW w:w="1964" w:type="dxa"/>
            <w:vMerge/>
            <w:tcBorders>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color w:val="333333"/>
                <w:sz w:val="18"/>
                <w:szCs w:val="18"/>
              </w:rPr>
              <w:t>第二个行权期</w:t>
            </w:r>
            <w:r>
              <w:rPr>
                <w:rFonts w:ascii="宋体" w:hAnsi="宋体" w:cs="宋体" w:eastAsia="宋体" w:hint="default"/>
                <w:sz w:val="18"/>
                <w:szCs w:val="18"/>
              </w:rPr>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color w:val="333333"/>
                <w:sz w:val="18"/>
                <w:szCs w:val="18"/>
              </w:rPr>
              <w:t>2020</w:t>
            </w:r>
            <w:r>
              <w:rPr>
                <w:rFonts w:ascii="宋体" w:hAnsi="宋体" w:cs="宋体" w:eastAsia="宋体" w:hint="default"/>
                <w:color w:val="333333"/>
                <w:sz w:val="18"/>
                <w:szCs w:val="18"/>
              </w:rPr>
              <w:t>年净利润不低于</w:t>
            </w:r>
            <w:r>
              <w:rPr>
                <w:rFonts w:ascii="Times New Roman" w:hAnsi="Times New Roman" w:cs="Times New Roman" w:eastAsia="Times New Roman" w:hint="default"/>
                <w:color w:val="333333"/>
                <w:sz w:val="18"/>
                <w:szCs w:val="18"/>
              </w:rPr>
              <w:t>5.5</w:t>
            </w:r>
            <w:r>
              <w:rPr>
                <w:rFonts w:ascii="宋体" w:hAnsi="宋体" w:cs="宋体" w:eastAsia="宋体" w:hint="default"/>
                <w:color w:val="333333"/>
                <w:sz w:val="18"/>
                <w:szCs w:val="18"/>
              </w:rPr>
              <w:t>亿元</w:t>
            </w:r>
            <w:r>
              <w:rPr>
                <w:rFonts w:ascii="宋体" w:hAnsi="宋体" w:cs="宋体" w:eastAsia="宋体" w:hint="default"/>
                <w:sz w:val="18"/>
                <w:szCs w:val="18"/>
              </w:rPr>
            </w:r>
          </w:p>
        </w:tc>
      </w:tr>
    </w:tbl>
    <w:p>
      <w:pPr>
        <w:pStyle w:val="BodyText"/>
        <w:spacing w:line="240" w:lineRule="auto" w:before="8"/>
        <w:ind w:left="1046" w:right="2602"/>
        <w:jc w:val="left"/>
      </w:pPr>
      <w:r>
        <w:rPr/>
        <w:t>注：上述各指标计算时使用的净利润为经审计的归属于母公司所有者的净利润。</w:t>
      </w:r>
    </w:p>
    <w:p>
      <w:pPr>
        <w:spacing w:line="240" w:lineRule="auto" w:before="0"/>
        <w:rPr>
          <w:rFonts w:ascii="宋体" w:hAnsi="宋体" w:cs="宋体" w:eastAsia="宋体" w:hint="default"/>
          <w:sz w:val="18"/>
          <w:szCs w:val="18"/>
        </w:rPr>
      </w:pPr>
    </w:p>
    <w:p>
      <w:pPr>
        <w:pStyle w:val="Heading4"/>
        <w:spacing w:line="256" w:lineRule="auto" w:before="132"/>
        <w:ind w:right="1126" w:firstLine="420"/>
        <w:jc w:val="both"/>
      </w:pPr>
      <w:r>
        <w:rPr>
          <w:spacing w:val="-2"/>
        </w:rPr>
        <w:t>本公司</w:t>
      </w:r>
      <w:r>
        <w:rPr>
          <w:rFonts w:ascii="Times New Roman" w:hAnsi="Times New Roman" w:cs="Times New Roman" w:eastAsia="Times New Roman" w:hint="default"/>
          <w:spacing w:val="-2"/>
        </w:rPr>
        <w:t>2019</w:t>
      </w:r>
      <w:r>
        <w:rPr>
          <w:spacing w:val="-2"/>
        </w:rPr>
        <w:t>年度经营业绩未满足《公司</w:t>
      </w:r>
      <w:r>
        <w:rPr>
          <w:rFonts w:ascii="Times New Roman" w:hAnsi="Times New Roman" w:cs="Times New Roman" w:eastAsia="Times New Roman" w:hint="default"/>
          <w:spacing w:val="-2"/>
        </w:rPr>
        <w:t>2018</w:t>
      </w:r>
      <w:r>
        <w:rPr>
          <w:spacing w:val="-2"/>
        </w:rPr>
        <w:t>年股票期权激励计划》中关于首次授予股票期权第二个行</w:t>
      </w:r>
      <w:r>
        <w:rPr>
          <w:w w:val="100"/>
        </w:rPr>
        <w:t> </w:t>
      </w:r>
      <w:r>
        <w:rPr/>
        <w:t>权期以及预留授予的股票期权第一个行权期业绩条件归属于母公司所有者的净利润不低于</w:t>
      </w:r>
      <w:r>
        <w:rPr>
          <w:rFonts w:ascii="Times New Roman" w:hAnsi="Times New Roman" w:cs="Times New Roman" w:eastAsia="Times New Roman" w:hint="default"/>
        </w:rPr>
        <w:t>4.5</w:t>
      </w:r>
      <w:r>
        <w:rPr/>
        <w:t>亿元的业绩</w:t>
      </w:r>
      <w:r>
        <w:rPr>
          <w:spacing w:val="30"/>
        </w:rPr>
        <w:t> </w:t>
      </w:r>
      <w:r>
        <w:rPr>
          <w:spacing w:val="30"/>
        </w:rPr>
      </w:r>
      <w:r>
        <w:rPr>
          <w:spacing w:val="-2"/>
        </w:rPr>
        <w:t>考核指标。因此，公司</w:t>
      </w:r>
      <w:r>
        <w:rPr>
          <w:rFonts w:ascii="Times New Roman" w:hAnsi="Times New Roman" w:cs="Times New Roman" w:eastAsia="Times New Roman" w:hint="default"/>
          <w:spacing w:val="-2"/>
        </w:rPr>
        <w:t>2019</w:t>
      </w:r>
      <w:r>
        <w:rPr>
          <w:spacing w:val="-2"/>
        </w:rPr>
        <w:t>年股票期权激励计划首次授予股票期权第二个行权期以及预留授予的股票期权</w:t>
      </w:r>
      <w:r>
        <w:rPr>
          <w:spacing w:val="-42"/>
        </w:rPr>
        <w:t> </w:t>
      </w:r>
      <w:r>
        <w:rPr>
          <w:spacing w:val="-42"/>
        </w:rPr>
      </w:r>
      <w:r>
        <w:rPr/>
        <w:t>第一个行权期不可行权，所涉及的激励对象已授予但未行权的</w:t>
      </w:r>
      <w:r>
        <w:rPr>
          <w:rFonts w:ascii="Times New Roman" w:hAnsi="Times New Roman" w:cs="Times New Roman" w:eastAsia="Times New Roman" w:hint="default"/>
        </w:rPr>
        <w:t>1200</w:t>
      </w:r>
      <w:r>
        <w:rPr/>
        <w:t>万份股权期权应按规定予以注销。</w:t>
      </w:r>
    </w:p>
    <w:p>
      <w:pPr>
        <w:pStyle w:val="Heading4"/>
        <w:spacing w:line="261" w:lineRule="auto" w:before="5"/>
        <w:ind w:right="0" w:firstLine="420"/>
        <w:jc w:val="left"/>
      </w:pPr>
      <w:r>
        <w:rPr>
          <w:rFonts w:ascii="Times New Roman" w:hAnsi="Times New Roman" w:cs="Times New Roman" w:eastAsia="Times New Roman" w:hint="default"/>
        </w:rPr>
        <w:t>2020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27</w:t>
      </w:r>
      <w:r>
        <w:rPr/>
        <w:t>日，本公司第七届董事会</w:t>
      </w:r>
      <w:r>
        <w:rPr>
          <w:rFonts w:ascii="Times New Roman" w:hAnsi="Times New Roman" w:cs="Times New Roman" w:eastAsia="Times New Roman" w:hint="default"/>
        </w:rPr>
        <w:t>2020</w:t>
      </w:r>
      <w:r>
        <w:rPr/>
        <w:t>年第六次临时会议审议通过了《关于注销公司</w:t>
      </w:r>
      <w:r>
        <w:rPr>
          <w:rFonts w:ascii="Times New Roman" w:hAnsi="Times New Roman" w:cs="Times New Roman" w:eastAsia="Times New Roman" w:hint="default"/>
        </w:rPr>
        <w:t>2018</w:t>
      </w:r>
      <w:r>
        <w:rPr/>
        <w:t>年股票</w:t>
      </w:r>
      <w:r>
        <w:rPr>
          <w:w w:val="100"/>
        </w:rPr>
        <w:t> </w:t>
      </w:r>
      <w:r>
        <w:rPr>
          <w:spacing w:val="-2"/>
        </w:rPr>
        <w:t>期权激励计划首次授予第二个行权期及预留部分第一个行权期未达行权条件对应股票期权的议案》，因本</w:t>
      </w:r>
      <w:r>
        <w:rPr>
          <w:spacing w:val="-43"/>
        </w:rPr>
        <w:t> </w:t>
      </w:r>
      <w:r>
        <w:rPr>
          <w:spacing w:val="-43"/>
        </w:rPr>
      </w:r>
      <w:r>
        <w:rPr>
          <w:spacing w:val="-2"/>
        </w:rPr>
        <w:t>公司</w:t>
      </w:r>
      <w:r>
        <w:rPr>
          <w:rFonts w:ascii="Times New Roman" w:hAnsi="Times New Roman" w:cs="Times New Roman" w:eastAsia="Times New Roman" w:hint="default"/>
          <w:spacing w:val="-2"/>
        </w:rPr>
        <w:t>2018</w:t>
      </w:r>
      <w:r>
        <w:rPr>
          <w:spacing w:val="-2"/>
        </w:rPr>
        <w:t>年股票期权激励计划首次授予第二个行权期及预留部分第一个行权期未达到行权条件，根据《公</w:t>
      </w:r>
      <w:r>
        <w:rPr>
          <w:spacing w:val="-39"/>
        </w:rPr>
        <w:t> </w:t>
      </w:r>
      <w:r>
        <w:rPr>
          <w:spacing w:val="-39"/>
        </w:rPr>
      </w:r>
      <w:r>
        <w:rPr>
          <w:spacing w:val="-2"/>
        </w:rPr>
        <w:t>司</w:t>
      </w:r>
      <w:r>
        <w:rPr>
          <w:rFonts w:ascii="Times New Roman" w:hAnsi="Times New Roman" w:cs="Times New Roman" w:eastAsia="Times New Roman" w:hint="default"/>
          <w:spacing w:val="-2"/>
        </w:rPr>
        <w:t>2018</w:t>
      </w:r>
      <w:r>
        <w:rPr>
          <w:spacing w:val="-2"/>
        </w:rPr>
        <w:t>年股票期权激励计划》规定，公司拟注销本激励计划首次授予第二个行权期未达行权条件的股票期</w:t>
      </w:r>
      <w:r>
        <w:rPr>
          <w:spacing w:val="-40"/>
        </w:rPr>
        <w:t> </w:t>
      </w:r>
      <w:r>
        <w:rPr>
          <w:spacing w:val="-40"/>
        </w:rPr>
      </w:r>
      <w:r>
        <w:rPr>
          <w:spacing w:val="-4"/>
        </w:rPr>
        <w:t>权</w:t>
      </w:r>
      <w:r>
        <w:rPr>
          <w:rFonts w:ascii="Times New Roman" w:hAnsi="Times New Roman" w:cs="Times New Roman" w:eastAsia="Times New Roman" w:hint="default"/>
          <w:spacing w:val="-4"/>
        </w:rPr>
        <w:t>1,050</w:t>
      </w:r>
      <w:r>
        <w:rPr>
          <w:spacing w:val="-4"/>
        </w:rPr>
        <w:t>万份及预留部分第一个行权期未达行权条件的股票期权</w:t>
      </w:r>
      <w:r>
        <w:rPr>
          <w:rFonts w:ascii="Times New Roman" w:hAnsi="Times New Roman" w:cs="Times New Roman" w:eastAsia="Times New Roman" w:hint="default"/>
          <w:spacing w:val="-4"/>
        </w:rPr>
        <w:t>150</w:t>
      </w:r>
      <w:r>
        <w:rPr>
          <w:spacing w:val="-4"/>
        </w:rPr>
        <w:t>万份，共计</w:t>
      </w:r>
      <w:r>
        <w:rPr>
          <w:rFonts w:ascii="Times New Roman" w:hAnsi="Times New Roman" w:cs="Times New Roman" w:eastAsia="Times New Roman" w:hint="default"/>
          <w:spacing w:val="-4"/>
        </w:rPr>
        <w:t>1,200</w:t>
      </w:r>
      <w:r>
        <w:rPr>
          <w:spacing w:val="-4"/>
        </w:rPr>
        <w:t>万份。本次注销完成后，</w:t>
      </w:r>
      <w:r>
        <w:rPr>
          <w:spacing w:val="-27"/>
        </w:rPr>
        <w:t> </w:t>
      </w:r>
      <w:r>
        <w:rPr>
          <w:spacing w:val="-27"/>
        </w:rPr>
      </w:r>
      <w:r>
        <w:rPr/>
        <w:t>本激励计划首次授予剩余股票期权数量为</w:t>
      </w:r>
      <w:r>
        <w:rPr>
          <w:rFonts w:ascii="Times New Roman" w:hAnsi="Times New Roman" w:cs="Times New Roman" w:eastAsia="Times New Roman" w:hint="default"/>
        </w:rPr>
        <w:t>1,050</w:t>
      </w:r>
      <w:r>
        <w:rPr/>
        <w:t>万份，预留部分剩余股票期权数量为</w:t>
      </w:r>
      <w:r>
        <w:rPr>
          <w:rFonts w:ascii="Times New Roman" w:hAnsi="Times New Roman" w:cs="Times New Roman" w:eastAsia="Times New Roman" w:hint="default"/>
        </w:rPr>
        <w:t>150</w:t>
      </w:r>
      <w:r>
        <w:rPr/>
        <w:t>万份。</w:t>
      </w:r>
    </w:p>
    <w:p>
      <w:pPr>
        <w:spacing w:line="240" w:lineRule="auto" w:before="12"/>
        <w:rPr>
          <w:rFonts w:ascii="宋体" w:hAnsi="宋体" w:cs="宋体" w:eastAsia="宋体" w:hint="default"/>
          <w:sz w:val="22"/>
          <w:szCs w:val="22"/>
        </w:rPr>
      </w:pPr>
    </w:p>
    <w:p>
      <w:pPr>
        <w:pStyle w:val="Heading3"/>
        <w:spacing w:line="240" w:lineRule="auto"/>
        <w:ind w:right="2602"/>
        <w:jc w:val="left"/>
        <w:rPr>
          <w:b w:val="0"/>
          <w:bCs w:val="0"/>
        </w:rPr>
      </w:pPr>
      <w:bookmarkStart w:name="2、以权益结算的股份支付情况" w:id="467"/>
      <w:bookmarkEnd w:id="467"/>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BLACK-SCHOLARS</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期权定价模型</w:t>
            </w:r>
          </w:p>
        </w:tc>
      </w:tr>
      <w:tr>
        <w:trPr>
          <w:trHeight w:val="401"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最佳估算行权数量</w:t>
            </w:r>
          </w:p>
        </w:tc>
      </w:tr>
      <w:tr>
        <w:trPr>
          <w:trHeight w:val="404"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28,214,800.00</w:t>
            </w:r>
          </w:p>
        </w:tc>
      </w:tr>
      <w:tr>
        <w:trPr>
          <w:trHeight w:val="401"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528,300.00</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以现金结算的股份支付情况" w:id="468"/>
      <w:bookmarkEnd w:id="468"/>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506" w:lineRule="auto" w:before="36"/>
        <w:ind w:left="573" w:right="7922" w:hanging="421"/>
        <w:jc w:val="left"/>
        <w:rPr>
          <w:rFonts w:ascii="宋体" w:hAnsi="宋体" w:cs="宋体" w:eastAsia="宋体" w:hint="default"/>
          <w:b w:val="0"/>
          <w:bCs w:val="0"/>
        </w:rPr>
      </w:pPr>
      <w:bookmarkStart w:name="4、股份支付的修改、终止情况" w:id="469"/>
      <w:bookmarkEnd w:id="469"/>
      <w:r>
        <w:rPr>
          <w:b w:val="0"/>
          <w:bCs w:val="0"/>
        </w:rPr>
      </w:r>
      <w:r>
        <w:rPr>
          <w:rFonts w:ascii="Times New Roman" w:hAnsi="Times New Roman" w:cs="Times New Roman" w:eastAsia="Times New Roman" w:hint="default"/>
          <w:spacing w:val="-1"/>
        </w:rPr>
        <w:t>4</w:t>
      </w:r>
      <w:r>
        <w:rPr>
          <w:spacing w:val="-1"/>
        </w:rPr>
        <w:t>、股份支付的修改、终止情况</w:t>
      </w:r>
      <w:r>
        <w:rPr>
          <w:spacing w:val="-93"/>
        </w:rPr>
        <w:t> </w:t>
      </w:r>
      <w:r>
        <w:rPr>
          <w:spacing w:val="-93"/>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5、其他" w:id="470"/>
      <w:bookmarkEnd w:id="470"/>
      <w:r>
        <w:rPr>
          <w:b w:val="0"/>
          <w:bCs w:val="0"/>
        </w:rPr>
      </w:r>
      <w:r>
        <w:rPr>
          <w:rFonts w:ascii="Times New Roman" w:hAnsi="Times New Roman" w:cs="Times New Roman" w:eastAsia="Times New Roman" w:hint="default"/>
        </w:rPr>
        <w:t>5</w:t>
      </w:r>
      <w:r>
        <w:rPr/>
        <w:t>、其他</w:t>
      </w:r>
      <w:r>
        <w:rPr>
          <w:b w:val="0"/>
          <w:bCs w:val="0"/>
        </w:rPr>
      </w:r>
    </w:p>
    <w:p>
      <w:pPr>
        <w:spacing w:line="240" w:lineRule="auto" w:before="7"/>
        <w:rPr>
          <w:rFonts w:ascii="宋体" w:hAnsi="宋体" w:cs="宋体" w:eastAsia="宋体" w:hint="default"/>
          <w:b/>
          <w:bCs/>
          <w:sz w:val="24"/>
          <w:szCs w:val="24"/>
        </w:rPr>
      </w:pPr>
    </w:p>
    <w:p>
      <w:pPr>
        <w:spacing w:line="501" w:lineRule="auto" w:before="0"/>
        <w:ind w:left="152" w:right="8345" w:firstLine="42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w w:val="100"/>
          <w:sz w:val="21"/>
          <w:szCs w:val="21"/>
        </w:rPr>
        <w:t> </w:t>
      </w:r>
      <w:bookmarkStart w:name="十四、承诺及或有事项" w:id="471"/>
      <w:bookmarkEnd w:id="471"/>
      <w:r>
        <w:rPr>
          <w:rFonts w:ascii="宋体" w:hAnsi="宋体" w:cs="宋体" w:eastAsia="宋体" w:hint="default"/>
          <w:w w:val="100"/>
          <w:sz w:val="21"/>
          <w:szCs w:val="21"/>
        </w:rPr>
      </w:r>
      <w:r>
        <w:rPr>
          <w:rFonts w:ascii="宋体" w:hAnsi="宋体" w:cs="宋体" w:eastAsia="宋体" w:hint="default"/>
          <w:b/>
          <w:bCs/>
          <w:sz w:val="24"/>
          <w:szCs w:val="24"/>
        </w:rPr>
        <w:t>十四、承诺及或有事项</w:t>
      </w:r>
      <w:r>
        <w:rPr>
          <w:rFonts w:ascii="宋体" w:hAnsi="宋体" w:cs="宋体" w:eastAsia="宋体" w:hint="default"/>
          <w:b/>
          <w:bCs/>
          <w:w w:val="99"/>
          <w:sz w:val="24"/>
          <w:szCs w:val="24"/>
        </w:rPr>
        <w:t> </w:t>
      </w:r>
      <w:bookmarkStart w:name="1、重要承诺事项" w:id="472"/>
      <w:bookmarkEnd w:id="472"/>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pStyle w:val="Heading3"/>
        <w:spacing w:line="240" w:lineRule="auto" w:before="68"/>
        <w:ind w:left="575" w:right="2602"/>
        <w:jc w:val="left"/>
        <w:rPr>
          <w:b w:val="0"/>
          <w:bCs w:val="0"/>
        </w:rPr>
      </w:pPr>
      <w:r>
        <w:rPr>
          <w:rFonts w:ascii="Times New Roman" w:hAnsi="Times New Roman" w:cs="Times New Roman" w:eastAsia="Times New Roman" w:hint="default"/>
        </w:rPr>
        <w:t>1. </w:t>
      </w:r>
      <w:r>
        <w:rPr>
          <w:rFonts w:ascii="Times New Roman" w:hAnsi="Times New Roman" w:cs="Times New Roman" w:eastAsia="Times New Roman" w:hint="default"/>
          <w:spacing w:val="2"/>
        </w:rPr>
        <w:t> </w:t>
      </w:r>
      <w:r>
        <w:rPr/>
        <w:t>质押及抵押借款情况</w:t>
      </w:r>
      <w:r>
        <w:rPr>
          <w:b w:val="0"/>
          <w:bCs w:val="0"/>
        </w:rPr>
      </w:r>
    </w:p>
    <w:p>
      <w:pPr>
        <w:pStyle w:val="Heading4"/>
        <w:spacing w:line="256" w:lineRule="auto" w:before="21"/>
        <w:ind w:right="1126" w:firstLine="420"/>
        <w:jc w:val="both"/>
      </w:pPr>
      <w:r>
        <w:rPr/>
        <w:t>（</w:t>
      </w:r>
      <w:r>
        <w:rPr>
          <w:spacing w:val="-78"/>
        </w:rPr>
        <w:t>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t>）</w:t>
      </w:r>
      <w:r>
        <w:rPr>
          <w:spacing w:val="-78"/>
        </w:rPr>
        <w:t> </w:t>
      </w:r>
      <w:r>
        <w:rPr>
          <w:spacing w:val="16"/>
        </w:rPr>
        <w:t>公司于</w:t>
      </w:r>
      <w:r>
        <w:rPr>
          <w:spacing w:val="-78"/>
        </w:rPr>
        <w:t> </w:t>
      </w:r>
      <w:r>
        <w:rPr>
          <w:rFonts w:ascii="Times New Roman" w:hAnsi="Times New Roman" w:cs="Times New Roman" w:eastAsia="Times New Roman" w:hint="default"/>
        </w:rPr>
        <w:t>2015</w:t>
      </w:r>
      <w:r>
        <w:rPr>
          <w:rFonts w:ascii="Times New Roman" w:hAnsi="Times New Roman" w:cs="Times New Roman" w:eastAsia="Times New Roman" w:hint="default"/>
          <w:spacing w:val="-26"/>
        </w:rPr>
        <w:t> </w:t>
      </w:r>
      <w:r>
        <w:rPr/>
        <w:t>年</w:t>
      </w:r>
      <w:r>
        <w:rPr>
          <w:spacing w:val="-78"/>
        </w:rPr>
        <w:t> </w:t>
      </w:r>
      <w:r>
        <w:rPr>
          <w:rFonts w:ascii="Times New Roman" w:hAnsi="Times New Roman" w:cs="Times New Roman" w:eastAsia="Times New Roman" w:hint="default"/>
        </w:rPr>
        <w:t>4</w:t>
      </w:r>
      <w:r>
        <w:rPr>
          <w:rFonts w:ascii="Times New Roman" w:hAnsi="Times New Roman" w:cs="Times New Roman" w:eastAsia="Times New Roman" w:hint="default"/>
          <w:spacing w:val="-26"/>
        </w:rPr>
        <w:t> </w:t>
      </w:r>
      <w:r>
        <w:rPr/>
        <w:t>月</w:t>
      </w:r>
      <w:r>
        <w:rPr>
          <w:spacing w:val="-80"/>
        </w:rPr>
        <w:t> </w:t>
      </w:r>
      <w:r>
        <w:rPr>
          <w:rFonts w:ascii="Times New Roman" w:hAnsi="Times New Roman" w:cs="Times New Roman" w:eastAsia="Times New Roman" w:hint="default"/>
        </w:rPr>
        <w:t>13</w:t>
      </w:r>
      <w:r>
        <w:rPr>
          <w:rFonts w:ascii="Times New Roman" w:hAnsi="Times New Roman" w:cs="Times New Roman" w:eastAsia="Times New Roman" w:hint="default"/>
          <w:spacing w:val="-26"/>
        </w:rPr>
        <w:t> </w:t>
      </w:r>
      <w:r>
        <w:rPr/>
        <w:t>日</w:t>
      </w:r>
      <w:r>
        <w:rPr>
          <w:spacing w:val="-78"/>
        </w:rPr>
        <w:t> </w:t>
      </w:r>
      <w:r>
        <w:rPr/>
        <w:t>与</w:t>
      </w:r>
      <w:r>
        <w:rPr>
          <w:spacing w:val="-78"/>
        </w:rPr>
        <w:t> </w:t>
      </w:r>
      <w:r>
        <w:rPr/>
        <w:t>上</w:t>
      </w:r>
      <w:r>
        <w:rPr>
          <w:spacing w:val="-78"/>
        </w:rPr>
        <w:t> </w:t>
      </w:r>
      <w:r>
        <w:rPr/>
        <w:t>海</w:t>
      </w:r>
      <w:r>
        <w:rPr>
          <w:spacing w:val="-78"/>
        </w:rPr>
        <w:t> </w:t>
      </w:r>
      <w:r>
        <w:rPr>
          <w:spacing w:val="11"/>
        </w:rPr>
        <w:t>浦东</w:t>
      </w:r>
      <w:r>
        <w:rPr>
          <w:spacing w:val="-78"/>
        </w:rPr>
        <w:t> </w:t>
      </w:r>
      <w:r>
        <w:rPr/>
        <w:t>发</w:t>
      </w:r>
      <w:r>
        <w:rPr>
          <w:spacing w:val="-78"/>
        </w:rPr>
        <w:t> </w:t>
      </w:r>
      <w:r>
        <w:rPr/>
        <w:t>展</w:t>
      </w:r>
      <w:r>
        <w:rPr>
          <w:spacing w:val="-78"/>
        </w:rPr>
        <w:t> </w:t>
      </w:r>
      <w:r>
        <w:rPr>
          <w:spacing w:val="11"/>
        </w:rPr>
        <w:t>银行</w:t>
      </w:r>
      <w:r>
        <w:rPr>
          <w:spacing w:val="-78"/>
        </w:rPr>
        <w:t> </w:t>
      </w:r>
      <w:r>
        <w:rPr/>
        <w:t>空</w:t>
      </w:r>
      <w:r>
        <w:rPr>
          <w:spacing w:val="-78"/>
        </w:rPr>
        <w:t> </w:t>
      </w:r>
      <w:r>
        <w:rPr/>
        <w:t>港</w:t>
      </w:r>
      <w:r>
        <w:rPr>
          <w:spacing w:val="-78"/>
        </w:rPr>
        <w:t> </w:t>
      </w:r>
      <w:r>
        <w:rPr/>
        <w:t>支</w:t>
      </w:r>
      <w:r>
        <w:rPr>
          <w:spacing w:val="-78"/>
        </w:rPr>
        <w:t> </w:t>
      </w:r>
      <w:r>
        <w:rPr/>
        <w:t>行</w:t>
      </w:r>
      <w:r>
        <w:rPr>
          <w:spacing w:val="-78"/>
        </w:rPr>
        <w:t> </w:t>
      </w:r>
      <w:r>
        <w:rPr>
          <w:spacing w:val="11"/>
        </w:rPr>
        <w:t>签订</w:t>
      </w:r>
      <w:r>
        <w:rPr>
          <w:spacing w:val="-78"/>
        </w:rPr>
        <w:t> </w:t>
      </w:r>
      <w:r>
        <w:rPr/>
        <w:t>并</w:t>
      </w:r>
      <w:r>
        <w:rPr>
          <w:spacing w:val="-78"/>
        </w:rPr>
        <w:t> </w:t>
      </w:r>
      <w:r>
        <w:rPr/>
        <w:t>购</w:t>
      </w:r>
      <w:r>
        <w:rPr>
          <w:spacing w:val="-78"/>
        </w:rPr>
        <w:t> </w:t>
      </w:r>
      <w:r>
        <w:rPr>
          <w:spacing w:val="11"/>
        </w:rPr>
        <w:t>贷款</w:t>
      </w:r>
      <w:r>
        <w:rPr>
          <w:spacing w:val="-78"/>
        </w:rPr>
        <w:t> </w:t>
      </w:r>
      <w:r>
        <w:rPr/>
        <w:t>合</w:t>
      </w:r>
      <w:r>
        <w:rPr>
          <w:spacing w:val="-78"/>
        </w:rPr>
        <w:t> </w:t>
      </w:r>
      <w:r>
        <w:rPr/>
        <w:t>同</w:t>
      </w:r>
      <w:r>
        <w:rPr>
          <w:spacing w:val="-78"/>
        </w:rPr>
        <w:t> </w:t>
      </w:r>
      <w:r>
        <w:rPr/>
        <w:t>（</w:t>
      </w:r>
      <w:r>
        <w:rPr>
          <w:spacing w:val="-78"/>
        </w:rPr>
        <w:t> </w:t>
      </w:r>
      <w:r>
        <w:rPr/>
        <w:t>合</w:t>
      </w:r>
      <w:r>
        <w:rPr>
          <w:spacing w:val="-78"/>
        </w:rPr>
        <w:t> </w:t>
      </w:r>
      <w:r>
        <w:rPr>
          <w:spacing w:val="11"/>
        </w:rPr>
        <w:t>同编</w:t>
      </w:r>
      <w:r>
        <w:rPr>
          <w:spacing w:val="-78"/>
        </w:rPr>
        <w:t> </w:t>
      </w:r>
      <w:r>
        <w:rPr/>
        <w:t>号</w:t>
      </w:r>
      <w:r>
        <w:rPr>
          <w:spacing w:val="-78"/>
        </w:rPr>
        <w:t> </w:t>
      </w:r>
      <w:r>
        <w:rPr/>
        <w:t>：</w:t>
      </w:r>
      <w:r>
        <w:rPr>
          <w:w w:val="100"/>
        </w:rPr>
        <w:t> </w:t>
      </w:r>
      <w:r>
        <w:rPr>
          <w:rFonts w:ascii="Times New Roman" w:hAnsi="Times New Roman" w:cs="Times New Roman" w:eastAsia="Times New Roman" w:hint="default"/>
          <w:spacing w:val="-2"/>
        </w:rPr>
        <w:t>98912015280055</w:t>
      </w:r>
      <w:r>
        <w:rPr>
          <w:spacing w:val="-2"/>
        </w:rPr>
        <w:t>），用于支付并购上海复高计算机科技有限公司的并购款，公司以持有的上海复高计算机</w:t>
      </w:r>
      <w:r>
        <w:rPr>
          <w:spacing w:val="-29"/>
        </w:rPr>
        <w:t> </w:t>
      </w:r>
      <w:r>
        <w:rPr>
          <w:spacing w:val="-29"/>
        </w:rPr>
      </w:r>
      <w:r>
        <w:rPr/>
        <w:t>科技有限公司</w:t>
      </w:r>
      <w:r>
        <w:rPr>
          <w:rFonts w:ascii="Times New Roman" w:hAnsi="Times New Roman" w:cs="Times New Roman" w:eastAsia="Times New Roman" w:hint="default"/>
        </w:rPr>
        <w:t>100%</w:t>
      </w:r>
      <w:r>
        <w:rPr/>
        <w:t>股权做为质押物为上述借款提供担保。</w:t>
      </w:r>
    </w:p>
    <w:tbl>
      <w:tblPr>
        <w:tblW w:w="0" w:type="auto"/>
        <w:jc w:val="left"/>
        <w:tblInd w:w="138" w:type="dxa"/>
        <w:tblLayout w:type="fixed"/>
        <w:tblCellMar>
          <w:top w:w="0" w:type="dxa"/>
          <w:left w:w="0" w:type="dxa"/>
          <w:bottom w:w="0" w:type="dxa"/>
          <w:right w:w="0" w:type="dxa"/>
        </w:tblCellMar>
        <w:tblLook w:val="01E0"/>
      </w:tblPr>
      <w:tblGrid>
        <w:gridCol w:w="1145"/>
        <w:gridCol w:w="694"/>
        <w:gridCol w:w="2000"/>
        <w:gridCol w:w="1416"/>
        <w:gridCol w:w="710"/>
        <w:gridCol w:w="708"/>
        <w:gridCol w:w="1277"/>
        <w:gridCol w:w="1224"/>
        <w:gridCol w:w="485"/>
      </w:tblGrid>
      <w:tr>
        <w:trPr>
          <w:trHeight w:val="655" w:hRule="exact"/>
        </w:trPr>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债务人</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163" w:right="158"/>
              <w:jc w:val="left"/>
              <w:rPr>
                <w:rFonts w:ascii="宋体" w:hAnsi="宋体" w:cs="宋体" w:eastAsia="宋体" w:hint="default"/>
                <w:sz w:val="18"/>
                <w:szCs w:val="18"/>
              </w:rPr>
            </w:pPr>
            <w:r>
              <w:rPr>
                <w:rFonts w:ascii="宋体" w:hAnsi="宋体" w:cs="宋体" w:eastAsia="宋体" w:hint="default"/>
                <w:sz w:val="18"/>
                <w:szCs w:val="18"/>
              </w:rPr>
              <w:t>借款 金额</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633" w:right="0"/>
              <w:jc w:val="left"/>
              <w:rPr>
                <w:rFonts w:ascii="宋体" w:hAnsi="宋体" w:cs="宋体" w:eastAsia="宋体" w:hint="default"/>
                <w:sz w:val="18"/>
                <w:szCs w:val="18"/>
              </w:rPr>
            </w:pPr>
            <w:r>
              <w:rPr>
                <w:rFonts w:ascii="宋体" w:hAnsi="宋体" w:cs="宋体" w:eastAsia="宋体" w:hint="default"/>
                <w:sz w:val="18"/>
                <w:szCs w:val="18"/>
              </w:rPr>
              <w:t>借款期限</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借款提款期</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170" w:right="77" w:hanging="89"/>
              <w:jc w:val="left"/>
              <w:rPr>
                <w:rFonts w:ascii="宋体" w:hAnsi="宋体" w:cs="宋体" w:eastAsia="宋体" w:hint="default"/>
                <w:sz w:val="18"/>
                <w:szCs w:val="18"/>
              </w:rPr>
            </w:pPr>
            <w:r>
              <w:rPr>
                <w:rFonts w:ascii="宋体" w:hAnsi="宋体" w:cs="宋体" w:eastAsia="宋体" w:hint="default"/>
                <w:sz w:val="18"/>
                <w:szCs w:val="18"/>
              </w:rPr>
              <w:t>已提款 金额</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168" w:right="77" w:hanging="89"/>
              <w:jc w:val="left"/>
              <w:rPr>
                <w:rFonts w:ascii="宋体" w:hAnsi="宋体" w:cs="宋体" w:eastAsia="宋体" w:hint="default"/>
                <w:sz w:val="18"/>
                <w:szCs w:val="18"/>
              </w:rPr>
            </w:pPr>
            <w:r>
              <w:rPr>
                <w:rFonts w:ascii="宋体" w:hAnsi="宋体" w:cs="宋体" w:eastAsia="宋体" w:hint="default"/>
                <w:sz w:val="18"/>
                <w:szCs w:val="18"/>
              </w:rPr>
              <w:t>已还款 金额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64" w:right="0"/>
              <w:jc w:val="left"/>
              <w:rPr>
                <w:rFonts w:ascii="宋体" w:hAnsi="宋体" w:cs="宋体" w:eastAsia="宋体" w:hint="default"/>
                <w:sz w:val="18"/>
                <w:szCs w:val="18"/>
              </w:rPr>
            </w:pPr>
            <w:r>
              <w:rPr>
                <w:rFonts w:ascii="宋体" w:hAnsi="宋体" w:cs="宋体" w:eastAsia="宋体" w:hint="default"/>
                <w:sz w:val="18"/>
                <w:szCs w:val="18"/>
              </w:rPr>
              <w:t>质押物</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247" w:right="65" w:hanging="180"/>
              <w:jc w:val="left"/>
              <w:rPr>
                <w:rFonts w:ascii="宋体" w:hAnsi="宋体" w:cs="宋体" w:eastAsia="宋体" w:hint="default"/>
                <w:sz w:val="18"/>
                <w:szCs w:val="18"/>
              </w:rPr>
            </w:pPr>
            <w:r>
              <w:rPr>
                <w:rFonts w:ascii="宋体" w:hAnsi="宋体" w:cs="宋体" w:eastAsia="宋体" w:hint="default"/>
                <w:sz w:val="18"/>
                <w:szCs w:val="18"/>
              </w:rPr>
              <w:t>股权出质设立 登记日期</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60" w:right="53"/>
              <w:jc w:val="left"/>
              <w:rPr>
                <w:rFonts w:ascii="宋体" w:hAnsi="宋体" w:cs="宋体" w:eastAsia="宋体" w:hint="default"/>
                <w:sz w:val="18"/>
                <w:szCs w:val="18"/>
              </w:rPr>
            </w:pPr>
            <w:r>
              <w:rPr>
                <w:rFonts w:ascii="宋体" w:hAnsi="宋体" w:cs="宋体" w:eastAsia="宋体" w:hint="default"/>
                <w:sz w:val="18"/>
                <w:szCs w:val="18"/>
              </w:rPr>
              <w:t>借款 利率</w:t>
            </w:r>
          </w:p>
        </w:tc>
      </w:tr>
      <w:tr>
        <w:trPr>
          <w:trHeight w:val="965" w:hRule="exact"/>
        </w:trPr>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206" w:right="27" w:hanging="181"/>
              <w:jc w:val="left"/>
              <w:rPr>
                <w:rFonts w:ascii="宋体" w:hAnsi="宋体" w:cs="宋体" w:eastAsia="宋体" w:hint="default"/>
                <w:sz w:val="18"/>
                <w:szCs w:val="18"/>
              </w:rPr>
            </w:pPr>
            <w:r>
              <w:rPr>
                <w:rFonts w:ascii="宋体" w:hAnsi="宋体" w:cs="宋体" w:eastAsia="宋体" w:hint="default"/>
                <w:sz w:val="18"/>
                <w:szCs w:val="18"/>
              </w:rPr>
              <w:t>万达信息股份 有限公司</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22,000</w:t>
            </w:r>
          </w:p>
          <w:p>
            <w:pPr>
              <w:pStyle w:val="TableParagraph"/>
              <w:spacing w:line="240" w:lineRule="auto" w:before="63"/>
              <w:ind w:left="16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
              <w:jc w:val="center"/>
              <w:rPr>
                <w:rFonts w:ascii="宋体" w:hAnsi="宋体" w:cs="宋体" w:eastAsia="宋体" w:hint="default"/>
                <w:sz w:val="18"/>
                <w:szCs w:val="18"/>
              </w:rPr>
            </w:pPr>
            <w:r>
              <w:rPr>
                <w:rFonts w:ascii="宋体" w:hAnsi="宋体" w:cs="宋体" w:eastAsia="宋体" w:hint="default"/>
                <w:sz w:val="18"/>
                <w:szCs w:val="18"/>
              </w:rPr>
              <w:t>首次提款日起五年</w:t>
            </w:r>
          </w:p>
          <w:p>
            <w:pPr>
              <w:pStyle w:val="TableParagraph"/>
              <w:spacing w:line="240" w:lineRule="auto" w:before="76"/>
              <w:ind w:left="2" w:right="0"/>
              <w:jc w:val="center"/>
              <w:rPr>
                <w:rFonts w:ascii="宋体" w:hAnsi="宋体" w:cs="宋体" w:eastAsia="宋体" w:hint="default"/>
                <w:sz w:val="18"/>
                <w:szCs w:val="18"/>
              </w:rPr>
            </w:pPr>
            <w:r>
              <w:rPr>
                <w:rFonts w:ascii="宋体" w:hAnsi="宋体" w:cs="宋体" w:eastAsia="宋体" w:hint="default"/>
                <w:sz w:val="18"/>
                <w:szCs w:val="18"/>
              </w:rPr>
              <w:t>（即</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日至</w:t>
            </w:r>
          </w:p>
          <w:p>
            <w:pPr>
              <w:pStyle w:val="TableParagraph"/>
              <w:spacing w:line="240" w:lineRule="auto" w:before="6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日至</w:t>
            </w:r>
          </w:p>
          <w:p>
            <w:pPr>
              <w:pStyle w:val="TableParagraph"/>
              <w:spacing w:line="240" w:lineRule="auto" w:before="63"/>
              <w:ind w:left="1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22,000</w:t>
            </w:r>
          </w:p>
          <w:p>
            <w:pPr>
              <w:pStyle w:val="TableParagraph"/>
              <w:spacing w:line="240" w:lineRule="auto" w:before="63"/>
              <w:ind w:left="170"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19,250</w:t>
            </w:r>
          </w:p>
          <w:p>
            <w:pPr>
              <w:pStyle w:val="TableParagraph"/>
              <w:spacing w:line="240" w:lineRule="auto" w:before="63"/>
              <w:ind w:left="168"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93" w:right="92"/>
              <w:jc w:val="both"/>
              <w:rPr>
                <w:rFonts w:ascii="宋体" w:hAnsi="宋体" w:cs="宋体" w:eastAsia="宋体" w:hint="default"/>
                <w:sz w:val="18"/>
                <w:szCs w:val="18"/>
              </w:rPr>
            </w:pPr>
            <w:r>
              <w:rPr>
                <w:rFonts w:ascii="宋体" w:hAnsi="宋体" w:cs="宋体" w:eastAsia="宋体" w:hint="default"/>
                <w:sz w:val="18"/>
                <w:szCs w:val="18"/>
              </w:rPr>
              <w:t>上海复高计算 机科技有限公 司</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w:t>
            </w:r>
          </w:p>
        </w:tc>
        <w:tc>
          <w:tcPr>
            <w:tcW w:w="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left="7" w:right="0"/>
              <w:jc w:val="left"/>
              <w:rPr>
                <w:rFonts w:ascii="Times New Roman" w:hAnsi="Times New Roman" w:cs="Times New Roman" w:eastAsia="Times New Roman" w:hint="default"/>
                <w:sz w:val="18"/>
                <w:szCs w:val="18"/>
              </w:rPr>
            </w:pPr>
            <w:r>
              <w:rPr>
                <w:rFonts w:ascii="Times New Roman"/>
                <w:sz w:val="18"/>
              </w:rPr>
              <w:t>4.75%</w:t>
            </w:r>
          </w:p>
        </w:tc>
      </w:tr>
    </w:tbl>
    <w:p>
      <w:pPr>
        <w:pStyle w:val="Heading4"/>
        <w:spacing w:line="264" w:lineRule="auto" w:before="5"/>
        <w:ind w:right="0" w:firstLine="420"/>
        <w:jc w:val="left"/>
      </w:pPr>
      <w:r>
        <w:rPr>
          <w:spacing w:val="-4"/>
        </w:rPr>
        <w:t>（</w:t>
      </w:r>
      <w:r>
        <w:rPr>
          <w:rFonts w:ascii="Times New Roman" w:hAnsi="Times New Roman" w:cs="Times New Roman" w:eastAsia="Times New Roman" w:hint="default"/>
          <w:spacing w:val="-4"/>
        </w:rPr>
        <w:t>2</w:t>
      </w:r>
      <w:r>
        <w:rPr>
          <w:spacing w:val="-4"/>
        </w:rPr>
        <w:t>）本公司全资子公司四川浩特通信有限公司（以下简称</w:t>
      </w:r>
      <w:r>
        <w:rPr>
          <w:rFonts w:ascii="Times New Roman" w:hAnsi="Times New Roman" w:cs="Times New Roman" w:eastAsia="Times New Roman" w:hint="default"/>
          <w:spacing w:val="-4"/>
        </w:rPr>
        <w:t>“</w:t>
      </w:r>
      <w:r>
        <w:rPr>
          <w:spacing w:val="-4"/>
        </w:rPr>
        <w:t>四川浩特</w:t>
      </w:r>
      <w:r>
        <w:rPr>
          <w:rFonts w:ascii="Times New Roman" w:hAnsi="Times New Roman" w:cs="Times New Roman" w:eastAsia="Times New Roman" w:hint="default"/>
          <w:spacing w:val="-4"/>
        </w:rPr>
        <w:t>”</w:t>
      </w:r>
      <w:r>
        <w:rPr>
          <w:spacing w:val="-4"/>
        </w:rPr>
        <w:t>）因公司项目建设需要，由成都</w:t>
      </w:r>
      <w:r>
        <w:rPr>
          <w:w w:val="100"/>
        </w:rPr>
        <w:t> </w:t>
      </w:r>
      <w:r>
        <w:rPr>
          <w:spacing w:val="-4"/>
        </w:rPr>
        <w:t>盈开投资有限公司（以下简称</w:t>
      </w:r>
      <w:r>
        <w:rPr>
          <w:rFonts w:ascii="Times New Roman" w:hAnsi="Times New Roman" w:cs="Times New Roman" w:eastAsia="Times New Roman" w:hint="default"/>
          <w:spacing w:val="-4"/>
        </w:rPr>
        <w:t>“</w:t>
      </w:r>
      <w:r>
        <w:rPr>
          <w:spacing w:val="-4"/>
        </w:rPr>
        <w:t>盈开投资</w:t>
      </w:r>
      <w:r>
        <w:rPr>
          <w:rFonts w:ascii="Times New Roman" w:hAnsi="Times New Roman" w:cs="Times New Roman" w:eastAsia="Times New Roman" w:hint="default"/>
          <w:spacing w:val="-4"/>
        </w:rPr>
        <w:t>”</w:t>
      </w:r>
      <w:r>
        <w:rPr>
          <w:spacing w:val="-4"/>
        </w:rPr>
        <w:t>）委托中国民生银行股份有限公司成都分行（以下简称</w:t>
      </w:r>
      <w:r>
        <w:rPr>
          <w:rFonts w:ascii="Times New Roman" w:hAnsi="Times New Roman" w:cs="Times New Roman" w:eastAsia="Times New Roman" w:hint="default"/>
          <w:spacing w:val="-4"/>
        </w:rPr>
        <w:t>“</w:t>
      </w:r>
      <w:r>
        <w:rPr>
          <w:spacing w:val="-4"/>
        </w:rPr>
        <w:t>民生银行</w:t>
      </w:r>
      <w:r>
        <w:rPr>
          <w:spacing w:val="-15"/>
        </w:rPr>
        <w:t> </w:t>
      </w:r>
      <w:r>
        <w:rPr>
          <w:spacing w:val="-15"/>
        </w:rPr>
      </w:r>
      <w:r>
        <w:rPr>
          <w:spacing w:val="-4"/>
        </w:rPr>
        <w:t>成都分行</w:t>
      </w:r>
      <w:r>
        <w:rPr>
          <w:rFonts w:ascii="Times New Roman" w:hAnsi="Times New Roman" w:cs="Times New Roman" w:eastAsia="Times New Roman" w:hint="default"/>
          <w:spacing w:val="-4"/>
        </w:rPr>
        <w:t>”</w:t>
      </w:r>
      <w:r>
        <w:rPr>
          <w:spacing w:val="-4"/>
        </w:rPr>
        <w:t>）向四川浩特发放</w:t>
      </w:r>
      <w:r>
        <w:rPr>
          <w:rFonts w:ascii="Times New Roman" w:hAnsi="Times New Roman" w:cs="Times New Roman" w:eastAsia="Times New Roman" w:hint="default"/>
          <w:spacing w:val="-4"/>
        </w:rPr>
        <w:t>4,600.00</w:t>
      </w:r>
      <w:r>
        <w:rPr>
          <w:spacing w:val="-4"/>
        </w:rPr>
        <w:t>万元借款，成都中小企业融资担保有限责任公司为上述借款提供担保。</w:t>
      </w:r>
      <w:r>
        <w:rPr>
          <w:spacing w:val="-23"/>
        </w:rPr>
        <w:t> </w:t>
      </w:r>
      <w:r>
        <w:rPr>
          <w:spacing w:val="-23"/>
        </w:rPr>
      </w:r>
      <w:r>
        <w:rPr>
          <w:spacing w:val="2"/>
        </w:rPr>
        <w:t>本公司向成都中小企业融资担保有限责任公司为四川浩特在盈开投资申请的上述借款提供连带责任反担</w:t>
      </w:r>
      <w:r>
        <w:rPr>
          <w:spacing w:val="-30"/>
        </w:rPr>
        <w:t> </w:t>
      </w:r>
      <w:r>
        <w:rPr>
          <w:spacing w:val="-30"/>
        </w:rPr>
      </w:r>
      <w:r>
        <w:rPr/>
        <w:t>保，反担保期限为两年，自成都中小企业融资担保有限责任公司实际代偿每笔担保债务之次日开始计算。</w:t>
      </w:r>
      <w:r>
        <w:rPr>
          <w:spacing w:val="-24"/>
        </w:rPr>
        <w:t> </w:t>
      </w:r>
      <w:r>
        <w:rPr>
          <w:spacing w:val="-24"/>
        </w:rPr>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日借款本金余额为人民币</w:t>
      </w:r>
      <w:r>
        <w:rPr>
          <w:rFonts w:ascii="Times New Roman" w:hAnsi="Times New Roman" w:cs="Times New Roman" w:eastAsia="Times New Roman" w:hint="default"/>
        </w:rPr>
        <w:t>30,000,000.00</w:t>
      </w:r>
      <w:r>
        <w:rPr/>
        <w:t>元。</w:t>
      </w:r>
    </w:p>
    <w:p>
      <w:pPr>
        <w:pStyle w:val="Heading4"/>
        <w:spacing w:line="256" w:lineRule="auto" w:before="0"/>
        <w:ind w:right="1128" w:firstLine="420"/>
        <w:jc w:val="both"/>
      </w:pPr>
      <w:r>
        <w:rPr>
          <w:spacing w:val="-4"/>
        </w:rPr>
        <w:t>（</w:t>
      </w:r>
      <w:r>
        <w:rPr>
          <w:rFonts w:ascii="Times New Roman" w:hAnsi="Times New Roman" w:cs="Times New Roman" w:eastAsia="Times New Roman" w:hint="default"/>
          <w:spacing w:val="-4"/>
        </w:rPr>
        <w:t>3</w:t>
      </w:r>
      <w:r>
        <w:rPr>
          <w:spacing w:val="-4"/>
        </w:rPr>
        <w:t>）本公司全资子公司四川浩特通信有限公司（以下简称</w:t>
      </w:r>
      <w:r>
        <w:rPr>
          <w:rFonts w:ascii="Times New Roman" w:hAnsi="Times New Roman" w:cs="Times New Roman" w:eastAsia="Times New Roman" w:hint="default"/>
          <w:spacing w:val="-4"/>
        </w:rPr>
        <w:t>“</w:t>
      </w:r>
      <w:r>
        <w:rPr>
          <w:spacing w:val="-4"/>
        </w:rPr>
        <w:t>四川浩特</w:t>
      </w:r>
      <w:r>
        <w:rPr>
          <w:rFonts w:ascii="Times New Roman" w:hAnsi="Times New Roman" w:cs="Times New Roman" w:eastAsia="Times New Roman" w:hint="default"/>
          <w:spacing w:val="-4"/>
        </w:rPr>
        <w:t>”</w:t>
      </w:r>
      <w:r>
        <w:rPr>
          <w:spacing w:val="-4"/>
        </w:rPr>
        <w:t>）与北京亦庄国际融资租赁有限</w:t>
      </w:r>
      <w:r>
        <w:rPr>
          <w:w w:val="100"/>
        </w:rPr>
        <w:t> </w:t>
      </w:r>
      <w:r>
        <w:rPr>
          <w:spacing w:val="-6"/>
        </w:rPr>
        <w:t>公司（以下简称</w:t>
      </w:r>
      <w:r>
        <w:rPr>
          <w:rFonts w:ascii="Times New Roman" w:hAnsi="Times New Roman" w:cs="Times New Roman" w:eastAsia="Times New Roman" w:hint="default"/>
          <w:spacing w:val="-6"/>
        </w:rPr>
        <w:t>“</w:t>
      </w:r>
      <w:r>
        <w:rPr>
          <w:spacing w:val="-6"/>
        </w:rPr>
        <w:t>北京亦庄</w:t>
      </w:r>
      <w:r>
        <w:rPr>
          <w:rFonts w:ascii="Times New Roman" w:hAnsi="Times New Roman" w:cs="Times New Roman" w:eastAsia="Times New Roman" w:hint="default"/>
          <w:spacing w:val="-6"/>
        </w:rPr>
        <w:t>”</w:t>
      </w:r>
      <w:r>
        <w:rPr>
          <w:spacing w:val="-6"/>
        </w:rPr>
        <w:t>）签订《融资租赁合同》（售后回租类），通过融资租赁（售后回租类）形式，</w:t>
      </w:r>
      <w:r>
        <w:rPr>
          <w:spacing w:val="-45"/>
        </w:rPr>
        <w:t> </w:t>
      </w:r>
      <w:r>
        <w:rPr>
          <w:spacing w:val="-45"/>
        </w:rPr>
      </w:r>
      <w:r>
        <w:rPr>
          <w:spacing w:val="-3"/>
        </w:rPr>
        <w:t>向北京亦庄融资人民币</w:t>
      </w:r>
      <w:r>
        <w:rPr>
          <w:rFonts w:ascii="Times New Roman" w:hAnsi="Times New Roman" w:cs="Times New Roman" w:eastAsia="Times New Roman" w:hint="default"/>
          <w:spacing w:val="-3"/>
        </w:rPr>
        <w:t>4,000</w:t>
      </w:r>
      <w:r>
        <w:rPr>
          <w:spacing w:val="-3"/>
        </w:rPr>
        <w:t>万元，借款条件为向北京亦庄质押四川浩特《自贡市公共视频监控系统建设服</w:t>
      </w:r>
      <w:r>
        <w:rPr>
          <w:spacing w:val="-44"/>
        </w:rPr>
        <w:t> </w:t>
      </w:r>
      <w:r>
        <w:rPr>
          <w:spacing w:val="-44"/>
        </w:rPr>
      </w:r>
      <w:r>
        <w:rPr>
          <w:spacing w:val="-2"/>
        </w:rPr>
        <w:t>务合同》、《关于自贡市公共视频监控系统建设、服务协议》基础合同项下全部应收账款，截至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rFonts w:ascii="Times New Roman" w:hAnsi="Times New Roman" w:cs="Times New Roman" w:eastAsia="Times New Roman" w:hint="default"/>
          <w:spacing w:val="13"/>
        </w:rPr>
        <w:t> </w:t>
      </w:r>
      <w:r>
        <w:rPr/>
        <w:t>月</w:t>
      </w:r>
      <w:r>
        <w:rPr>
          <w:rFonts w:ascii="Times New Roman" w:hAnsi="Times New Roman" w:cs="Times New Roman" w:eastAsia="Times New Roman" w:hint="default"/>
        </w:rPr>
        <w:t>31</w:t>
      </w:r>
      <w:r>
        <w:rPr/>
        <w:t>日借款本金余额为人民币</w:t>
      </w:r>
      <w:r>
        <w:rPr>
          <w:rFonts w:ascii="Times New Roman" w:hAnsi="Times New Roman" w:cs="Times New Roman" w:eastAsia="Times New Roman" w:hint="default"/>
        </w:rPr>
        <w:t>12,668,167.36</w:t>
      </w:r>
      <w:r>
        <w:rPr/>
        <w:t>元。</w:t>
      </w:r>
    </w:p>
    <w:p>
      <w:pPr>
        <w:pStyle w:val="Heading4"/>
        <w:spacing w:line="240" w:lineRule="auto" w:before="5"/>
        <w:ind w:left="573" w:right="0"/>
        <w:jc w:val="left"/>
      </w:pPr>
      <w:r>
        <w:rPr>
          <w:spacing w:val="9"/>
        </w:rPr>
        <w:t>（</w:t>
      </w:r>
      <w:r>
        <w:rPr>
          <w:rFonts w:ascii="Times New Roman" w:hAnsi="Times New Roman" w:cs="Times New Roman" w:eastAsia="Times New Roman" w:hint="default"/>
          <w:spacing w:val="9"/>
        </w:rPr>
        <w:t>4</w:t>
      </w:r>
      <w:r>
        <w:rPr>
          <w:spacing w:val="9"/>
        </w:rPr>
        <w:t>）本公司全资子公司四川浩特通信有限公司与浙商银行股份有限公司成都分行签订借款合同</w:t>
      </w:r>
    </w:p>
    <w:p>
      <w:pPr>
        <w:pStyle w:val="Heading4"/>
        <w:spacing w:line="259" w:lineRule="auto" w:before="21"/>
        <w:ind w:right="1023"/>
        <w:jc w:val="both"/>
      </w:pPr>
      <w:r>
        <w:rPr/>
        <w:t>【</w:t>
      </w:r>
      <w:r>
        <w:rPr>
          <w:rFonts w:ascii="Times New Roman" w:hAnsi="Times New Roman" w:cs="Times New Roman" w:eastAsia="Times New Roman" w:hint="default"/>
        </w:rPr>
        <w:t>(20409000)</w:t>
      </w:r>
      <w:r>
        <w:rPr/>
        <w:t>浙商银借字</w:t>
      </w:r>
      <w:r>
        <w:rPr>
          <w:rFonts w:ascii="Times New Roman" w:hAnsi="Times New Roman" w:cs="Times New Roman" w:eastAsia="Times New Roman" w:hint="default"/>
        </w:rPr>
        <w:t>(2019)</w:t>
      </w:r>
      <w:r>
        <w:rPr/>
        <w:t>第</w:t>
      </w:r>
      <w:r>
        <w:rPr>
          <w:rFonts w:ascii="Times New Roman" w:hAnsi="Times New Roman" w:cs="Times New Roman" w:eastAsia="Times New Roman" w:hint="default"/>
        </w:rPr>
        <w:t>00612</w:t>
      </w:r>
      <w:r>
        <w:rPr/>
        <w:t>号】，借款的担保方式为抵押</w:t>
      </w:r>
      <w:r>
        <w:rPr>
          <w:rFonts w:ascii="Times New Roman" w:hAnsi="Times New Roman" w:cs="Times New Roman" w:eastAsia="Times New Roman" w:hint="default"/>
        </w:rPr>
        <w:t>+</w:t>
      </w:r>
      <w:r>
        <w:rPr/>
        <w:t>质押，担保合同编号为【</w:t>
      </w:r>
      <w:r>
        <w:rPr>
          <w:rFonts w:ascii="Times New Roman" w:hAnsi="Times New Roman" w:cs="Times New Roman" w:eastAsia="Times New Roman" w:hint="default"/>
        </w:rPr>
        <w:t>(651202)</w:t>
      </w:r>
      <w:r>
        <w:rPr>
          <w:rFonts w:ascii="Times New Roman" w:hAnsi="Times New Roman" w:cs="Times New Roman" w:eastAsia="Times New Roman" w:hint="default"/>
          <w:spacing w:val="48"/>
        </w:rPr>
        <w:t> </w:t>
      </w:r>
      <w:r>
        <w:rPr>
          <w:rFonts w:ascii="Times New Roman" w:hAnsi="Times New Roman" w:cs="Times New Roman" w:eastAsia="Times New Roman" w:hint="default"/>
          <w:spacing w:val="48"/>
        </w:rPr>
      </w:r>
      <w:r>
        <w:rPr>
          <w:spacing w:val="-4"/>
        </w:rPr>
        <w:t>浙商银高抵字</w:t>
      </w:r>
      <w:r>
        <w:rPr>
          <w:rFonts w:ascii="Times New Roman" w:hAnsi="Times New Roman" w:cs="Times New Roman" w:eastAsia="Times New Roman" w:hint="default"/>
          <w:spacing w:val="-4"/>
        </w:rPr>
        <w:t>(2018)</w:t>
      </w:r>
      <w:r>
        <w:rPr>
          <w:spacing w:val="-4"/>
        </w:rPr>
        <w:t>第</w:t>
      </w:r>
      <w:r>
        <w:rPr>
          <w:rFonts w:ascii="Times New Roman" w:hAnsi="Times New Roman" w:cs="Times New Roman" w:eastAsia="Times New Roman" w:hint="default"/>
          <w:spacing w:val="-4"/>
        </w:rPr>
        <w:t>00104</w:t>
      </w:r>
      <w:r>
        <w:rPr>
          <w:spacing w:val="-4"/>
        </w:rPr>
        <w:t>号】、【</w:t>
      </w:r>
      <w:r>
        <w:rPr>
          <w:rFonts w:ascii="Times New Roman" w:hAnsi="Times New Roman" w:cs="Times New Roman" w:eastAsia="Times New Roman" w:hint="default"/>
          <w:spacing w:val="-4"/>
        </w:rPr>
        <w:t>(651202)</w:t>
      </w:r>
      <w:r>
        <w:rPr>
          <w:spacing w:val="-4"/>
        </w:rPr>
        <w:t>浙商银高质字</w:t>
      </w:r>
      <w:r>
        <w:rPr>
          <w:rFonts w:ascii="Times New Roman" w:hAnsi="Times New Roman" w:cs="Times New Roman" w:eastAsia="Times New Roman" w:hint="default"/>
          <w:spacing w:val="-4"/>
        </w:rPr>
        <w:t>(2019)</w:t>
      </w:r>
      <w:r>
        <w:rPr>
          <w:spacing w:val="-4"/>
        </w:rPr>
        <w:t>第</w:t>
      </w:r>
      <w:r>
        <w:rPr>
          <w:rFonts w:ascii="Times New Roman" w:hAnsi="Times New Roman" w:cs="Times New Roman" w:eastAsia="Times New Roman" w:hint="default"/>
          <w:spacing w:val="-4"/>
        </w:rPr>
        <w:t>00078</w:t>
      </w:r>
      <w:r>
        <w:rPr>
          <w:spacing w:val="-4"/>
        </w:rPr>
        <w:t>号】，担保合同编号为【</w:t>
      </w:r>
      <w:r>
        <w:rPr>
          <w:rFonts w:ascii="Times New Roman" w:hAnsi="Times New Roman" w:cs="Times New Roman" w:eastAsia="Times New Roman" w:hint="default"/>
          <w:spacing w:val="-4"/>
        </w:rPr>
        <w:t>(651202)</w:t>
      </w:r>
      <w:r>
        <w:rPr>
          <w:rFonts w:ascii="Times New Roman" w:hAnsi="Times New Roman" w:cs="Times New Roman" w:eastAsia="Times New Roman" w:hint="default"/>
          <w:spacing w:val="38"/>
        </w:rPr>
        <w:t> </w:t>
      </w:r>
      <w:r>
        <w:rPr>
          <w:rFonts w:ascii="Times New Roman" w:hAnsi="Times New Roman" w:cs="Times New Roman" w:eastAsia="Times New Roman" w:hint="default"/>
          <w:spacing w:val="38"/>
        </w:rPr>
      </w:r>
      <w:r>
        <w:rPr>
          <w:spacing w:val="-3"/>
        </w:rPr>
        <w:t>浙商银高抵字</w:t>
      </w:r>
      <w:r>
        <w:rPr>
          <w:rFonts w:ascii="Times New Roman" w:hAnsi="Times New Roman" w:cs="Times New Roman" w:eastAsia="Times New Roman" w:hint="default"/>
          <w:spacing w:val="-3"/>
        </w:rPr>
        <w:t>(2018)</w:t>
      </w:r>
      <w:r>
        <w:rPr>
          <w:spacing w:val="-3"/>
        </w:rPr>
        <w:t>第</w:t>
      </w:r>
      <w:r>
        <w:rPr>
          <w:rFonts w:ascii="Times New Roman" w:hAnsi="Times New Roman" w:cs="Times New Roman" w:eastAsia="Times New Roman" w:hint="default"/>
          <w:spacing w:val="-3"/>
        </w:rPr>
        <w:t>00104</w:t>
      </w:r>
      <w:r>
        <w:rPr>
          <w:spacing w:val="-3"/>
        </w:rPr>
        <w:t>号】所担保的主债权为自</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24</w:t>
      </w:r>
      <w:r>
        <w:rPr>
          <w:spacing w:val="-3"/>
        </w:rPr>
        <w:t>日起至</w:t>
      </w:r>
      <w:r>
        <w:rPr>
          <w:rFonts w:ascii="Times New Roman" w:hAnsi="Times New Roman" w:cs="Times New Roman" w:eastAsia="Times New Roman" w:hint="default"/>
          <w:spacing w:val="-3"/>
        </w:rPr>
        <w:t>2021</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23</w:t>
      </w:r>
      <w:r>
        <w:rPr>
          <w:spacing w:val="-3"/>
        </w:rPr>
        <w:t>日止，抵押物为四川</w:t>
      </w:r>
      <w:r>
        <w:rPr/>
        <w:t> </w:t>
      </w:r>
      <w:r>
        <w:rPr/>
        <w:t>浩特固定资产：房权证监证字第</w:t>
      </w:r>
      <w:r>
        <w:rPr>
          <w:rFonts w:ascii="Times New Roman" w:hAnsi="Times New Roman" w:cs="Times New Roman" w:eastAsia="Times New Roman" w:hint="default"/>
        </w:rPr>
        <w:t>2746372</w:t>
      </w:r>
      <w:r>
        <w:rPr/>
        <w:t>号、房权证监证字第</w:t>
      </w:r>
      <w:r>
        <w:rPr>
          <w:rFonts w:ascii="Times New Roman" w:hAnsi="Times New Roman" w:cs="Times New Roman" w:eastAsia="Times New Roman" w:hint="default"/>
        </w:rPr>
        <w:t>1944971</w:t>
      </w:r>
      <w:r>
        <w:rPr/>
        <w:t>号、房权证监证字第</w:t>
      </w:r>
      <w:r>
        <w:rPr>
          <w:rFonts w:ascii="Times New Roman" w:hAnsi="Times New Roman" w:cs="Times New Roman" w:eastAsia="Times New Roman" w:hint="default"/>
        </w:rPr>
        <w:t>1944966</w:t>
      </w:r>
      <w:r>
        <w:rPr/>
        <w:t>号、房</w:t>
      </w:r>
      <w:r>
        <w:rPr>
          <w:spacing w:val="-24"/>
        </w:rPr>
        <w:t> </w:t>
      </w:r>
      <w:r>
        <w:rPr>
          <w:spacing w:val="-24"/>
        </w:rPr>
      </w:r>
      <w:r>
        <w:rPr>
          <w:spacing w:val="-5"/>
        </w:rPr>
        <w:t>权证监证字第</w:t>
      </w:r>
      <w:r>
        <w:rPr>
          <w:rFonts w:ascii="Times New Roman" w:hAnsi="Times New Roman" w:cs="Times New Roman" w:eastAsia="Times New Roman" w:hint="default"/>
          <w:spacing w:val="-5"/>
        </w:rPr>
        <w:t>1944961</w:t>
      </w:r>
      <w:r>
        <w:rPr>
          <w:spacing w:val="-5"/>
        </w:rPr>
        <w:t>号、房权证监证字第</w:t>
      </w:r>
      <w:r>
        <w:rPr>
          <w:rFonts w:ascii="Times New Roman" w:hAnsi="Times New Roman" w:cs="Times New Roman" w:eastAsia="Times New Roman" w:hint="default"/>
          <w:spacing w:val="-5"/>
        </w:rPr>
        <w:t>1944943</w:t>
      </w:r>
      <w:r>
        <w:rPr>
          <w:spacing w:val="-5"/>
        </w:rPr>
        <w:t>号、房权证监证字第</w:t>
      </w:r>
      <w:r>
        <w:rPr>
          <w:rFonts w:ascii="Times New Roman" w:hAnsi="Times New Roman" w:cs="Times New Roman" w:eastAsia="Times New Roman" w:hint="default"/>
          <w:spacing w:val="-5"/>
        </w:rPr>
        <w:t>1944955</w:t>
      </w:r>
      <w:r>
        <w:rPr>
          <w:spacing w:val="-5"/>
        </w:rPr>
        <w:t>号、房权证监证字第</w:t>
      </w:r>
      <w:r>
        <w:rPr>
          <w:rFonts w:ascii="Times New Roman" w:hAnsi="Times New Roman" w:cs="Times New Roman" w:eastAsia="Times New Roman" w:hint="default"/>
          <w:spacing w:val="-5"/>
        </w:rPr>
        <w:t>4001976</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5"/>
        </w:rPr>
      </w:r>
      <w:r>
        <w:rPr/>
        <w:t>号，被担保的主债权最高额为壹仟叁佰陆拾柒万伍仟零贰拾元整；担保合同编号为【</w:t>
      </w:r>
      <w:r>
        <w:rPr>
          <w:rFonts w:ascii="Times New Roman" w:hAnsi="Times New Roman" w:cs="Times New Roman" w:eastAsia="Times New Roman" w:hint="default"/>
        </w:rPr>
        <w:t>(651202)</w:t>
      </w:r>
      <w:r>
        <w:rPr/>
        <w:t>浙商银高质</w:t>
      </w:r>
      <w:r>
        <w:rPr>
          <w:spacing w:val="-54"/>
        </w:rPr>
        <w:t> </w:t>
      </w:r>
      <w:r>
        <w:rPr>
          <w:spacing w:val="-54"/>
        </w:rPr>
      </w:r>
      <w:r>
        <w:rPr>
          <w:spacing w:val="-3"/>
        </w:rPr>
        <w:t>字</w:t>
      </w:r>
      <w:r>
        <w:rPr>
          <w:rFonts w:ascii="Times New Roman" w:hAnsi="Times New Roman" w:cs="Times New Roman" w:eastAsia="Times New Roman" w:hint="default"/>
          <w:spacing w:val="-3"/>
        </w:rPr>
        <w:t>(2019)</w:t>
      </w:r>
      <w:r>
        <w:rPr>
          <w:spacing w:val="-3"/>
        </w:rPr>
        <w:t>第</w:t>
      </w:r>
      <w:r>
        <w:rPr>
          <w:rFonts w:ascii="Times New Roman" w:hAnsi="Times New Roman" w:cs="Times New Roman" w:eastAsia="Times New Roman" w:hint="default"/>
          <w:spacing w:val="-3"/>
        </w:rPr>
        <w:t>00078</w:t>
      </w:r>
      <w:r>
        <w:rPr>
          <w:spacing w:val="-3"/>
        </w:rPr>
        <w:t>号】所担保的主债权为自</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17</w:t>
      </w:r>
      <w:r>
        <w:rPr>
          <w:spacing w:val="-3"/>
        </w:rPr>
        <w:t>日起至</w:t>
      </w:r>
      <w:r>
        <w:rPr>
          <w:rFonts w:ascii="Times New Roman" w:hAnsi="Times New Roman" w:cs="Times New Roman" w:eastAsia="Times New Roman" w:hint="default"/>
          <w:spacing w:val="-3"/>
        </w:rPr>
        <w:t>2020</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16</w:t>
      </w:r>
      <w:r>
        <w:rPr>
          <w:spacing w:val="-3"/>
        </w:rPr>
        <w:t>日止，质押资产为四川浩特通信</w:t>
      </w:r>
      <w:r>
        <w:rPr>
          <w:spacing w:val="-2"/>
        </w:rPr>
        <w:t> </w:t>
      </w:r>
      <w:r>
        <w:rPr>
          <w:spacing w:val="-2"/>
        </w:rPr>
        <w:t>有限公司持有的：中国电信股份有限公司南充分公司及中国电信股份有限公司内江分公司的应收账款，被</w:t>
      </w:r>
      <w:r>
        <w:rPr>
          <w:spacing w:val="-44"/>
        </w:rPr>
        <w:t> </w:t>
      </w:r>
      <w:r>
        <w:rPr>
          <w:spacing w:val="-44"/>
        </w:rPr>
      </w:r>
      <w:r>
        <w:rPr>
          <w:spacing w:val="-1"/>
        </w:rPr>
        <w:t>担保的主债权最高额为壹仟肆佰捌拾伍万元整。截至</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日借款本金余额人民币</w:t>
      </w:r>
      <w:r>
        <w:rPr>
          <w:rFonts w:ascii="Times New Roman" w:hAnsi="Times New Roman" w:cs="Times New Roman" w:eastAsia="Times New Roman" w:hint="default"/>
          <w:spacing w:val="-1"/>
        </w:rPr>
        <w:t>4,000,000.00</w:t>
      </w:r>
      <w:r>
        <w:rPr>
          <w:spacing w:val="-1"/>
        </w:rPr>
        <w:t>元。</w:t>
      </w:r>
      <w:r>
        <w:rPr/>
      </w:r>
    </w:p>
    <w:p>
      <w:pPr>
        <w:pStyle w:val="Heading4"/>
        <w:spacing w:line="240" w:lineRule="auto" w:before="2"/>
        <w:ind w:left="573" w:right="0"/>
        <w:jc w:val="left"/>
      </w:pPr>
      <w:r>
        <w:rPr>
          <w:spacing w:val="9"/>
        </w:rPr>
        <w:t>（</w:t>
      </w:r>
      <w:r>
        <w:rPr>
          <w:rFonts w:ascii="Times New Roman" w:hAnsi="Times New Roman" w:cs="Times New Roman" w:eastAsia="Times New Roman" w:hint="default"/>
          <w:spacing w:val="9"/>
        </w:rPr>
        <w:t>5</w:t>
      </w:r>
      <w:r>
        <w:rPr>
          <w:spacing w:val="9"/>
        </w:rPr>
        <w:t>）本公司全资子公司四川浩特通信有限公司与浙商银行股份有限公司成都分行签订借款合同</w:t>
      </w:r>
    </w:p>
    <w:p>
      <w:pPr>
        <w:pStyle w:val="Heading4"/>
        <w:spacing w:line="240" w:lineRule="auto" w:before="21"/>
        <w:ind w:right="0"/>
        <w:jc w:val="both"/>
        <w:rPr>
          <w:rFonts w:ascii="Times New Roman" w:hAnsi="Times New Roman" w:cs="Times New Roman" w:eastAsia="Times New Roman" w:hint="default"/>
        </w:rPr>
      </w:pPr>
      <w:r>
        <w:rPr/>
        <w:t>【</w:t>
      </w:r>
      <w:r>
        <w:rPr>
          <w:rFonts w:ascii="Times New Roman" w:hAnsi="Times New Roman" w:cs="Times New Roman" w:eastAsia="Times New Roman" w:hint="default"/>
        </w:rPr>
        <w:t>(20409000)</w:t>
      </w:r>
      <w:r>
        <w:rPr/>
        <w:t>浙商银借字</w:t>
      </w:r>
      <w:r>
        <w:rPr>
          <w:rFonts w:ascii="Times New Roman" w:hAnsi="Times New Roman" w:cs="Times New Roman" w:eastAsia="Times New Roman" w:hint="default"/>
        </w:rPr>
        <w:t>(2019)</w:t>
      </w:r>
      <w:r>
        <w:rPr/>
        <w:t>第</w:t>
      </w:r>
      <w:r>
        <w:rPr>
          <w:rFonts w:ascii="Times New Roman" w:hAnsi="Times New Roman" w:cs="Times New Roman" w:eastAsia="Times New Roman" w:hint="default"/>
        </w:rPr>
        <w:t>00627</w:t>
      </w:r>
      <w:r>
        <w:rPr/>
        <w:t>号】，借款的担保方式为抵押</w:t>
      </w:r>
      <w:r>
        <w:rPr>
          <w:rFonts w:ascii="Times New Roman" w:hAnsi="Times New Roman" w:cs="Times New Roman" w:eastAsia="Times New Roman" w:hint="default"/>
        </w:rPr>
        <w:t>+</w:t>
      </w:r>
      <w:r>
        <w:rPr/>
        <w:t>质押，担保合同编号为【</w:t>
      </w:r>
      <w:r>
        <w:rPr>
          <w:rFonts w:ascii="Times New Roman" w:hAnsi="Times New Roman" w:cs="Times New Roman" w:eastAsia="Times New Roman" w:hint="default"/>
        </w:rPr>
        <w:t>(651202)</w:t>
      </w:r>
    </w:p>
    <w:p>
      <w:pPr>
        <w:spacing w:after="0" w:line="240" w:lineRule="auto"/>
        <w:jc w:val="both"/>
        <w:rPr>
          <w:rFonts w:ascii="Times New Roman" w:hAnsi="Times New Roman" w:cs="Times New Roman" w:eastAsia="Times New Roman" w:hint="default"/>
        </w:rPr>
        <w:sectPr>
          <w:pgSz w:w="11910" w:h="16840"/>
          <w:pgMar w:header="745" w:footer="980" w:top="1060" w:bottom="1160" w:left="980" w:right="0"/>
        </w:sectPr>
      </w:pPr>
    </w:p>
    <w:p>
      <w:pPr>
        <w:spacing w:line="240" w:lineRule="auto" w:before="2"/>
        <w:rPr>
          <w:rFonts w:ascii="Times New Roman" w:hAnsi="Times New Roman" w:cs="Times New Roman" w:eastAsia="Times New Roman" w:hint="default"/>
          <w:sz w:val="28"/>
          <w:szCs w:val="28"/>
        </w:rPr>
      </w:pPr>
    </w:p>
    <w:p>
      <w:pPr>
        <w:pStyle w:val="Heading4"/>
        <w:spacing w:line="256" w:lineRule="auto" w:before="36"/>
        <w:ind w:right="1126"/>
        <w:jc w:val="both"/>
      </w:pPr>
      <w:r>
        <w:rPr/>
        <w:t>浙商银高抵字</w:t>
      </w:r>
      <w:r>
        <w:rPr>
          <w:rFonts w:ascii="Times New Roman" w:hAnsi="Times New Roman" w:cs="Times New Roman" w:eastAsia="Times New Roman" w:hint="default"/>
        </w:rPr>
        <w:t>(2017)</w:t>
      </w:r>
      <w:r>
        <w:rPr/>
        <w:t>第</w:t>
      </w:r>
      <w:r>
        <w:rPr>
          <w:rFonts w:ascii="Times New Roman" w:hAnsi="Times New Roman" w:cs="Times New Roman" w:eastAsia="Times New Roman" w:hint="default"/>
        </w:rPr>
        <w:t>00008</w:t>
      </w:r>
      <w:r>
        <w:rPr/>
        <w:t>号】、【</w:t>
      </w:r>
      <w:r>
        <w:rPr>
          <w:rFonts w:ascii="Times New Roman" w:hAnsi="Times New Roman" w:cs="Times New Roman" w:eastAsia="Times New Roman" w:hint="default"/>
        </w:rPr>
        <w:t>(651202)</w:t>
      </w:r>
      <w:r>
        <w:rPr/>
        <w:t>浙商银高抵字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00104</w:t>
      </w:r>
      <w:r>
        <w:rPr/>
        <w:t>号】、【</w:t>
      </w:r>
      <w:r>
        <w:rPr>
          <w:rFonts w:ascii="Times New Roman" w:hAnsi="Times New Roman" w:cs="Times New Roman" w:eastAsia="Times New Roman" w:hint="default"/>
        </w:rPr>
        <w:t>(651202)</w:t>
      </w:r>
      <w:r>
        <w:rPr/>
        <w:t>浙商银高质字</w:t>
      </w:r>
      <w:r>
        <w:rPr>
          <w:spacing w:val="-65"/>
        </w:rPr>
        <w:t> </w:t>
      </w:r>
      <w:r>
        <w:rPr>
          <w:spacing w:val="-65"/>
        </w:rPr>
      </w:r>
      <w:r>
        <w:rPr>
          <w:rFonts w:ascii="Times New Roman" w:hAnsi="Times New Roman" w:cs="Times New Roman" w:eastAsia="Times New Roman" w:hint="default"/>
          <w:spacing w:val="-2"/>
        </w:rPr>
        <w:t>(2019)</w:t>
      </w:r>
      <w:r>
        <w:rPr>
          <w:spacing w:val="-2"/>
        </w:rPr>
        <w:t>第</w:t>
      </w:r>
      <w:r>
        <w:rPr>
          <w:rFonts w:ascii="Times New Roman" w:hAnsi="Times New Roman" w:cs="Times New Roman" w:eastAsia="Times New Roman" w:hint="default"/>
          <w:spacing w:val="-2"/>
        </w:rPr>
        <w:t>00078</w:t>
      </w:r>
      <w:r>
        <w:rPr>
          <w:spacing w:val="-2"/>
        </w:rPr>
        <w:t>号】，其中担保合同编号为【</w:t>
      </w:r>
      <w:r>
        <w:rPr>
          <w:rFonts w:ascii="Times New Roman" w:hAnsi="Times New Roman" w:cs="Times New Roman" w:eastAsia="Times New Roman" w:hint="default"/>
          <w:spacing w:val="-2"/>
        </w:rPr>
        <w:t>(651202)</w:t>
      </w:r>
      <w:r>
        <w:rPr>
          <w:spacing w:val="-2"/>
        </w:rPr>
        <w:t>浙商银高抵字</w:t>
      </w:r>
      <w:r>
        <w:rPr>
          <w:rFonts w:ascii="Times New Roman" w:hAnsi="Times New Roman" w:cs="Times New Roman" w:eastAsia="Times New Roman" w:hint="default"/>
          <w:spacing w:val="-2"/>
        </w:rPr>
        <w:t>(2017)</w:t>
      </w:r>
      <w:r>
        <w:rPr>
          <w:spacing w:val="-2"/>
        </w:rPr>
        <w:t>第</w:t>
      </w:r>
      <w:r>
        <w:rPr>
          <w:rFonts w:ascii="Times New Roman" w:hAnsi="Times New Roman" w:cs="Times New Roman" w:eastAsia="Times New Roman" w:hint="default"/>
          <w:spacing w:val="-2"/>
        </w:rPr>
        <w:t>00008</w:t>
      </w:r>
      <w:r>
        <w:rPr>
          <w:spacing w:val="-2"/>
        </w:rPr>
        <w:t>号】所担保的主债权为自</w:t>
      </w:r>
      <w:r>
        <w:rPr>
          <w:spacing w:val="-13"/>
        </w:rPr>
        <w:t> </w:t>
      </w:r>
      <w:r>
        <w:rPr>
          <w:spacing w:val="-13"/>
        </w:rPr>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22</w:t>
      </w:r>
      <w:r>
        <w:rPr/>
        <w:t>日起至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17</w:t>
      </w:r>
      <w:r>
        <w:rPr/>
        <w:t>日止，抵押物为四川浩特固定资产：房权证监证字第</w:t>
      </w:r>
      <w:r>
        <w:rPr>
          <w:rFonts w:ascii="Times New Roman" w:hAnsi="Times New Roman" w:cs="Times New Roman" w:eastAsia="Times New Roman" w:hint="default"/>
        </w:rPr>
        <w:t>2746372</w:t>
      </w:r>
      <w:r>
        <w:rPr/>
        <w:t>号、房权证</w:t>
      </w:r>
      <w:r>
        <w:rPr>
          <w:spacing w:val="-25"/>
        </w:rPr>
        <w:t> </w:t>
      </w:r>
      <w:r>
        <w:rPr>
          <w:spacing w:val="-25"/>
        </w:rPr>
      </w:r>
      <w:r>
        <w:rPr>
          <w:spacing w:val="-6"/>
        </w:rPr>
        <w:t>监证字第</w:t>
      </w:r>
      <w:r>
        <w:rPr>
          <w:rFonts w:ascii="Times New Roman" w:hAnsi="Times New Roman" w:cs="Times New Roman" w:eastAsia="Times New Roman" w:hint="default"/>
          <w:spacing w:val="-6"/>
        </w:rPr>
        <w:t>1944971</w:t>
      </w:r>
      <w:r>
        <w:rPr>
          <w:spacing w:val="-6"/>
        </w:rPr>
        <w:t>号、房权证监证字第</w:t>
      </w:r>
      <w:r>
        <w:rPr>
          <w:rFonts w:ascii="Times New Roman" w:hAnsi="Times New Roman" w:cs="Times New Roman" w:eastAsia="Times New Roman" w:hint="default"/>
          <w:spacing w:val="-6"/>
        </w:rPr>
        <w:t>1944966</w:t>
      </w:r>
      <w:r>
        <w:rPr>
          <w:spacing w:val="-6"/>
        </w:rPr>
        <w:t>号、房权证监证字第</w:t>
      </w:r>
      <w:r>
        <w:rPr>
          <w:rFonts w:ascii="Times New Roman" w:hAnsi="Times New Roman" w:cs="Times New Roman" w:eastAsia="Times New Roman" w:hint="default"/>
          <w:spacing w:val="-6"/>
        </w:rPr>
        <w:t>1944961</w:t>
      </w:r>
      <w:r>
        <w:rPr>
          <w:spacing w:val="-6"/>
        </w:rPr>
        <w:t>号、房权证监证字第</w:t>
      </w:r>
      <w:r>
        <w:rPr>
          <w:rFonts w:ascii="Times New Roman" w:hAnsi="Times New Roman" w:cs="Times New Roman" w:eastAsia="Times New Roman" w:hint="default"/>
          <w:spacing w:val="-6"/>
        </w:rPr>
        <w:t>1944943</w:t>
      </w:r>
      <w:r>
        <w:rPr>
          <w:spacing w:val="-6"/>
        </w:rPr>
        <w:t>号、</w:t>
      </w:r>
      <w:r>
        <w:rPr>
          <w:spacing w:val="10"/>
        </w:rPr>
        <w:t> </w:t>
      </w:r>
      <w:r>
        <w:rPr>
          <w:spacing w:val="-2"/>
        </w:rPr>
        <w:t>房权证监证字第</w:t>
      </w:r>
      <w:r>
        <w:rPr>
          <w:rFonts w:ascii="Times New Roman" w:hAnsi="Times New Roman" w:cs="Times New Roman" w:eastAsia="Times New Roman" w:hint="default"/>
          <w:spacing w:val="-2"/>
        </w:rPr>
        <w:t>1944955</w:t>
      </w:r>
      <w:r>
        <w:rPr>
          <w:spacing w:val="-2"/>
        </w:rPr>
        <w:t>号、房权证监证字第</w:t>
      </w:r>
      <w:r>
        <w:rPr>
          <w:rFonts w:ascii="Times New Roman" w:hAnsi="Times New Roman" w:cs="Times New Roman" w:eastAsia="Times New Roman" w:hint="default"/>
          <w:spacing w:val="-2"/>
        </w:rPr>
        <w:t>4001976</w:t>
      </w:r>
      <w:r>
        <w:rPr>
          <w:spacing w:val="-2"/>
        </w:rPr>
        <w:t>号，被担保的主债权最高额为壹仟叁佰陆拾柒万伍仟</w:t>
      </w:r>
      <w:r>
        <w:rPr>
          <w:spacing w:val="-33"/>
        </w:rPr>
        <w:t> </w:t>
      </w:r>
      <w:r>
        <w:rPr>
          <w:spacing w:val="-33"/>
        </w:rPr>
      </w:r>
      <w:r>
        <w:rPr>
          <w:spacing w:val="-3"/>
        </w:rPr>
        <w:t>零贰拾元整；担保合同编号为【</w:t>
      </w:r>
      <w:r>
        <w:rPr>
          <w:rFonts w:ascii="Times New Roman" w:hAnsi="Times New Roman" w:cs="Times New Roman" w:eastAsia="Times New Roman" w:hint="default"/>
          <w:spacing w:val="-3"/>
        </w:rPr>
        <w:t>(651202)</w:t>
      </w:r>
      <w:r>
        <w:rPr>
          <w:spacing w:val="-3"/>
        </w:rPr>
        <w:t>浙商银高抵字</w:t>
      </w:r>
      <w:r>
        <w:rPr>
          <w:rFonts w:ascii="Times New Roman" w:hAnsi="Times New Roman" w:cs="Times New Roman" w:eastAsia="Times New Roman" w:hint="default"/>
          <w:spacing w:val="-3"/>
        </w:rPr>
        <w:t>(2018)</w:t>
      </w:r>
      <w:r>
        <w:rPr>
          <w:spacing w:val="-3"/>
        </w:rPr>
        <w:t>第</w:t>
      </w:r>
      <w:r>
        <w:rPr>
          <w:rFonts w:ascii="Times New Roman" w:hAnsi="Times New Roman" w:cs="Times New Roman" w:eastAsia="Times New Roman" w:hint="default"/>
          <w:spacing w:val="-3"/>
        </w:rPr>
        <w:t>00104</w:t>
      </w:r>
      <w:r>
        <w:rPr>
          <w:spacing w:val="-3"/>
        </w:rPr>
        <w:t>号】所担保的主债权为自</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24</w:t>
      </w:r>
      <w:r>
        <w:rPr>
          <w:rFonts w:ascii="Times New Roman" w:hAnsi="Times New Roman" w:cs="Times New Roman" w:eastAsia="Times New Roman" w:hint="default"/>
          <w:spacing w:val="19"/>
        </w:rPr>
        <w:t> </w:t>
      </w:r>
      <w:r>
        <w:rPr>
          <w:spacing w:val="5"/>
        </w:rPr>
        <w:t>日起至</w:t>
      </w:r>
      <w:r>
        <w:rPr>
          <w:rFonts w:ascii="Times New Roman" w:hAnsi="Times New Roman" w:cs="Times New Roman" w:eastAsia="Times New Roman" w:hint="default"/>
          <w:spacing w:val="5"/>
        </w:rPr>
        <w:t>2021</w:t>
      </w:r>
      <w:r>
        <w:rPr>
          <w:spacing w:val="5"/>
        </w:rPr>
        <w:t>年</w:t>
      </w:r>
      <w:r>
        <w:rPr>
          <w:rFonts w:ascii="Times New Roman" w:hAnsi="Times New Roman" w:cs="Times New Roman" w:eastAsia="Times New Roman" w:hint="default"/>
          <w:spacing w:val="5"/>
        </w:rPr>
        <w:t>7</w:t>
      </w:r>
      <w:r>
        <w:rPr>
          <w:spacing w:val="5"/>
        </w:rPr>
        <w:t>月</w:t>
      </w:r>
      <w:r>
        <w:rPr>
          <w:rFonts w:ascii="Times New Roman" w:hAnsi="Times New Roman" w:cs="Times New Roman" w:eastAsia="Times New Roman" w:hint="default"/>
          <w:spacing w:val="5"/>
        </w:rPr>
        <w:t>23</w:t>
      </w:r>
      <w:r>
        <w:rPr>
          <w:spacing w:val="5"/>
        </w:rPr>
        <w:t>日止，抵押物为四川浩特固定资产：房权证监证字第</w:t>
      </w:r>
      <w:r>
        <w:rPr>
          <w:rFonts w:ascii="Times New Roman" w:hAnsi="Times New Roman" w:cs="Times New Roman" w:eastAsia="Times New Roman" w:hint="default"/>
          <w:spacing w:val="5"/>
        </w:rPr>
        <w:t>2746372</w:t>
      </w:r>
      <w:r>
        <w:rPr>
          <w:spacing w:val="5"/>
        </w:rPr>
        <w:t>号、房权证监证字第</w:t>
      </w:r>
      <w:r>
        <w:rPr>
          <w:spacing w:val="14"/>
        </w:rPr>
        <w:t> </w:t>
      </w:r>
      <w:r>
        <w:rPr>
          <w:spacing w:val="14"/>
        </w:rPr>
      </w:r>
      <w:r>
        <w:rPr>
          <w:rFonts w:ascii="Times New Roman" w:hAnsi="Times New Roman" w:cs="Times New Roman" w:eastAsia="Times New Roman" w:hint="default"/>
          <w:spacing w:val="-2"/>
        </w:rPr>
        <w:t>1944971</w:t>
      </w:r>
      <w:r>
        <w:rPr>
          <w:spacing w:val="-2"/>
        </w:rPr>
        <w:t>号、房权证监证字第</w:t>
      </w:r>
      <w:r>
        <w:rPr>
          <w:rFonts w:ascii="Times New Roman" w:hAnsi="Times New Roman" w:cs="Times New Roman" w:eastAsia="Times New Roman" w:hint="default"/>
          <w:spacing w:val="-2"/>
        </w:rPr>
        <w:t>1944966</w:t>
      </w:r>
      <w:r>
        <w:rPr>
          <w:spacing w:val="-2"/>
        </w:rPr>
        <w:t>号、房权证监证字第</w:t>
      </w:r>
      <w:r>
        <w:rPr>
          <w:rFonts w:ascii="Times New Roman" w:hAnsi="Times New Roman" w:cs="Times New Roman" w:eastAsia="Times New Roman" w:hint="default"/>
          <w:spacing w:val="-2"/>
        </w:rPr>
        <w:t>1944961</w:t>
      </w:r>
      <w:r>
        <w:rPr>
          <w:spacing w:val="-2"/>
        </w:rPr>
        <w:t>号、房权证监证字第</w:t>
      </w:r>
      <w:r>
        <w:rPr>
          <w:rFonts w:ascii="Times New Roman" w:hAnsi="Times New Roman" w:cs="Times New Roman" w:eastAsia="Times New Roman" w:hint="default"/>
          <w:spacing w:val="-2"/>
        </w:rPr>
        <w:t>1944943</w:t>
      </w:r>
      <w:r>
        <w:rPr>
          <w:spacing w:val="-2"/>
        </w:rPr>
        <w:t>号、房权证</w:t>
      </w:r>
      <w:r>
        <w:rPr>
          <w:spacing w:val="-20"/>
        </w:rPr>
        <w:t> </w:t>
      </w:r>
      <w:r>
        <w:rPr>
          <w:spacing w:val="-20"/>
        </w:rPr>
      </w:r>
      <w:r>
        <w:rPr>
          <w:spacing w:val="-2"/>
        </w:rPr>
        <w:t>监证字第</w:t>
      </w:r>
      <w:r>
        <w:rPr>
          <w:rFonts w:ascii="Times New Roman" w:hAnsi="Times New Roman" w:cs="Times New Roman" w:eastAsia="Times New Roman" w:hint="default"/>
          <w:spacing w:val="-2"/>
        </w:rPr>
        <w:t>1944955</w:t>
      </w:r>
      <w:r>
        <w:rPr>
          <w:spacing w:val="-2"/>
        </w:rPr>
        <w:t>号、房权证监证字第</w:t>
      </w:r>
      <w:r>
        <w:rPr>
          <w:rFonts w:ascii="Times New Roman" w:hAnsi="Times New Roman" w:cs="Times New Roman" w:eastAsia="Times New Roman" w:hint="default"/>
          <w:spacing w:val="-2"/>
        </w:rPr>
        <w:t>4001976</w:t>
      </w:r>
      <w:r>
        <w:rPr>
          <w:spacing w:val="-2"/>
        </w:rPr>
        <w:t>号，被担保的主债权最高额为壹仟叁佰陆拾柒万伍仟零贰拾</w:t>
      </w:r>
      <w:r>
        <w:rPr>
          <w:spacing w:val="-32"/>
        </w:rPr>
        <w:t> </w:t>
      </w:r>
      <w:r>
        <w:rPr>
          <w:spacing w:val="-32"/>
        </w:rPr>
      </w:r>
      <w:r>
        <w:rPr>
          <w:spacing w:val="-3"/>
        </w:rPr>
        <w:t>元整；担保合同编号为【</w:t>
      </w:r>
      <w:r>
        <w:rPr>
          <w:rFonts w:ascii="Times New Roman" w:hAnsi="Times New Roman" w:cs="Times New Roman" w:eastAsia="Times New Roman" w:hint="default"/>
          <w:spacing w:val="-3"/>
        </w:rPr>
        <w:t>(651202)</w:t>
      </w:r>
      <w:r>
        <w:rPr>
          <w:spacing w:val="-3"/>
        </w:rPr>
        <w:t>浙商银高质字</w:t>
      </w:r>
      <w:r>
        <w:rPr>
          <w:rFonts w:ascii="Times New Roman" w:hAnsi="Times New Roman" w:cs="Times New Roman" w:eastAsia="Times New Roman" w:hint="default"/>
          <w:spacing w:val="-3"/>
        </w:rPr>
        <w:t>(2019)</w:t>
      </w:r>
      <w:r>
        <w:rPr>
          <w:spacing w:val="-3"/>
        </w:rPr>
        <w:t>第</w:t>
      </w:r>
      <w:r>
        <w:rPr>
          <w:rFonts w:ascii="Times New Roman" w:hAnsi="Times New Roman" w:cs="Times New Roman" w:eastAsia="Times New Roman" w:hint="default"/>
          <w:spacing w:val="-3"/>
        </w:rPr>
        <w:t>00078</w:t>
      </w:r>
      <w:r>
        <w:rPr>
          <w:spacing w:val="-3"/>
        </w:rPr>
        <w:t>号】所担保的主债权为自</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17</w:t>
      </w:r>
      <w:r>
        <w:rPr>
          <w:spacing w:val="-3"/>
        </w:rPr>
        <w:t>日起至</w:t>
      </w:r>
      <w:r>
        <w:rPr>
          <w:spacing w:val="-28"/>
        </w:rPr>
        <w:t> </w:t>
      </w:r>
      <w:r>
        <w:rPr>
          <w:spacing w:val="-28"/>
        </w:rPr>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16</w:t>
      </w:r>
      <w:r>
        <w:rPr/>
        <w:t>日止，质押资产为四川浩特通信有限公司持有的：中国电信股份有限公司南充分公司及中国</w:t>
      </w:r>
      <w:r>
        <w:rPr>
          <w:spacing w:val="-28"/>
        </w:rPr>
        <w:t> </w:t>
      </w:r>
      <w:r>
        <w:rPr>
          <w:spacing w:val="-28"/>
        </w:rPr>
      </w:r>
      <w:r>
        <w:rPr>
          <w:spacing w:val="-2"/>
        </w:rPr>
        <w:t>电信股份有限公司内江分公司的应收账款，被担保的主债权最高额为壹仟肆佰捌拾伍万元整。截至</w:t>
      </w:r>
      <w:r>
        <w:rPr>
          <w:rFonts w:ascii="Times New Roman" w:hAnsi="Times New Roman" w:cs="Times New Roman" w:eastAsia="Times New Roman" w:hint="default"/>
          <w:spacing w:val="-2"/>
        </w:rPr>
        <w:t>2019</w:t>
      </w:r>
      <w:r>
        <w:rPr>
          <w:spacing w:val="-2"/>
        </w:rPr>
        <w:t>年</w:t>
      </w:r>
      <w:r>
        <w:rPr>
          <w:spacing w:val="-41"/>
        </w:rPr>
        <w:t> </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日借款本金余额人民币</w:t>
      </w:r>
      <w:r>
        <w:rPr>
          <w:rFonts w:ascii="Times New Roman" w:hAnsi="Times New Roman" w:cs="Times New Roman" w:eastAsia="Times New Roman" w:hint="default"/>
        </w:rPr>
        <w:t>9,500,000.00</w:t>
      </w:r>
      <w:r>
        <w:rPr/>
        <w:t>万元。</w:t>
      </w:r>
    </w:p>
    <w:p>
      <w:pPr>
        <w:spacing w:line="240" w:lineRule="auto" w:before="4"/>
        <w:rPr>
          <w:rFonts w:ascii="宋体" w:hAnsi="宋体" w:cs="宋体" w:eastAsia="宋体" w:hint="default"/>
          <w:sz w:val="23"/>
          <w:szCs w:val="23"/>
        </w:rPr>
      </w:pPr>
    </w:p>
    <w:p>
      <w:pPr>
        <w:pStyle w:val="Heading3"/>
        <w:spacing w:line="240" w:lineRule="auto"/>
        <w:ind w:right="2602"/>
        <w:jc w:val="left"/>
        <w:rPr>
          <w:b w:val="0"/>
          <w:bCs w:val="0"/>
        </w:rPr>
      </w:pPr>
      <w:bookmarkStart w:name="2、或有事项" w:id="473"/>
      <w:bookmarkEnd w:id="473"/>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10"/>
        <w:rPr>
          <w:rFonts w:ascii="宋体" w:hAnsi="宋体" w:cs="宋体" w:eastAsia="宋体" w:hint="default"/>
          <w:b/>
          <w:bCs/>
          <w:sz w:val="24"/>
          <w:szCs w:val="24"/>
        </w:rPr>
      </w:pPr>
    </w:p>
    <w:p>
      <w:pPr>
        <w:spacing w:line="506" w:lineRule="auto" w:before="0"/>
        <w:ind w:left="573" w:right="2602" w:hanging="421"/>
        <w:jc w:val="left"/>
        <w:rPr>
          <w:rFonts w:ascii="宋体" w:hAnsi="宋体" w:cs="宋体" w:eastAsia="宋体" w:hint="default"/>
          <w:sz w:val="21"/>
          <w:szCs w:val="21"/>
        </w:rPr>
      </w:pPr>
      <w:bookmarkStart w:name="（1）资产负债表日存在的重要或有事项" w:id="474"/>
      <w:bookmarkEnd w:id="47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）资产负债表日存在的重要或有事项</w:t>
      </w:r>
      <w:r>
        <w:rPr>
          <w:rFonts w:ascii="宋体" w:hAnsi="宋体" w:cs="宋体" w:eastAsia="宋体" w:hint="default"/>
          <w:b/>
          <w:bCs/>
          <w:w w:val="100"/>
          <w:sz w:val="21"/>
          <w:szCs w:val="21"/>
        </w:rPr>
        <w:t> </w:t>
      </w:r>
      <w:r>
        <w:rPr>
          <w:rFonts w:ascii="宋体" w:hAnsi="宋体" w:cs="宋体" w:eastAsia="宋体" w:hint="default"/>
          <w:spacing w:val="-2"/>
          <w:sz w:val="21"/>
          <w:szCs w:val="21"/>
        </w:rPr>
        <w:t>截至资产负债表日，本公司不存在需要披露的或有事项。</w:t>
      </w:r>
    </w:p>
    <w:p>
      <w:pPr>
        <w:spacing w:line="506" w:lineRule="auto" w:before="104"/>
        <w:ind w:left="573" w:right="2602" w:hanging="421"/>
        <w:jc w:val="left"/>
        <w:rPr>
          <w:rFonts w:ascii="宋体" w:hAnsi="宋体" w:cs="宋体" w:eastAsia="宋体" w:hint="default"/>
          <w:sz w:val="21"/>
          <w:szCs w:val="21"/>
        </w:rPr>
      </w:pPr>
      <w:bookmarkStart w:name="（2）公司没有需要披露的重要或有事项，也应予以说明" w:id="475"/>
      <w:bookmarkEnd w:id="475"/>
      <w:r>
        <w:rPr/>
      </w:r>
      <w:r>
        <w:rPr>
          <w:rFonts w:ascii="宋体" w:hAnsi="宋体" w:cs="宋体" w:eastAsia="宋体" w:hint="default"/>
          <w:b/>
          <w:bCs/>
          <w:spacing w:val="-1"/>
          <w:sz w:val="21"/>
          <w:szCs w:val="21"/>
        </w:rPr>
        <w:t>（</w:t>
      </w:r>
      <w:r>
        <w:rPr>
          <w:rFonts w:ascii="Times New Roman" w:hAnsi="Times New Roman" w:cs="Times New Roman" w:eastAsia="Times New Roman" w:hint="default"/>
          <w:b/>
          <w:bCs/>
          <w:spacing w:val="-1"/>
          <w:sz w:val="21"/>
          <w:szCs w:val="21"/>
        </w:rPr>
        <w:t>2</w:t>
      </w:r>
      <w:r>
        <w:rPr>
          <w:rFonts w:ascii="宋体" w:hAnsi="宋体" w:cs="宋体" w:eastAsia="宋体" w:hint="default"/>
          <w:b/>
          <w:bCs/>
          <w:spacing w:val="-1"/>
          <w:sz w:val="21"/>
          <w:szCs w:val="21"/>
        </w:rPr>
        <w:t>）公司没有需要披露的重要或有事项，也应予以说明</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z w:val="21"/>
          <w:szCs w:val="21"/>
        </w:rPr>
        <w:t>公司不存在需要披露的重要或有事项。</w:t>
      </w:r>
    </w:p>
    <w:p>
      <w:pPr>
        <w:pStyle w:val="Heading2"/>
        <w:spacing w:line="240" w:lineRule="auto" w:before="79"/>
        <w:ind w:right="2602"/>
        <w:jc w:val="left"/>
        <w:rPr>
          <w:b w:val="0"/>
          <w:bCs w:val="0"/>
        </w:rPr>
      </w:pPr>
      <w:bookmarkStart w:name="十五、资产负债表日后事项" w:id="476"/>
      <w:bookmarkEnd w:id="476"/>
      <w:r>
        <w:rPr>
          <w:b w:val="0"/>
          <w:bCs w:val="0"/>
        </w:rPr>
      </w:r>
      <w:r>
        <w:rPr/>
        <w:t>十五、资产负债表日后事项</w:t>
      </w:r>
      <w:r>
        <w:rPr>
          <w:b w:val="0"/>
          <w:bCs w:val="0"/>
        </w:rPr>
      </w:r>
    </w:p>
    <w:p>
      <w:pPr>
        <w:pStyle w:val="Heading4"/>
        <w:spacing w:line="614" w:lineRule="exact" w:before="77"/>
        <w:ind w:left="573" w:right="0" w:hanging="421"/>
        <w:jc w:val="left"/>
      </w:pPr>
      <w:bookmarkStart w:name="1、重要的非调整事项" w:id="477"/>
      <w:bookmarkEnd w:id="477"/>
      <w:r>
        <w:rPr/>
      </w:r>
      <w:r>
        <w:rPr>
          <w:rFonts w:ascii="Times New Roman" w:hAnsi="Times New Roman" w:cs="Times New Roman" w:eastAsia="Times New Roman" w:hint="default"/>
          <w:b/>
          <w:bCs/>
        </w:rPr>
        <w:t>1</w:t>
      </w:r>
      <w:r>
        <w:rPr>
          <w:rFonts w:ascii="宋体" w:hAnsi="宋体" w:cs="宋体" w:eastAsia="宋体" w:hint="default"/>
          <w:b/>
          <w:bCs/>
        </w:rPr>
        <w:t>、重要的非调整事项</w:t>
      </w:r>
      <w:r>
        <w:rPr>
          <w:rFonts w:ascii="宋体" w:hAnsi="宋体" w:cs="宋体" w:eastAsia="宋体" w:hint="default"/>
          <w:b/>
          <w:bCs/>
          <w:w w:val="100"/>
        </w:rPr>
        <w:t> </w:t>
      </w:r>
      <w:r>
        <w:rPr>
          <w:spacing w:val="3"/>
        </w:rPr>
        <w:t>公司股票自</w:t>
      </w:r>
      <w:r>
        <w:rPr>
          <w:rFonts w:ascii="Times New Roman" w:hAnsi="Times New Roman" w:cs="Times New Roman" w:eastAsia="Times New Roman" w:hint="default"/>
          <w:spacing w:val="3"/>
        </w:rPr>
        <w:t>2020</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13</w:t>
      </w:r>
      <w:r>
        <w:rPr>
          <w:spacing w:val="3"/>
        </w:rPr>
        <w:t>日至</w:t>
      </w:r>
      <w:r>
        <w:rPr>
          <w:rFonts w:ascii="Times New Roman" w:hAnsi="Times New Roman" w:cs="Times New Roman" w:eastAsia="Times New Roman" w:hint="default"/>
          <w:spacing w:val="3"/>
        </w:rPr>
        <w:t>2020</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2</w:t>
      </w:r>
      <w:r>
        <w:rPr>
          <w:spacing w:val="3"/>
        </w:rPr>
        <w:t>日连续三十个交易日中有十五个交易日的收盘价格不低于</w:t>
      </w:r>
    </w:p>
    <w:p>
      <w:pPr>
        <w:pStyle w:val="Heading4"/>
        <w:spacing w:line="235" w:lineRule="exact" w:before="0"/>
        <w:ind w:right="0"/>
        <w:jc w:val="left"/>
      </w:pPr>
      <w:r>
        <w:rPr>
          <w:rFonts w:ascii="Times New Roman" w:hAnsi="Times New Roman" w:cs="Times New Roman" w:eastAsia="Times New Roman" w:hint="default"/>
        </w:rPr>
        <w:t>“</w:t>
      </w:r>
      <w:r>
        <w:rPr/>
        <w:t>万信转</w:t>
      </w:r>
      <w:r>
        <w:rPr>
          <w:spacing w:val="-11"/>
        </w:rPr>
        <w:t> </w:t>
      </w:r>
      <w:r>
        <w:rPr>
          <w:rFonts w:ascii="Times New Roman" w:hAnsi="Times New Roman" w:cs="Times New Roman" w:eastAsia="Times New Roman" w:hint="default"/>
        </w:rPr>
        <w:t>2”</w:t>
      </w:r>
      <w:r>
        <w:rPr/>
        <w:t>当期转股价格（</w:t>
      </w:r>
      <w:r>
        <w:rPr>
          <w:rFonts w:ascii="Times New Roman" w:hAnsi="Times New Roman" w:cs="Times New Roman" w:eastAsia="Times New Roman" w:hint="default"/>
        </w:rPr>
        <w:t>13.60</w:t>
      </w:r>
      <w:r>
        <w:rPr/>
        <w:t>元／股）的</w:t>
      </w:r>
      <w:r>
        <w:rPr>
          <w:rFonts w:ascii="Times New Roman" w:hAnsi="Times New Roman" w:cs="Times New Roman" w:eastAsia="Times New Roman" w:hint="default"/>
        </w:rPr>
        <w:t>130%</w:t>
      </w:r>
      <w:r>
        <w:rPr/>
        <w:t>，根据《募集说明书》中的约定，已触发</w:t>
      </w:r>
      <w:r>
        <w:rPr>
          <w:rFonts w:ascii="Times New Roman" w:hAnsi="Times New Roman" w:cs="Times New Roman" w:eastAsia="Times New Roman" w:hint="default"/>
        </w:rPr>
        <w:t>“</w:t>
      </w:r>
      <w:r>
        <w:rPr/>
        <w:t>万信转</w:t>
      </w:r>
      <w:r>
        <w:rPr>
          <w:rFonts w:ascii="Times New Roman" w:hAnsi="Times New Roman" w:cs="Times New Roman" w:eastAsia="Times New Roman" w:hint="default"/>
        </w:rPr>
        <w:t>2”</w:t>
      </w:r>
      <w:r>
        <w:rPr/>
        <w:t>的有</w:t>
      </w:r>
    </w:p>
    <w:p>
      <w:pPr>
        <w:pStyle w:val="Heading4"/>
        <w:spacing w:line="264" w:lineRule="auto" w:before="21"/>
        <w:ind w:right="1132"/>
        <w:jc w:val="both"/>
      </w:pPr>
      <w:r>
        <w:rPr/>
        <w:t>条件赎回条款。公司第七届董事会</w:t>
      </w:r>
      <w:r>
        <w:rPr>
          <w:rFonts w:ascii="Times New Roman" w:hAnsi="Times New Roman" w:cs="Times New Roman" w:eastAsia="Times New Roman" w:hint="default"/>
        </w:rPr>
        <w:t>2020</w:t>
      </w:r>
      <w:r>
        <w:rPr/>
        <w:t>年第四次临时会议于</w:t>
      </w:r>
      <w:r>
        <w:rPr>
          <w:spacing w:val="71"/>
        </w:rPr>
        <w:t> </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w:t>
      </w:r>
      <w:r>
        <w:rPr/>
        <w:t>日审议通过了《关于赎回全部已</w:t>
      </w:r>
      <w:r>
        <w:rPr>
          <w:spacing w:val="-98"/>
        </w:rPr>
        <w:t> </w:t>
      </w:r>
      <w:r>
        <w:rPr>
          <w:spacing w:val="-98"/>
        </w:rPr>
      </w:r>
      <w:r>
        <w:rPr>
          <w:spacing w:val="-2"/>
          <w:w w:val="100"/>
        </w:rPr>
        <w:t>发行可转换公司债券的议案》，董事会决定行使公司可转债的提前赎回权，按照债券面值加当期应计利息</w:t>
      </w:r>
      <w:r>
        <w:rPr>
          <w:spacing w:val="-94"/>
          <w:w w:val="100"/>
        </w:rPr>
        <w:t> </w:t>
      </w:r>
      <w:r>
        <w:rPr>
          <w:spacing w:val="-94"/>
          <w:w w:val="100"/>
        </w:rPr>
      </w:r>
      <w:r>
        <w:rPr/>
        <w:t>的价格赎回在赎回登记日登记在册的全部</w:t>
      </w:r>
      <w:r>
        <w:rPr>
          <w:rFonts w:ascii="Times New Roman" w:hAnsi="Times New Roman" w:cs="Times New Roman" w:eastAsia="Times New Roman" w:hint="default"/>
        </w:rPr>
        <w:t>“</w:t>
      </w:r>
      <w:r>
        <w:rPr/>
        <w:t>万信转</w:t>
      </w:r>
      <w:r>
        <w:rPr>
          <w:rFonts w:ascii="Times New Roman" w:hAnsi="Times New Roman" w:cs="Times New Roman" w:eastAsia="Times New Roman" w:hint="default"/>
        </w:rPr>
        <w:t>2”</w:t>
      </w:r>
      <w:r>
        <w:rPr/>
        <w:t>。</w:t>
      </w:r>
    </w:p>
    <w:p>
      <w:pPr>
        <w:pStyle w:val="Heading4"/>
        <w:spacing w:line="289" w:lineRule="exact" w:before="0"/>
        <w:ind w:left="573" w:right="0"/>
        <w:jc w:val="left"/>
      </w:pPr>
      <w:r>
        <w:rPr/>
        <w:t>截</w:t>
      </w:r>
      <w:r>
        <w:rPr>
          <w:spacing w:val="-77"/>
        </w:rPr>
        <w:t> </w:t>
      </w:r>
      <w:r>
        <w:rPr/>
        <w:t>至</w:t>
      </w:r>
      <w:r>
        <w:rPr>
          <w:spacing w:val="-77"/>
        </w:rPr>
        <w:t> </w:t>
      </w:r>
      <w:r>
        <w:rPr/>
        <w:t>赎</w:t>
      </w:r>
      <w:r>
        <w:rPr>
          <w:spacing w:val="-77"/>
        </w:rPr>
        <w:t> </w:t>
      </w:r>
      <w:r>
        <w:rPr/>
        <w:t>回</w:t>
      </w:r>
      <w:r>
        <w:rPr>
          <w:spacing w:val="-77"/>
        </w:rPr>
        <w:t> </w:t>
      </w:r>
      <w:r>
        <w:rPr/>
        <w:t>登</w:t>
      </w:r>
      <w:r>
        <w:rPr>
          <w:spacing w:val="-77"/>
        </w:rPr>
        <w:t> </w:t>
      </w:r>
      <w:r>
        <w:rPr>
          <w:spacing w:val="11"/>
        </w:rPr>
        <w:t>记日</w:t>
      </w:r>
      <w:r>
        <w:rPr>
          <w:spacing w:val="-76"/>
        </w:rPr>
        <w:t> </w:t>
      </w:r>
      <w:r>
        <w:rPr>
          <w:rFonts w:ascii="Times New Roman" w:hAnsi="Times New Roman" w:cs="Times New Roman" w:eastAsia="Times New Roman" w:hint="default"/>
        </w:rPr>
        <w:t>2020</w:t>
      </w:r>
      <w:r>
        <w:rPr>
          <w:rFonts w:ascii="Times New Roman" w:hAnsi="Times New Roman" w:cs="Times New Roman" w:eastAsia="Times New Roman" w:hint="default"/>
          <w:spacing w:val="-27"/>
        </w:rPr>
        <w:t> </w:t>
      </w:r>
      <w:r>
        <w:rPr/>
        <w:t>年</w:t>
      </w:r>
      <w:r>
        <w:rPr>
          <w:spacing w:val="-79"/>
        </w:rPr>
        <w:t> </w:t>
      </w:r>
      <w:r>
        <w:rPr>
          <w:rFonts w:ascii="Times New Roman" w:hAnsi="Times New Roman" w:cs="Times New Roman" w:eastAsia="Times New Roman" w:hint="default"/>
        </w:rPr>
        <w:t>4</w:t>
      </w:r>
      <w:r>
        <w:rPr>
          <w:rFonts w:ascii="Times New Roman" w:hAnsi="Times New Roman" w:cs="Times New Roman" w:eastAsia="Times New Roman" w:hint="default"/>
          <w:spacing w:val="-25"/>
        </w:rPr>
        <w:t> </w:t>
      </w:r>
      <w:r>
        <w:rPr/>
        <w:t>月</w:t>
      </w:r>
      <w:r>
        <w:rPr>
          <w:spacing w:val="-77"/>
        </w:rPr>
        <w:t> </w:t>
      </w:r>
      <w:r>
        <w:rPr>
          <w:rFonts w:ascii="Times New Roman" w:hAnsi="Times New Roman" w:cs="Times New Roman" w:eastAsia="Times New Roman" w:hint="default"/>
        </w:rPr>
        <w:t>13</w:t>
      </w:r>
      <w:r>
        <w:rPr>
          <w:rFonts w:ascii="Times New Roman" w:hAnsi="Times New Roman" w:cs="Times New Roman" w:eastAsia="Times New Roman" w:hint="default"/>
          <w:spacing w:val="-25"/>
        </w:rPr>
        <w:t> </w:t>
      </w:r>
      <w:r>
        <w:rPr>
          <w:spacing w:val="18"/>
        </w:rPr>
        <w:t>日收市，</w:t>
      </w:r>
      <w:r>
        <w:rPr>
          <w:spacing w:val="-77"/>
        </w:rPr>
        <w:t> </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spacing w:val="11"/>
        </w:rPr>
        <w:t>万信</w:t>
      </w:r>
      <w:r>
        <w:rPr>
          <w:spacing w:val="-77"/>
        </w:rPr>
        <w:t> </w:t>
      </w:r>
      <w:r>
        <w:rPr/>
        <w:t>转</w:t>
      </w:r>
      <w:r>
        <w:rPr>
          <w:spacing w:val="-79"/>
        </w:rPr>
        <w:t> </w:t>
      </w:r>
      <w:r>
        <w:rPr>
          <w:rFonts w:ascii="Times New Roman" w:hAnsi="Times New Roman" w:cs="Times New Roman" w:eastAsia="Times New Roman" w:hint="default"/>
        </w:rPr>
        <w:t>2”</w:t>
      </w:r>
      <w:r>
        <w:rPr>
          <w:rFonts w:ascii="Times New Roman" w:hAnsi="Times New Roman" w:cs="Times New Roman" w:eastAsia="Times New Roman" w:hint="default"/>
          <w:spacing w:val="-24"/>
        </w:rPr>
        <w:t> </w:t>
      </w:r>
      <w:r>
        <w:rPr>
          <w:spacing w:val="20"/>
        </w:rPr>
        <w:t>共累计转股</w:t>
      </w:r>
      <w:r>
        <w:rPr>
          <w:spacing w:val="-77"/>
        </w:rPr>
        <w:t> </w:t>
      </w:r>
      <w:r>
        <w:rPr>
          <w:rFonts w:ascii="Times New Roman" w:hAnsi="Times New Roman" w:cs="Times New Roman" w:eastAsia="Times New Roman" w:hint="default"/>
        </w:rPr>
        <w:t>88,135,074</w:t>
      </w:r>
      <w:r>
        <w:rPr>
          <w:rFonts w:ascii="Times New Roman" w:hAnsi="Times New Roman" w:cs="Times New Roman" w:eastAsia="Times New Roman" w:hint="default"/>
          <w:spacing w:val="-27"/>
        </w:rPr>
        <w:t> </w:t>
      </w:r>
      <w:r>
        <w:rPr/>
        <w:t>股</w:t>
      </w:r>
      <w:r>
        <w:rPr>
          <w:spacing w:val="-77"/>
        </w:rPr>
        <w:t> </w:t>
      </w:r>
      <w:r>
        <w:rPr/>
        <w:t>，</w:t>
      </w:r>
      <w:r>
        <w:rPr>
          <w:spacing w:val="-77"/>
        </w:rPr>
        <w:t> </w:t>
      </w:r>
      <w:r>
        <w:rPr/>
        <w:t>公</w:t>
      </w:r>
      <w:r>
        <w:rPr>
          <w:spacing w:val="-77"/>
        </w:rPr>
        <w:t> </w:t>
      </w:r>
      <w:r>
        <w:rPr/>
        <w:t>司</w:t>
      </w:r>
      <w:r>
        <w:rPr>
          <w:spacing w:val="-77"/>
        </w:rPr>
        <w:t> </w:t>
      </w:r>
      <w:r>
        <w:rPr/>
        <w:t>总</w:t>
      </w:r>
      <w:r>
        <w:rPr>
          <w:spacing w:val="-77"/>
        </w:rPr>
        <w:t> </w:t>
      </w:r>
      <w:r>
        <w:rPr>
          <w:spacing w:val="11"/>
        </w:rPr>
        <w:t>股本</w:t>
      </w:r>
      <w:r>
        <w:rPr>
          <w:spacing w:val="-77"/>
        </w:rPr>
        <w:t> </w:t>
      </w:r>
      <w:r>
        <w:rPr/>
        <w:t>增</w:t>
      </w:r>
      <w:r>
        <w:rPr>
          <w:spacing w:val="-77"/>
        </w:rPr>
        <w:t> </w:t>
      </w:r>
      <w:r>
        <w:rPr/>
        <w:t>至</w:t>
      </w:r>
    </w:p>
    <w:p>
      <w:pPr>
        <w:pStyle w:val="Heading4"/>
        <w:spacing w:line="240" w:lineRule="auto" w:before="21"/>
        <w:ind w:right="2602"/>
        <w:jc w:val="left"/>
      </w:pPr>
      <w:r>
        <w:rPr>
          <w:rFonts w:ascii="Times New Roman" w:hAnsi="Times New Roman" w:cs="Times New Roman" w:eastAsia="Times New Roman" w:hint="default"/>
        </w:rPr>
        <w:t>1,187,584,762</w:t>
      </w:r>
      <w:r>
        <w:rPr>
          <w:rFonts w:ascii="Times New Roman" w:hAnsi="Times New Roman" w:cs="Times New Roman" w:eastAsia="Times New Roman" w:hint="default"/>
          <w:spacing w:val="44"/>
        </w:rPr>
        <w:t> </w:t>
      </w:r>
      <w:r>
        <w:rPr/>
        <w:t>股；赎回</w:t>
      </w:r>
      <w:r>
        <w:rPr>
          <w:rFonts w:ascii="Times New Roman" w:hAnsi="Times New Roman" w:cs="Times New Roman" w:eastAsia="Times New Roman" w:hint="default"/>
        </w:rPr>
        <w:t>13,395</w:t>
      </w:r>
      <w:r>
        <w:rPr/>
        <w:t>张，共计支付赎回款</w:t>
      </w:r>
      <w:r>
        <w:rPr>
          <w:rFonts w:ascii="Times New Roman" w:hAnsi="Times New Roman" w:cs="Times New Roman" w:eastAsia="Times New Roman" w:hint="default"/>
        </w:rPr>
        <w:t>1,340,437.65</w:t>
      </w:r>
      <w:r>
        <w:rPr/>
        <w:t>元。</w:t>
      </w:r>
    </w:p>
    <w:p>
      <w:pPr>
        <w:spacing w:line="240" w:lineRule="auto" w:before="8"/>
        <w:rPr>
          <w:rFonts w:ascii="宋体" w:hAnsi="宋体" w:cs="宋体" w:eastAsia="宋体" w:hint="default"/>
          <w:sz w:val="24"/>
          <w:szCs w:val="24"/>
        </w:rPr>
      </w:pPr>
    </w:p>
    <w:p>
      <w:pPr>
        <w:pStyle w:val="Heading4"/>
        <w:spacing w:line="506" w:lineRule="auto" w:before="0"/>
        <w:ind w:left="573" w:right="2602" w:hanging="421"/>
        <w:jc w:val="left"/>
      </w:pPr>
      <w:bookmarkStart w:name="2、利润分配情况" w:id="478"/>
      <w:bookmarkEnd w:id="478"/>
      <w:r>
        <w:rPr/>
      </w:r>
      <w:r>
        <w:rPr>
          <w:rFonts w:ascii="Times New Roman" w:hAnsi="Times New Roman" w:cs="Times New Roman" w:eastAsia="Times New Roman" w:hint="default"/>
          <w:b/>
          <w:bCs/>
        </w:rPr>
        <w:t>2</w:t>
      </w:r>
      <w:r>
        <w:rPr>
          <w:rFonts w:ascii="宋体" w:hAnsi="宋体" w:cs="宋体" w:eastAsia="宋体" w:hint="default"/>
          <w:b/>
          <w:bCs/>
        </w:rPr>
        <w:t>、利润分配情况</w:t>
      </w:r>
      <w:r>
        <w:rPr>
          <w:rFonts w:ascii="宋体" w:hAnsi="宋体" w:cs="宋体" w:eastAsia="宋体" w:hint="default"/>
          <w:b/>
          <w:bCs/>
          <w:spacing w:val="-103"/>
        </w:rPr>
        <w:t> </w:t>
      </w:r>
      <w:r>
        <w:rPr>
          <w:spacing w:val="-2"/>
        </w:rPr>
        <w:t>公司</w:t>
      </w:r>
      <w:r>
        <w:rPr>
          <w:rFonts w:ascii="宋体" w:hAnsi="宋体" w:cs="宋体" w:eastAsia="宋体" w:hint="default"/>
          <w:spacing w:val="-2"/>
        </w:rPr>
        <w:t>2019</w:t>
      </w:r>
      <w:r>
        <w:rPr>
          <w:spacing w:val="-2"/>
        </w:rPr>
        <w:t>年度利润分配预案：不派发现金红利，不送红股，不以公积金转增股本。</w:t>
      </w:r>
    </w:p>
    <w:p>
      <w:pPr>
        <w:pStyle w:val="Heading3"/>
        <w:spacing w:line="506" w:lineRule="auto" w:before="104"/>
        <w:ind w:left="573" w:right="9595" w:hanging="421"/>
        <w:jc w:val="left"/>
        <w:rPr>
          <w:rFonts w:ascii="宋体" w:hAnsi="宋体" w:cs="宋体" w:eastAsia="宋体" w:hint="default"/>
          <w:b w:val="0"/>
          <w:bCs w:val="0"/>
        </w:rPr>
      </w:pPr>
      <w:bookmarkStart w:name="3、销售退回" w:id="479"/>
      <w:bookmarkEnd w:id="479"/>
      <w:r>
        <w:rPr>
          <w:b w:val="0"/>
          <w:bCs w:val="0"/>
        </w:rPr>
      </w:r>
      <w:r>
        <w:rPr>
          <w:rFonts w:ascii="Times New Roman" w:hAnsi="Times New Roman" w:cs="Times New Roman" w:eastAsia="Times New Roman" w:hint="default"/>
        </w:rPr>
        <w:t>3</w:t>
      </w:r>
      <w:r>
        <w:rPr/>
        <w:t>、销售退回</w:t>
      </w:r>
      <w:r>
        <w:rPr>
          <w:spacing w:val="-104"/>
        </w:rPr>
        <w:t> </w:t>
      </w:r>
      <w:r>
        <w:rPr>
          <w:rFonts w:ascii="宋体" w:hAnsi="宋体" w:cs="宋体" w:eastAsia="宋体" w:hint="default"/>
          <w:b w:val="0"/>
          <w:bCs w:val="0"/>
        </w:rPr>
        <w:t>无</w:t>
      </w:r>
    </w:p>
    <w:p>
      <w:pPr>
        <w:spacing w:after="0" w:line="506" w:lineRule="auto"/>
        <w:jc w:val="left"/>
        <w:rPr>
          <w:rFonts w:ascii="宋体" w:hAnsi="宋体" w:cs="宋体" w:eastAsia="宋体" w:hint="default"/>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4、其他资产负债表日后事项说明" w:id="480"/>
      <w:bookmarkEnd w:id="480"/>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10"/>
        <w:rPr>
          <w:rFonts w:ascii="宋体" w:hAnsi="宋体" w:cs="宋体" w:eastAsia="宋体" w:hint="default"/>
          <w:b/>
          <w:bCs/>
          <w:sz w:val="24"/>
          <w:szCs w:val="24"/>
        </w:rPr>
      </w:pPr>
    </w:p>
    <w:p>
      <w:pPr>
        <w:pStyle w:val="Heading4"/>
        <w:spacing w:line="256" w:lineRule="auto" w:before="0"/>
        <w:ind w:right="1128" w:firstLine="420"/>
        <w:jc w:val="both"/>
      </w:pPr>
      <w:r>
        <w:rPr/>
        <w:t>本公司于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24</w:t>
      </w:r>
      <w:r>
        <w:rPr/>
        <w:t>日投资设立浙江万信数字科技有限公司，注册资本人民币</w:t>
      </w:r>
      <w:r>
        <w:rPr>
          <w:rFonts w:ascii="Times New Roman" w:hAnsi="Times New Roman" w:cs="Times New Roman" w:eastAsia="Times New Roman" w:hint="default"/>
        </w:rPr>
        <w:t>10,000.00</w:t>
      </w:r>
      <w:r>
        <w:rPr/>
        <w:t>万元，本公</w:t>
      </w:r>
      <w:r>
        <w:rPr>
          <w:w w:val="100"/>
        </w:rPr>
        <w:t> </w:t>
      </w:r>
      <w:r>
        <w:rPr>
          <w:spacing w:val="-1"/>
        </w:rPr>
        <w:t>司出资人民币</w:t>
      </w:r>
      <w:r>
        <w:rPr>
          <w:rFonts w:ascii="Times New Roman" w:hAnsi="Times New Roman" w:cs="Times New Roman" w:eastAsia="Times New Roman" w:hint="default"/>
          <w:spacing w:val="-1"/>
        </w:rPr>
        <w:t>10,000.00</w:t>
      </w:r>
      <w:r>
        <w:rPr>
          <w:spacing w:val="-1"/>
        </w:rPr>
        <w:t>万元，持股比例</w:t>
      </w:r>
      <w:r>
        <w:rPr>
          <w:rFonts w:ascii="Times New Roman" w:hAnsi="Times New Roman" w:cs="Times New Roman" w:eastAsia="Times New Roman" w:hint="default"/>
          <w:spacing w:val="-1"/>
        </w:rPr>
        <w:t>100%</w:t>
      </w:r>
      <w:r>
        <w:rPr>
          <w:spacing w:val="-1"/>
        </w:rPr>
        <w:t>，浙江万信数字科技有限公司已于</w:t>
      </w:r>
      <w:r>
        <w:rPr>
          <w:rFonts w:ascii="Times New Roman" w:hAnsi="Times New Roman" w:cs="Times New Roman" w:eastAsia="Times New Roman" w:hint="default"/>
          <w:spacing w:val="-1"/>
        </w:rPr>
        <w:t>2020</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24</w:t>
      </w:r>
      <w:r>
        <w:rPr>
          <w:spacing w:val="-1"/>
        </w:rPr>
        <w:t>日办妥工商登</w:t>
      </w:r>
      <w:r>
        <w:rPr>
          <w:spacing w:val="-45"/>
        </w:rPr>
        <w:t> </w:t>
      </w:r>
      <w:r>
        <w:rPr>
          <w:spacing w:val="-45"/>
        </w:rPr>
      </w:r>
      <w:r>
        <w:rPr/>
        <w:t>记手续并领取了统一社会信用代码为</w:t>
      </w:r>
      <w:r>
        <w:rPr>
          <w:rFonts w:ascii="Times New Roman" w:hAnsi="Times New Roman" w:cs="Times New Roman" w:eastAsia="Times New Roman" w:hint="default"/>
        </w:rPr>
        <w:t>91330109MA2H30RD09</w:t>
      </w:r>
      <w:r>
        <w:rPr/>
        <w:t>号营业执照。</w:t>
      </w:r>
    </w:p>
    <w:p>
      <w:pPr>
        <w:pStyle w:val="Heading4"/>
        <w:spacing w:line="256" w:lineRule="auto" w:before="5"/>
        <w:ind w:right="1128" w:firstLine="420"/>
        <w:jc w:val="both"/>
      </w:pPr>
      <w:r>
        <w:rPr/>
        <w:t>本公司于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26</w:t>
      </w:r>
      <w:r>
        <w:rPr/>
        <w:t>日投资设立四川万信数字科技有限公司，注册资本人民币</w:t>
      </w:r>
      <w:r>
        <w:rPr>
          <w:rFonts w:ascii="Times New Roman" w:hAnsi="Times New Roman" w:cs="Times New Roman" w:eastAsia="Times New Roman" w:hint="default"/>
        </w:rPr>
        <w:t>10,000.00</w:t>
      </w:r>
      <w:r>
        <w:rPr/>
        <w:t>万元，本公</w:t>
      </w:r>
      <w:r>
        <w:rPr>
          <w:w w:val="100"/>
        </w:rPr>
        <w:t> </w:t>
      </w:r>
      <w:r>
        <w:rPr>
          <w:spacing w:val="-1"/>
        </w:rPr>
        <w:t>司出资人民币</w:t>
      </w:r>
      <w:r>
        <w:rPr>
          <w:rFonts w:ascii="Times New Roman" w:hAnsi="Times New Roman" w:cs="Times New Roman" w:eastAsia="Times New Roman" w:hint="default"/>
          <w:spacing w:val="-1"/>
        </w:rPr>
        <w:t>10,000.00</w:t>
      </w:r>
      <w:r>
        <w:rPr>
          <w:spacing w:val="-1"/>
        </w:rPr>
        <w:t>万元，持股比例</w:t>
      </w:r>
      <w:r>
        <w:rPr>
          <w:rFonts w:ascii="Times New Roman" w:hAnsi="Times New Roman" w:cs="Times New Roman" w:eastAsia="Times New Roman" w:hint="default"/>
          <w:spacing w:val="-1"/>
        </w:rPr>
        <w:t>100%</w:t>
      </w:r>
      <w:r>
        <w:rPr>
          <w:spacing w:val="-1"/>
        </w:rPr>
        <w:t>，四川万信数字科技有限公司已于</w:t>
      </w:r>
      <w:r>
        <w:rPr>
          <w:rFonts w:ascii="Times New Roman" w:hAnsi="Times New Roman" w:cs="Times New Roman" w:eastAsia="Times New Roman" w:hint="default"/>
          <w:spacing w:val="-1"/>
        </w:rPr>
        <w:t>2020</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26</w:t>
      </w:r>
      <w:r>
        <w:rPr>
          <w:spacing w:val="-1"/>
        </w:rPr>
        <w:t>日办妥工商登</w:t>
      </w:r>
      <w:r>
        <w:rPr>
          <w:spacing w:val="-45"/>
        </w:rPr>
        <w:t> </w:t>
      </w:r>
      <w:r>
        <w:rPr>
          <w:spacing w:val="-45"/>
        </w:rPr>
      </w:r>
      <w:r>
        <w:rPr/>
        <w:t>记手续并领取了统一社会信用代码为</w:t>
      </w:r>
      <w:r>
        <w:rPr>
          <w:rFonts w:ascii="Times New Roman" w:hAnsi="Times New Roman" w:cs="Times New Roman" w:eastAsia="Times New Roman" w:hint="default"/>
        </w:rPr>
        <w:t>91510100MA63FRBQ9A</w:t>
      </w:r>
      <w:r>
        <w:rPr/>
        <w:t>号营业执照。</w:t>
      </w:r>
    </w:p>
    <w:p>
      <w:pPr>
        <w:spacing w:line="240" w:lineRule="auto" w:before="5"/>
        <w:rPr>
          <w:rFonts w:ascii="宋体" w:hAnsi="宋体" w:cs="宋体" w:eastAsia="宋体" w:hint="default"/>
          <w:sz w:val="21"/>
          <w:szCs w:val="21"/>
        </w:rPr>
      </w:pPr>
    </w:p>
    <w:p>
      <w:pPr>
        <w:pStyle w:val="Heading2"/>
        <w:spacing w:line="240" w:lineRule="auto"/>
        <w:ind w:right="2602"/>
        <w:jc w:val="left"/>
        <w:rPr>
          <w:b w:val="0"/>
          <w:bCs w:val="0"/>
        </w:rPr>
      </w:pPr>
      <w:bookmarkStart w:name="十六、其他重要事项" w:id="481"/>
      <w:bookmarkEnd w:id="481"/>
      <w:r>
        <w:rPr>
          <w:b w:val="0"/>
          <w:bCs w:val="0"/>
        </w:rPr>
      </w:r>
      <w:r>
        <w:rPr/>
        <w:t>十六、其他重要事项</w:t>
      </w:r>
      <w:r>
        <w:rPr>
          <w:b w:val="0"/>
          <w:bCs w:val="0"/>
        </w:rPr>
      </w:r>
    </w:p>
    <w:p>
      <w:pPr>
        <w:spacing w:line="240" w:lineRule="auto" w:before="9"/>
        <w:rPr>
          <w:rFonts w:ascii="宋体" w:hAnsi="宋体" w:cs="宋体" w:eastAsia="宋体" w:hint="default"/>
          <w:b/>
          <w:bCs/>
          <w:sz w:val="24"/>
          <w:szCs w:val="24"/>
        </w:rPr>
      </w:pPr>
    </w:p>
    <w:p>
      <w:pPr>
        <w:pStyle w:val="Heading3"/>
        <w:spacing w:line="508" w:lineRule="auto"/>
        <w:ind w:left="573" w:right="8752" w:hanging="421"/>
        <w:jc w:val="left"/>
        <w:rPr>
          <w:rFonts w:ascii="宋体" w:hAnsi="宋体" w:cs="宋体" w:eastAsia="宋体" w:hint="default"/>
          <w:b w:val="0"/>
          <w:bCs w:val="0"/>
        </w:rPr>
      </w:pPr>
      <w:bookmarkStart w:name="1、前期会计差错更正" w:id="482"/>
      <w:bookmarkEnd w:id="482"/>
      <w:r>
        <w:rPr>
          <w:b w:val="0"/>
          <w:bCs w:val="0"/>
        </w:rPr>
      </w:r>
      <w:r>
        <w:rPr>
          <w:rFonts w:ascii="Times New Roman" w:hAnsi="Times New Roman" w:cs="Times New Roman" w:eastAsia="Times New Roman" w:hint="default"/>
        </w:rPr>
        <w:t>1</w:t>
      </w:r>
      <w:r>
        <w:rPr/>
        <w:t>、前期会计差错更正</w:t>
      </w:r>
      <w:r>
        <w:rPr>
          <w:w w:val="100"/>
        </w:rPr>
        <w:t> </w:t>
      </w:r>
      <w:r>
        <w:rPr>
          <w:rFonts w:ascii="宋体" w:hAnsi="宋体" w:cs="宋体" w:eastAsia="宋体" w:hint="default"/>
          <w:b w:val="0"/>
          <w:bCs w:val="0"/>
        </w:rPr>
        <w:t>无</w:t>
      </w:r>
    </w:p>
    <w:p>
      <w:pPr>
        <w:spacing w:line="518" w:lineRule="auto" w:before="102"/>
        <w:ind w:left="152" w:right="9610" w:firstLine="0"/>
        <w:jc w:val="center"/>
        <w:rPr>
          <w:rFonts w:ascii="宋体" w:hAnsi="宋体" w:cs="宋体" w:eastAsia="宋体" w:hint="default"/>
          <w:sz w:val="21"/>
          <w:szCs w:val="21"/>
        </w:rPr>
      </w:pPr>
      <w:bookmarkStart w:name="2、债务重组" w:id="483"/>
      <w:bookmarkEnd w:id="48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、债务重组</w:t>
      </w:r>
      <w:r>
        <w:rPr>
          <w:rFonts w:ascii="宋体" w:hAnsi="宋体" w:cs="宋体" w:eastAsia="宋体" w:hint="default"/>
          <w:b/>
          <w:bCs/>
          <w:w w:val="100"/>
          <w:sz w:val="21"/>
          <w:szCs w:val="21"/>
        </w:rPr>
        <w:t> </w:t>
      </w:r>
      <w:r>
        <w:rPr>
          <w:rFonts w:ascii="宋体" w:hAnsi="宋体" w:cs="宋体" w:eastAsia="宋体" w:hint="default"/>
          <w:sz w:val="21"/>
          <w:szCs w:val="21"/>
        </w:rPr>
        <w:t>无</w:t>
      </w:r>
      <w:r>
        <w:rPr>
          <w:rFonts w:ascii="宋体" w:hAnsi="宋体" w:cs="宋体" w:eastAsia="宋体" w:hint="default"/>
          <w:w w:val="100"/>
          <w:sz w:val="21"/>
          <w:szCs w:val="21"/>
        </w:rPr>
        <w:t> </w:t>
      </w:r>
      <w:bookmarkStart w:name="3、资产置换" w:id="484"/>
      <w:bookmarkEnd w:id="484"/>
      <w:r>
        <w:rPr>
          <w:rFonts w:ascii="宋体" w:hAnsi="宋体" w:cs="宋体" w:eastAsia="宋体" w:hint="default"/>
          <w:w w:val="100"/>
          <w:sz w:val="21"/>
          <w:szCs w:val="21"/>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、资产置换</w:t>
      </w:r>
      <w:r>
        <w:rPr>
          <w:rFonts w:ascii="宋体" w:hAnsi="宋体" w:cs="宋体" w:eastAsia="宋体" w:hint="default"/>
          <w:b/>
          <w:bCs/>
          <w:w w:val="100"/>
          <w:sz w:val="21"/>
          <w:szCs w:val="21"/>
        </w:rPr>
        <w:t> </w:t>
      </w:r>
      <w:r>
        <w:rPr>
          <w:rFonts w:ascii="宋体" w:hAnsi="宋体" w:cs="宋体" w:eastAsia="宋体" w:hint="default"/>
          <w:sz w:val="21"/>
          <w:szCs w:val="21"/>
        </w:rPr>
        <w:t>无</w:t>
      </w:r>
      <w:r>
        <w:rPr>
          <w:rFonts w:ascii="宋体" w:hAnsi="宋体" w:cs="宋体" w:eastAsia="宋体" w:hint="default"/>
          <w:w w:val="100"/>
          <w:sz w:val="21"/>
          <w:szCs w:val="21"/>
        </w:rPr>
        <w:t> </w:t>
      </w:r>
      <w:bookmarkStart w:name="4、年金计划" w:id="485"/>
      <w:bookmarkEnd w:id="485"/>
      <w:r>
        <w:rPr>
          <w:rFonts w:ascii="宋体" w:hAnsi="宋体" w:cs="宋体" w:eastAsia="宋体" w:hint="default"/>
          <w:w w:val="100"/>
          <w:sz w:val="21"/>
          <w:szCs w:val="21"/>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、年金计划</w:t>
      </w:r>
      <w:r>
        <w:rPr>
          <w:rFonts w:ascii="宋体" w:hAnsi="宋体" w:cs="宋体" w:eastAsia="宋体" w:hint="default"/>
          <w:b/>
          <w:bCs/>
          <w:w w:val="100"/>
          <w:sz w:val="21"/>
          <w:szCs w:val="21"/>
        </w:rPr>
        <w:t> </w:t>
      </w:r>
      <w:r>
        <w:rPr>
          <w:rFonts w:ascii="宋体" w:hAnsi="宋体" w:cs="宋体" w:eastAsia="宋体" w:hint="default"/>
          <w:sz w:val="21"/>
          <w:szCs w:val="21"/>
        </w:rPr>
        <w:t>无</w:t>
      </w:r>
      <w:r>
        <w:rPr>
          <w:rFonts w:ascii="宋体" w:hAnsi="宋体" w:cs="宋体" w:eastAsia="宋体" w:hint="default"/>
          <w:w w:val="100"/>
          <w:sz w:val="21"/>
          <w:szCs w:val="21"/>
        </w:rPr>
        <w:t> </w:t>
      </w:r>
      <w:bookmarkStart w:name="5、终止经营" w:id="486"/>
      <w:bookmarkEnd w:id="486"/>
      <w:r>
        <w:rPr>
          <w:rFonts w:ascii="宋体" w:hAnsi="宋体" w:cs="宋体" w:eastAsia="宋体" w:hint="default"/>
          <w:w w:val="100"/>
          <w:sz w:val="21"/>
          <w:szCs w:val="21"/>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、终止经营</w:t>
      </w:r>
      <w:r>
        <w:rPr>
          <w:rFonts w:ascii="宋体" w:hAnsi="宋体" w:cs="宋体" w:eastAsia="宋体" w:hint="default"/>
          <w:b/>
          <w:bCs/>
          <w:w w:val="100"/>
          <w:sz w:val="21"/>
          <w:szCs w:val="21"/>
        </w:rPr>
        <w:t> </w:t>
      </w:r>
      <w:r>
        <w:rPr>
          <w:rFonts w:ascii="宋体" w:hAnsi="宋体" w:cs="宋体" w:eastAsia="宋体" w:hint="default"/>
          <w:sz w:val="21"/>
          <w:szCs w:val="21"/>
        </w:rPr>
        <w:t>无</w:t>
      </w:r>
      <w:r>
        <w:rPr>
          <w:rFonts w:ascii="宋体" w:hAnsi="宋体" w:cs="宋体" w:eastAsia="宋体" w:hint="default"/>
          <w:w w:val="100"/>
          <w:sz w:val="21"/>
          <w:szCs w:val="21"/>
        </w:rPr>
        <w:t> </w:t>
      </w:r>
      <w:bookmarkStart w:name="6、分部信息" w:id="487"/>
      <w:bookmarkEnd w:id="487"/>
      <w:r>
        <w:rPr>
          <w:rFonts w:ascii="宋体" w:hAnsi="宋体" w:cs="宋体" w:eastAsia="宋体" w:hint="default"/>
          <w:w w:val="100"/>
          <w:sz w:val="21"/>
          <w:szCs w:val="21"/>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、分部信息</w:t>
      </w:r>
      <w:r>
        <w:rPr>
          <w:rFonts w:ascii="宋体" w:hAnsi="宋体" w:cs="宋体" w:eastAsia="宋体" w:hint="default"/>
          <w:b/>
          <w:bCs/>
          <w:w w:val="100"/>
          <w:sz w:val="21"/>
          <w:szCs w:val="21"/>
        </w:rPr>
        <w:t> </w:t>
      </w:r>
      <w:r>
        <w:rPr>
          <w:rFonts w:ascii="宋体" w:hAnsi="宋体" w:cs="宋体" w:eastAsia="宋体" w:hint="default"/>
          <w:sz w:val="21"/>
          <w:szCs w:val="21"/>
        </w:rPr>
        <w:t>无</w:t>
      </w:r>
    </w:p>
    <w:p>
      <w:pPr>
        <w:pStyle w:val="Heading3"/>
        <w:spacing w:line="240" w:lineRule="auto" w:before="93"/>
        <w:ind w:right="2602"/>
        <w:jc w:val="left"/>
        <w:rPr>
          <w:b w:val="0"/>
          <w:bCs w:val="0"/>
        </w:rPr>
      </w:pPr>
      <w:bookmarkStart w:name="7、其他对投资者决策有影响的重要交易和事项" w:id="488"/>
      <w:bookmarkEnd w:id="488"/>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10"/>
        <w:rPr>
          <w:rFonts w:ascii="宋体" w:hAnsi="宋体" w:cs="宋体" w:eastAsia="宋体" w:hint="default"/>
          <w:b/>
          <w:bCs/>
          <w:sz w:val="24"/>
          <w:szCs w:val="24"/>
        </w:rPr>
      </w:pPr>
    </w:p>
    <w:p>
      <w:pPr>
        <w:pStyle w:val="Heading4"/>
        <w:spacing w:line="256" w:lineRule="auto" w:before="0"/>
        <w:ind w:right="1128" w:firstLine="420"/>
        <w:jc w:val="both"/>
      </w:pP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13</w:t>
      </w:r>
      <w:r>
        <w:rPr>
          <w:rFonts w:ascii="Times New Roman" w:hAnsi="Times New Roman" w:cs="Times New Roman" w:eastAsia="Times New Roman" w:hint="default"/>
          <w:spacing w:val="25"/>
        </w:rPr>
        <w:t> </w:t>
      </w:r>
      <w:r>
        <w:rPr/>
        <w:t>日本公司与嘉实投资、宁波联创以及嘉达信息签订重大资产重组终止协议，根据协</w:t>
      </w:r>
      <w:r>
        <w:rPr>
          <w:w w:val="100"/>
        </w:rPr>
        <w:t> </w:t>
      </w:r>
      <w:r>
        <w:rPr>
          <w:spacing w:val="-2"/>
        </w:rPr>
        <w:t>议本公司以现金方式收购嘉达信息持有的万达志翔医疗科技（北京）有限责任公司</w:t>
      </w:r>
      <w:r>
        <w:rPr>
          <w:rFonts w:ascii="Times New Roman" w:hAnsi="Times New Roman" w:cs="Times New Roman" w:eastAsia="Times New Roman" w:hint="default"/>
          <w:spacing w:val="-2"/>
        </w:rPr>
        <w:t>70%</w:t>
      </w:r>
      <w:r>
        <w:rPr>
          <w:spacing w:val="-2"/>
        </w:rPr>
        <w:t>股权和澳门万讯行</w:t>
      </w:r>
      <w:r>
        <w:rPr>
          <w:spacing w:val="-5"/>
        </w:rPr>
        <w:t> </w:t>
      </w:r>
      <w:r>
        <w:rPr>
          <w:spacing w:val="-5"/>
        </w:rPr>
      </w:r>
      <w:r>
        <w:rPr/>
        <w:t>综合设备有限公司</w:t>
      </w:r>
      <w:r>
        <w:rPr>
          <w:rFonts w:ascii="Times New Roman" w:hAnsi="Times New Roman" w:cs="Times New Roman" w:eastAsia="Times New Roman" w:hint="default"/>
        </w:rPr>
        <w:t>30%</w:t>
      </w:r>
      <w:r>
        <w:rPr/>
        <w:t>股权。</w:t>
      </w:r>
    </w:p>
    <w:p>
      <w:pPr>
        <w:pStyle w:val="Heading4"/>
        <w:spacing w:line="273" w:lineRule="auto" w:before="5"/>
        <w:ind w:right="1126" w:firstLine="420"/>
        <w:jc w:val="both"/>
      </w:pPr>
      <w:r>
        <w:rPr>
          <w:spacing w:val="-2"/>
        </w:rPr>
        <w:t>截止报告日万达志翔医疗科技（北京）有限责任公司和澳门万讯行综合设备有限公司股权变更手续尚</w:t>
      </w:r>
      <w:r>
        <w:rPr>
          <w:w w:val="100"/>
        </w:rPr>
        <w:t> </w:t>
      </w:r>
      <w:r>
        <w:rPr/>
        <w:t>在办理中。</w:t>
      </w:r>
    </w:p>
    <w:p>
      <w:pPr>
        <w:pStyle w:val="Heading4"/>
        <w:spacing w:line="264" w:lineRule="auto"/>
        <w:ind w:right="1126" w:firstLine="420"/>
        <w:jc w:val="both"/>
      </w:pPr>
      <w:r>
        <w:rPr>
          <w:rFonts w:ascii="Times New Roman" w:hAnsi="Times New Roman" w:cs="Times New Roman" w:eastAsia="Times New Roman" w:hint="default"/>
        </w:rPr>
        <w:t>2020</w:t>
      </w:r>
      <w:r>
        <w:rPr/>
        <w:t>年</w:t>
      </w:r>
      <w:r>
        <w:rPr>
          <w:rFonts w:ascii="Times New Roman" w:hAnsi="Times New Roman" w:cs="Times New Roman" w:eastAsia="Times New Roman" w:hint="default"/>
        </w:rPr>
        <w:t>4</w:t>
      </w:r>
      <w:r>
        <w:rPr/>
        <w:t>月，公司已就收购上海嘉达信息科技有限公司事项进行投决会议，并审议通过。预计本次股</w:t>
      </w:r>
      <w:r>
        <w:rPr>
          <w:w w:val="100"/>
        </w:rPr>
        <w:t> </w:t>
      </w:r>
      <w:r>
        <w:rPr>
          <w:spacing w:val="-2"/>
        </w:rPr>
        <w:t>权交易完成后，公司将通过直接控制上海嘉达信息科技有限公司实现对万达志翔医疗科技（北京）有限责</w:t>
      </w:r>
      <w:r>
        <w:rPr>
          <w:spacing w:val="-43"/>
        </w:rPr>
        <w:t> </w:t>
      </w:r>
      <w:r>
        <w:rPr>
          <w:spacing w:val="-43"/>
        </w:rPr>
      </w:r>
      <w:r>
        <w:rPr/>
        <w:t>任公司</w:t>
      </w:r>
      <w:r>
        <w:rPr>
          <w:rFonts w:ascii="Times New Roman" w:hAnsi="Times New Roman" w:cs="Times New Roman" w:eastAsia="Times New Roman" w:hint="default"/>
        </w:rPr>
        <w:t>70%</w:t>
      </w:r>
      <w:r>
        <w:rPr/>
        <w:t>股权和澳门万讯行综合设备有限公司</w:t>
      </w:r>
      <w:r>
        <w:rPr>
          <w:rFonts w:ascii="Times New Roman" w:hAnsi="Times New Roman" w:cs="Times New Roman" w:eastAsia="Times New Roman" w:hint="default"/>
        </w:rPr>
        <w:t>30%</w:t>
      </w:r>
      <w:r>
        <w:rPr/>
        <w:t>股权的间接控制。</w:t>
      </w:r>
    </w:p>
    <w:p>
      <w:pPr>
        <w:spacing w:after="0" w:line="264"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0"/>
        <w:jc w:val="both"/>
        <w:rPr>
          <w:b w:val="0"/>
          <w:bCs w:val="0"/>
        </w:rPr>
      </w:pPr>
      <w:bookmarkStart w:name="8、其他" w:id="489"/>
      <w:bookmarkEnd w:id="489"/>
      <w:r>
        <w:rPr>
          <w:b w:val="0"/>
          <w:bCs w:val="0"/>
        </w:rPr>
      </w:r>
      <w:r>
        <w:rPr>
          <w:rFonts w:ascii="Times New Roman" w:hAnsi="Times New Roman" w:cs="Times New Roman" w:eastAsia="Times New Roman" w:hint="default"/>
        </w:rPr>
        <w:t>8</w:t>
      </w:r>
      <w:r>
        <w:rPr/>
        <w:t>、其他</w:t>
      </w:r>
      <w:r>
        <w:rPr>
          <w:b w:val="0"/>
          <w:bCs w:val="0"/>
        </w:rPr>
      </w:r>
    </w:p>
    <w:p>
      <w:pPr>
        <w:spacing w:line="240" w:lineRule="auto" w:before="10"/>
        <w:rPr>
          <w:rFonts w:ascii="宋体" w:hAnsi="宋体" w:cs="宋体" w:eastAsia="宋体" w:hint="default"/>
          <w:b/>
          <w:bCs/>
          <w:sz w:val="24"/>
          <w:szCs w:val="24"/>
        </w:rPr>
      </w:pPr>
    </w:p>
    <w:p>
      <w:pPr>
        <w:spacing w:line="256" w:lineRule="auto" w:before="0"/>
        <w:ind w:left="573" w:right="0"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）原第一大股东非经营性资金占用情况</w:t>
      </w:r>
      <w:r>
        <w:rPr>
          <w:rFonts w:ascii="宋体" w:hAnsi="宋体" w:cs="宋体" w:eastAsia="宋体" w:hint="default"/>
          <w:b/>
          <w:bCs/>
          <w:w w:val="100"/>
          <w:sz w:val="21"/>
          <w:szCs w:val="21"/>
        </w:rPr>
        <w:t> </w:t>
      </w: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23</w:t>
      </w:r>
      <w:r>
        <w:rPr>
          <w:rFonts w:ascii="宋体" w:hAnsi="宋体" w:cs="宋体" w:eastAsia="宋体" w:hint="default"/>
          <w:sz w:val="21"/>
          <w:szCs w:val="21"/>
        </w:rPr>
        <w:t>日、</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24</w:t>
      </w:r>
      <w:r>
        <w:rPr>
          <w:rFonts w:ascii="宋体" w:hAnsi="宋体" w:cs="宋体" w:eastAsia="宋体" w:hint="default"/>
          <w:sz w:val="21"/>
          <w:szCs w:val="21"/>
        </w:rPr>
        <w:t>日先后披露了《关于公司自查控股股东非经营性资金占用情况的提示</w:t>
      </w:r>
    </w:p>
    <w:p>
      <w:pPr>
        <w:pStyle w:val="Heading4"/>
        <w:spacing w:line="256" w:lineRule="auto" w:before="5"/>
        <w:ind w:right="1126"/>
        <w:jc w:val="both"/>
      </w:pPr>
      <w:r>
        <w:rPr>
          <w:spacing w:val="-2"/>
        </w:rPr>
        <w:t>性公告》、《关于公司自查原控股股东非经营性资金占用事项的补充公告》。经公司核实，</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月至</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14"/>
        </w:rPr>
        <w:t> </w:t>
      </w:r>
      <w:r>
        <w:rPr>
          <w:spacing w:val="-5"/>
        </w:rPr>
        <w:t>月，公司通过第三方账户向原控股股东上海万豪投资有限公司（以下简称</w:t>
      </w:r>
      <w:r>
        <w:rPr>
          <w:rFonts w:ascii="Times New Roman" w:hAnsi="Times New Roman" w:cs="Times New Roman" w:eastAsia="Times New Roman" w:hint="default"/>
          <w:spacing w:val="-5"/>
        </w:rPr>
        <w:t>“</w:t>
      </w:r>
      <w:r>
        <w:rPr>
          <w:spacing w:val="-5"/>
        </w:rPr>
        <w:t>万豪投资</w:t>
      </w:r>
      <w:r>
        <w:rPr>
          <w:rFonts w:ascii="Times New Roman" w:hAnsi="Times New Roman" w:cs="Times New Roman" w:eastAsia="Times New Roman" w:hint="default"/>
          <w:spacing w:val="-5"/>
        </w:rPr>
        <w:t>”</w:t>
      </w:r>
      <w:r>
        <w:rPr>
          <w:spacing w:val="-5"/>
        </w:rPr>
        <w:t>）累计转出资金</w:t>
      </w:r>
      <w:r>
        <w:rPr>
          <w:rFonts w:ascii="Times New Roman" w:hAnsi="Times New Roman" w:cs="Times New Roman" w:eastAsia="Times New Roman" w:hint="default"/>
          <w:spacing w:val="-5"/>
        </w:rPr>
        <w:t>54,000</w:t>
      </w:r>
      <w:r>
        <w:rPr>
          <w:rFonts w:ascii="Times New Roman" w:hAnsi="Times New Roman" w:cs="Times New Roman" w:eastAsia="Times New Roman" w:hint="default"/>
          <w:spacing w:val="37"/>
        </w:rPr>
        <w:t> </w:t>
      </w:r>
      <w:r>
        <w:rPr>
          <w:rFonts w:ascii="Times New Roman" w:hAnsi="Times New Roman" w:cs="Times New Roman" w:eastAsia="Times New Roman" w:hint="default"/>
          <w:spacing w:val="37"/>
        </w:rPr>
      </w:r>
      <w:r>
        <w:rPr>
          <w:spacing w:val="-3"/>
        </w:rPr>
        <w:t>万元，向万豪投资合作方转出累计转出资金</w:t>
      </w:r>
      <w:r>
        <w:rPr>
          <w:rFonts w:ascii="Times New Roman" w:hAnsi="Times New Roman" w:cs="Times New Roman" w:eastAsia="Times New Roman" w:hint="default"/>
          <w:spacing w:val="-3"/>
        </w:rPr>
        <w:t>20,350</w:t>
      </w:r>
      <w:r>
        <w:rPr>
          <w:spacing w:val="-3"/>
        </w:rPr>
        <w:t>万元，转出资金发生额共计</w:t>
      </w:r>
      <w:r>
        <w:rPr>
          <w:rFonts w:ascii="Times New Roman" w:hAnsi="Times New Roman" w:cs="Times New Roman" w:eastAsia="Times New Roman" w:hint="default"/>
          <w:spacing w:val="-3"/>
        </w:rPr>
        <w:t>74,350</w:t>
      </w:r>
      <w:r>
        <w:rPr>
          <w:spacing w:val="-3"/>
        </w:rPr>
        <w:t>万元，收回资金</w:t>
      </w:r>
      <w:r>
        <w:rPr>
          <w:rFonts w:ascii="Times New Roman" w:hAnsi="Times New Roman" w:cs="Times New Roman" w:eastAsia="Times New Roman" w:hint="default"/>
          <w:spacing w:val="-3"/>
        </w:rPr>
        <w:t>16,300</w:t>
      </w:r>
      <w:r>
        <w:rPr>
          <w:rFonts w:ascii="Times New Roman" w:hAnsi="Times New Roman" w:cs="Times New Roman" w:eastAsia="Times New Roman" w:hint="default"/>
          <w:spacing w:val="26"/>
        </w:rPr>
        <w:t> </w:t>
      </w:r>
      <w:r>
        <w:rPr>
          <w:rFonts w:ascii="Times New Roman" w:hAnsi="Times New Roman" w:cs="Times New Roman" w:eastAsia="Times New Roman" w:hint="default"/>
          <w:spacing w:val="26"/>
        </w:rPr>
      </w:r>
      <w:r>
        <w:rPr>
          <w:spacing w:val="-7"/>
          <w:w w:val="100"/>
        </w:rPr>
        <w:t>万元，余额</w:t>
      </w:r>
      <w:r>
        <w:rPr>
          <w:rFonts w:ascii="Times New Roman" w:hAnsi="Times New Roman" w:cs="Times New Roman" w:eastAsia="Times New Roman" w:hint="default"/>
          <w:spacing w:val="-7"/>
          <w:w w:val="100"/>
        </w:rPr>
        <w:t>58,050</w:t>
      </w:r>
      <w:r>
        <w:rPr>
          <w:spacing w:val="-7"/>
          <w:w w:val="100"/>
        </w:rPr>
        <w:t>万元。万豪投资非经营性占用公司资金共计发生</w:t>
      </w:r>
      <w:r>
        <w:rPr>
          <w:rFonts w:ascii="Times New Roman" w:hAnsi="Times New Roman" w:cs="Times New Roman" w:eastAsia="Times New Roman" w:hint="default"/>
          <w:spacing w:val="-7"/>
          <w:w w:val="100"/>
        </w:rPr>
        <w:t>74,</w:t>
      </w:r>
      <w:r>
        <w:rPr>
          <w:rFonts w:ascii="宋体" w:hAnsi="宋体" w:cs="宋体" w:eastAsia="宋体" w:hint="default"/>
          <w:spacing w:val="-7"/>
          <w:w w:val="100"/>
        </w:rPr>
        <w:t>350</w:t>
      </w:r>
      <w:r>
        <w:rPr>
          <w:spacing w:val="-7"/>
          <w:w w:val="100"/>
        </w:rPr>
        <w:t>万元，日最高占用资金余额为</w:t>
      </w:r>
      <w:r>
        <w:rPr>
          <w:rFonts w:ascii="Times New Roman" w:hAnsi="Times New Roman" w:cs="Times New Roman" w:eastAsia="Times New Roman" w:hint="default"/>
          <w:spacing w:val="-7"/>
          <w:w w:val="100"/>
        </w:rPr>
        <w:t>60,050 </w:t>
      </w:r>
      <w:r>
        <w:rPr/>
        <w:t>万元，截至首次自查前，非经营性占用资金余额</w:t>
      </w:r>
      <w:r>
        <w:rPr>
          <w:rFonts w:ascii="Times New Roman" w:hAnsi="Times New Roman" w:cs="Times New Roman" w:eastAsia="Times New Roman" w:hint="default"/>
        </w:rPr>
        <w:t>58,050</w:t>
      </w:r>
      <w:r>
        <w:rPr/>
        <w:t>万元。</w:t>
      </w:r>
    </w:p>
    <w:p>
      <w:pPr>
        <w:pStyle w:val="Heading4"/>
        <w:spacing w:line="256" w:lineRule="auto" w:before="5"/>
        <w:ind w:right="1126" w:firstLine="420"/>
        <w:jc w:val="both"/>
      </w:pPr>
      <w:r>
        <w:rPr/>
        <w:t>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w:t>
      </w:r>
      <w:r>
        <w:rPr/>
        <w:t>日、</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w:t>
      </w:r>
      <w:r>
        <w:rPr/>
        <w:t>日、</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6</w:t>
      </w:r>
      <w:r>
        <w:rPr/>
        <w:t>日先后三次披露了《关于原第一大股东非经营性资金占用情</w:t>
      </w:r>
      <w:r>
        <w:rPr>
          <w:w w:val="100"/>
        </w:rPr>
        <w:t> </w:t>
      </w:r>
      <w:r>
        <w:rPr>
          <w:spacing w:val="-2"/>
        </w:rPr>
        <w:t>况的进展公告》，并于</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26</w:t>
      </w:r>
      <w:r>
        <w:rPr>
          <w:spacing w:val="-2"/>
        </w:rPr>
        <w:t>日披露了《关于原第一大股东非经营性资金占款归还完毕的公告》。截至报</w:t>
      </w:r>
      <w:r>
        <w:rPr>
          <w:spacing w:val="-39"/>
        </w:rPr>
        <w:t> </w:t>
      </w:r>
      <w:r>
        <w:rPr>
          <w:spacing w:val="-39"/>
        </w:rPr>
      </w:r>
      <w:r>
        <w:rPr/>
        <w:t>告期末，万豪投资非经营性占用资金余额为</w:t>
      </w:r>
      <w:r>
        <w:rPr>
          <w:rFonts w:ascii="Times New Roman" w:hAnsi="Times New Roman" w:cs="Times New Roman" w:eastAsia="Times New Roman" w:hint="default"/>
        </w:rPr>
        <w:t>0</w:t>
      </w:r>
      <w:r>
        <w:rPr/>
        <w:t>。</w:t>
      </w:r>
    </w:p>
    <w:p>
      <w:pPr>
        <w:spacing w:line="256" w:lineRule="auto" w:before="5"/>
        <w:ind w:left="573" w:right="1023"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）原第一大股东破产清算情况</w:t>
      </w:r>
      <w:r>
        <w:rPr>
          <w:rFonts w:ascii="宋体" w:hAnsi="宋体" w:cs="宋体" w:eastAsia="宋体" w:hint="default"/>
          <w:b/>
          <w:bCs/>
          <w:w w:val="100"/>
          <w:sz w:val="21"/>
          <w:szCs w:val="21"/>
        </w:rPr>
        <w:t> </w:t>
      </w:r>
      <w:r>
        <w:rPr>
          <w:rFonts w:ascii="宋体" w:hAnsi="宋体" w:cs="宋体" w:eastAsia="宋体" w:hint="default"/>
          <w:spacing w:val="-13"/>
          <w:w w:val="100"/>
          <w:sz w:val="21"/>
          <w:szCs w:val="21"/>
        </w:rPr>
        <w:t>公司于</w:t>
      </w:r>
      <w:r>
        <w:rPr>
          <w:rFonts w:ascii="Times New Roman" w:hAnsi="Times New Roman" w:cs="Times New Roman" w:eastAsia="Times New Roman" w:hint="default"/>
          <w:spacing w:val="-13"/>
          <w:w w:val="100"/>
          <w:sz w:val="21"/>
          <w:szCs w:val="21"/>
        </w:rPr>
        <w:t>2019</w:t>
      </w:r>
      <w:r>
        <w:rPr>
          <w:rFonts w:ascii="宋体" w:hAnsi="宋体" w:cs="宋体" w:eastAsia="宋体" w:hint="default"/>
          <w:spacing w:val="-13"/>
          <w:w w:val="100"/>
          <w:sz w:val="21"/>
          <w:szCs w:val="21"/>
        </w:rPr>
        <w:t>年</w:t>
      </w:r>
      <w:r>
        <w:rPr>
          <w:rFonts w:ascii="Times New Roman" w:hAnsi="Times New Roman" w:cs="Times New Roman" w:eastAsia="Times New Roman" w:hint="default"/>
          <w:spacing w:val="-13"/>
          <w:w w:val="100"/>
          <w:sz w:val="21"/>
          <w:szCs w:val="21"/>
        </w:rPr>
        <w:t>11</w:t>
      </w:r>
      <w:r>
        <w:rPr>
          <w:rFonts w:ascii="宋体" w:hAnsi="宋体" w:cs="宋体" w:eastAsia="宋体" w:hint="default"/>
          <w:spacing w:val="-13"/>
          <w:w w:val="100"/>
          <w:sz w:val="21"/>
          <w:szCs w:val="21"/>
        </w:rPr>
        <w:t>月</w:t>
      </w:r>
      <w:r>
        <w:rPr>
          <w:rFonts w:ascii="Times New Roman" w:hAnsi="Times New Roman" w:cs="Times New Roman" w:eastAsia="Times New Roman" w:hint="default"/>
          <w:spacing w:val="-13"/>
          <w:w w:val="100"/>
          <w:sz w:val="21"/>
          <w:szCs w:val="21"/>
        </w:rPr>
        <w:t>6</w:t>
      </w:r>
      <w:r>
        <w:rPr>
          <w:rFonts w:ascii="宋体" w:hAnsi="宋体" w:cs="宋体" w:eastAsia="宋体" w:hint="default"/>
          <w:spacing w:val="-13"/>
          <w:w w:val="100"/>
          <w:sz w:val="21"/>
          <w:szCs w:val="21"/>
        </w:rPr>
        <w:t>日披露《关于法院受理公司第一大股东破产清算申请的公告》（公告编号：</w:t>
      </w:r>
      <w:r>
        <w:rPr>
          <w:rFonts w:ascii="Times New Roman" w:hAnsi="Times New Roman" w:cs="Times New Roman" w:eastAsia="Times New Roman" w:hint="default"/>
          <w:spacing w:val="-13"/>
          <w:w w:val="100"/>
          <w:sz w:val="21"/>
          <w:szCs w:val="21"/>
        </w:rPr>
        <w:t>2019-148</w:t>
      </w:r>
      <w:r>
        <w:rPr>
          <w:rFonts w:ascii="宋体" w:hAnsi="宋体" w:cs="宋体" w:eastAsia="宋体" w:hint="default"/>
          <w:spacing w:val="-13"/>
          <w:w w:val="100"/>
          <w:sz w:val="21"/>
          <w:szCs w:val="21"/>
        </w:rPr>
        <w:t>），</w:t>
      </w:r>
      <w:r>
        <w:rPr>
          <w:rFonts w:ascii="宋体" w:hAnsi="宋体" w:cs="宋体" w:eastAsia="宋体" w:hint="default"/>
          <w:w w:val="100"/>
          <w:sz w:val="21"/>
          <w:szCs w:val="21"/>
        </w:rPr>
      </w:r>
    </w:p>
    <w:p>
      <w:pPr>
        <w:pStyle w:val="Heading4"/>
        <w:spacing w:line="256" w:lineRule="auto" w:before="5"/>
        <w:ind w:right="1128"/>
        <w:jc w:val="both"/>
      </w:pPr>
      <w:r>
        <w:rPr>
          <w:spacing w:val="-3"/>
        </w:rPr>
        <w:t>公司</w:t>
      </w:r>
      <w:r>
        <w:rPr>
          <w:rFonts w:ascii="Times New Roman" w:hAnsi="Times New Roman" w:cs="Times New Roman" w:eastAsia="Times New Roman" w:hint="default"/>
          <w:spacing w:val="-3"/>
        </w:rPr>
        <w:t>5%</w:t>
      </w:r>
      <w:r>
        <w:rPr>
          <w:spacing w:val="-3"/>
        </w:rPr>
        <w:t>以上股东（原第一大股东）上海万豪投资有限公司（以下简称</w:t>
      </w:r>
      <w:r>
        <w:rPr>
          <w:rFonts w:ascii="Times New Roman" w:hAnsi="Times New Roman" w:cs="Times New Roman" w:eastAsia="Times New Roman" w:hint="default"/>
          <w:spacing w:val="-3"/>
        </w:rPr>
        <w:t>“</w:t>
      </w:r>
      <w:r>
        <w:rPr>
          <w:spacing w:val="-3"/>
        </w:rPr>
        <w:t>万豪投资</w:t>
      </w:r>
      <w:r>
        <w:rPr>
          <w:rFonts w:ascii="Times New Roman" w:hAnsi="Times New Roman" w:cs="Times New Roman" w:eastAsia="Times New Roman" w:hint="default"/>
          <w:spacing w:val="-3"/>
        </w:rPr>
        <w:t>”</w:t>
      </w:r>
      <w:r>
        <w:rPr>
          <w:spacing w:val="-3"/>
        </w:rPr>
        <w:t>）以不能清偿到期债务并</w:t>
      </w:r>
      <w:r>
        <w:rPr>
          <w:spacing w:val="-46"/>
        </w:rPr>
        <w:t> </w:t>
      </w:r>
      <w:r>
        <w:rPr>
          <w:spacing w:val="-46"/>
        </w:rPr>
      </w:r>
      <w:r>
        <w:rPr>
          <w:spacing w:val="-2"/>
        </w:rPr>
        <w:t>且资产不足以清偿全部债务为由向上海铁路运输法院（以下简称</w:t>
      </w:r>
      <w:r>
        <w:rPr>
          <w:rFonts w:ascii="Times New Roman" w:hAnsi="Times New Roman" w:cs="Times New Roman" w:eastAsia="Times New Roman" w:hint="default"/>
          <w:spacing w:val="-2"/>
        </w:rPr>
        <w:t>“</w:t>
      </w:r>
      <w:r>
        <w:rPr>
          <w:spacing w:val="-2"/>
        </w:rPr>
        <w:t>法院</w:t>
      </w:r>
      <w:r>
        <w:rPr>
          <w:rFonts w:ascii="Times New Roman" w:hAnsi="Times New Roman" w:cs="Times New Roman" w:eastAsia="Times New Roman" w:hint="default"/>
          <w:spacing w:val="-2"/>
        </w:rPr>
        <w:t>”</w:t>
      </w:r>
      <w:r>
        <w:rPr>
          <w:spacing w:val="-2"/>
        </w:rPr>
        <w:t>）申请进行破产清算，法院于</w:t>
      </w:r>
      <w:r>
        <w:rPr>
          <w:rFonts w:ascii="Times New Roman" w:hAnsi="Times New Roman" w:cs="Times New Roman" w:eastAsia="Times New Roman" w:hint="default"/>
          <w:spacing w:val="-2"/>
        </w:rPr>
        <w:t>2019</w:t>
      </w:r>
      <w:r>
        <w:rPr>
          <w:rFonts w:ascii="Times New Roman" w:hAnsi="Times New Roman" w:cs="Times New Roman" w:eastAsia="Times New Roman" w:hint="default"/>
          <w:spacing w:val="36"/>
        </w:rPr>
        <w:t> </w:t>
      </w:r>
      <w:r>
        <w:rPr>
          <w:rFonts w:ascii="Times New Roman" w:hAnsi="Times New Roman" w:cs="Times New Roman" w:eastAsia="Times New Roman" w:hint="default"/>
          <w:spacing w:val="36"/>
        </w:rPr>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28</w:t>
      </w:r>
      <w:r>
        <w:rPr/>
        <w:t>日裁定受理万豪投资的破产清算申请。</w:t>
      </w:r>
    </w:p>
    <w:p>
      <w:pPr>
        <w:pStyle w:val="Heading4"/>
        <w:spacing w:line="256" w:lineRule="auto" w:before="5"/>
        <w:ind w:right="1034" w:firstLine="420"/>
        <w:jc w:val="left"/>
      </w:pPr>
      <w:r>
        <w:rPr/>
        <w:t>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11</w:t>
      </w:r>
      <w:r>
        <w:rPr/>
        <w:t>日披露《关于公司</w:t>
      </w:r>
      <w:r>
        <w:rPr>
          <w:rFonts w:ascii="Times New Roman" w:hAnsi="Times New Roman" w:cs="Times New Roman" w:eastAsia="Times New Roman" w:hint="default"/>
        </w:rPr>
        <w:t>5%</w:t>
      </w:r>
      <w:r>
        <w:rPr/>
        <w:t>以上股东破产清算进展的公告》（公告编号：</w:t>
      </w:r>
      <w:r>
        <w:rPr>
          <w:rFonts w:ascii="Times New Roman" w:hAnsi="Times New Roman" w:cs="Times New Roman" w:eastAsia="Times New Roman" w:hint="default"/>
        </w:rPr>
        <w:t>2019-153</w:t>
      </w:r>
      <w:r>
        <w:rPr/>
        <w:t>），</w:t>
      </w:r>
      <w:r>
        <w:rPr>
          <w:spacing w:val="2"/>
          <w:w w:val="100"/>
        </w:rPr>
        <w:t> </w:t>
      </w:r>
      <w:r>
        <w:rPr/>
        <w:t>法院于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28</w:t>
      </w:r>
      <w:r>
        <w:rPr/>
        <w:t>日根据万豪投资的申请裁定受理万豪投资破产清算议案，并于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w:t>
      </w:r>
      <w:r>
        <w:rPr/>
        <w:t>日指定上</w:t>
      </w:r>
      <w:r>
        <w:rPr>
          <w:spacing w:val="-28"/>
        </w:rPr>
        <w:t> </w:t>
      </w:r>
      <w:r>
        <w:rPr/>
        <w:t>海市金茂律师事务所作为万豪投资管理人。第一次债权人会议定于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13</w:t>
      </w:r>
      <w:r>
        <w:rPr/>
        <w:t>日</w:t>
      </w:r>
      <w:r>
        <w:rPr>
          <w:rFonts w:ascii="Times New Roman" w:hAnsi="Times New Roman" w:cs="Times New Roman" w:eastAsia="Times New Roman" w:hint="default"/>
        </w:rPr>
        <w:t>14</w:t>
      </w:r>
      <w:r>
        <w:rPr/>
        <w:t>时在上海铁路运输法</w:t>
      </w:r>
      <w:r>
        <w:rPr>
          <w:spacing w:val="-25"/>
        </w:rPr>
        <w:t> </w:t>
      </w:r>
      <w:r>
        <w:rPr>
          <w:spacing w:val="-25"/>
        </w:rPr>
      </w:r>
      <w:r>
        <w:rPr/>
        <w:t>院召开。</w:t>
      </w:r>
    </w:p>
    <w:p>
      <w:pPr>
        <w:pStyle w:val="Heading4"/>
        <w:spacing w:line="256" w:lineRule="auto" w:before="22"/>
        <w:ind w:right="1126" w:firstLine="420"/>
        <w:jc w:val="both"/>
      </w:pPr>
      <w:r>
        <w:rPr/>
        <w:t>公司于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26</w:t>
      </w:r>
      <w:r>
        <w:rPr/>
        <w:t>日披露《关于公司</w:t>
      </w:r>
      <w:r>
        <w:rPr>
          <w:rFonts w:ascii="Times New Roman" w:hAnsi="Times New Roman" w:cs="Times New Roman" w:eastAsia="Times New Roman" w:hint="default"/>
        </w:rPr>
        <w:t>5%</w:t>
      </w:r>
      <w:r>
        <w:rPr/>
        <w:t>以上股东破产清算进展的公告》（公告编号：</w:t>
      </w:r>
      <w:r>
        <w:rPr>
          <w:rFonts w:ascii="Times New Roman" w:hAnsi="Times New Roman" w:cs="Times New Roman" w:eastAsia="Times New Roman" w:hint="default"/>
        </w:rPr>
        <w:t>2020-035</w:t>
      </w:r>
      <w:r>
        <w:rPr/>
        <w:t>），</w:t>
      </w:r>
      <w:r>
        <w:rPr>
          <w:spacing w:val="2"/>
          <w:w w:val="100"/>
        </w:rPr>
        <w:t> </w:t>
      </w:r>
      <w:r>
        <w:rPr/>
        <w:t>接公司</w:t>
      </w:r>
      <w:r>
        <w:rPr>
          <w:rFonts w:ascii="Times New Roman" w:hAnsi="Times New Roman" w:cs="Times New Roman" w:eastAsia="Times New Roman" w:hint="default"/>
        </w:rPr>
        <w:t>5%</w:t>
      </w:r>
      <w:r>
        <w:rPr/>
        <w:t>以上股东万豪投资管理人上海市金茂律师事务所发来的上海铁路运输法院（</w:t>
      </w:r>
      <w:r>
        <w:rPr>
          <w:rFonts w:ascii="Times New Roman" w:hAnsi="Times New Roman" w:cs="Times New Roman" w:eastAsia="Times New Roman" w:hint="default"/>
        </w:rPr>
        <w:t>2019</w:t>
      </w:r>
      <w:r>
        <w:rPr/>
        <w:t>）沪</w:t>
      </w:r>
      <w:r>
        <w:rPr>
          <w:rFonts w:ascii="Times New Roman" w:hAnsi="Times New Roman" w:cs="Times New Roman" w:eastAsia="Times New Roman" w:hint="default"/>
        </w:rPr>
        <w:t>7101</w:t>
      </w:r>
      <w:r>
        <w:rPr/>
        <w:t>破</w:t>
      </w:r>
      <w:r>
        <w:rPr>
          <w:rFonts w:ascii="Times New Roman" w:hAnsi="Times New Roman" w:cs="Times New Roman" w:eastAsia="Times New Roman" w:hint="default"/>
        </w:rPr>
        <w:t>70</w:t>
      </w:r>
      <w:r>
        <w:rPr>
          <w:rFonts w:ascii="Times New Roman" w:hAnsi="Times New Roman" w:cs="Times New Roman" w:eastAsia="Times New Roman" w:hint="default"/>
          <w:spacing w:val="4"/>
        </w:rPr>
        <w:t> </w:t>
      </w:r>
      <w:r>
        <w:rPr/>
        <w:t>号之二《公告》，原定于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13</w:t>
      </w:r>
      <w:r>
        <w:rPr/>
        <w:t>日</w:t>
      </w:r>
      <w:r>
        <w:rPr>
          <w:rFonts w:ascii="Times New Roman" w:hAnsi="Times New Roman" w:cs="Times New Roman" w:eastAsia="Times New Roman" w:hint="default"/>
        </w:rPr>
        <w:t>14</w:t>
      </w:r>
      <w:r>
        <w:rPr/>
        <w:t>时在法院第十九法庭召开的第一次债权人会议因受到新型冠状</w:t>
      </w:r>
      <w:r>
        <w:rPr>
          <w:spacing w:val="-29"/>
        </w:rPr>
        <w:t> </w:t>
      </w:r>
      <w:r>
        <w:rPr>
          <w:spacing w:val="-29"/>
        </w:rPr>
      </w:r>
      <w:r>
        <w:rPr/>
        <w:t>病毒肺炎疫情影响而取消，法院决定于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日下午</w:t>
      </w:r>
      <w:r>
        <w:rPr>
          <w:rFonts w:ascii="Times New Roman" w:hAnsi="Times New Roman" w:cs="Times New Roman" w:eastAsia="Times New Roman" w:hint="default"/>
        </w:rPr>
        <w:t>14</w:t>
      </w:r>
      <w:r>
        <w:rPr/>
        <w:t>时以网络会议方式召开万豪投资第一次债权</w:t>
      </w:r>
      <w:r>
        <w:rPr>
          <w:spacing w:val="-27"/>
        </w:rPr>
        <w:t> </w:t>
      </w:r>
      <w:r>
        <w:rPr>
          <w:spacing w:val="-27"/>
        </w:rPr>
      </w:r>
      <w:r>
        <w:rPr/>
        <w:t>人会议。</w:t>
      </w:r>
    </w:p>
    <w:p>
      <w:pPr>
        <w:pStyle w:val="Heading4"/>
        <w:spacing w:line="266" w:lineRule="auto" w:before="22"/>
        <w:ind w:right="1126" w:firstLine="420"/>
        <w:jc w:val="both"/>
      </w:pPr>
      <w:r>
        <w:rPr>
          <w:spacing w:val="-2"/>
        </w:rPr>
        <w:t>万豪投资持有公司股份</w:t>
      </w:r>
      <w:r>
        <w:rPr>
          <w:rFonts w:ascii="Times New Roman" w:hAnsi="Times New Roman" w:cs="Times New Roman" w:eastAsia="Times New Roman" w:hint="default"/>
          <w:spacing w:val="-2"/>
        </w:rPr>
        <w:t>200,588,800</w:t>
      </w:r>
      <w:r>
        <w:rPr>
          <w:spacing w:val="-2"/>
        </w:rPr>
        <w:t>股，占报告期末公司总股本比例为</w:t>
      </w:r>
      <w:r>
        <w:rPr>
          <w:rFonts w:ascii="Times New Roman" w:hAnsi="Times New Roman" w:cs="Times New Roman" w:eastAsia="Times New Roman" w:hint="default"/>
          <w:spacing w:val="-2"/>
        </w:rPr>
        <w:t>17.74%</w:t>
      </w:r>
      <w:r>
        <w:rPr>
          <w:spacing w:val="-2"/>
        </w:rPr>
        <w:t>。公司现第一大股东为中</w:t>
      </w:r>
      <w:r>
        <w:rPr>
          <w:w w:val="100"/>
        </w:rPr>
        <w:t> </w:t>
      </w:r>
      <w:r>
        <w:rPr>
          <w:spacing w:val="-2"/>
        </w:rPr>
        <w:t>国人寿保险股份有限公司及其一致行动人，万豪投资进入破产程序后，对公司的生产经营无直接影响。公</w:t>
      </w:r>
      <w:r>
        <w:rPr>
          <w:spacing w:val="-43"/>
        </w:rPr>
        <w:t> </w:t>
      </w:r>
      <w:r>
        <w:rPr>
          <w:spacing w:val="-43"/>
        </w:rPr>
      </w:r>
      <w:r>
        <w:rPr>
          <w:spacing w:val="-2"/>
        </w:rPr>
        <w:t>司董事会将持续关注上述事项的进展，并督促万豪投资管理人按照相关法律法规要求及时履行信息披露义</w:t>
      </w:r>
      <w:r>
        <w:rPr>
          <w:spacing w:val="-43"/>
        </w:rPr>
        <w:t> </w:t>
      </w:r>
      <w:r>
        <w:rPr>
          <w:spacing w:val="-43"/>
        </w:rPr>
      </w:r>
      <w:r>
        <w:rPr/>
        <w:t>务。</w:t>
      </w:r>
    </w:p>
    <w:p>
      <w:pPr>
        <w:spacing w:line="256" w:lineRule="auto" w:before="14"/>
        <w:ind w:left="573" w:right="0"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）原第一大股东质押情况</w:t>
      </w:r>
      <w:r>
        <w:rPr>
          <w:rFonts w:ascii="宋体" w:hAnsi="宋体" w:cs="宋体" w:eastAsia="宋体" w:hint="default"/>
          <w:b/>
          <w:bCs/>
          <w:w w:val="100"/>
          <w:sz w:val="21"/>
          <w:szCs w:val="21"/>
        </w:rPr>
        <w:t> </w:t>
      </w:r>
      <w:r>
        <w:rPr>
          <w:rFonts w:ascii="宋体" w:hAnsi="宋体" w:cs="宋体" w:eastAsia="宋体" w:hint="default"/>
          <w:spacing w:val="-2"/>
          <w:sz w:val="21"/>
          <w:szCs w:val="21"/>
        </w:rPr>
        <w:t>截至</w:t>
      </w:r>
      <w:r>
        <w:rPr>
          <w:rFonts w:ascii="Times New Roman" w:hAnsi="Times New Roman" w:cs="Times New Roman" w:eastAsia="Times New Roman" w:hint="default"/>
          <w:spacing w:val="-2"/>
          <w:sz w:val="21"/>
          <w:szCs w:val="21"/>
        </w:rPr>
        <w:t>2019</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31</w:t>
      </w:r>
      <w:r>
        <w:rPr>
          <w:rFonts w:ascii="宋体" w:hAnsi="宋体" w:cs="宋体" w:eastAsia="宋体" w:hint="default"/>
          <w:spacing w:val="-2"/>
          <w:sz w:val="21"/>
          <w:szCs w:val="21"/>
        </w:rPr>
        <w:t>日，公司原第一大股东万豪投资持有公司股份</w:t>
      </w:r>
      <w:r>
        <w:rPr>
          <w:rFonts w:ascii="Times New Roman" w:hAnsi="Times New Roman" w:cs="Times New Roman" w:eastAsia="Times New Roman" w:hint="default"/>
          <w:spacing w:val="-2"/>
          <w:sz w:val="21"/>
          <w:szCs w:val="21"/>
        </w:rPr>
        <w:t>200,588,800</w:t>
      </w:r>
      <w:r>
        <w:rPr>
          <w:rFonts w:ascii="宋体" w:hAnsi="宋体" w:cs="宋体" w:eastAsia="宋体" w:hint="default"/>
          <w:spacing w:val="-2"/>
          <w:sz w:val="21"/>
          <w:szCs w:val="21"/>
        </w:rPr>
        <w:t>股（全部冻结），占报告</w:t>
      </w:r>
    </w:p>
    <w:p>
      <w:pPr>
        <w:spacing w:line="484" w:lineRule="auto" w:before="5"/>
        <w:ind w:left="152" w:right="6899" w:firstLine="0"/>
        <w:jc w:val="left"/>
        <w:rPr>
          <w:rFonts w:ascii="宋体" w:hAnsi="宋体" w:cs="宋体" w:eastAsia="宋体" w:hint="default"/>
          <w:sz w:val="21"/>
          <w:szCs w:val="21"/>
        </w:rPr>
      </w:pPr>
      <w:r>
        <w:rPr>
          <w:rFonts w:ascii="宋体" w:hAnsi="宋体" w:cs="宋体" w:eastAsia="宋体" w:hint="default"/>
          <w:sz w:val="21"/>
          <w:szCs w:val="21"/>
        </w:rPr>
        <w:t>期末公司总股本比例为</w:t>
      </w:r>
      <w:r>
        <w:rPr>
          <w:rFonts w:ascii="Times New Roman" w:hAnsi="Times New Roman" w:cs="Times New Roman" w:eastAsia="Times New Roman" w:hint="default"/>
          <w:sz w:val="21"/>
          <w:szCs w:val="21"/>
        </w:rPr>
        <w:t>17.74%</w:t>
      </w:r>
      <w:r>
        <w:rPr>
          <w:rFonts w:ascii="宋体" w:hAnsi="宋体" w:cs="宋体" w:eastAsia="宋体" w:hint="default"/>
          <w:sz w:val="21"/>
          <w:szCs w:val="21"/>
        </w:rPr>
        <w:t>。</w:t>
      </w:r>
      <w:r>
        <w:rPr>
          <w:rFonts w:ascii="宋体" w:hAnsi="宋体" w:cs="宋体" w:eastAsia="宋体" w:hint="default"/>
          <w:w w:val="100"/>
          <w:sz w:val="21"/>
          <w:szCs w:val="21"/>
        </w:rPr>
        <w:t> </w:t>
      </w:r>
      <w:bookmarkStart w:name="十七、母公司财务报表主要项目注释" w:id="490"/>
      <w:bookmarkEnd w:id="490"/>
      <w:r>
        <w:rPr>
          <w:rFonts w:ascii="宋体" w:hAnsi="宋体" w:cs="宋体" w:eastAsia="宋体" w:hint="default"/>
          <w:w w:val="100"/>
          <w:sz w:val="21"/>
          <w:szCs w:val="21"/>
        </w:rPr>
      </w:r>
      <w:r>
        <w:rPr>
          <w:rFonts w:ascii="宋体" w:hAnsi="宋体" w:cs="宋体" w:eastAsia="宋体" w:hint="default"/>
          <w:b/>
          <w:bCs/>
          <w:sz w:val="24"/>
          <w:szCs w:val="24"/>
        </w:rPr>
        <w:t>十七、母公司财务报表主要项目注释</w:t>
      </w:r>
      <w:r>
        <w:rPr>
          <w:rFonts w:ascii="宋体" w:hAnsi="宋体" w:cs="宋体" w:eastAsia="宋体" w:hint="default"/>
          <w:b/>
          <w:bCs/>
          <w:w w:val="99"/>
          <w:sz w:val="24"/>
          <w:szCs w:val="24"/>
        </w:rPr>
        <w:t> </w:t>
      </w:r>
      <w:bookmarkStart w:name="1、应收账款" w:id="491"/>
      <w:bookmarkEnd w:id="491"/>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、应收账款</w:t>
      </w:r>
      <w:r>
        <w:rPr>
          <w:rFonts w:ascii="宋体" w:hAnsi="宋体" w:cs="宋体" w:eastAsia="宋体" w:hint="default"/>
          <w:sz w:val="21"/>
          <w:szCs w:val="21"/>
        </w:rPr>
      </w:r>
    </w:p>
    <w:p>
      <w:pPr>
        <w:pStyle w:val="Heading3"/>
        <w:spacing w:line="240" w:lineRule="auto" w:before="86"/>
        <w:ind w:right="2602"/>
        <w:jc w:val="left"/>
        <w:rPr>
          <w:b w:val="0"/>
          <w:bCs w:val="0"/>
        </w:rPr>
      </w:pPr>
      <w:bookmarkStart w:name="（1）应收账款分类披露" w:id="492"/>
      <w:bookmarkEnd w:id="492"/>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4"/>
        <w:gridCol w:w="1527"/>
        <w:gridCol w:w="1524"/>
        <w:gridCol w:w="790"/>
        <w:gridCol w:w="1572"/>
        <w:gridCol w:w="1589"/>
        <w:gridCol w:w="931"/>
      </w:tblGrid>
      <w:tr>
        <w:trPr>
          <w:trHeight w:val="401"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4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15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635"/>
        <w:gridCol w:w="763"/>
        <w:gridCol w:w="764"/>
        <w:gridCol w:w="761"/>
        <w:gridCol w:w="763"/>
        <w:gridCol w:w="790"/>
        <w:gridCol w:w="775"/>
        <w:gridCol w:w="797"/>
        <w:gridCol w:w="800"/>
        <w:gridCol w:w="790"/>
        <w:gridCol w:w="931"/>
      </w:tblGrid>
      <w:tr>
        <w:trPr>
          <w:trHeight w:val="161"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800"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392" w:hRule="exact"/>
        </w:trPr>
        <w:tc>
          <w:tcPr>
            <w:tcW w:w="1635" w:type="dxa"/>
            <w:vMerge/>
            <w:tcBorders>
              <w:left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90" w:type="dxa"/>
            <w:vMerge/>
            <w:tcBorders>
              <w:left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8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1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6"/>
              <w:jc w:val="righ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800" w:type="dxa"/>
            <w:tcBorders>
              <w:top w:val="nil" w:sz="6" w:space="0" w:color="auto"/>
              <w:left w:val="single" w:sz="4" w:space="0" w:color="000000"/>
              <w:bottom w:val="single" w:sz="4" w:space="0" w:color="000000"/>
              <w:right w:val="single" w:sz="4" w:space="0" w:color="000000"/>
            </w:tcBorders>
            <w:shd w:val="clear" w:color="auto" w:fill="D2D2D2"/>
          </w:tcPr>
          <w:p>
            <w:pPr/>
          </w:p>
        </w:tc>
        <w:tc>
          <w:tcPr>
            <w:tcW w:w="790"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59"/>
              <w:jc w:val="left"/>
              <w:rPr>
                <w:rFonts w:ascii="宋体" w:hAnsi="宋体" w:cs="宋体" w:eastAsia="宋体" w:hint="default"/>
                <w:sz w:val="18"/>
                <w:szCs w:val="18"/>
              </w:rPr>
            </w:pPr>
            <w:r>
              <w:rPr>
                <w:rFonts w:ascii="宋体" w:hAnsi="宋体" w:cs="宋体" w:eastAsia="宋体" w:hint="default"/>
                <w:sz w:val="18"/>
                <w:szCs w:val="18"/>
              </w:rPr>
              <w:t>按单项计提坏账准 备的应收账款</w:t>
            </w:r>
          </w:p>
        </w:tc>
        <w:tc>
          <w:tcPr>
            <w:tcW w:w="7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93"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2"/>
              <w:ind w:left="410" w:right="0"/>
              <w:jc w:val="left"/>
              <w:rPr>
                <w:rFonts w:ascii="Times New Roman" w:hAnsi="Times New Roman" w:cs="Times New Roman" w:eastAsia="Times New Roman" w:hint="default"/>
                <w:sz w:val="18"/>
                <w:szCs w:val="18"/>
              </w:rPr>
            </w:pPr>
            <w:r>
              <w:rPr>
                <w:rFonts w:ascii="Times New Roman"/>
                <w:sz w:val="18"/>
              </w:rPr>
              <w:t>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2"/>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59"/>
              <w:jc w:val="left"/>
              <w:rPr>
                <w:rFonts w:ascii="宋体" w:hAnsi="宋体" w:cs="宋体" w:eastAsia="宋体" w:hint="default"/>
                <w:sz w:val="18"/>
                <w:szCs w:val="18"/>
              </w:rPr>
            </w:pPr>
            <w:r>
              <w:rPr>
                <w:rFonts w:ascii="宋体" w:hAnsi="宋体" w:cs="宋体" w:eastAsia="宋体" w:hint="default"/>
                <w:sz w:val="18"/>
                <w:szCs w:val="18"/>
              </w:rPr>
              <w:t>按组合计提坏账准 备的应收账款</w:t>
            </w:r>
          </w:p>
        </w:tc>
        <w:tc>
          <w:tcPr>
            <w:tcW w:w="7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93" w:right="0"/>
              <w:jc w:val="left"/>
              <w:rPr>
                <w:rFonts w:ascii="Times New Roman" w:hAnsi="Times New Roman" w:cs="Times New Roman" w:eastAsia="Times New Roman" w:hint="default"/>
                <w:sz w:val="18"/>
                <w:szCs w:val="18"/>
              </w:rPr>
            </w:pPr>
            <w:r>
              <w:rPr>
                <w:rFonts w:ascii="Times New Roman"/>
                <w:sz w:val="18"/>
              </w:rPr>
              <w:t>1,324,30</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7,060.76</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99.92%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5" w:right="0"/>
              <w:jc w:val="center"/>
              <w:rPr>
                <w:rFonts w:ascii="Times New Roman" w:hAnsi="Times New Roman" w:cs="Times New Roman" w:eastAsia="Times New Roman" w:hint="default"/>
                <w:sz w:val="18"/>
                <w:szCs w:val="18"/>
              </w:rPr>
            </w:pPr>
            <w:r>
              <w:rPr>
                <w:rFonts w:ascii="Times New Roman"/>
                <w:sz w:val="18"/>
              </w:rPr>
              <w:t>110,371,</w:t>
            </w:r>
          </w:p>
          <w:p>
            <w:pPr>
              <w:pStyle w:val="TableParagraph"/>
              <w:spacing w:line="240" w:lineRule="auto" w:before="102"/>
              <w:ind w:left="214" w:right="0"/>
              <w:jc w:val="center"/>
              <w:rPr>
                <w:rFonts w:ascii="Times New Roman" w:hAnsi="Times New Roman" w:cs="Times New Roman" w:eastAsia="Times New Roman" w:hint="default"/>
                <w:sz w:val="18"/>
                <w:szCs w:val="18"/>
              </w:rPr>
            </w:pPr>
            <w:r>
              <w:rPr>
                <w:rFonts w:ascii="Times New Roman"/>
                <w:sz w:val="18"/>
              </w:rPr>
              <w:t>307.93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8.33%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1" w:right="0"/>
              <w:jc w:val="center"/>
              <w:rPr>
                <w:rFonts w:ascii="Times New Roman" w:hAnsi="Times New Roman" w:cs="Times New Roman" w:eastAsia="Times New Roman" w:hint="default"/>
                <w:sz w:val="18"/>
                <w:szCs w:val="18"/>
              </w:rPr>
            </w:pPr>
            <w:r>
              <w:rPr>
                <w:rFonts w:ascii="Times New Roman"/>
                <w:sz w:val="18"/>
              </w:rPr>
              <w:t>1,213,935</w:t>
            </w:r>
          </w:p>
          <w:p>
            <w:pPr>
              <w:pStyle w:val="TableParagraph"/>
              <w:spacing w:line="240" w:lineRule="auto" w:before="102"/>
              <w:ind w:left="191" w:right="0"/>
              <w:jc w:val="center"/>
              <w:rPr>
                <w:rFonts w:ascii="Times New Roman" w:hAnsi="Times New Roman" w:cs="Times New Roman" w:eastAsia="Times New Roman" w:hint="default"/>
                <w:sz w:val="18"/>
                <w:szCs w:val="18"/>
              </w:rPr>
            </w:pPr>
            <w:r>
              <w:rPr>
                <w:rFonts w:ascii="Times New Roman"/>
                <w:sz w:val="18"/>
              </w:rPr>
              <w:t>,752.83</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1,312,789</w:t>
            </w:r>
          </w:p>
          <w:p>
            <w:pPr>
              <w:pStyle w:val="TableParagraph"/>
              <w:spacing w:line="240" w:lineRule="auto" w:before="102"/>
              <w:ind w:left="182" w:right="0"/>
              <w:jc w:val="center"/>
              <w:rPr>
                <w:rFonts w:ascii="Times New Roman" w:hAnsi="Times New Roman" w:cs="Times New Roman" w:eastAsia="Times New Roman" w:hint="default"/>
                <w:sz w:val="18"/>
                <w:szCs w:val="18"/>
              </w:rPr>
            </w:pPr>
            <w:r>
              <w:rPr>
                <w:rFonts w:ascii="Times New Roman"/>
                <w:sz w:val="18"/>
              </w:rPr>
              <w:t>,335.87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8" w:right="0"/>
              <w:jc w:val="center"/>
              <w:rPr>
                <w:rFonts w:ascii="Times New Roman" w:hAnsi="Times New Roman" w:cs="Times New Roman" w:eastAsia="Times New Roman" w:hint="default"/>
                <w:sz w:val="18"/>
                <w:szCs w:val="18"/>
              </w:rPr>
            </w:pPr>
            <w:r>
              <w:rPr>
                <w:rFonts w:ascii="Times New Roman"/>
                <w:sz w:val="18"/>
              </w:rPr>
              <w:t>100.00%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87,476,81</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6.76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1,225,312,5</w:t>
            </w:r>
          </w:p>
          <w:p>
            <w:pPr>
              <w:pStyle w:val="TableParagraph"/>
              <w:spacing w:line="240" w:lineRule="auto" w:before="102"/>
              <w:ind w:left="501" w:right="0"/>
              <w:jc w:val="left"/>
              <w:rPr>
                <w:rFonts w:ascii="Times New Roman" w:hAnsi="Times New Roman" w:cs="Times New Roman" w:eastAsia="Times New Roman" w:hint="default"/>
                <w:sz w:val="18"/>
                <w:szCs w:val="18"/>
              </w:rPr>
            </w:pPr>
            <w:r>
              <w:rPr>
                <w:rFonts w:ascii="Times New Roman"/>
                <w:sz w:val="18"/>
              </w:rPr>
              <w:t>19.11</w:t>
            </w:r>
          </w:p>
        </w:tc>
      </w:tr>
      <w:tr>
        <w:trPr>
          <w:trHeight w:val="401"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9"/>
              <w:jc w:val="left"/>
              <w:rPr>
                <w:rFonts w:ascii="宋体" w:hAnsi="宋体" w:cs="宋体" w:eastAsia="宋体" w:hint="default"/>
                <w:sz w:val="18"/>
                <w:szCs w:val="18"/>
              </w:rPr>
            </w:pPr>
            <w:r>
              <w:rPr>
                <w:rFonts w:ascii="宋体" w:hAnsi="宋体" w:cs="宋体" w:eastAsia="宋体" w:hint="default"/>
                <w:sz w:val="18"/>
                <w:szCs w:val="18"/>
              </w:rPr>
              <w:t>合并范围内关联方 组合</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0" w:right="0"/>
              <w:jc w:val="center"/>
              <w:rPr>
                <w:rFonts w:ascii="Times New Roman" w:hAnsi="Times New Roman" w:cs="Times New Roman" w:eastAsia="Times New Roman" w:hint="default"/>
                <w:sz w:val="18"/>
                <w:szCs w:val="18"/>
              </w:rPr>
            </w:pPr>
            <w:r>
              <w:rPr>
                <w:rFonts w:ascii="Times New Roman"/>
                <w:sz w:val="18"/>
              </w:rPr>
              <w:t>141,226,</w:t>
            </w:r>
          </w:p>
          <w:p>
            <w:pPr>
              <w:pStyle w:val="TableParagraph"/>
              <w:spacing w:line="240" w:lineRule="auto" w:before="102"/>
              <w:ind w:left="216" w:right="0"/>
              <w:jc w:val="center"/>
              <w:rPr>
                <w:rFonts w:ascii="Times New Roman" w:hAnsi="Times New Roman" w:cs="Times New Roman" w:eastAsia="Times New Roman" w:hint="default"/>
                <w:sz w:val="18"/>
                <w:szCs w:val="18"/>
              </w:rPr>
            </w:pPr>
            <w:r>
              <w:rPr>
                <w:rFonts w:ascii="Times New Roman"/>
                <w:sz w:val="18"/>
              </w:rPr>
              <w:t>502.89</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10.66%</w:t>
            </w:r>
          </w:p>
        </w:tc>
        <w:tc>
          <w:tcPr>
            <w:tcW w:w="761"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141,226,5</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02.89</w:t>
            </w:r>
          </w:p>
        </w:tc>
        <w:tc>
          <w:tcPr>
            <w:tcW w:w="77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1,183,08</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0,557.87</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89.26%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center"/>
              <w:rPr>
                <w:rFonts w:ascii="Times New Roman" w:hAnsi="Times New Roman" w:cs="Times New Roman" w:eastAsia="Times New Roman" w:hint="default"/>
                <w:sz w:val="18"/>
                <w:szCs w:val="18"/>
              </w:rPr>
            </w:pPr>
            <w:r>
              <w:rPr>
                <w:rFonts w:ascii="Times New Roman"/>
                <w:sz w:val="18"/>
              </w:rPr>
              <w:t>110,371,</w:t>
            </w:r>
          </w:p>
          <w:p>
            <w:pPr>
              <w:pStyle w:val="TableParagraph"/>
              <w:spacing w:line="240" w:lineRule="auto" w:before="105"/>
              <w:ind w:left="214" w:right="0"/>
              <w:jc w:val="center"/>
              <w:rPr>
                <w:rFonts w:ascii="Times New Roman" w:hAnsi="Times New Roman" w:cs="Times New Roman" w:eastAsia="Times New Roman" w:hint="default"/>
                <w:sz w:val="18"/>
                <w:szCs w:val="18"/>
              </w:rPr>
            </w:pPr>
            <w:r>
              <w:rPr>
                <w:rFonts w:ascii="Times New Roman"/>
                <w:sz w:val="18"/>
              </w:rPr>
              <w:t>307.93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1,072,709</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,249.94</w:t>
            </w:r>
          </w:p>
        </w:tc>
        <w:tc>
          <w:tcPr>
            <w:tcW w:w="77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Times New Roman" w:hAnsi="Times New Roman" w:cs="Times New Roman" w:eastAsia="Times New Roman" w:hint="default"/>
                <w:sz w:val="18"/>
                <w:szCs w:val="18"/>
              </w:rPr>
            </w:pPr>
            <w:r>
              <w:rPr>
                <w:rFonts w:ascii="Times New Roman"/>
                <w:sz w:val="18"/>
              </w:rPr>
              <w:t>1,325,30</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7,060.76</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2" w:right="0"/>
              <w:jc w:val="center"/>
              <w:rPr>
                <w:rFonts w:ascii="Times New Roman" w:hAnsi="Times New Roman" w:cs="Times New Roman" w:eastAsia="Times New Roman" w:hint="default"/>
                <w:sz w:val="18"/>
                <w:szCs w:val="18"/>
              </w:rPr>
            </w:pPr>
            <w:r>
              <w:rPr>
                <w:rFonts w:ascii="Times New Roman"/>
                <w:sz w:val="18"/>
              </w:rPr>
              <w:t>111,371,</w:t>
            </w:r>
          </w:p>
          <w:p>
            <w:pPr>
              <w:pStyle w:val="TableParagraph"/>
              <w:spacing w:line="240" w:lineRule="auto" w:before="102"/>
              <w:ind w:left="214" w:right="0"/>
              <w:jc w:val="center"/>
              <w:rPr>
                <w:rFonts w:ascii="Times New Roman" w:hAnsi="Times New Roman" w:cs="Times New Roman" w:eastAsia="Times New Roman" w:hint="default"/>
                <w:sz w:val="18"/>
                <w:szCs w:val="18"/>
              </w:rPr>
            </w:pPr>
            <w:r>
              <w:rPr>
                <w:rFonts w:ascii="Times New Roman"/>
                <w:sz w:val="18"/>
              </w:rPr>
              <w:t>307.93</w:t>
            </w:r>
          </w:p>
        </w:tc>
        <w:tc>
          <w:tcPr>
            <w:tcW w:w="763"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1" w:right="0"/>
              <w:jc w:val="center"/>
              <w:rPr>
                <w:rFonts w:ascii="Times New Roman" w:hAnsi="Times New Roman" w:cs="Times New Roman" w:eastAsia="Times New Roman" w:hint="default"/>
                <w:sz w:val="18"/>
                <w:szCs w:val="18"/>
              </w:rPr>
            </w:pPr>
            <w:r>
              <w:rPr>
                <w:rFonts w:ascii="Times New Roman"/>
                <w:sz w:val="18"/>
              </w:rPr>
              <w:t>1,213,935</w:t>
            </w:r>
          </w:p>
          <w:p>
            <w:pPr>
              <w:pStyle w:val="TableParagraph"/>
              <w:spacing w:line="240" w:lineRule="auto" w:before="102"/>
              <w:ind w:left="191" w:right="0"/>
              <w:jc w:val="center"/>
              <w:rPr>
                <w:rFonts w:ascii="Times New Roman" w:hAnsi="Times New Roman" w:cs="Times New Roman" w:eastAsia="Times New Roman" w:hint="default"/>
                <w:sz w:val="18"/>
                <w:szCs w:val="18"/>
              </w:rPr>
            </w:pPr>
            <w:r>
              <w:rPr>
                <w:rFonts w:ascii="Times New Roman"/>
                <w:sz w:val="18"/>
              </w:rPr>
              <w:t>,752.83</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1,312,789</w:t>
            </w:r>
          </w:p>
          <w:p>
            <w:pPr>
              <w:pStyle w:val="TableParagraph"/>
              <w:spacing w:line="240" w:lineRule="auto" w:before="102"/>
              <w:ind w:left="182" w:right="0"/>
              <w:jc w:val="center"/>
              <w:rPr>
                <w:rFonts w:ascii="Times New Roman" w:hAnsi="Times New Roman" w:cs="Times New Roman" w:eastAsia="Times New Roman" w:hint="default"/>
                <w:sz w:val="18"/>
                <w:szCs w:val="18"/>
              </w:rPr>
            </w:pPr>
            <w:r>
              <w:rPr>
                <w:rFonts w:ascii="Times New Roman"/>
                <w:sz w:val="18"/>
              </w:rPr>
              <w:t>,335.87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8" w:right="0"/>
              <w:jc w:val="center"/>
              <w:rPr>
                <w:rFonts w:ascii="Times New Roman" w:hAnsi="Times New Roman" w:cs="Times New Roman" w:eastAsia="Times New Roman" w:hint="default"/>
                <w:sz w:val="18"/>
                <w:szCs w:val="18"/>
              </w:rPr>
            </w:pPr>
            <w:r>
              <w:rPr>
                <w:rFonts w:ascii="Times New Roman"/>
                <w:sz w:val="18"/>
              </w:rPr>
              <w:t>100.00%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87,476,81</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6.76</w:t>
            </w:r>
          </w:p>
        </w:tc>
        <w:tc>
          <w:tcPr>
            <w:tcW w:w="790"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1,225,312,5</w:t>
            </w:r>
          </w:p>
          <w:p>
            <w:pPr>
              <w:pStyle w:val="TableParagraph"/>
              <w:spacing w:line="240" w:lineRule="auto" w:before="102"/>
              <w:ind w:left="501" w:right="0"/>
              <w:jc w:val="left"/>
              <w:rPr>
                <w:rFonts w:ascii="Times New Roman" w:hAnsi="Times New Roman" w:cs="Times New Roman" w:eastAsia="Times New Roman" w:hint="default"/>
                <w:sz w:val="18"/>
                <w:szCs w:val="18"/>
              </w:rPr>
            </w:pPr>
            <w:r>
              <w:rPr>
                <w:rFonts w:ascii="Times New Roman"/>
                <w:sz w:val="18"/>
              </w:rPr>
              <w:t>19.11</w:t>
            </w:r>
          </w:p>
        </w:tc>
      </w:tr>
    </w:tbl>
    <w:p>
      <w:pPr>
        <w:pStyle w:val="BodyText"/>
        <w:spacing w:line="240" w:lineRule="auto" w:before="49"/>
        <w:ind w:right="2602"/>
        <w:jc w:val="left"/>
      </w:pPr>
      <w:r>
        <w:rPr/>
        <w:t>按单项计提坏账准备：</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410"/>
        <w:gridCol w:w="1844"/>
        <w:gridCol w:w="1491"/>
        <w:gridCol w:w="1913"/>
        <w:gridCol w:w="1916"/>
      </w:tblGrid>
      <w:tr>
        <w:trPr>
          <w:trHeight w:val="403" w:hRule="exact"/>
        </w:trPr>
        <w:tc>
          <w:tcPr>
            <w:tcW w:w="24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6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410" w:type="dxa"/>
            <w:vMerge/>
            <w:tcBorders>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上海久事智慧体育有限公司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5" w:right="0"/>
              <w:jc w:val="left"/>
              <w:rPr>
                <w:rFonts w:ascii="Times New Roman" w:hAnsi="Times New Roman" w:cs="Times New Roman" w:eastAsia="Times New Roman" w:hint="default"/>
                <w:sz w:val="18"/>
                <w:szCs w:val="18"/>
              </w:rPr>
            </w:pPr>
            <w:r>
              <w:rPr>
                <w:rFonts w:ascii="Times New Roman"/>
                <w:sz w:val="18"/>
              </w:rPr>
              <w:t>100.00%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超额亏损联营企业</w:t>
            </w:r>
          </w:p>
        </w:tc>
      </w:tr>
      <w:tr>
        <w:trPr>
          <w:trHeight w:val="401"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1,000,000.00</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2602"/>
        <w:jc w:val="left"/>
      </w:pPr>
      <w:r>
        <w:rPr/>
        <w:t>按组合计提坏账准备：账龄组合</w:t>
      </w:r>
    </w:p>
    <w:p>
      <w:pPr>
        <w:pStyle w:val="BodyText"/>
        <w:spacing w:line="240" w:lineRule="auto" w:before="117"/>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141,226,502.89</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1,183,080,557.87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110,371,307.93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9.33%</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1,324,307,060.76</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110,371,307.93</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80" w:top="1060" w:bottom="1160" w:left="980" w:right="0"/>
        </w:sectPr>
      </w:pPr>
    </w:p>
    <w:p>
      <w:pPr>
        <w:pStyle w:val="BodyText"/>
        <w:spacing w:line="240" w:lineRule="auto" w:before="49"/>
        <w:ind w:right="0"/>
        <w:jc w:val="left"/>
      </w:pPr>
      <w:r>
        <w:rPr/>
        <w:t>确定该组合依据的说明：</w:t>
      </w:r>
    </w:p>
    <w:p>
      <w:pPr>
        <w:pStyle w:val="Heading4"/>
        <w:spacing w:line="240" w:lineRule="auto" w:before="94"/>
        <w:ind w:left="573" w:right="0"/>
        <w:jc w:val="left"/>
      </w:pPr>
      <w:r>
        <w:rPr>
          <w:spacing w:val="-2"/>
        </w:rPr>
        <w:t>相同账龄的应收账款具有类似的信用风险特征。</w:t>
      </w:r>
    </w:p>
    <w:p>
      <w:pPr>
        <w:pStyle w:val="BodyText"/>
        <w:spacing w:line="240" w:lineRule="auto" w:before="99"/>
        <w:ind w:right="0"/>
        <w:jc w:val="left"/>
      </w:pPr>
      <w:r>
        <w:rPr/>
        <w:t>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988" w:space="3841"/>
            <w:col w:w="2101"/>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846,921,387.67</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个月以内（含</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381,735,991.58</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个月</w:t>
            </w:r>
            <w:r>
              <w:rPr>
                <w:rFonts w:ascii="Times New Roman" w:hAnsi="Times New Roman" w:cs="Times New Roman" w:eastAsia="Times New Roman" w:hint="default"/>
                <w:sz w:val="18"/>
                <w:szCs w:val="18"/>
              </w:rPr>
              <w:t>-1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465,185,396.09</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227,624,602.93</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151,664,044.53</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99,097,025.63</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20,703,761.07</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14,272,681.45</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64,120,583.11</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1,325,307,060.76</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本期计提、收回或转回的坏账准备情况" w:id="493"/>
      <w:bookmarkEnd w:id="493"/>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02"/>
        <w:gridCol w:w="1561"/>
        <w:gridCol w:w="1416"/>
        <w:gridCol w:w="1136"/>
        <w:gridCol w:w="1274"/>
        <w:gridCol w:w="1117"/>
        <w:gridCol w:w="1368"/>
      </w:tblGrid>
      <w:tr>
        <w:trPr>
          <w:trHeight w:val="402"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94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561" w:type="dxa"/>
            <w:vMerge/>
            <w:tcBorders>
              <w:left w:val="single" w:sz="4" w:space="0" w:color="000000"/>
              <w:bottom w:val="single" w:sz="4" w:space="0" w:color="000000"/>
              <w:right w:val="single" w:sz="4" w:space="0" w:color="000000"/>
            </w:tcBorders>
            <w:shd w:val="clear" w:color="auto" w:fill="D2D2D2"/>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2"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应收账款坏账准备</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87,476,816.76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23,894,491.17</w:t>
            </w: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111,371,307.93</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87,476,816.76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23,894,491.17</w:t>
            </w: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2"/>
                <w:sz w:val="18"/>
              </w:rPr>
              <w:t>111,371,307.93</w:t>
            </w:r>
          </w:p>
        </w:tc>
      </w:tr>
    </w:tbl>
    <w:p>
      <w:pPr>
        <w:spacing w:line="240" w:lineRule="auto" w:before="3"/>
        <w:rPr>
          <w:rFonts w:ascii="宋体" w:hAnsi="宋体" w:cs="宋体" w:eastAsia="宋体" w:hint="default"/>
          <w:sz w:val="19"/>
          <w:szCs w:val="19"/>
        </w:rPr>
      </w:pPr>
    </w:p>
    <w:p>
      <w:pPr>
        <w:pStyle w:val="Heading3"/>
        <w:spacing w:line="506" w:lineRule="auto" w:before="36"/>
        <w:ind w:left="573" w:right="7460" w:hanging="421"/>
        <w:jc w:val="left"/>
        <w:rPr>
          <w:rFonts w:ascii="宋体" w:hAnsi="宋体" w:cs="宋体" w:eastAsia="宋体" w:hint="default"/>
          <w:b w:val="0"/>
          <w:bCs w:val="0"/>
        </w:rPr>
      </w:pPr>
      <w:bookmarkStart w:name="（3）本期实际核销的应收账款情况" w:id="494"/>
      <w:bookmarkEnd w:id="494"/>
      <w:r>
        <w:rPr>
          <w:b w:val="0"/>
          <w:bCs w:val="0"/>
        </w:rPr>
      </w:r>
      <w:r>
        <w:rPr>
          <w:spacing w:val="-1"/>
        </w:rPr>
        <w:t>（</w:t>
      </w:r>
      <w:r>
        <w:rPr>
          <w:rFonts w:ascii="Times New Roman" w:hAnsi="Times New Roman" w:cs="Times New Roman" w:eastAsia="Times New Roman" w:hint="default"/>
          <w:spacing w:val="-1"/>
        </w:rPr>
        <w:t>3</w:t>
      </w:r>
      <w:r>
        <w:rPr>
          <w:spacing w:val="-1"/>
        </w:rPr>
        <w:t>）本期实际核销的应收账款情况</w:t>
      </w:r>
      <w:r>
        <w:rPr>
          <w:spacing w:val="-91"/>
        </w:rPr>
        <w:t> </w:t>
      </w:r>
      <w:r>
        <w:rPr>
          <w:spacing w:val="-91"/>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4）按欠款方归集的期末余额前五名的应收账款情况" w:id="495"/>
      <w:bookmarkEnd w:id="495"/>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404"/>
        <w:gridCol w:w="1699"/>
        <w:gridCol w:w="2838"/>
        <w:gridCol w:w="1630"/>
      </w:tblGrid>
      <w:tr>
        <w:trPr>
          <w:trHeight w:val="401" w:hRule="exact"/>
        </w:trPr>
        <w:tc>
          <w:tcPr>
            <w:tcW w:w="3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4"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3"/>
              <w:jc w:val="right"/>
              <w:rPr>
                <w:rFonts w:ascii="宋体" w:hAnsi="宋体" w:cs="宋体" w:eastAsia="宋体" w:hint="default"/>
                <w:sz w:val="18"/>
                <w:szCs w:val="18"/>
              </w:rPr>
            </w:pPr>
            <w:r>
              <w:rPr>
                <w:rFonts w:ascii="宋体" w:hAnsi="宋体" w:cs="宋体" w:eastAsia="宋体" w:hint="default"/>
                <w:sz w:val="18"/>
                <w:szCs w:val="18"/>
              </w:rPr>
              <w:t>占应收账款期末余额合计数的比例</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86"/>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60,000,000.00</w:t>
            </w:r>
          </w:p>
        </w:tc>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4.53%</w:t>
            </w: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上海市卫生健康委员会</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45,279,989.70</w:t>
            </w:r>
          </w:p>
        </w:tc>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3.42%</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43,763,271.89</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上海市医疗保险事业管理中心</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39,830,000.00</w:t>
            </w:r>
          </w:p>
        </w:tc>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3.01%</w:t>
            </w: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上海市人力资源和社会保障局信息中心</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36,826,037.74</w:t>
            </w:r>
          </w:p>
        </w:tc>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1,244,376.00</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上海申康医院发展中心</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35,432,070.76</w:t>
            </w:r>
          </w:p>
        </w:tc>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1,771,603.54</w:t>
            </w:r>
          </w:p>
        </w:tc>
      </w:tr>
      <w:tr>
        <w:trPr>
          <w:trHeight w:val="401" w:hRule="exact"/>
        </w:trPr>
        <w:tc>
          <w:tcPr>
            <w:tcW w:w="3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217,368,098.20</w:t>
            </w:r>
          </w:p>
        </w:tc>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16.41%</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3"/>
        <w:spacing w:line="506" w:lineRule="auto" w:before="36"/>
        <w:ind w:left="573" w:right="6614" w:hanging="421"/>
        <w:jc w:val="left"/>
        <w:rPr>
          <w:rFonts w:ascii="宋体" w:hAnsi="宋体" w:cs="宋体" w:eastAsia="宋体" w:hint="default"/>
          <w:b w:val="0"/>
          <w:bCs w:val="0"/>
        </w:rPr>
      </w:pPr>
      <w:bookmarkStart w:name="（5）因金融资产转移而终止确认的应收账款" w:id="496"/>
      <w:bookmarkEnd w:id="496"/>
      <w:r>
        <w:rPr>
          <w:b w:val="0"/>
          <w:bCs w:val="0"/>
        </w:rPr>
      </w:r>
      <w:r>
        <w:rPr>
          <w:spacing w:val="-1"/>
        </w:rPr>
        <w:t>（</w:t>
      </w:r>
      <w:r>
        <w:rPr>
          <w:rFonts w:ascii="Times New Roman" w:hAnsi="Times New Roman" w:cs="Times New Roman" w:eastAsia="Times New Roman" w:hint="default"/>
          <w:spacing w:val="-1"/>
        </w:rPr>
        <w:t>5</w:t>
      </w:r>
      <w:r>
        <w:rPr>
          <w:spacing w:val="-1"/>
        </w:rPr>
        <w:t>）因金融资产转移而终止确认的应收账款</w:t>
      </w:r>
      <w:r>
        <w:rPr>
          <w:spacing w:val="-85"/>
        </w:rPr>
        <w:t> </w:t>
      </w:r>
      <w:r>
        <w:rPr>
          <w:spacing w:val="-85"/>
        </w:rPr>
      </w:r>
      <w:r>
        <w:rPr>
          <w:rFonts w:ascii="宋体" w:hAnsi="宋体" w:cs="宋体" w:eastAsia="宋体" w:hint="default"/>
          <w:b w:val="0"/>
          <w:bCs w:val="0"/>
        </w:rPr>
        <w:t>无</w:t>
      </w:r>
    </w:p>
    <w:p>
      <w:pPr>
        <w:pStyle w:val="Heading3"/>
        <w:spacing w:line="506" w:lineRule="auto" w:before="104"/>
        <w:ind w:left="573" w:right="5714" w:hanging="421"/>
        <w:jc w:val="left"/>
        <w:rPr>
          <w:rFonts w:ascii="宋体" w:hAnsi="宋体" w:cs="宋体" w:eastAsia="宋体" w:hint="default"/>
          <w:b w:val="0"/>
          <w:bCs w:val="0"/>
        </w:rPr>
      </w:pPr>
      <w:bookmarkStart w:name="（6）转移应收账款且继续涉入形成的资产、负债金额" w:id="497"/>
      <w:bookmarkEnd w:id="497"/>
      <w:r>
        <w:rPr>
          <w:b w:val="0"/>
          <w:bCs w:val="0"/>
        </w:rPr>
      </w:r>
      <w:r>
        <w:rPr>
          <w:spacing w:val="-1"/>
        </w:rPr>
        <w:t>（</w:t>
      </w:r>
      <w:r>
        <w:rPr>
          <w:rFonts w:ascii="Times New Roman" w:hAnsi="Times New Roman" w:cs="Times New Roman" w:eastAsia="Times New Roman" w:hint="default"/>
          <w:spacing w:val="-1"/>
        </w:rPr>
        <w:t>6</w:t>
      </w:r>
      <w:r>
        <w:rPr>
          <w:spacing w:val="-1"/>
        </w:rPr>
        <w:t>）转移应收账款且继续涉入形成的资产、负债金额</w:t>
      </w:r>
      <w:r>
        <w:rPr>
          <w:spacing w:val="-86"/>
        </w:rPr>
        <w:t> </w:t>
      </w:r>
      <w:r>
        <w:rPr>
          <w:spacing w:val="-86"/>
        </w:rPr>
      </w:r>
      <w:r>
        <w:rPr>
          <w:rFonts w:ascii="宋体" w:hAnsi="宋体" w:cs="宋体" w:eastAsia="宋体" w:hint="default"/>
          <w:b w:val="0"/>
          <w:bCs w:val="0"/>
        </w:rPr>
        <w:t>无</w:t>
      </w:r>
    </w:p>
    <w:p>
      <w:pPr>
        <w:spacing w:after="0" w:line="506" w:lineRule="auto"/>
        <w:jc w:val="left"/>
        <w:rPr>
          <w:rFonts w:ascii="宋体" w:hAnsi="宋体" w:cs="宋体" w:eastAsia="宋体" w:hint="default"/>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2、其他应收款" w:id="498"/>
      <w:bookmarkEnd w:id="498"/>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612,114,965.41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616,147,057.16</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705,114,965.41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616,147,057.16</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1）应收利息" w:id="499"/>
      <w:bookmarkEnd w:id="499"/>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1"/>
        <w:rPr>
          <w:rFonts w:ascii="宋体" w:hAnsi="宋体" w:cs="宋体" w:eastAsia="宋体" w:hint="default"/>
          <w:sz w:val="25"/>
          <w:szCs w:val="25"/>
        </w:rPr>
      </w:pPr>
    </w:p>
    <w:p>
      <w:pPr>
        <w:pStyle w:val="Heading3"/>
        <w:spacing w:line="240" w:lineRule="auto"/>
        <w:ind w:right="2602"/>
        <w:jc w:val="left"/>
        <w:rPr>
          <w:b w:val="0"/>
          <w:bCs w:val="0"/>
        </w:rPr>
      </w:pPr>
      <w:bookmarkStart w:name="（2）应收股利" w:id="500"/>
      <w:bookmarkEnd w:id="500"/>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2602"/>
        <w:jc w:val="left"/>
        <w:rPr>
          <w:b w:val="0"/>
          <w:bCs w:val="0"/>
        </w:rPr>
      </w:pPr>
      <w:bookmarkStart w:name="1）应收股利分类" w:id="501"/>
      <w:bookmarkEnd w:id="501"/>
      <w:r>
        <w:rPr>
          <w:b w:val="0"/>
          <w:bCs w:val="0"/>
        </w:rPr>
      </w:r>
      <w:r>
        <w:rPr>
          <w:rFonts w:ascii="Times New Roman" w:hAnsi="Times New Roman" w:cs="Times New Roman" w:eastAsia="Times New Roman" w:hint="default"/>
        </w:rPr>
        <w:t>1</w:t>
      </w:r>
      <w:r>
        <w:rPr/>
        <w:t>）应收股利分类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3"/>
        <w:spacing w:line="506" w:lineRule="auto" w:before="36"/>
        <w:ind w:left="573" w:right="7488" w:hanging="421"/>
        <w:jc w:val="left"/>
        <w:rPr>
          <w:rFonts w:ascii="宋体" w:hAnsi="宋体" w:cs="宋体" w:eastAsia="宋体" w:hint="default"/>
          <w:b w:val="0"/>
          <w:bCs w:val="0"/>
        </w:rPr>
      </w:pPr>
      <w:bookmarkStart w:name="2）重要的账龄超过1年的应收股利" w:id="502"/>
      <w:bookmarkEnd w:id="502"/>
      <w:r>
        <w:rPr>
          <w:b w:val="0"/>
          <w:bCs w:val="0"/>
        </w:rPr>
      </w:r>
      <w:r>
        <w:rPr>
          <w:rFonts w:ascii="Times New Roman" w:hAnsi="Times New Roman" w:cs="Times New Roman" w:eastAsia="Times New Roman" w:hint="default"/>
        </w:rPr>
        <w:t>2</w:t>
      </w:r>
      <w:r>
        <w:rPr/>
        <w:t>）重要的账龄超过</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年的应收股利</w:t>
      </w:r>
      <w:r>
        <w:rPr>
          <w:w w:val="100"/>
        </w:rPr>
        <w:t> </w:t>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坏账准备计提情况" w:id="503"/>
      <w:bookmarkEnd w:id="503"/>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3"/>
        <w:spacing w:line="240" w:lineRule="auto"/>
        <w:ind w:right="2602"/>
        <w:jc w:val="left"/>
        <w:rPr>
          <w:b w:val="0"/>
          <w:bCs w:val="0"/>
        </w:rPr>
      </w:pPr>
      <w:bookmarkStart w:name="（3）其他应收款" w:id="504"/>
      <w:bookmarkEnd w:id="504"/>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2602"/>
        <w:jc w:val="left"/>
        <w:rPr>
          <w:b w:val="0"/>
          <w:bCs w:val="0"/>
        </w:rPr>
      </w:pPr>
      <w:bookmarkStart w:name="1）其他应收款按款项性质分类情况" w:id="505"/>
      <w:bookmarkEnd w:id="505"/>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关联方往来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495,602,274.57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491,399,560.49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19,808,826.00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14,734,414.00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项目往来款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116,034,983.50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124,919,731.83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631,446,084.07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631,053,706.32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2）坏账准备计提情况" w:id="506"/>
      <w:bookmarkEnd w:id="506"/>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29"/>
        <w:gridCol w:w="1855"/>
        <w:gridCol w:w="2127"/>
        <w:gridCol w:w="1844"/>
        <w:gridCol w:w="1205"/>
      </w:tblGrid>
      <w:tr>
        <w:trPr>
          <w:trHeight w:val="403" w:hRule="exact"/>
        </w:trPr>
        <w:tc>
          <w:tcPr>
            <w:tcW w:w="2529" w:type="dxa"/>
            <w:tcBorders>
              <w:top w:val="single" w:sz="4" w:space="0" w:color="000000"/>
              <w:left w:val="single" w:sz="4" w:space="0" w:color="000000"/>
              <w:bottom w:val="nil" w:sz="6" w:space="0" w:color="auto"/>
              <w:right w:val="single" w:sz="4" w:space="0" w:color="000000"/>
            </w:tcBorders>
            <w:shd w:val="clear" w:color="auto" w:fill="D2D2D2"/>
          </w:tcPr>
          <w:p>
            <w:pPr/>
          </w:p>
        </w:tc>
        <w:tc>
          <w:tcPr>
            <w:tcW w:w="1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8"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8"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6"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2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50" w:hRule="exact"/>
        </w:trPr>
        <w:tc>
          <w:tcPr>
            <w:tcW w:w="25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855"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49"/>
              <w:ind w:left="748" w:right="55" w:hanging="67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个月预期信用 损失</w:t>
            </w:r>
          </w:p>
        </w:tc>
        <w:tc>
          <w:tcPr>
            <w:tcW w:w="21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6"/>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184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7" w:right="43" w:firstLine="60"/>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 损失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205" w:type="dxa"/>
            <w:vMerge/>
            <w:tcBorders>
              <w:left w:val="single" w:sz="4" w:space="0" w:color="000000"/>
              <w:right w:val="single" w:sz="4" w:space="0" w:color="000000"/>
            </w:tcBorders>
            <w:shd w:val="clear" w:color="auto" w:fill="D2D2D2"/>
          </w:tcPr>
          <w:p>
            <w:pPr/>
          </w:p>
        </w:tc>
      </w:tr>
      <w:tr>
        <w:trPr>
          <w:trHeight w:val="362" w:hRule="exact"/>
        </w:trPr>
        <w:tc>
          <w:tcPr>
            <w:tcW w:w="2529" w:type="dxa"/>
            <w:tcBorders>
              <w:top w:val="nil" w:sz="6" w:space="0" w:color="auto"/>
              <w:left w:val="single" w:sz="4" w:space="0" w:color="000000"/>
              <w:bottom w:val="single" w:sz="4" w:space="0" w:color="000000"/>
              <w:right w:val="single" w:sz="4" w:space="0" w:color="000000"/>
            </w:tcBorders>
            <w:shd w:val="clear" w:color="auto" w:fill="D2D2D2"/>
          </w:tcPr>
          <w:p>
            <w:pPr/>
          </w:p>
        </w:tc>
        <w:tc>
          <w:tcPr>
            <w:tcW w:w="1855" w:type="dxa"/>
            <w:vMerge/>
            <w:tcBorders>
              <w:left w:val="single" w:sz="4" w:space="0" w:color="000000"/>
              <w:bottom w:val="single" w:sz="4" w:space="0" w:color="000000"/>
              <w:right w:val="single" w:sz="4" w:space="0" w:color="000000"/>
            </w:tcBorders>
            <w:shd w:val="clear" w:color="auto" w:fill="D2D2D2"/>
          </w:tcPr>
          <w:p>
            <w:pPr/>
          </w:p>
        </w:tc>
        <w:tc>
          <w:tcPr>
            <w:tcW w:w="2127" w:type="dxa"/>
            <w:vMerge/>
            <w:tcBorders>
              <w:left w:val="single" w:sz="4" w:space="0" w:color="000000"/>
              <w:bottom w:val="single" w:sz="4" w:space="0" w:color="000000"/>
              <w:right w:val="single" w:sz="4" w:space="0" w:color="000000"/>
            </w:tcBorders>
            <w:shd w:val="clear" w:color="auto" w:fill="D2D2D2"/>
          </w:tcPr>
          <w:p>
            <w:pPr/>
          </w:p>
        </w:tc>
        <w:tc>
          <w:tcPr>
            <w:tcW w:w="1844" w:type="dxa"/>
            <w:vMerge/>
            <w:tcBorders>
              <w:left w:val="single" w:sz="4" w:space="0" w:color="000000"/>
              <w:bottom w:val="single" w:sz="4" w:space="0" w:color="000000"/>
              <w:right w:val="single" w:sz="4" w:space="0" w:color="000000"/>
            </w:tcBorders>
            <w:shd w:val="clear" w:color="auto" w:fill="D2D2D2"/>
          </w:tcPr>
          <w:p>
            <w:pPr/>
          </w:p>
        </w:tc>
        <w:tc>
          <w:tcPr>
            <w:tcW w:w="120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85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366,796.29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14,539,852.87</w:t>
            </w:r>
          </w:p>
        </w:tc>
        <w:tc>
          <w:tcPr>
            <w:tcW w:w="18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14,906,649.16</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日余额在本期</w:t>
            </w:r>
          </w:p>
        </w:tc>
        <w:tc>
          <w:tcPr>
            <w:tcW w:w="1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转入第二阶段</w:t>
            </w:r>
          </w:p>
        </w:tc>
        <w:tc>
          <w:tcPr>
            <w:tcW w:w="185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-366,796.29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366,796.29</w:t>
            </w:r>
          </w:p>
        </w:tc>
        <w:tc>
          <w:tcPr>
            <w:tcW w:w="18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转入第三阶段</w:t>
            </w:r>
          </w:p>
        </w:tc>
        <w:tc>
          <w:tcPr>
            <w:tcW w:w="1855" w:type="dxa"/>
            <w:tcBorders>
              <w:top w:val="single" w:sz="4" w:space="0" w:color="000000"/>
              <w:left w:val="single" w:sz="10"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-800,000.00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800,000.00</w:t>
            </w: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85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576,477.99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2,042,907.72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1,805,083.79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4,424,469.50</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855" w:type="dxa"/>
            <w:tcBorders>
              <w:top w:val="single" w:sz="4" w:space="0" w:color="000000"/>
              <w:left w:val="single" w:sz="10" w:space="0" w:color="D2D2D2"/>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日余额</w:t>
            </w:r>
          </w:p>
        </w:tc>
        <w:tc>
          <w:tcPr>
            <w:tcW w:w="185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576,477.99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16,149,556.88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2,605,083.79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19,331,118.66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pStyle w:val="BodyText"/>
        <w:spacing w:line="240" w:lineRule="auto" w:before="49"/>
        <w:ind w:right="-20"/>
        <w:jc w:val="left"/>
      </w:pPr>
      <w:r>
        <w:rPr/>
        <w:t>损失准备本期变动金额重大的账面余额变动情况</w:t>
      </w:r>
    </w:p>
    <w:p>
      <w:pPr>
        <w:pStyle w:val="BodyText"/>
        <w:spacing w:line="340" w:lineRule="auto" w:before="115"/>
        <w:ind w:right="1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3933" w:space="4896"/>
            <w:col w:w="2101"/>
          </w:cols>
        </w:sectPr>
      </w:pP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242,261,610.13</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个月以内（含</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221,227,061.26</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个月</w:t>
            </w:r>
            <w:r>
              <w:rPr>
                <w:rFonts w:ascii="Times New Roman" w:hAnsi="Times New Roman" w:cs="Times New Roman" w:eastAsia="Times New Roman" w:hint="default"/>
                <w:sz w:val="18"/>
                <w:szCs w:val="18"/>
              </w:rPr>
              <w:t>-1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21,034,548.87</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180,296,827.49</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158,191,031.30</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50,696,615.15</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25,342,871.35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16,656,970.88</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8,696,772.92</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631,446,084.07</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本期计提、收回或转回的坏账准备情况" w:id="507"/>
      <w:bookmarkEnd w:id="507"/>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80"/>
        <w:gridCol w:w="1683"/>
        <w:gridCol w:w="1558"/>
        <w:gridCol w:w="1419"/>
        <w:gridCol w:w="850"/>
        <w:gridCol w:w="908"/>
        <w:gridCol w:w="1574"/>
      </w:tblGrid>
      <w:tr>
        <w:trPr>
          <w:trHeight w:val="403" w:hRule="exact"/>
        </w:trPr>
        <w:tc>
          <w:tcPr>
            <w:tcW w:w="15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6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73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2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80" w:type="dxa"/>
            <w:vMerge/>
            <w:tcBorders>
              <w:left w:val="single" w:sz="4" w:space="0" w:color="000000"/>
              <w:bottom w:val="single" w:sz="4" w:space="0" w:color="000000"/>
              <w:right w:val="single" w:sz="4" w:space="0" w:color="000000"/>
            </w:tcBorders>
            <w:shd w:val="clear" w:color="auto" w:fill="D2D2D2"/>
          </w:tcPr>
          <w:p>
            <w:pPr/>
          </w:p>
        </w:tc>
        <w:tc>
          <w:tcPr>
            <w:tcW w:w="1683" w:type="dxa"/>
            <w:vMerge/>
            <w:tcBorders>
              <w:left w:val="single" w:sz="4" w:space="0" w:color="000000"/>
              <w:bottom w:val="single" w:sz="4" w:space="0" w:color="000000"/>
              <w:right w:val="single" w:sz="4" w:space="0" w:color="000000"/>
            </w:tcBorders>
            <w:shd w:val="clear" w:color="auto" w:fill="D2D2D2"/>
          </w:tcPr>
          <w:p>
            <w:pP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4"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9"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6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74"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1"/>
              <w:jc w:val="center"/>
              <w:rPr>
                <w:rFonts w:ascii="宋体" w:hAnsi="宋体" w:cs="宋体" w:eastAsia="宋体" w:hint="default"/>
                <w:sz w:val="18"/>
                <w:szCs w:val="18"/>
              </w:rPr>
            </w:pPr>
            <w:r>
              <w:rPr>
                <w:rFonts w:ascii="宋体" w:hAnsi="宋体" w:cs="宋体" w:eastAsia="宋体" w:hint="default"/>
                <w:sz w:val="18"/>
                <w:szCs w:val="18"/>
              </w:rPr>
              <w:t>其他应收坏账准备</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14,906,649.16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0" w:right="0"/>
              <w:jc w:val="left"/>
              <w:rPr>
                <w:rFonts w:ascii="Times New Roman" w:hAnsi="Times New Roman" w:cs="Times New Roman" w:eastAsia="Times New Roman" w:hint="default"/>
                <w:sz w:val="18"/>
                <w:szCs w:val="18"/>
              </w:rPr>
            </w:pPr>
            <w:r>
              <w:rPr>
                <w:rFonts w:ascii="Times New Roman"/>
                <w:sz w:val="18"/>
              </w:rPr>
              <w:t>4,424,469.50</w:t>
            </w:r>
          </w:p>
        </w:tc>
        <w:tc>
          <w:tcPr>
            <w:tcW w:w="141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08"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19,331,118.66</w:t>
            </w:r>
          </w:p>
        </w:tc>
      </w:tr>
      <w:tr>
        <w:trPr>
          <w:trHeight w:val="401" w:hRule="exact"/>
        </w:trPr>
        <w:tc>
          <w:tcPr>
            <w:tcW w:w="1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14,906,649.16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0" w:right="0"/>
              <w:jc w:val="left"/>
              <w:rPr>
                <w:rFonts w:ascii="Times New Roman" w:hAnsi="Times New Roman" w:cs="Times New Roman" w:eastAsia="Times New Roman" w:hint="default"/>
                <w:sz w:val="18"/>
                <w:szCs w:val="18"/>
              </w:rPr>
            </w:pPr>
            <w:r>
              <w:rPr>
                <w:rFonts w:ascii="Times New Roman"/>
                <w:sz w:val="18"/>
              </w:rPr>
              <w:t>4,424,469.50</w:t>
            </w:r>
          </w:p>
        </w:tc>
        <w:tc>
          <w:tcPr>
            <w:tcW w:w="141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08"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19,331,118.66</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3"/>
        <w:spacing w:line="506" w:lineRule="auto" w:before="36"/>
        <w:ind w:left="573" w:right="7460" w:hanging="421"/>
        <w:jc w:val="left"/>
        <w:rPr>
          <w:rFonts w:ascii="宋体" w:hAnsi="宋体" w:cs="宋体" w:eastAsia="宋体" w:hint="default"/>
          <w:b w:val="0"/>
          <w:bCs w:val="0"/>
        </w:rPr>
      </w:pPr>
      <w:bookmarkStart w:name="4）本期实际核销的其他应收款情况" w:id="508"/>
      <w:bookmarkEnd w:id="508"/>
      <w:r>
        <w:rPr>
          <w:b w:val="0"/>
          <w:bCs w:val="0"/>
        </w:rPr>
      </w:r>
      <w:r>
        <w:rPr>
          <w:rFonts w:ascii="Times New Roman" w:hAnsi="Times New Roman" w:cs="Times New Roman" w:eastAsia="Times New Roman" w:hint="default"/>
          <w:spacing w:val="-1"/>
        </w:rPr>
        <w:t>4</w:t>
      </w:r>
      <w:r>
        <w:rPr>
          <w:spacing w:val="-1"/>
        </w:rPr>
        <w:t>）本期实际核销的其他应收款情况</w:t>
      </w:r>
      <w:r>
        <w:rPr>
          <w:spacing w:val="-90"/>
        </w:rPr>
        <w:t> </w:t>
      </w:r>
      <w:r>
        <w:rPr>
          <w:spacing w:val="-90"/>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5）按欠款方归集的期末余额前五名的其他应收款情况" w:id="509"/>
      <w:bookmarkEnd w:id="509"/>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pict>
          <v:group style="position:absolute;margin-left:404.350006pt;margin-top:51.591717pt;width:77.45pt;height:13.6pt;mso-position-horizontal-relative:page;mso-position-vertical-relative:paragraph;z-index:-1333264" coordorigin="8087,1032" coordsize="1549,272">
            <v:shape style="position:absolute;left:8087;top:1032;width:1549;height:272" coordorigin="8087,1032" coordsize="1549,272" path="m8087,1303l9635,1303,9635,1032,8087,1032,8087,1303xe" filled="true" fillcolor="#ffffff" stroked="false">
              <v:path arrowok="t"/>
              <v:fill type="solid"/>
            </v:shape>
            <w10:wrap type="none"/>
          </v:group>
        </w:pict>
      </w: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85"/>
        <w:gridCol w:w="1277"/>
        <w:gridCol w:w="1274"/>
        <w:gridCol w:w="2410"/>
        <w:gridCol w:w="1561"/>
        <w:gridCol w:w="1063"/>
      </w:tblGrid>
      <w:tr>
        <w:trPr>
          <w:trHeight w:val="634"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29"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3"/>
              <w:jc w:val="right"/>
              <w:rPr>
                <w:rFonts w:ascii="宋体" w:hAnsi="宋体" w:cs="宋体" w:eastAsia="宋体" w:hint="default"/>
                <w:sz w:val="18"/>
                <w:szCs w:val="18"/>
              </w:rPr>
            </w:pPr>
            <w:r>
              <w:rPr>
                <w:rFonts w:ascii="宋体" w:hAnsi="宋体" w:cs="宋体" w:eastAsia="宋体" w:hint="default"/>
                <w:sz w:val="18"/>
                <w:szCs w:val="18"/>
              </w:rPr>
              <w:t>款项的性质</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8"/>
              <w:ind w:left="55" w:right="53"/>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8"/>
              <w:ind w:left="167" w:right="163"/>
              <w:jc w:val="left"/>
              <w:rPr>
                <w:rFonts w:ascii="宋体" w:hAnsi="宋体" w:cs="宋体" w:eastAsia="宋体" w:hint="default"/>
                <w:sz w:val="18"/>
                <w:szCs w:val="18"/>
              </w:rPr>
            </w:pPr>
            <w:r>
              <w:rPr>
                <w:rFonts w:ascii="宋体" w:hAnsi="宋体" w:cs="宋体" w:eastAsia="宋体" w:hint="default"/>
                <w:sz w:val="18"/>
                <w:szCs w:val="18"/>
              </w:rPr>
              <w:t>坏账准备 期末余额</w:t>
            </w:r>
          </w:p>
        </w:tc>
      </w:tr>
      <w:tr>
        <w:trPr>
          <w:trHeight w:val="946"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z w:val="18"/>
                <w:szCs w:val="18"/>
              </w:rPr>
              <w:t>子公司往来款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385,821,340.00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137,221,340.00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137,200,000.00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111,400,000.00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32"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18"/>
              <w:ind w:left="972" w:right="0"/>
              <w:jc w:val="left"/>
              <w:rPr>
                <w:rFonts w:ascii="Times New Roman" w:hAnsi="Times New Roman" w:cs="Times New Roman" w:eastAsia="Times New Roman" w:hint="default"/>
                <w:sz w:val="18"/>
                <w:szCs w:val="18"/>
              </w:rPr>
            </w:pPr>
            <w:r>
              <w:rPr>
                <w:rFonts w:ascii="Times New Roman"/>
                <w:sz w:val="18"/>
              </w:rPr>
              <w:t>61.10%</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9"/>
              <w:jc w:val="left"/>
              <w:rPr>
                <w:rFonts w:ascii="宋体" w:hAnsi="宋体" w:cs="宋体" w:eastAsia="宋体" w:hint="default"/>
                <w:sz w:val="18"/>
                <w:szCs w:val="18"/>
              </w:rPr>
            </w:pPr>
            <w:r>
              <w:rPr>
                <w:rFonts w:ascii="宋体" w:hAnsi="宋体" w:cs="宋体" w:eastAsia="宋体" w:hint="default"/>
                <w:sz w:val="18"/>
                <w:szCs w:val="18"/>
              </w:rPr>
              <w:t>四川万达智能安防数据 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z w:val="18"/>
                <w:szCs w:val="18"/>
              </w:rPr>
              <w:t>子公司往来款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46,800,000.00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7.41%</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570"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24" w:right="0"/>
              <w:jc w:val="left"/>
              <w:rPr>
                <w:rFonts w:ascii="宋体" w:hAnsi="宋体" w:cs="宋体" w:eastAsia="宋体" w:hint="default"/>
                <w:sz w:val="18"/>
                <w:szCs w:val="18"/>
              </w:rPr>
            </w:pPr>
            <w:r>
              <w:rPr>
                <w:rFonts w:ascii="宋体" w:hAnsi="宋体" w:cs="宋体" w:eastAsia="宋体" w:hint="default"/>
                <w:sz w:val="18"/>
                <w:szCs w:val="18"/>
              </w:rPr>
              <w:t>杭州万达信息有限公司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right="161"/>
              <w:jc w:val="right"/>
              <w:rPr>
                <w:rFonts w:ascii="宋体" w:hAnsi="宋体" w:cs="宋体" w:eastAsia="宋体" w:hint="default"/>
                <w:sz w:val="18"/>
                <w:szCs w:val="18"/>
              </w:rPr>
            </w:pPr>
            <w:r>
              <w:rPr>
                <w:rFonts w:ascii="宋体" w:hAnsi="宋体" w:cs="宋体" w:eastAsia="宋体" w:hint="default"/>
                <w:sz w:val="18"/>
                <w:szCs w:val="18"/>
              </w:rPr>
              <w:t>子公司往来款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22,716,118.59</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2,979,242.46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2,371,059.72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2,121,827.34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8,682,630.92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6,561,358.15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3.60%</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4" w:right="149"/>
              <w:jc w:val="left"/>
              <w:rPr>
                <w:rFonts w:ascii="宋体" w:hAnsi="宋体" w:cs="宋体" w:eastAsia="宋体" w:hint="default"/>
                <w:sz w:val="18"/>
                <w:szCs w:val="18"/>
              </w:rPr>
            </w:pPr>
            <w:r>
              <w:rPr>
                <w:rFonts w:ascii="宋体" w:hAnsi="宋体" w:cs="宋体" w:eastAsia="宋体" w:hint="default"/>
                <w:sz w:val="18"/>
                <w:szCs w:val="18"/>
              </w:rPr>
              <w:t>深圳市万达计算机软件 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z w:val="18"/>
                <w:szCs w:val="18"/>
              </w:rPr>
              <w:t>子公司往来款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17,042,328.90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3,963,443.49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4,154,424.53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8,924,460.88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z w:val="18"/>
              </w:rPr>
              <w:t>2.70%</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49"/>
              <w:jc w:val="left"/>
              <w:rPr>
                <w:rFonts w:ascii="宋体" w:hAnsi="宋体" w:cs="宋体" w:eastAsia="宋体" w:hint="default"/>
                <w:sz w:val="18"/>
                <w:szCs w:val="18"/>
              </w:rPr>
            </w:pPr>
            <w:r>
              <w:rPr>
                <w:rFonts w:ascii="宋体" w:hAnsi="宋体" w:cs="宋体" w:eastAsia="宋体" w:hint="default"/>
                <w:sz w:val="18"/>
                <w:szCs w:val="18"/>
              </w:rPr>
              <w:t>上海恒基浦业资产管理 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z w:val="18"/>
                <w:szCs w:val="18"/>
              </w:rPr>
              <w:t>股权转让尾款</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16,000,000.00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2,605,083.79</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274"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93"/>
              <w:ind w:right="7"/>
              <w:jc w:val="right"/>
              <w:rPr>
                <w:rFonts w:ascii="Times New Roman" w:hAnsi="Times New Roman" w:cs="Times New Roman" w:eastAsia="Times New Roman" w:hint="default"/>
                <w:sz w:val="18"/>
                <w:szCs w:val="18"/>
              </w:rPr>
            </w:pPr>
            <w:r>
              <w:rPr>
                <w:rFonts w:ascii="Times New Roman"/>
                <w:spacing w:val="-1"/>
                <w:sz w:val="18"/>
              </w:rPr>
              <w:t>488,379,787.49</w:t>
            </w:r>
          </w:p>
        </w:tc>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77.34%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 w:right="0"/>
              <w:jc w:val="center"/>
              <w:rPr>
                <w:rFonts w:ascii="Times New Roman" w:hAnsi="Times New Roman" w:cs="Times New Roman" w:eastAsia="Times New Roman" w:hint="default"/>
                <w:sz w:val="18"/>
                <w:szCs w:val="18"/>
              </w:rPr>
            </w:pPr>
            <w:r>
              <w:rPr>
                <w:rFonts w:ascii="Times New Roman"/>
                <w:sz w:val="18"/>
              </w:rPr>
              <w:t>2,605,083.79</w:t>
            </w:r>
          </w:p>
        </w:tc>
      </w:tr>
    </w:tbl>
    <w:p>
      <w:pPr>
        <w:spacing w:line="240" w:lineRule="auto" w:before="3"/>
        <w:rPr>
          <w:rFonts w:ascii="宋体" w:hAnsi="宋体" w:cs="宋体" w:eastAsia="宋体" w:hint="default"/>
          <w:sz w:val="19"/>
          <w:szCs w:val="19"/>
        </w:rPr>
      </w:pPr>
    </w:p>
    <w:p>
      <w:pPr>
        <w:pStyle w:val="Heading3"/>
        <w:spacing w:line="506" w:lineRule="auto" w:before="36"/>
        <w:ind w:left="573" w:right="8132" w:hanging="421"/>
        <w:jc w:val="left"/>
        <w:rPr>
          <w:rFonts w:ascii="宋体" w:hAnsi="宋体" w:cs="宋体" w:eastAsia="宋体" w:hint="default"/>
          <w:b w:val="0"/>
          <w:bCs w:val="0"/>
        </w:rPr>
      </w:pPr>
      <w:bookmarkStart w:name="6）涉及政府补助的应收款项" w:id="510"/>
      <w:bookmarkEnd w:id="510"/>
      <w:r>
        <w:rPr>
          <w:b w:val="0"/>
          <w:bCs w:val="0"/>
        </w:rPr>
      </w:r>
      <w:r>
        <w:rPr>
          <w:rFonts w:ascii="Times New Roman" w:hAnsi="Times New Roman" w:cs="Times New Roman" w:eastAsia="Times New Roman" w:hint="default"/>
          <w:spacing w:val="-1"/>
        </w:rPr>
        <w:t>6</w:t>
      </w:r>
      <w:r>
        <w:rPr>
          <w:spacing w:val="-1"/>
        </w:rPr>
        <w:t>）涉及政府补助的应收款项</w:t>
      </w:r>
      <w:r>
        <w:rPr>
          <w:spacing w:val="-94"/>
        </w:rPr>
        <w:t> </w:t>
      </w:r>
      <w:r>
        <w:rPr>
          <w:spacing w:val="-94"/>
        </w:rPr>
      </w:r>
      <w:r>
        <w:rPr>
          <w:rFonts w:ascii="宋体" w:hAnsi="宋体" w:cs="宋体" w:eastAsia="宋体" w:hint="default"/>
          <w:b w:val="0"/>
          <w:bCs w:val="0"/>
        </w:rPr>
        <w:t>无</w:t>
      </w:r>
    </w:p>
    <w:p>
      <w:pPr>
        <w:pStyle w:val="Heading3"/>
        <w:spacing w:line="506" w:lineRule="auto" w:before="104"/>
        <w:ind w:left="573" w:right="6614" w:hanging="421"/>
        <w:jc w:val="left"/>
        <w:rPr>
          <w:rFonts w:ascii="宋体" w:hAnsi="宋体" w:cs="宋体" w:eastAsia="宋体" w:hint="default"/>
          <w:b w:val="0"/>
          <w:bCs w:val="0"/>
        </w:rPr>
      </w:pPr>
      <w:bookmarkStart w:name="7）因金融资产转移而终止确认的其他应收款" w:id="511"/>
      <w:bookmarkEnd w:id="511"/>
      <w:r>
        <w:rPr>
          <w:b w:val="0"/>
          <w:bCs w:val="0"/>
        </w:rPr>
      </w:r>
      <w:r>
        <w:rPr>
          <w:rFonts w:ascii="Times New Roman" w:hAnsi="Times New Roman" w:cs="Times New Roman" w:eastAsia="Times New Roman" w:hint="default"/>
          <w:spacing w:val="-1"/>
        </w:rPr>
        <w:t>7</w:t>
      </w:r>
      <w:r>
        <w:rPr>
          <w:spacing w:val="-1"/>
        </w:rPr>
        <w:t>）因金融资产转移而终止确认的其他应收款</w:t>
      </w:r>
      <w:r>
        <w:rPr>
          <w:spacing w:val="-84"/>
        </w:rPr>
        <w:t> </w:t>
      </w:r>
      <w:r>
        <w:rPr>
          <w:spacing w:val="-84"/>
        </w:rPr>
      </w:r>
      <w:r>
        <w:rPr>
          <w:rFonts w:ascii="宋体" w:hAnsi="宋体" w:cs="宋体" w:eastAsia="宋体" w:hint="default"/>
          <w:b w:val="0"/>
          <w:bCs w:val="0"/>
        </w:rPr>
        <w:t>无</w:t>
      </w:r>
    </w:p>
    <w:p>
      <w:pPr>
        <w:pStyle w:val="Heading3"/>
        <w:spacing w:line="506" w:lineRule="auto" w:before="104"/>
        <w:ind w:left="573" w:right="5714" w:hanging="421"/>
        <w:jc w:val="left"/>
        <w:rPr>
          <w:rFonts w:ascii="宋体" w:hAnsi="宋体" w:cs="宋体" w:eastAsia="宋体" w:hint="default"/>
          <w:b w:val="0"/>
          <w:bCs w:val="0"/>
        </w:rPr>
      </w:pPr>
      <w:bookmarkStart w:name="8）转移其他应收款且继续涉入形成的资产、负债金额" w:id="512"/>
      <w:bookmarkEnd w:id="512"/>
      <w:r>
        <w:rPr>
          <w:b w:val="0"/>
          <w:bCs w:val="0"/>
        </w:rPr>
      </w:r>
      <w:r>
        <w:rPr>
          <w:rFonts w:ascii="Times New Roman" w:hAnsi="Times New Roman" w:cs="Times New Roman" w:eastAsia="Times New Roman" w:hint="default"/>
          <w:spacing w:val="-1"/>
        </w:rPr>
        <w:t>8</w:t>
      </w:r>
      <w:r>
        <w:rPr>
          <w:spacing w:val="-1"/>
        </w:rPr>
        <w:t>）转移其他应收款且继续涉入形成的资产、负债金额</w:t>
      </w:r>
      <w:r>
        <w:rPr>
          <w:spacing w:val="-85"/>
        </w:rPr>
        <w:t> </w:t>
      </w:r>
      <w:r>
        <w:rPr>
          <w:spacing w:val="-85"/>
        </w:rPr>
      </w:r>
      <w:r>
        <w:rPr>
          <w:rFonts w:ascii="宋体" w:hAnsi="宋体" w:cs="宋体" w:eastAsia="宋体" w:hint="default"/>
          <w:b w:val="0"/>
          <w:bCs w:val="0"/>
        </w:rPr>
        <w:t>无</w:t>
      </w:r>
    </w:p>
    <w:p>
      <w:pPr>
        <w:pStyle w:val="Heading3"/>
        <w:spacing w:line="240" w:lineRule="auto" w:before="104"/>
        <w:ind w:right="2602"/>
        <w:jc w:val="left"/>
        <w:rPr>
          <w:b w:val="0"/>
          <w:bCs w:val="0"/>
        </w:rPr>
      </w:pPr>
      <w:bookmarkStart w:name="3、长期股权投资" w:id="513"/>
      <w:bookmarkEnd w:id="513"/>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42"/>
        <w:gridCol w:w="1419"/>
        <w:gridCol w:w="1133"/>
        <w:gridCol w:w="1419"/>
        <w:gridCol w:w="1418"/>
        <w:gridCol w:w="973"/>
        <w:gridCol w:w="1368"/>
      </w:tblGrid>
      <w:tr>
        <w:trPr>
          <w:trHeight w:val="402" w:hRule="exact"/>
        </w:trPr>
        <w:tc>
          <w:tcPr>
            <w:tcW w:w="18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97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75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4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833"/>
        <w:gridCol w:w="1418"/>
        <w:gridCol w:w="1133"/>
        <w:gridCol w:w="1419"/>
        <w:gridCol w:w="1418"/>
        <w:gridCol w:w="973"/>
        <w:gridCol w:w="1368"/>
      </w:tblGrid>
      <w:tr>
        <w:trPr>
          <w:trHeight w:val="206" w:hRule="exact"/>
        </w:trPr>
        <w:tc>
          <w:tcPr>
            <w:tcW w:w="1833" w:type="dxa"/>
            <w:tcBorders>
              <w:top w:val="single" w:sz="4" w:space="0" w:color="000000"/>
              <w:left w:val="single" w:sz="4" w:space="0" w:color="000000"/>
              <w:bottom w:val="nil" w:sz="6" w:space="0" w:color="auto"/>
              <w:right w:val="single" w:sz="4" w:space="0" w:color="000000"/>
            </w:tcBorders>
            <w:shd w:val="clear" w:color="auto" w:fill="D2D2D2"/>
          </w:tcPr>
          <w:p>
            <w:pPr/>
          </w:p>
        </w:tc>
        <w:tc>
          <w:tcPr>
            <w:tcW w:w="396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75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83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969" w:type="dxa"/>
            <w:gridSpan w:val="3"/>
            <w:vMerge/>
            <w:tcBorders>
              <w:left w:val="single" w:sz="4" w:space="0" w:color="000000"/>
              <w:bottom w:val="single" w:sz="4" w:space="0" w:color="000000"/>
              <w:right w:val="single" w:sz="4" w:space="0" w:color="000000"/>
            </w:tcBorders>
            <w:shd w:val="clear" w:color="auto" w:fill="D2D2D2"/>
          </w:tcPr>
          <w:p>
            <w:pPr/>
          </w:p>
        </w:tc>
        <w:tc>
          <w:tcPr>
            <w:tcW w:w="3759"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833" w:type="dxa"/>
            <w:vMerge/>
            <w:tcBorders>
              <w:left w:val="single" w:sz="4" w:space="0" w:color="000000"/>
              <w:bottom w:val="nil" w:sz="6" w:space="0" w:color="auto"/>
              <w:right w:val="single" w:sz="4" w:space="0" w:color="000000"/>
            </w:tcBorders>
            <w:shd w:val="clear" w:color="auto" w:fill="D2D2D2"/>
          </w:tcPr>
          <w:p>
            <w:pPr/>
          </w:p>
        </w:tc>
        <w:tc>
          <w:tcPr>
            <w:tcW w:w="14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4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0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4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833"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c>
          <w:tcPr>
            <w:tcW w:w="973"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41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1,810,348,495.43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22,940,000.00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1,787,408,495.43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1,772,348,495.43</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1,772,348,495.43</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对联营、合营企业投资</w:t>
            </w:r>
          </w:p>
        </w:tc>
        <w:tc>
          <w:tcPr>
            <w:tcW w:w="141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83,700,201.58</w:t>
            </w:r>
          </w:p>
        </w:tc>
        <w:tc>
          <w:tcPr>
            <w:tcW w:w="113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83,700,201.58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76,199,843.17</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76,199,843.17</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1,894,048,697.01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22,940,000.00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1,871,108,697.01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1,848,548,338.60</w:t>
            </w:r>
          </w:p>
        </w:tc>
        <w:tc>
          <w:tcPr>
            <w:tcW w:w="97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1,848,548,338.60</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1）对子公司投资" w:id="514"/>
      <w:bookmarkEnd w:id="514"/>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844"/>
        <w:gridCol w:w="1419"/>
        <w:gridCol w:w="1133"/>
        <w:gridCol w:w="850"/>
        <w:gridCol w:w="1277"/>
        <w:gridCol w:w="425"/>
        <w:gridCol w:w="1412"/>
        <w:gridCol w:w="1214"/>
      </w:tblGrid>
      <w:tr>
        <w:trPr>
          <w:trHeight w:val="402" w:hRule="exact"/>
        </w:trPr>
        <w:tc>
          <w:tcPr>
            <w:tcW w:w="184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68"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3"/>
              <w:ind w:left="345"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118"/>
              <w:ind w:left="28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账面价值</w:t>
            </w:r>
            <w:r>
              <w:rPr>
                <w:rFonts w:ascii="Times New Roman" w:hAnsi="Times New Roman" w:cs="Times New Roman" w:eastAsia="Times New Roman" w:hint="default"/>
                <w:sz w:val="18"/>
                <w:szCs w:val="18"/>
              </w:rPr>
              <w:t>)</w:t>
            </w:r>
          </w:p>
        </w:tc>
        <w:tc>
          <w:tcPr>
            <w:tcW w:w="368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4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3"/>
              <w:ind w:left="340"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118"/>
              <w:ind w:left="28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账面价值</w:t>
            </w:r>
            <w:r>
              <w:rPr>
                <w:rFonts w:ascii="Times New Roman" w:hAnsi="Times New Roman" w:cs="Times New Roman" w:eastAsia="Times New Roman" w:hint="default"/>
                <w:sz w:val="18"/>
                <w:szCs w:val="18"/>
              </w:rPr>
              <w:t>)</w:t>
            </w:r>
          </w:p>
        </w:tc>
        <w:tc>
          <w:tcPr>
            <w:tcW w:w="1214" w:type="dxa"/>
            <w:vMerge w:val="restart"/>
            <w:tcBorders>
              <w:top w:val="single" w:sz="4" w:space="0" w:color="000000"/>
              <w:left w:val="single" w:sz="4" w:space="0" w:color="000000"/>
              <w:right w:val="single" w:sz="4" w:space="0" w:color="000000"/>
            </w:tcBorders>
            <w:shd w:val="clear" w:color="auto" w:fill="D2D2D2"/>
          </w:tcPr>
          <w:p>
            <w:pPr>
              <w:pStyle w:val="TableParagraph"/>
              <w:spacing w:line="360" w:lineRule="auto" w:before="73"/>
              <w:ind w:left="242" w:right="240"/>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403" w:hRule="exact"/>
        </w:trPr>
        <w:tc>
          <w:tcPr>
            <w:tcW w:w="1844"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1"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5" w:right="0"/>
              <w:jc w:val="left"/>
              <w:rPr>
                <w:rFonts w:ascii="宋体" w:hAnsi="宋体" w:cs="宋体" w:eastAsia="宋体" w:hint="default"/>
                <w:sz w:val="18"/>
                <w:szCs w:val="18"/>
              </w:rPr>
            </w:pPr>
            <w:r>
              <w:rPr>
                <w:rFonts w:ascii="宋体" w:hAnsi="宋体" w:cs="宋体" w:eastAsia="宋体" w:hint="default"/>
                <w:sz w:val="18"/>
                <w:szCs w:val="18"/>
              </w:rPr>
              <w:t>计提减值准备</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2" w:type="dxa"/>
            <w:vMerge/>
            <w:tcBorders>
              <w:left w:val="single" w:sz="4" w:space="0" w:color="000000"/>
              <w:bottom w:val="single" w:sz="4" w:space="0" w:color="000000"/>
              <w:right w:val="single" w:sz="4" w:space="0" w:color="000000"/>
            </w:tcBorders>
            <w:shd w:val="clear" w:color="auto" w:fill="D2D2D2"/>
          </w:tcPr>
          <w:p>
            <w:pPr/>
          </w:p>
        </w:tc>
        <w:tc>
          <w:tcPr>
            <w:tcW w:w="1214"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宁波万达信息系统有限 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1,800,000.00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1,800,000.00</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34"/>
              <w:jc w:val="center"/>
              <w:rPr>
                <w:rFonts w:ascii="宋体" w:hAnsi="宋体" w:cs="宋体" w:eastAsia="宋体" w:hint="default"/>
                <w:sz w:val="18"/>
                <w:szCs w:val="18"/>
              </w:rPr>
            </w:pPr>
            <w:r>
              <w:rPr>
                <w:rFonts w:ascii="宋体" w:hAnsi="宋体" w:cs="宋体" w:eastAsia="宋体" w:hint="default"/>
                <w:sz w:val="18"/>
                <w:szCs w:val="18"/>
              </w:rPr>
              <w:t>美国万达信息有限公司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4,611,115.10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4,611,115.10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杭州万达信息系统有限 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1,880,000.00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1,880,000.00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1,880,000.00</w:t>
            </w: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 w:right="34"/>
              <w:jc w:val="left"/>
              <w:rPr>
                <w:rFonts w:ascii="宋体" w:hAnsi="宋体" w:cs="宋体" w:eastAsia="宋体" w:hint="default"/>
                <w:sz w:val="18"/>
                <w:szCs w:val="18"/>
              </w:rPr>
            </w:pPr>
            <w:r>
              <w:rPr>
                <w:rFonts w:ascii="宋体" w:hAnsi="宋体" w:cs="宋体" w:eastAsia="宋体" w:hint="default"/>
                <w:sz w:val="18"/>
                <w:szCs w:val="18"/>
              </w:rPr>
              <w:t>上海万达信息系统有限 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深圳市万达信息有限公 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716"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 w:right="34"/>
              <w:jc w:val="left"/>
              <w:rPr>
                <w:rFonts w:ascii="宋体" w:hAnsi="宋体" w:cs="宋体" w:eastAsia="宋体" w:hint="default"/>
                <w:sz w:val="18"/>
                <w:szCs w:val="18"/>
              </w:rPr>
            </w:pPr>
            <w:r>
              <w:rPr>
                <w:rFonts w:ascii="宋体" w:hAnsi="宋体" w:cs="宋体" w:eastAsia="宋体" w:hint="default"/>
                <w:sz w:val="18"/>
                <w:szCs w:val="18"/>
              </w:rPr>
              <w:t>上海爱递吉供应链管理 服务有限公司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2,750,000.00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2,750,000.00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2,750,000.00</w:t>
            </w: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上海万达信息服务有限 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 w:right="34"/>
              <w:jc w:val="left"/>
              <w:rPr>
                <w:rFonts w:ascii="宋体" w:hAnsi="宋体" w:cs="宋体" w:eastAsia="宋体" w:hint="default"/>
                <w:sz w:val="18"/>
                <w:szCs w:val="18"/>
              </w:rPr>
            </w:pPr>
            <w:r>
              <w:rPr>
                <w:rFonts w:ascii="宋体" w:hAnsi="宋体" w:cs="宋体" w:eastAsia="宋体" w:hint="default"/>
                <w:sz w:val="18"/>
                <w:szCs w:val="18"/>
              </w:rPr>
              <w:t>上海卫生信息工程技术 研究中心有限公司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上海华奕医疗信息技术 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2,743,182.91</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2,743,182.91</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 w:right="34"/>
              <w:jc w:val="left"/>
              <w:rPr>
                <w:rFonts w:ascii="宋体" w:hAnsi="宋体" w:cs="宋体" w:eastAsia="宋体" w:hint="default"/>
                <w:sz w:val="18"/>
                <w:szCs w:val="18"/>
              </w:rPr>
            </w:pPr>
            <w:r>
              <w:rPr>
                <w:rFonts w:ascii="宋体" w:hAnsi="宋体" w:cs="宋体" w:eastAsia="宋体" w:hint="default"/>
                <w:sz w:val="18"/>
                <w:szCs w:val="18"/>
              </w:rPr>
              <w:t>天津万达信息技术有限 责任公司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北京万达全城信息系统 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34"/>
              <w:jc w:val="center"/>
              <w:rPr>
                <w:rFonts w:ascii="宋体" w:hAnsi="宋体" w:cs="宋体" w:eastAsia="宋体" w:hint="default"/>
                <w:sz w:val="18"/>
                <w:szCs w:val="18"/>
              </w:rPr>
            </w:pPr>
            <w:r>
              <w:rPr>
                <w:rFonts w:ascii="宋体" w:hAnsi="宋体" w:cs="宋体" w:eastAsia="宋体" w:hint="default"/>
                <w:sz w:val="18"/>
                <w:szCs w:val="18"/>
              </w:rPr>
              <w:t>上海格言管理有限公司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上海市民信箱信息服务 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51,960,225.86</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51,960,225.86</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34"/>
              <w:jc w:val="center"/>
              <w:rPr>
                <w:rFonts w:ascii="宋体" w:hAnsi="宋体" w:cs="宋体" w:eastAsia="宋体" w:hint="default"/>
                <w:sz w:val="18"/>
                <w:szCs w:val="18"/>
              </w:rPr>
            </w:pPr>
            <w:r>
              <w:rPr>
                <w:rFonts w:ascii="宋体" w:hAnsi="宋体" w:cs="宋体" w:eastAsia="宋体" w:hint="default"/>
                <w:sz w:val="18"/>
                <w:szCs w:val="18"/>
              </w:rPr>
              <w:t>四川浩特通信有限公司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242,083,971.56</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242,083,971.56</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 w:right="34"/>
              <w:jc w:val="center"/>
              <w:rPr>
                <w:rFonts w:ascii="宋体" w:hAnsi="宋体" w:cs="宋体" w:eastAsia="宋体" w:hint="default"/>
                <w:sz w:val="18"/>
                <w:szCs w:val="18"/>
              </w:rPr>
            </w:pPr>
            <w:r>
              <w:rPr>
                <w:rFonts w:ascii="宋体" w:hAnsi="宋体" w:cs="宋体" w:eastAsia="宋体" w:hint="default"/>
                <w:sz w:val="18"/>
                <w:szCs w:val="18"/>
              </w:rPr>
              <w:t>宁波金唐软件有限公司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c>
          <w:tcPr>
            <w:tcW w:w="12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844"/>
        <w:gridCol w:w="1419"/>
        <w:gridCol w:w="1133"/>
        <w:gridCol w:w="850"/>
        <w:gridCol w:w="1277"/>
        <w:gridCol w:w="425"/>
        <w:gridCol w:w="1412"/>
        <w:gridCol w:w="1214"/>
      </w:tblGrid>
      <w:tr>
        <w:trPr>
          <w:trHeight w:val="402" w:hRule="exact"/>
        </w:trPr>
        <w:tc>
          <w:tcPr>
            <w:tcW w:w="184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68"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5"/>
              <w:ind w:left="345"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115"/>
              <w:ind w:left="28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账面价值</w:t>
            </w:r>
            <w:r>
              <w:rPr>
                <w:rFonts w:ascii="Times New Roman" w:hAnsi="Times New Roman" w:cs="Times New Roman" w:eastAsia="Times New Roman" w:hint="default"/>
                <w:sz w:val="18"/>
                <w:szCs w:val="18"/>
              </w:rPr>
              <w:t>)</w:t>
            </w:r>
          </w:p>
        </w:tc>
        <w:tc>
          <w:tcPr>
            <w:tcW w:w="368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4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5"/>
              <w:ind w:left="340"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115"/>
              <w:ind w:left="28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账面价值</w:t>
            </w:r>
            <w:r>
              <w:rPr>
                <w:rFonts w:ascii="Times New Roman" w:hAnsi="Times New Roman" w:cs="Times New Roman" w:eastAsia="Times New Roman" w:hint="default"/>
                <w:sz w:val="18"/>
                <w:szCs w:val="18"/>
              </w:rPr>
              <w:t>)</w:t>
            </w:r>
          </w:p>
        </w:tc>
        <w:tc>
          <w:tcPr>
            <w:tcW w:w="1214" w:type="dxa"/>
            <w:vMerge w:val="restart"/>
            <w:tcBorders>
              <w:top w:val="single" w:sz="4" w:space="0" w:color="000000"/>
              <w:left w:val="single" w:sz="4" w:space="0" w:color="000000"/>
              <w:right w:val="single" w:sz="4" w:space="0" w:color="000000"/>
            </w:tcBorders>
            <w:shd w:val="clear" w:color="auto" w:fill="D2D2D2"/>
          </w:tcPr>
          <w:p>
            <w:pPr>
              <w:pStyle w:val="TableParagraph"/>
              <w:spacing w:line="357" w:lineRule="auto" w:before="75"/>
              <w:ind w:left="242" w:right="240"/>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402" w:hRule="exact"/>
        </w:trPr>
        <w:tc>
          <w:tcPr>
            <w:tcW w:w="1844"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追加投资</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5" w:right="0"/>
              <w:jc w:val="left"/>
              <w:rPr>
                <w:rFonts w:ascii="宋体" w:hAnsi="宋体" w:cs="宋体" w:eastAsia="宋体" w:hint="default"/>
                <w:sz w:val="18"/>
                <w:szCs w:val="18"/>
              </w:rPr>
            </w:pPr>
            <w:r>
              <w:rPr>
                <w:rFonts w:ascii="宋体" w:hAnsi="宋体" w:cs="宋体" w:eastAsia="宋体" w:hint="default"/>
                <w:sz w:val="18"/>
                <w:szCs w:val="18"/>
              </w:rPr>
              <w:t>计提减值准备</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2" w:type="dxa"/>
            <w:vMerge/>
            <w:tcBorders>
              <w:left w:val="single" w:sz="4" w:space="0" w:color="000000"/>
              <w:bottom w:val="single" w:sz="4" w:space="0" w:color="000000"/>
              <w:right w:val="single" w:sz="4" w:space="0" w:color="000000"/>
            </w:tcBorders>
            <w:shd w:val="clear" w:color="auto" w:fill="D2D2D2"/>
          </w:tcPr>
          <w:p>
            <w:pPr/>
          </w:p>
        </w:tc>
        <w:tc>
          <w:tcPr>
            <w:tcW w:w="1214"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上海复高计算机科技有 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 w:right="34"/>
              <w:jc w:val="left"/>
              <w:rPr>
                <w:rFonts w:ascii="宋体" w:hAnsi="宋体" w:cs="宋体" w:eastAsia="宋体" w:hint="default"/>
                <w:sz w:val="18"/>
                <w:szCs w:val="18"/>
              </w:rPr>
            </w:pPr>
            <w:r>
              <w:rPr>
                <w:rFonts w:ascii="宋体" w:hAnsi="宋体" w:cs="宋体" w:eastAsia="宋体" w:hint="default"/>
                <w:sz w:val="18"/>
                <w:szCs w:val="18"/>
              </w:rPr>
              <w:t>湖南凯歌医疗信息技术 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湖南万达智慧城市信息 技术有限公司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 w:right="34"/>
              <w:jc w:val="left"/>
              <w:rPr>
                <w:rFonts w:ascii="宋体" w:hAnsi="宋体" w:cs="宋体" w:eastAsia="宋体" w:hint="default"/>
                <w:sz w:val="18"/>
                <w:szCs w:val="18"/>
              </w:rPr>
            </w:pPr>
            <w:r>
              <w:rPr>
                <w:rFonts w:ascii="宋体" w:hAnsi="宋体" w:cs="宋体" w:eastAsia="宋体" w:hint="default"/>
                <w:sz w:val="18"/>
                <w:szCs w:val="18"/>
              </w:rPr>
              <w:t>万达云医疗科技健康产 业（上海）有限公司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510,000.00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510,000.00</w:t>
            </w: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四川万达智城云数据有 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 w:right="34"/>
              <w:jc w:val="left"/>
              <w:rPr>
                <w:rFonts w:ascii="宋体" w:hAnsi="宋体" w:cs="宋体" w:eastAsia="宋体" w:hint="default"/>
                <w:sz w:val="18"/>
                <w:szCs w:val="18"/>
              </w:rPr>
            </w:pPr>
            <w:r>
              <w:rPr>
                <w:rFonts w:ascii="宋体" w:hAnsi="宋体" w:cs="宋体" w:eastAsia="宋体" w:hint="default"/>
                <w:sz w:val="18"/>
                <w:szCs w:val="18"/>
              </w:rPr>
              <w:t>宁波市万达数据应用服 务有限公司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38,000,000.00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四川万达健康数据有限 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 w:right="34"/>
              <w:jc w:val="left"/>
              <w:rPr>
                <w:rFonts w:ascii="宋体" w:hAnsi="宋体" w:cs="宋体" w:eastAsia="宋体" w:hint="default"/>
                <w:sz w:val="18"/>
                <w:szCs w:val="18"/>
              </w:rPr>
            </w:pPr>
            <w:r>
              <w:rPr>
                <w:rFonts w:ascii="宋体" w:hAnsi="宋体" w:cs="宋体" w:eastAsia="宋体" w:hint="default"/>
                <w:sz w:val="18"/>
                <w:szCs w:val="18"/>
              </w:rPr>
              <w:t>万达志翔医疗科技（北 京）有限责任公司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35,000,000.00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35,000,000.00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 w:right="34"/>
              <w:jc w:val="left"/>
              <w:rPr>
                <w:rFonts w:ascii="宋体" w:hAnsi="宋体" w:cs="宋体" w:eastAsia="宋体" w:hint="default"/>
                <w:sz w:val="18"/>
                <w:szCs w:val="18"/>
              </w:rPr>
            </w:pPr>
            <w:r>
              <w:rPr>
                <w:rFonts w:ascii="宋体" w:hAnsi="宋体" w:cs="宋体" w:eastAsia="宋体" w:hint="default"/>
                <w:sz w:val="18"/>
                <w:szCs w:val="18"/>
              </w:rPr>
              <w:t>上海耀学信息科技有限 公司</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510,000.00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510,000.00</w:t>
            </w:r>
          </w:p>
        </w:tc>
        <w:tc>
          <w:tcPr>
            <w:tcW w:w="1214"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1,772,348,495.43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45" w:right="0"/>
              <w:jc w:val="center"/>
              <w:rPr>
                <w:rFonts w:ascii="Times New Roman" w:hAnsi="Times New Roman" w:cs="Times New Roman" w:eastAsia="Times New Roman" w:hint="default"/>
                <w:sz w:val="18"/>
                <w:szCs w:val="18"/>
              </w:rPr>
            </w:pPr>
            <w:r>
              <w:rPr>
                <w:rFonts w:ascii="Times New Roman"/>
                <w:sz w:val="18"/>
              </w:rPr>
              <w:t>38,000,000.00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22,940,000.00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1,787,408,495.43</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22,940,000.00</w:t>
            </w: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2）对联营、合营企业投资" w:id="515"/>
      <w:bookmarkEnd w:id="515"/>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97"/>
        <w:gridCol w:w="763"/>
        <w:gridCol w:w="850"/>
        <w:gridCol w:w="711"/>
        <w:gridCol w:w="566"/>
        <w:gridCol w:w="1133"/>
        <w:gridCol w:w="711"/>
        <w:gridCol w:w="708"/>
        <w:gridCol w:w="850"/>
        <w:gridCol w:w="425"/>
        <w:gridCol w:w="464"/>
        <w:gridCol w:w="799"/>
        <w:gridCol w:w="797"/>
      </w:tblGrid>
      <w:tr>
        <w:trPr>
          <w:trHeight w:val="402"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161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300" w:lineRule="auto"/>
              <w:ind w:left="681" w:right="139" w:hanging="540"/>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5567"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09" w:lineRule="auto"/>
              <w:ind w:left="33" w:right="35"/>
              <w:jc w:val="center"/>
              <w:rPr>
                <w:rFonts w:ascii="Times New Roman" w:hAnsi="Times New Roman" w:cs="Times New Roman" w:eastAsia="Times New Roman" w:hint="default"/>
                <w:sz w:val="18"/>
                <w:szCs w:val="18"/>
              </w:rPr>
            </w:pPr>
            <w:r>
              <w:rPr>
                <w:rFonts w:ascii="宋体" w:hAnsi="宋体" w:cs="宋体" w:eastAsia="宋体" w:hint="default"/>
                <w:sz w:val="18"/>
                <w:szCs w:val="18"/>
              </w:rPr>
              <w:t>期末余额 </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1613" w:type="dxa"/>
            <w:gridSpan w:val="2"/>
            <w:vMerge/>
            <w:tcBorders>
              <w:left w:val="single" w:sz="4" w:space="0" w:color="000000"/>
              <w:bottom w:val="single" w:sz="4" w:space="0" w:color="000000"/>
              <w:right w:val="single" w:sz="4" w:space="0" w:color="000000"/>
            </w:tcBorders>
            <w:shd w:val="clear" w:color="auto" w:fill="D2D2D2"/>
          </w:tcPr>
          <w:p>
            <w:pP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59" w:right="80" w:hanging="181"/>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减少 投资</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2" w:right="108"/>
              <w:jc w:val="center"/>
              <w:rPr>
                <w:rFonts w:ascii="宋体" w:hAnsi="宋体" w:cs="宋体" w:eastAsia="宋体" w:hint="default"/>
                <w:sz w:val="18"/>
                <w:szCs w:val="18"/>
              </w:rPr>
            </w:pPr>
            <w:r>
              <w:rPr>
                <w:rFonts w:ascii="宋体" w:hAnsi="宋体" w:cs="宋体" w:eastAsia="宋体" w:hint="default"/>
                <w:sz w:val="18"/>
                <w:szCs w:val="18"/>
              </w:rPr>
              <w:t>权益法下确 认的投资损 益</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9" w:right="81"/>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9" w:right="77"/>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 w:right="59"/>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8" w:right="24"/>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4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5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715"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上海浦江科技投资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12,237,27</w:t>
            </w:r>
          </w:p>
          <w:p>
            <w:pPr>
              <w:pStyle w:val="TableParagraph"/>
              <w:spacing w:line="240" w:lineRule="auto" w:before="102"/>
              <w:ind w:left="503" w:right="0"/>
              <w:jc w:val="left"/>
              <w:rPr>
                <w:rFonts w:ascii="Times New Roman" w:hAnsi="Times New Roman" w:cs="Times New Roman" w:eastAsia="Times New Roman" w:hint="default"/>
                <w:sz w:val="18"/>
                <w:szCs w:val="18"/>
              </w:rPr>
            </w:pPr>
            <w:r>
              <w:rPr>
                <w:rFonts w:ascii="Times New Roman"/>
                <w:sz w:val="18"/>
              </w:rPr>
              <w:t>2.50</w:t>
            </w: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1,055,843.21</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2" w:right="0"/>
              <w:jc w:val="left"/>
              <w:rPr>
                <w:rFonts w:ascii="Times New Roman" w:hAnsi="Times New Roman" w:cs="Times New Roman" w:eastAsia="Times New Roman" w:hint="default"/>
                <w:sz w:val="18"/>
                <w:szCs w:val="18"/>
              </w:rPr>
            </w:pPr>
            <w:r>
              <w:rPr>
                <w:rFonts w:ascii="Times New Roman"/>
                <w:sz w:val="18"/>
              </w:rPr>
              <w:t>13,293,11</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5.71</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上海全程玖玖健康 服务有限公司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11,126,57</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9.44</w:t>
            </w: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1,071,932.63</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12,198,51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2.07</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上海昕鼎网络科技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35,375,67</w:t>
            </w:r>
          </w:p>
          <w:p>
            <w:pPr>
              <w:pStyle w:val="TableParagraph"/>
              <w:spacing w:line="240" w:lineRule="auto" w:before="102"/>
              <w:ind w:left="503" w:right="0"/>
              <w:jc w:val="left"/>
              <w:rPr>
                <w:rFonts w:ascii="Times New Roman" w:hAnsi="Times New Roman" w:cs="Times New Roman" w:eastAsia="Times New Roman" w:hint="default"/>
                <w:sz w:val="18"/>
                <w:szCs w:val="18"/>
              </w:rPr>
            </w:pPr>
            <w:r>
              <w:rPr>
                <w:rFonts w:ascii="Times New Roman"/>
                <w:sz w:val="18"/>
              </w:rPr>
              <w:t>3.64</w:t>
            </w: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1,563,020.46</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36,938,69</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4.10</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上海达保贵生信息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52" w:right="0"/>
              <w:jc w:val="left"/>
              <w:rPr>
                <w:rFonts w:ascii="Times New Roman" w:hAnsi="Times New Roman" w:cs="Times New Roman" w:eastAsia="Times New Roman" w:hint="default"/>
                <w:sz w:val="18"/>
                <w:szCs w:val="18"/>
              </w:rPr>
            </w:pPr>
            <w:r>
              <w:rPr>
                <w:rFonts w:ascii="Times New Roman"/>
                <w:sz w:val="18"/>
              </w:rPr>
              <w:t>8,332,913.</w:t>
            </w: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-185,950.58</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45" w:right="0"/>
              <w:jc w:val="left"/>
              <w:rPr>
                <w:rFonts w:ascii="Times New Roman" w:hAnsi="Times New Roman" w:cs="Times New Roman" w:eastAsia="Times New Roman" w:hint="default"/>
                <w:sz w:val="18"/>
                <w:szCs w:val="18"/>
              </w:rPr>
            </w:pPr>
            <w:r>
              <w:rPr>
                <w:rFonts w:ascii="Times New Roman"/>
                <w:sz w:val="18"/>
              </w:rPr>
              <w:t>8,146,963</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797"/>
        <w:gridCol w:w="763"/>
        <w:gridCol w:w="850"/>
        <w:gridCol w:w="711"/>
        <w:gridCol w:w="566"/>
        <w:gridCol w:w="1133"/>
        <w:gridCol w:w="711"/>
        <w:gridCol w:w="708"/>
        <w:gridCol w:w="850"/>
        <w:gridCol w:w="425"/>
        <w:gridCol w:w="464"/>
        <w:gridCol w:w="799"/>
        <w:gridCol w:w="797"/>
      </w:tblGrid>
      <w:tr>
        <w:trPr>
          <w:trHeight w:val="402"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161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00" w:lineRule="auto"/>
              <w:ind w:left="681" w:right="139" w:hanging="540"/>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5567"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09" w:lineRule="auto"/>
              <w:ind w:left="33" w:right="35"/>
              <w:jc w:val="center"/>
              <w:rPr>
                <w:rFonts w:ascii="Times New Roman" w:hAnsi="Times New Roman" w:cs="Times New Roman" w:eastAsia="Times New Roman" w:hint="default"/>
                <w:sz w:val="18"/>
                <w:szCs w:val="18"/>
              </w:rPr>
            </w:pPr>
            <w:r>
              <w:rPr>
                <w:rFonts w:ascii="宋体" w:hAnsi="宋体" w:cs="宋体" w:eastAsia="宋体" w:hint="default"/>
                <w:sz w:val="18"/>
                <w:szCs w:val="18"/>
              </w:rPr>
              <w:t>期末余额 </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1613" w:type="dxa"/>
            <w:gridSpan w:val="2"/>
            <w:vMerge/>
            <w:tcBorders>
              <w:left w:val="single" w:sz="4" w:space="0" w:color="000000"/>
              <w:bottom w:val="single" w:sz="4" w:space="0" w:color="000000"/>
              <w:right w:val="single" w:sz="4" w:space="0" w:color="000000"/>
            </w:tcBorders>
            <w:shd w:val="clear" w:color="auto" w:fill="D2D2D2"/>
          </w:tcPr>
          <w:p>
            <w:pP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59" w:right="80" w:hanging="181"/>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98" w:right="96"/>
              <w:jc w:val="left"/>
              <w:rPr>
                <w:rFonts w:ascii="宋体" w:hAnsi="宋体" w:cs="宋体" w:eastAsia="宋体" w:hint="default"/>
                <w:sz w:val="18"/>
                <w:szCs w:val="18"/>
              </w:rPr>
            </w:pPr>
            <w:r>
              <w:rPr>
                <w:rFonts w:ascii="宋体" w:hAnsi="宋体" w:cs="宋体" w:eastAsia="宋体" w:hint="default"/>
                <w:sz w:val="18"/>
                <w:szCs w:val="18"/>
              </w:rPr>
              <w:t>减少 投资</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12" w:right="108"/>
              <w:jc w:val="center"/>
              <w:rPr>
                <w:rFonts w:ascii="宋体" w:hAnsi="宋体" w:cs="宋体" w:eastAsia="宋体" w:hint="default"/>
                <w:sz w:val="18"/>
                <w:szCs w:val="18"/>
              </w:rPr>
            </w:pPr>
            <w:r>
              <w:rPr>
                <w:rFonts w:ascii="宋体" w:hAnsi="宋体" w:cs="宋体" w:eastAsia="宋体" w:hint="default"/>
                <w:sz w:val="18"/>
                <w:szCs w:val="18"/>
              </w:rPr>
              <w:t>权益法下确 认的投资损 益</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79" w:right="81"/>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79" w:right="77"/>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59" w:right="59"/>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8" w:right="24"/>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4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5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362"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科技股份有限公司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z w:val="18"/>
              </w:rPr>
              <w:t>85</w:t>
            </w: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.27</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上海久事智慧体育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3,957,807.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49</w:t>
            </w: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-3,957,807.49</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上海万达健青网络 科技有限公司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171,031.1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-9,501.</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73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3,284.98</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164,814.3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成都天府市民云服 务有限公司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4,998,565.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3,600,00</w:t>
            </w:r>
          </w:p>
          <w:p>
            <w:pPr>
              <w:pStyle w:val="TableParagraph"/>
              <w:spacing w:line="240" w:lineRule="auto" w:before="105"/>
              <w:ind w:left="363" w:right="0"/>
              <w:jc w:val="left"/>
              <w:rPr>
                <w:rFonts w:ascii="Times New Roman" w:hAnsi="Times New Roman" w:cs="Times New Roman" w:eastAsia="Times New Roman" w:hint="default"/>
                <w:sz w:val="18"/>
                <w:szCs w:val="18"/>
              </w:rPr>
            </w:pPr>
            <w:r>
              <w:rPr>
                <w:rFonts w:ascii="Times New Roman"/>
                <w:sz w:val="18"/>
              </w:rPr>
              <w:t>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1,166,351.63</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9,764,916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.75</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上海牵翼网络科技 有限公司</w:t>
            </w:r>
          </w:p>
        </w:tc>
        <w:tc>
          <w:tcPr>
            <w:tcW w:w="850"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上海国奇数据科技 有限公司</w:t>
            </w:r>
          </w:p>
        </w:tc>
        <w:tc>
          <w:tcPr>
            <w:tcW w:w="850"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宁夏智慧医疗科技 股份有限公司</w:t>
            </w:r>
          </w:p>
        </w:tc>
        <w:tc>
          <w:tcPr>
            <w:tcW w:w="850"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632,250.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-146,427.72</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485,822.2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长沙市民云信息服 务有限公司</w:t>
            </w:r>
          </w:p>
        </w:tc>
        <w:tc>
          <w:tcPr>
            <w:tcW w:w="850"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2,450,00</w:t>
            </w:r>
          </w:p>
          <w:p>
            <w:pPr>
              <w:pStyle w:val="TableParagraph"/>
              <w:spacing w:line="240" w:lineRule="auto" w:before="105"/>
              <w:ind w:left="363" w:right="0"/>
              <w:jc w:val="left"/>
              <w:rPr>
                <w:rFonts w:ascii="Times New Roman" w:hAnsi="Times New Roman" w:cs="Times New Roman" w:eastAsia="Times New Roman" w:hint="default"/>
                <w:sz w:val="18"/>
                <w:szCs w:val="18"/>
              </w:rPr>
            </w:pPr>
            <w:r>
              <w:rPr>
                <w:rFonts w:ascii="Times New Roman"/>
                <w:sz w:val="18"/>
              </w:rPr>
              <w:t>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-960,892.50</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1,489,107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驻马店天中市民云 服务有限公司</w:t>
            </w:r>
          </w:p>
        </w:tc>
        <w:tc>
          <w:tcPr>
            <w:tcW w:w="850"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238,255.52</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1,218,255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6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76,199,84</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3.17</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7,662,25</w:t>
            </w:r>
          </w:p>
          <w:p>
            <w:pPr>
              <w:pStyle w:val="TableParagraph"/>
              <w:spacing w:line="240" w:lineRule="auto" w:before="105"/>
              <w:ind w:left="363" w:right="0"/>
              <w:jc w:val="left"/>
              <w:rPr>
                <w:rFonts w:ascii="Times New Roman" w:hAnsi="Times New Roman" w:cs="Times New Roman" w:eastAsia="Times New Roman" w:hint="default"/>
                <w:sz w:val="18"/>
                <w:szCs w:val="18"/>
              </w:rPr>
            </w:pPr>
            <w:r>
              <w:rPr>
                <w:rFonts w:ascii="Times New Roman"/>
                <w:sz w:val="18"/>
              </w:rPr>
              <w:t>0.00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-9,501.</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73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-152,389.86</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83,700,20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1.58</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6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76,199,84</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3.17</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7,662,25</w:t>
            </w:r>
          </w:p>
          <w:p>
            <w:pPr>
              <w:pStyle w:val="TableParagraph"/>
              <w:spacing w:line="240" w:lineRule="auto" w:before="105"/>
              <w:ind w:left="363" w:right="0"/>
              <w:jc w:val="left"/>
              <w:rPr>
                <w:rFonts w:ascii="Times New Roman" w:hAnsi="Times New Roman" w:cs="Times New Roman" w:eastAsia="Times New Roman" w:hint="default"/>
                <w:sz w:val="18"/>
                <w:szCs w:val="18"/>
              </w:rPr>
            </w:pPr>
            <w:r>
              <w:rPr>
                <w:rFonts w:ascii="Times New Roman"/>
                <w:sz w:val="18"/>
              </w:rPr>
              <w:t>0.00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-9,501.</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73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-152,389.86</w:t>
            </w:r>
          </w:p>
        </w:tc>
        <w:tc>
          <w:tcPr>
            <w:tcW w:w="71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64"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83,700,20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1.58</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6"/>
        <w:ind w:right="2602"/>
        <w:jc w:val="left"/>
        <w:rPr>
          <w:b w:val="0"/>
          <w:bCs w:val="0"/>
        </w:rPr>
      </w:pPr>
      <w:bookmarkStart w:name="（3）其他说明" w:id="516"/>
      <w:bookmarkEnd w:id="516"/>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before="0"/>
        <w:ind w:left="573" w:right="2602"/>
        <w:jc w:val="left"/>
      </w:pPr>
      <w:r>
        <w:rPr>
          <w:w w:val="100"/>
        </w:rPr>
        <w:t>无</w:t>
      </w:r>
    </w:p>
    <w:p>
      <w:pPr>
        <w:spacing w:line="240" w:lineRule="auto" w:before="10"/>
        <w:rPr>
          <w:rFonts w:ascii="宋体" w:hAnsi="宋体" w:cs="宋体" w:eastAsia="宋体" w:hint="default"/>
          <w:sz w:val="25"/>
          <w:szCs w:val="25"/>
        </w:rPr>
      </w:pPr>
    </w:p>
    <w:p>
      <w:pPr>
        <w:pStyle w:val="Heading3"/>
        <w:spacing w:line="240" w:lineRule="auto"/>
        <w:ind w:right="2602"/>
        <w:jc w:val="left"/>
        <w:rPr>
          <w:b w:val="0"/>
          <w:bCs w:val="0"/>
        </w:rPr>
      </w:pPr>
      <w:bookmarkStart w:name="4、营业收入和营业成本" w:id="517"/>
      <w:bookmarkEnd w:id="517"/>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96"/>
        <w:gridCol w:w="1835"/>
        <w:gridCol w:w="1913"/>
        <w:gridCol w:w="1913"/>
        <w:gridCol w:w="1916"/>
      </w:tblGrid>
      <w:tr>
        <w:trPr>
          <w:trHeight w:val="206" w:hRule="exact"/>
        </w:trPr>
        <w:tc>
          <w:tcPr>
            <w:tcW w:w="1996" w:type="dxa"/>
            <w:tcBorders>
              <w:top w:val="single" w:sz="4" w:space="0" w:color="000000"/>
              <w:left w:val="single" w:sz="4" w:space="0" w:color="000000"/>
              <w:bottom w:val="nil" w:sz="6" w:space="0" w:color="auto"/>
              <w:right w:val="single" w:sz="4" w:space="0" w:color="000000"/>
            </w:tcBorders>
            <w:shd w:val="clear" w:color="auto" w:fill="D2D2D2"/>
          </w:tcPr>
          <w:p>
            <w:pPr/>
          </w:p>
        </w:tc>
        <w:tc>
          <w:tcPr>
            <w:tcW w:w="37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0" w:hRule="exact"/>
        </w:trPr>
        <w:tc>
          <w:tcPr>
            <w:tcW w:w="19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49"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96" w:type="dxa"/>
            <w:vMerge/>
            <w:tcBorders>
              <w:left w:val="single" w:sz="4" w:space="0" w:color="000000"/>
              <w:bottom w:val="nil" w:sz="6" w:space="0" w:color="auto"/>
              <w:right w:val="single" w:sz="4" w:space="0" w:color="000000"/>
            </w:tcBorders>
            <w:shd w:val="clear" w:color="auto" w:fill="D2D2D2"/>
          </w:tcPr>
          <w:p>
            <w:pPr/>
          </w:p>
        </w:tc>
        <w:tc>
          <w:tcPr>
            <w:tcW w:w="18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5"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1,914,842,163.09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1,701,627,122.40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1,899,641,479.39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1,225,485,412.23</w:t>
            </w:r>
          </w:p>
        </w:tc>
      </w:tr>
      <w:tr>
        <w:trPr>
          <w:trHeight w:val="403" w:hRule="exact"/>
        </w:trPr>
        <w:tc>
          <w:tcPr>
            <w:tcW w:w="19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1,095,548.71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808,847.52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1,064,537.26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755,215.74</w:t>
            </w:r>
          </w:p>
        </w:tc>
      </w:tr>
      <w:tr>
        <w:trPr>
          <w:trHeight w:val="401" w:hRule="exact"/>
        </w:trPr>
        <w:tc>
          <w:tcPr>
            <w:tcW w:w="19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1,915,937,711.80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1,702,435,969.92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1,900,706,016.65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1,226,240,627.97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2602"/>
        <w:jc w:val="left"/>
      </w:pPr>
      <w:r>
        <w:rPr/>
        <w:t>是否已执行新收入准则</w:t>
      </w:r>
    </w:p>
    <w:p>
      <w:pPr>
        <w:pStyle w:val="BodyText"/>
        <w:spacing w:line="240" w:lineRule="auto" w:before="117"/>
        <w:ind w:right="260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13"/>
        <w:rPr>
          <w:rFonts w:ascii="宋体" w:hAnsi="宋体" w:cs="宋体" w:eastAsia="宋体" w:hint="default"/>
          <w:sz w:val="25"/>
          <w:szCs w:val="25"/>
        </w:rPr>
      </w:pPr>
    </w:p>
    <w:p>
      <w:pPr>
        <w:pStyle w:val="Heading3"/>
        <w:spacing w:line="240" w:lineRule="auto"/>
        <w:ind w:right="2602"/>
        <w:jc w:val="left"/>
        <w:rPr>
          <w:b w:val="0"/>
          <w:bCs w:val="0"/>
        </w:rPr>
      </w:pPr>
      <w:bookmarkStart w:name="5、投资收益" w:id="518"/>
      <w:bookmarkEnd w:id="518"/>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665"/>
        <w:gridCol w:w="2846"/>
        <w:gridCol w:w="3049"/>
      </w:tblGrid>
      <w:tr>
        <w:trPr>
          <w:trHeight w:val="402" w:hRule="exact"/>
        </w:trPr>
        <w:tc>
          <w:tcPr>
            <w:tcW w:w="3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84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93,000,000.00</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54,000,000.00</w:t>
            </w:r>
          </w:p>
        </w:tc>
      </w:tr>
      <w:tr>
        <w:trPr>
          <w:trHeight w:val="402" w:hRule="exact"/>
        </w:trPr>
        <w:tc>
          <w:tcPr>
            <w:tcW w:w="3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84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-152,389.86</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-2,920,676.82</w:t>
            </w:r>
          </w:p>
        </w:tc>
      </w:tr>
      <w:tr>
        <w:trPr>
          <w:trHeight w:val="402" w:hRule="exact"/>
        </w:trPr>
        <w:tc>
          <w:tcPr>
            <w:tcW w:w="3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84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58,498.27</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13,115,580.97</w:t>
            </w:r>
          </w:p>
        </w:tc>
      </w:tr>
      <w:tr>
        <w:trPr>
          <w:trHeight w:val="403" w:hRule="exact"/>
        </w:trPr>
        <w:tc>
          <w:tcPr>
            <w:tcW w:w="3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交易性金融资产在持有期间的投资收益</w:t>
            </w:r>
          </w:p>
        </w:tc>
        <w:tc>
          <w:tcPr>
            <w:tcW w:w="284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304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2846" w:type="dxa"/>
            <w:tcBorders>
              <w:top w:val="single" w:sz="4" w:space="0" w:color="000000"/>
              <w:left w:val="single" w:sz="9" w:space="0" w:color="D2D2D2"/>
              <w:bottom w:val="single" w:sz="4" w:space="0" w:color="000000"/>
              <w:right w:val="single" w:sz="4" w:space="0" w:color="000000"/>
            </w:tcBorders>
          </w:tcPr>
          <w:p>
            <w:pP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1,425,895.10</w:t>
            </w:r>
          </w:p>
        </w:tc>
      </w:tr>
      <w:tr>
        <w:trPr>
          <w:trHeight w:val="403" w:hRule="exact"/>
        </w:trPr>
        <w:tc>
          <w:tcPr>
            <w:tcW w:w="3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4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102,906,108.41</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65,620,799.25</w:t>
            </w:r>
          </w:p>
        </w:tc>
      </w:tr>
    </w:tbl>
    <w:p>
      <w:pPr>
        <w:spacing w:line="240" w:lineRule="auto" w:before="1"/>
        <w:rPr>
          <w:rFonts w:ascii="宋体" w:hAnsi="宋体" w:cs="宋体" w:eastAsia="宋体" w:hint="default"/>
          <w:sz w:val="18"/>
          <w:szCs w:val="18"/>
        </w:rPr>
      </w:pPr>
    </w:p>
    <w:p>
      <w:pPr>
        <w:pStyle w:val="Heading2"/>
        <w:spacing w:line="240" w:lineRule="auto" w:before="26"/>
        <w:ind w:right="2602"/>
        <w:jc w:val="left"/>
        <w:rPr>
          <w:b w:val="0"/>
          <w:bCs w:val="0"/>
        </w:rPr>
      </w:pPr>
      <w:bookmarkStart w:name="十八、补充资料" w:id="519"/>
      <w:bookmarkEnd w:id="519"/>
      <w:r>
        <w:rPr>
          <w:b w:val="0"/>
          <w:bCs w:val="0"/>
        </w:rPr>
      </w:r>
      <w:r>
        <w:rPr/>
        <w:t>十八、补充资料</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2602"/>
        <w:jc w:val="left"/>
        <w:rPr>
          <w:b w:val="0"/>
          <w:bCs w:val="0"/>
        </w:rPr>
      </w:pPr>
      <w:bookmarkStart w:name="1、当期非经常性损益明细表" w:id="520"/>
      <w:bookmarkEnd w:id="520"/>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7209"/>
        <w:gridCol w:w="1429"/>
        <w:gridCol w:w="922"/>
      </w:tblGrid>
      <w:tr>
        <w:trPr>
          <w:trHeight w:val="402" w:hRule="exact"/>
        </w:trPr>
        <w:tc>
          <w:tcPr>
            <w:tcW w:w="7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7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-17,619.60</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1"/>
                <w:sz w:val="18"/>
                <w:szCs w:val="18"/>
              </w:rPr>
              <w:t>计入当期损益的政府补助（与企业业务密切相关，按照国家统一标准定额或定量享受的政府</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补助除外）</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50,918,633.72</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2" w:right="-14"/>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除同公司正常经营业务相关的有效套期保值业务外，持有交易性金融资产、衍生金融资产、 </w:t>
            </w:r>
            <w:r>
              <w:rPr>
                <w:rFonts w:ascii="宋体" w:hAnsi="宋体" w:cs="宋体" w:eastAsia="宋体" w:hint="default"/>
                <w:spacing w:val="-1"/>
                <w:sz w:val="18"/>
                <w:szCs w:val="18"/>
              </w:rPr>
              <w:t>交易性金融负债、衍生金融负债产生的公允价值变动损益，以及处置交易性金融资产、衍生</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金融资产、交易性金融负债、衍生金融负债和其他债权投资取得的投资收益</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18,044,556.84</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7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-833,845.66</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7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股权处置收益</w:t>
            </w:r>
          </w:p>
        </w:tc>
        <w:tc>
          <w:tcPr>
            <w:tcW w:w="142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3,898,966.73</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7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597,858.16</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2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63,614,900.41</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0"/>
        <w:jc w:val="left"/>
      </w:pPr>
      <w:r>
        <w:rPr>
          <w:spacing w:val="-3"/>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0" w:lineRule="auto" w:before="60"/>
        <w:ind w:right="1119"/>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2"/>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6"/>
        <w:ind w:right="2602"/>
        <w:jc w:val="left"/>
        <w:rPr>
          <w:b w:val="0"/>
          <w:bCs w:val="0"/>
        </w:rPr>
      </w:pPr>
      <w:bookmarkStart w:name="2、净资产收益率及每股收益" w:id="521"/>
      <w:bookmarkEnd w:id="521"/>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231"/>
        <w:gridCol w:w="1502"/>
        <w:gridCol w:w="1913"/>
        <w:gridCol w:w="1913"/>
      </w:tblGrid>
      <w:tr>
        <w:trPr>
          <w:trHeight w:val="204" w:hRule="exact"/>
        </w:trPr>
        <w:tc>
          <w:tcPr>
            <w:tcW w:w="4231" w:type="dxa"/>
            <w:tcBorders>
              <w:top w:val="single" w:sz="4" w:space="0" w:color="000000"/>
              <w:left w:val="single" w:sz="4" w:space="0" w:color="000000"/>
              <w:bottom w:val="nil" w:sz="6" w:space="0" w:color="auto"/>
              <w:right w:val="single" w:sz="4" w:space="0" w:color="000000"/>
            </w:tcBorders>
            <w:shd w:val="clear" w:color="auto" w:fill="D2D2D2"/>
          </w:tcPr>
          <w:p>
            <w:pPr/>
          </w:p>
        </w:tc>
        <w:tc>
          <w:tcPr>
            <w:tcW w:w="150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2"/>
              <w:ind w:left="481" w:right="108" w:hanging="360"/>
              <w:jc w:val="left"/>
              <w:rPr>
                <w:rFonts w:ascii="宋体" w:hAnsi="宋体" w:cs="宋体" w:eastAsia="宋体" w:hint="default"/>
                <w:sz w:val="18"/>
                <w:szCs w:val="18"/>
              </w:rPr>
            </w:pPr>
            <w:r>
              <w:rPr>
                <w:rFonts w:ascii="宋体" w:hAnsi="宋体" w:cs="宋体" w:eastAsia="宋体" w:hint="default"/>
                <w:sz w:val="18"/>
                <w:szCs w:val="18"/>
              </w:rPr>
              <w:t>加权平均净资产 收益率</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2" w:hRule="exact"/>
        </w:trPr>
        <w:tc>
          <w:tcPr>
            <w:tcW w:w="42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502" w:type="dxa"/>
            <w:vMerge/>
            <w:tcBorders>
              <w:left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4231" w:type="dxa"/>
            <w:vMerge/>
            <w:tcBorders>
              <w:left w:val="single" w:sz="4" w:space="0" w:color="000000"/>
              <w:bottom w:val="nil" w:sz="6" w:space="0" w:color="auto"/>
              <w:right w:val="single" w:sz="4" w:space="0" w:color="000000"/>
            </w:tcBorders>
            <w:shd w:val="clear" w:color="auto" w:fill="D2D2D2"/>
          </w:tcPr>
          <w:p>
            <w:pPr/>
          </w:p>
        </w:tc>
        <w:tc>
          <w:tcPr>
            <w:tcW w:w="1502" w:type="dxa"/>
            <w:vMerge/>
            <w:tcBorders>
              <w:left w:val="single" w:sz="4" w:space="0" w:color="000000"/>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4231" w:type="dxa"/>
            <w:tcBorders>
              <w:top w:val="nil" w:sz="6" w:space="0" w:color="auto"/>
              <w:left w:val="single" w:sz="4" w:space="0" w:color="000000"/>
              <w:bottom w:val="single" w:sz="4" w:space="0" w:color="000000"/>
              <w:right w:val="single" w:sz="4" w:space="0" w:color="000000"/>
            </w:tcBorders>
            <w:shd w:val="clear" w:color="auto" w:fill="D2D2D2"/>
          </w:tcPr>
          <w:p>
            <w:pPr/>
          </w:p>
        </w:tc>
        <w:tc>
          <w:tcPr>
            <w:tcW w:w="1502"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502" w:type="dxa"/>
            <w:tcBorders>
              <w:top w:val="single" w:sz="22" w:space="0" w:color="D2D2D2"/>
              <w:left w:val="single" w:sz="12" w:space="0" w:color="D2D2D2"/>
              <w:bottom w:val="single" w:sz="4" w:space="0" w:color="000000"/>
              <w:right w:val="single" w:sz="4" w:space="0" w:color="000000"/>
            </w:tcBorders>
          </w:tcPr>
          <w:p>
            <w:pPr>
              <w:pStyle w:val="TableParagraph"/>
              <w:spacing w:line="240" w:lineRule="auto" w:before="68"/>
              <w:ind w:right="19"/>
              <w:jc w:val="right"/>
              <w:rPr>
                <w:rFonts w:ascii="Times New Roman" w:hAnsi="Times New Roman" w:cs="Times New Roman" w:eastAsia="Times New Roman" w:hint="default"/>
                <w:sz w:val="18"/>
                <w:szCs w:val="18"/>
              </w:rPr>
            </w:pPr>
            <w:r>
              <w:rPr>
                <w:rFonts w:ascii="Times New Roman"/>
                <w:sz w:val="18"/>
              </w:rPr>
              <w:t>-47.53%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-1.2736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-1.2736</w:t>
            </w:r>
          </w:p>
        </w:tc>
      </w:tr>
      <w:tr>
        <w:trPr>
          <w:trHeight w:val="403"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50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-49.70%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-1.3315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-1.3315</w:t>
            </w:r>
          </w:p>
        </w:tc>
      </w:tr>
    </w:tbl>
    <w:p>
      <w:pPr>
        <w:spacing w:line="240" w:lineRule="auto" w:before="3"/>
        <w:rPr>
          <w:rFonts w:ascii="宋体" w:hAnsi="宋体" w:cs="宋体" w:eastAsia="宋体" w:hint="default"/>
          <w:b/>
          <w:bCs/>
          <w:sz w:val="19"/>
          <w:szCs w:val="19"/>
        </w:rPr>
      </w:pPr>
    </w:p>
    <w:p>
      <w:pPr>
        <w:pStyle w:val="Heading3"/>
        <w:spacing w:line="240" w:lineRule="auto" w:before="36"/>
        <w:ind w:right="2602"/>
        <w:jc w:val="left"/>
        <w:rPr>
          <w:b w:val="0"/>
          <w:bCs w:val="0"/>
        </w:rPr>
      </w:pPr>
      <w:bookmarkStart w:name="3、境内外会计准则下会计数据差异" w:id="522"/>
      <w:bookmarkEnd w:id="522"/>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中国会计准则披露的财务报告中净利润和净资产差异情况" w:id="523"/>
      <w:bookmarkEnd w:id="523"/>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3"/>
        <w:spacing w:line="240" w:lineRule="auto"/>
        <w:ind w:right="0"/>
        <w:jc w:val="left"/>
        <w:rPr>
          <w:b w:val="0"/>
          <w:bCs w:val="0"/>
        </w:rPr>
      </w:pPr>
      <w:bookmarkStart w:name="（2）同时按照境外会计准则与按中国会计准则披露的财务报告中净利润和净资产差异情况" w:id="524"/>
      <w:bookmarkEnd w:id="524"/>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60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3"/>
        <w:spacing w:line="259" w:lineRule="auto"/>
        <w:ind w:right="0"/>
        <w:jc w:val="left"/>
        <w:rPr>
          <w:b w:val="0"/>
          <w:bCs w:val="0"/>
        </w:rPr>
      </w:pPr>
      <w:bookmarkStart w:name="（3）境内外会计准则下会计数据差异原因说明，对已经境外审计机构审计的数据进行差异" w:id="525"/>
      <w:bookmarkEnd w:id="525"/>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65"/>
        </w:rPr>
        <w:t> </w:t>
      </w:r>
      <w:r>
        <w:rPr>
          <w:spacing w:val="-65"/>
        </w:rPr>
      </w:r>
      <w:r>
        <w:rPr/>
        <w:t>明该境外机构的名称</w:t>
      </w:r>
      <w:r>
        <w:rPr>
          <w:b w:val="0"/>
          <w:bCs w:val="0"/>
        </w:rPr>
      </w:r>
    </w:p>
    <w:p>
      <w:pPr>
        <w:spacing w:line="240" w:lineRule="auto" w:before="1"/>
        <w:rPr>
          <w:rFonts w:ascii="宋体" w:hAnsi="宋体" w:cs="宋体" w:eastAsia="宋体" w:hint="default"/>
          <w:b/>
          <w:bCs/>
          <w:sz w:val="26"/>
          <w:szCs w:val="26"/>
        </w:rPr>
      </w:pPr>
    </w:p>
    <w:p>
      <w:pPr>
        <w:pStyle w:val="BodyText"/>
        <w:spacing w:line="240" w:lineRule="auto"/>
        <w:ind w:right="2602"/>
        <w:jc w:val="left"/>
      </w:pPr>
      <w:r>
        <w:rPr/>
        <w:t>无</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285" w:right="2602"/>
        <w:jc w:val="left"/>
        <w:rPr>
          <w:b w:val="0"/>
          <w:bCs w:val="0"/>
        </w:rPr>
      </w:pPr>
      <w:bookmarkStart w:name="第十三节 备查文件目录" w:id="526"/>
      <w:bookmarkEnd w:id="526"/>
      <w:r>
        <w:rPr>
          <w:b w:val="0"/>
          <w:bCs w:val="0"/>
        </w:rPr>
      </w:r>
      <w:bookmarkStart w:name="_bookmark12" w:id="527"/>
      <w:bookmarkEnd w:id="527"/>
      <w:r>
        <w:rPr>
          <w:b w:val="0"/>
          <w:bCs w:val="0"/>
        </w:rPr>
      </w:r>
      <w:r>
        <w:rPr/>
        <w:t>第十三节</w:t>
      </w:r>
      <w:r>
        <w:rPr>
          <w:spacing w:val="-6"/>
        </w:rPr>
        <w:t> </w:t>
      </w:r>
      <w:r>
        <w:rPr/>
        <w:t>备查文件目录</w:t>
      </w:r>
      <w:r>
        <w:rPr>
          <w:b w:val="0"/>
          <w:bCs w:val="0"/>
        </w:rPr>
      </w:r>
    </w:p>
    <w:p>
      <w:pPr>
        <w:spacing w:line="240" w:lineRule="auto" w:before="6"/>
        <w:rPr>
          <w:rFonts w:ascii="宋体" w:hAnsi="宋体" w:cs="宋体" w:eastAsia="宋体" w:hint="default"/>
          <w:b/>
          <w:bCs/>
          <w:sz w:val="42"/>
          <w:szCs w:val="42"/>
        </w:rPr>
      </w:pPr>
    </w:p>
    <w:p>
      <w:pPr>
        <w:pStyle w:val="BodyText"/>
        <w:spacing w:line="352" w:lineRule="auto"/>
        <w:ind w:right="1214"/>
        <w:jc w:val="left"/>
      </w:pPr>
      <w:r>
        <w:rPr/>
        <w:t>一、载有公司法定代表人签名和公司盖章的</w:t>
      </w:r>
      <w:r>
        <w:rPr>
          <w:rFonts w:ascii="Times New Roman" w:hAnsi="Times New Roman" w:cs="Times New Roman" w:eastAsia="Times New Roman" w:hint="default"/>
        </w:rPr>
        <w:t>2019</w:t>
      </w:r>
      <w:r>
        <w:rPr/>
        <w:t>年年度报告原件。 二、载有公司法定代表人、主管会计工作的公司负责人、公司会计机构负责人（会计主管人员）签名并盖章的财务报表。 三、载有会计师事务所盖章、注册会计师签名并盖章的审计报告原件。 四、报告期内在中国证监会指定网站上公开披露过的所有公司文件的正本及公告的原稿。</w:t>
      </w:r>
    </w:p>
    <w:sectPr>
      <w:pgSz w:w="11910" w:h="16840"/>
      <w:pgMar w:header="745" w:footer="980"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512" type="#_x0000_t75" stroked="false">
          <v:imagedata r:id="rId1" o:title=""/>
        </v:shape>
      </w:pict>
    </w:r>
    <w:r>
      <w:rPr/>
      <w:pict>
        <v:shape style="position:absolute;margin-left:533.099976pt;margin-top:795.637939pt;width:6.5pt;height:11pt;mso-position-horizontal-relative:page;mso-position-vertical-relative:page;z-index:-133448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080" type="#_x0000_t75" stroked="false">
          <v:imagedata r:id="rId1" o:title=""/>
        </v:shape>
      </w:pict>
    </w:r>
    <w:r>
      <w:rPr/>
      <w:pict>
        <v:shape style="position:absolute;margin-left:523.099976pt;margin-top:781.933899pt;width:17.7pt;height:11pt;mso-position-horizontal-relative:page;mso-position-vertical-relative:page;z-index:-133405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201</w:t>
                </w:r>
                <w:r>
                  <w:rPr/>
                  <w:fldChar w:fldCharType="end"/>
                </w:r>
                <w:r>
                  <w:rPr>
                    <w:rFonts w:ascii="Times New Roman"/>
                    <w:spacing w:val="1"/>
                  </w:rPr>
                </w:r>
                <w:r>
                  <w:rPr>
                    <w:rFonts w:ascii="Times New Roman"/>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464" type="#_x0000_t75" stroked="false">
          <v:imagedata r:id="rId1" o:title=""/>
        </v:shape>
      </w:pict>
    </w:r>
    <w:r>
      <w:rPr/>
      <w:pict>
        <v:shape style="position:absolute;margin-left:527.659973pt;margin-top:781.933899pt;width:13.15pt;height:11pt;mso-position-horizontal-relative:page;mso-position-vertical-relative:page;z-index:-133444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r>
                  <w:rPr>
                    <w:rFonts w:ascii="Times New Roman"/>
                    <w:spacing w:val="1"/>
                  </w:rPr>
                </w:r>
                <w:r>
                  <w:rPr>
                    <w:rFonts w:ascii="Times New Roman"/>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416" type="#_x0000_t75" stroked="false">
          <v:imagedata r:id="rId1" o:title=""/>
        </v:shape>
      </w:pict>
    </w:r>
    <w:r>
      <w:rPr/>
      <w:pict>
        <v:shape style="position:absolute;margin-left:527.659973pt;margin-top:781.933899pt;width:13.15pt;height:11pt;mso-position-horizontal-relative:page;mso-position-vertical-relative:page;z-index:-133439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45</w:t>
                </w:r>
                <w:r>
                  <w:rPr/>
                  <w:fldChar w:fldCharType="end"/>
                </w:r>
                <w:r>
                  <w:rPr>
                    <w:rFonts w:ascii="Times New Roman"/>
                    <w:spacing w:val="1"/>
                  </w:rPr>
                </w:r>
                <w:r>
                  <w:rPr>
                    <w:rFonts w:ascii="Times New Roman"/>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368" type="#_x0000_t75" stroked="false">
          <v:imagedata r:id="rId1" o:title=""/>
        </v:shape>
      </w:pict>
    </w:r>
    <w:r>
      <w:rPr/>
      <w:pict>
        <v:shape style="position:absolute;margin-left:524.099976pt;margin-top:781.933899pt;width:15.7pt;height:11pt;mso-position-horizontal-relative:page;mso-position-vertical-relative:page;z-index:-1334344"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320" type="#_x0000_t75" stroked="false">
          <v:imagedata r:id="rId1" o:title=""/>
        </v:shape>
      </w:pict>
    </w:r>
    <w:r>
      <w:rPr/>
      <w:pict>
        <v:shape style="position:absolute;margin-left:523.099976pt;margin-top:781.933899pt;width:17.7pt;height:11pt;mso-position-horizontal-relative:page;mso-position-vertical-relative:page;z-index:-133429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r>
                  <w:rPr>
                    <w:rFonts w:ascii="Times New Roman"/>
                    <w:spacing w:val="1"/>
                  </w:rPr>
                </w:r>
                <w:r>
                  <w:rPr>
                    <w:rFonts w:ascii="Times New Roman"/>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272" type="#_x0000_t75" stroked="false">
          <v:imagedata r:id="rId1" o:title=""/>
        </v:shape>
      </w:pict>
    </w:r>
    <w:r>
      <w:rPr/>
      <w:pict>
        <v:shape style="position:absolute;margin-left:523.460022pt;margin-top:781.933899pt;width:17.3pt;height:11pt;mso-position-horizontal-relative:page;mso-position-vertical-relative:page;z-index:-133424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224" type="#_x0000_t75" stroked="false">
          <v:imagedata r:id="rId1" o:title=""/>
        </v:shape>
      </w:pict>
    </w:r>
    <w:r>
      <w:rPr/>
      <w:pict>
        <v:shape style="position:absolute;margin-left:523.099976pt;margin-top:781.933899pt;width:17.7pt;height:11pt;mso-position-horizontal-relative:page;mso-position-vertical-relative:page;z-index:-133420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120</w:t>
                </w:r>
                <w:r>
                  <w:rPr/>
                  <w:fldChar w:fldCharType="end"/>
                </w:r>
                <w:r>
                  <w:rPr>
                    <w:rFonts w:ascii="Times New Roman"/>
                    <w:spacing w:val="1"/>
                  </w:rPr>
                </w:r>
                <w:r>
                  <w:rPr>
                    <w:rFonts w:ascii="Times New Roman"/>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176" type="#_x0000_t75" stroked="false">
          <v:imagedata r:id="rId1" o:title=""/>
        </v:shape>
      </w:pict>
    </w:r>
    <w:r>
      <w:rPr/>
      <w:pict>
        <v:shape style="position:absolute;margin-left:523.099976pt;margin-top:781.933899pt;width:17.7pt;height:11pt;mso-position-horizontal-relative:page;mso-position-vertical-relative:page;z-index:-133415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190</w:t>
                </w:r>
                <w:r>
                  <w:rPr/>
                  <w:fldChar w:fldCharType="end"/>
                </w:r>
                <w:r>
                  <w:rPr>
                    <w:rFonts w:ascii="Times New Roman"/>
                    <w:spacing w:val="1"/>
                  </w:rPr>
                </w:r>
                <w:r>
                  <w:rPr>
                    <w:rFonts w:ascii="Times New Roman"/>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34128" type="#_x0000_t75" stroked="false">
          <v:imagedata r:id="rId1" o:title=""/>
        </v:shape>
      </w:pict>
    </w:r>
    <w:r>
      <w:rPr/>
      <w:pict>
        <v:shape style="position:absolute;margin-left:524.099976pt;margin-top:781.933899pt;width:15.7pt;height:11pt;mso-position-horizontal-relative:page;mso-position-vertical-relative:page;z-index:-1334104"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62.070007pt;margin-top:36.265610pt;width:177.6pt;height:11.5pt;mso-position-horizontal-relative:page;mso-position-vertical-relative:page;z-index:-1334536" type="#_x0000_t202" filled="false" stroked="false">
          <v:textbox inset="0,0,0,0">
            <w:txbxContent>
              <w:p>
                <w:pPr>
                  <w:pStyle w:val="BodyText"/>
                  <w:spacing w:line="214" w:lineRule="exact"/>
                  <w:ind w:left="20" w:right="0"/>
                  <w:jc w:val="left"/>
                </w:pPr>
                <w:r>
                  <w:rPr/>
                  <w:t>万达信息股份有限公司</w:t>
                </w:r>
                <w:r>
                  <w:rPr>
                    <w:spacing w:val="-46"/>
                  </w:rPr>
                  <w:t> </w:t>
                </w:r>
                <w:r>
                  <w:rPr>
                    <w:rFonts w:ascii="Times New Roman" w:hAnsi="Times New Roman" w:cs="Times New Roman" w:eastAsia="Times New Roman" w:hint="default"/>
                  </w:rPr>
                  <w:t>2019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52"/>
    </w:pPr>
    <w:rPr>
      <w:rFonts w:ascii="宋体" w:hAnsi="宋体" w:eastAsia="宋体"/>
      <w:sz w:val="24"/>
      <w:szCs w:val="24"/>
    </w:rPr>
  </w:style>
  <w:style w:styleId="BodyText" w:type="paragraph">
    <w:name w:val="Body Text"/>
    <w:basedOn w:val="Normal"/>
    <w:uiPriority w:val="1"/>
    <w:qFormat/>
    <w:pPr>
      <w:ind w:left="152"/>
    </w:pPr>
    <w:rPr>
      <w:rFonts w:ascii="宋体" w:hAnsi="宋体" w:eastAsia="宋体"/>
      <w:sz w:val="18"/>
      <w:szCs w:val="18"/>
    </w:rPr>
  </w:style>
  <w:style w:styleId="Heading1" w:type="paragraph">
    <w:name w:val="Heading 1"/>
    <w:basedOn w:val="Normal"/>
    <w:uiPriority w:val="1"/>
    <w:qFormat/>
    <w:pPr>
      <w:outlineLvl w:val="1"/>
    </w:pPr>
    <w:rPr>
      <w:rFonts w:ascii="宋体" w:hAnsi="宋体" w:eastAsia="宋体"/>
      <w:b/>
      <w:bCs/>
      <w:sz w:val="32"/>
      <w:szCs w:val="32"/>
    </w:rPr>
  </w:style>
  <w:style w:styleId="Heading2" w:type="paragraph">
    <w:name w:val="Heading 2"/>
    <w:basedOn w:val="Normal"/>
    <w:uiPriority w:val="1"/>
    <w:qFormat/>
    <w:pPr>
      <w:ind w:left="152"/>
      <w:outlineLvl w:val="2"/>
    </w:pPr>
    <w:rPr>
      <w:rFonts w:ascii="宋体" w:hAnsi="宋体" w:eastAsia="宋体"/>
      <w:b/>
      <w:bCs/>
      <w:sz w:val="24"/>
      <w:szCs w:val="24"/>
    </w:rPr>
  </w:style>
  <w:style w:styleId="Heading3" w:type="paragraph">
    <w:name w:val="Heading 3"/>
    <w:basedOn w:val="Normal"/>
    <w:uiPriority w:val="1"/>
    <w:qFormat/>
    <w:pPr>
      <w:ind w:left="152"/>
      <w:outlineLvl w:val="3"/>
    </w:pPr>
    <w:rPr>
      <w:rFonts w:ascii="宋体" w:hAnsi="宋体" w:eastAsia="宋体"/>
      <w:b/>
      <w:bCs/>
      <w:sz w:val="21"/>
      <w:szCs w:val="21"/>
    </w:rPr>
  </w:style>
  <w:style w:styleId="Heading4" w:type="paragraph">
    <w:name w:val="Heading 4"/>
    <w:basedOn w:val="Normal"/>
    <w:uiPriority w:val="1"/>
    <w:qFormat/>
    <w:pPr>
      <w:spacing w:before="7"/>
      <w:ind w:left="152"/>
      <w:outlineLvl w:val="4"/>
    </w:pPr>
    <w:rPr>
      <w:rFonts w:ascii="宋体" w:hAnsi="宋体" w:eastAsia="宋体"/>
      <w:sz w:val="21"/>
      <w:szCs w:val="21"/>
    </w:rPr>
  </w:style>
  <w:style w:styleId="Heading5" w:type="paragraph">
    <w:name w:val="Heading 5"/>
    <w:basedOn w:val="Normal"/>
    <w:uiPriority w:val="1"/>
    <w:qFormat/>
    <w:pPr>
      <w:ind w:left="513"/>
      <w:outlineLvl w:val="5"/>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wondersgroup.com/" TargetMode="External"/><Relationship Id="rId10" Type="http://schemas.openxmlformats.org/officeDocument/2006/relationships/hyperlink" Target="mailto:invest@wondersgroup.com" TargetMode="External"/><Relationship Id="rId11" Type="http://schemas.openxmlformats.org/officeDocument/2006/relationships/hyperlink" Target="http://www.cninfo.com.c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www.qichacha.com/firm_28cccbeda8cedc146f6b4941dee1e278.html" TargetMode="External"/><Relationship Id="rId29" Type="http://schemas.openxmlformats.org/officeDocument/2006/relationships/footer" Target="footer3.xml"/><Relationship Id="rId30" Type="http://schemas.openxmlformats.org/officeDocument/2006/relationships/image" Target="media/image19.jpeg"/><Relationship Id="rId31" Type="http://schemas.openxmlformats.org/officeDocument/2006/relationships/footer" Target="footer4.xml"/><Relationship Id="rId32" Type="http://schemas.openxmlformats.org/officeDocument/2006/relationships/footer" Target="footer5.xml"/><Relationship Id="rId33" Type="http://schemas.openxmlformats.org/officeDocument/2006/relationships/footer" Target="footer6.xml"/><Relationship Id="rId34" Type="http://schemas.openxmlformats.org/officeDocument/2006/relationships/footer" Target="footer7.xml"/><Relationship Id="rId35" Type="http://schemas.openxmlformats.org/officeDocument/2006/relationships/footer" Target="footer8.xml"/><Relationship Id="rId36" Type="http://schemas.openxmlformats.org/officeDocument/2006/relationships/footer" Target="footer9.xml"/><Relationship Id="rId37" Type="http://schemas.openxmlformats.org/officeDocument/2006/relationships/footer" Target="footer10.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万达信息股份有限公司</dc:creator>
  <dc:title>万达信息股份有限公司2019年年度报告全文</dc:title>
  <dcterms:created xsi:type="dcterms:W3CDTF">2020-05-19T14:34:20Z</dcterms:created>
  <dcterms:modified xsi:type="dcterms:W3CDTF">2020-05-19T14:34:20Z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2020-04-28T00:00:00Z</vt:filetime>
  </property>
  <property fmtid="{D5CDD505-2E9C-101B-9397-08002B2CF9AE}" pid="3" name="Creator">
    <vt:lpwstr>Microsoft® Office Word 2007</vt:lpwstr>
  </property>
  <property fmtid="{D5CDD505-2E9C-101B-9397-08002B2CF9AE}" pid="4" name="LastSaved">
    <vt:filetime>2020-05-19T00:00:00Z</vt:filetime>
  </property>
</Properties>
</file>