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20" w:line="240" w:lineRule="auto"/>
        <w:ind w:left="0" w:right="0" w:firstLine="0"/>
        <w:jc w:val="center"/>
        <w:rPr>
          <w:sz w:val="44"/>
          <w:szCs w:val="44"/>
        </w:rPr>
      </w:pPr>
      <w:r>
        <w:rPr>
          <w:b/>
          <w:bCs/>
          <w:color w:val="000000"/>
          <w:spacing w:val="0"/>
          <w:w w:val="100"/>
          <w:position w:val="0"/>
          <w:sz w:val="44"/>
          <w:szCs w:val="44"/>
        </w:rPr>
        <w:t>万达信息股份有限公司</w:t>
      </w:r>
    </w:p>
    <w:p>
      <w:pPr>
        <w:pStyle w:val="Style2"/>
        <w:keepNext w:val="0"/>
        <w:keepLines w:val="0"/>
        <w:widowControl w:val="0"/>
        <w:shd w:val="clear" w:color="auto" w:fill="auto"/>
        <w:bidi w:val="0"/>
        <w:spacing w:before="0" w:after="540" w:line="240" w:lineRule="auto"/>
        <w:ind w:left="0" w:right="0" w:firstLine="0"/>
        <w:jc w:val="center"/>
        <w:rPr>
          <w:sz w:val="40"/>
          <w:szCs w:val="40"/>
        </w:rPr>
      </w:pPr>
      <w:r>
        <w:rPr>
          <w:rFonts w:ascii="Times New Roman" w:eastAsia="Times New Roman" w:hAnsi="Times New Roman" w:cs="Times New Roman"/>
          <w:b/>
          <w:bCs/>
          <w:color w:val="000000"/>
          <w:spacing w:val="0"/>
          <w:w w:val="100"/>
          <w:position w:val="0"/>
          <w:sz w:val="40"/>
          <w:szCs w:val="40"/>
        </w:rPr>
        <w:t>2021</w:t>
      </w:r>
      <w:r>
        <w:rPr>
          <w:b/>
          <w:bCs/>
          <w:color w:val="000000"/>
          <w:spacing w:val="0"/>
          <w:w w:val="100"/>
          <w:position w:val="0"/>
          <w:sz w:val="40"/>
          <w:szCs w:val="40"/>
        </w:rPr>
        <w:t>年年度报告</w:t>
      </w:r>
    </w:p>
    <w:p>
      <w:pPr>
        <w:pStyle w:val="Style2"/>
        <w:keepNext w:val="0"/>
        <w:keepLines w:val="0"/>
        <w:widowControl w:val="0"/>
        <w:shd w:val="clear" w:color="auto" w:fill="auto"/>
        <w:bidi w:val="0"/>
        <w:spacing w:before="0" w:after="6080" w:line="240" w:lineRule="auto"/>
        <w:ind w:left="0" w:right="0" w:firstLine="0"/>
        <w:jc w:val="center"/>
        <w:rPr>
          <w:sz w:val="26"/>
          <w:szCs w:val="26"/>
        </w:rPr>
      </w:pPr>
      <w:r>
        <w:rPr>
          <w:rFonts w:ascii="SimHei" w:eastAsia="SimHei" w:hAnsi="SimHei" w:cs="SimHei"/>
          <w:color w:val="1C6C75"/>
          <w:spacing w:val="0"/>
          <w:w w:val="100"/>
          <w:position w:val="0"/>
          <w:sz w:val="26"/>
          <w:szCs w:val="26"/>
        </w:rPr>
        <w:t>，</w:t>
      </w:r>
      <w:r>
        <w:rPr>
          <w:rFonts w:ascii="SimHei" w:eastAsia="SimHei" w:hAnsi="SimHei" w:cs="SimHei"/>
          <w:color w:val="000000"/>
          <w:spacing w:val="0"/>
          <w:w w:val="100"/>
          <w:position w:val="0"/>
          <w:sz w:val="26"/>
          <w:szCs w:val="26"/>
        </w:rPr>
        <w:t>万达信息</w:t>
      </w:r>
    </w:p>
    <w:p>
      <w:pPr>
        <w:pStyle w:val="Style2"/>
        <w:keepNext w:val="0"/>
        <w:keepLines w:val="0"/>
        <w:widowControl w:val="0"/>
        <w:shd w:val="clear" w:color="auto" w:fill="auto"/>
        <w:bidi w:val="0"/>
        <w:spacing w:before="0" w:after="540" w:line="240" w:lineRule="auto"/>
        <w:ind w:left="0" w:right="0" w:firstLine="0"/>
        <w:jc w:val="center"/>
        <w:rPr>
          <w:sz w:val="40"/>
          <w:szCs w:val="40"/>
        </w:rPr>
      </w:pPr>
      <w:r>
        <w:rPr>
          <w:rFonts w:ascii="Times New Roman" w:eastAsia="Times New Roman" w:hAnsi="Times New Roman" w:cs="Times New Roman"/>
          <w:b/>
          <w:bCs/>
          <w:color w:val="000000"/>
          <w:spacing w:val="0"/>
          <w:w w:val="100"/>
          <w:position w:val="0"/>
          <w:sz w:val="40"/>
          <w:szCs w:val="40"/>
        </w:rPr>
        <w:t>2022</w:t>
      </w:r>
      <w:r>
        <w:rPr>
          <w:b/>
          <w:bCs/>
          <w:color w:val="000000"/>
          <w:spacing w:val="0"/>
          <w:w w:val="100"/>
          <w:position w:val="0"/>
          <w:sz w:val="40"/>
          <w:szCs w:val="40"/>
        </w:rPr>
        <w:t>年</w:t>
      </w:r>
      <w:r>
        <w:rPr>
          <w:rFonts w:ascii="Times New Roman" w:eastAsia="Times New Roman" w:hAnsi="Times New Roman" w:cs="Times New Roman"/>
          <w:b/>
          <w:bCs/>
          <w:color w:val="000000"/>
          <w:spacing w:val="0"/>
          <w:w w:val="100"/>
          <w:position w:val="0"/>
          <w:sz w:val="40"/>
          <w:szCs w:val="40"/>
        </w:rPr>
        <w:t>4</w:t>
      </w:r>
      <w:r>
        <w:rPr>
          <w:b/>
          <w:bCs/>
          <w:color w:val="000000"/>
          <w:spacing w:val="0"/>
          <w:w w:val="100"/>
          <w:position w:val="0"/>
          <w:sz w:val="40"/>
          <w:szCs w:val="40"/>
        </w:rPr>
        <w:t>月</w:t>
      </w:r>
    </w:p>
    <w:p>
      <w:pPr>
        <w:pStyle w:val="Style9"/>
        <w:keepNext/>
        <w:keepLines/>
        <w:widowControl w:val="0"/>
        <w:shd w:val="clear" w:color="auto" w:fill="auto"/>
        <w:bidi w:val="0"/>
        <w:spacing w:before="0" w:after="34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2"/>
        <w:keepNext w:val="0"/>
        <w:keepLines w:val="0"/>
        <w:widowControl w:val="0"/>
        <w:shd w:val="clear" w:color="auto" w:fill="auto"/>
        <w:bidi w:val="0"/>
        <w:spacing w:before="0" w:after="80" w:line="634" w:lineRule="exact"/>
        <w:ind w:left="0" w:right="0" w:firstLine="580"/>
        <w:jc w:val="both"/>
        <w:rPr>
          <w:sz w:val="28"/>
          <w:szCs w:val="28"/>
        </w:rPr>
      </w:pPr>
      <w:bookmarkStart w:id="3" w:name="bookmark3"/>
      <w:r>
        <w:rPr>
          <w:b/>
          <w:bCs/>
          <w:color w:val="000000"/>
          <w:spacing w:val="0"/>
          <w:w w:val="100"/>
          <w:position w:val="0"/>
          <w:sz w:val="28"/>
          <w:szCs w:val="28"/>
        </w:rPr>
        <w:t>公司董事会、监事会及董事、监事、高级管理人员保证年度报告内容的真 实、准确、完整，不存在虚假记载、误导性陈述或者重大遗漏，并承担个别和 连带的法律责任。</w:t>
      </w:r>
      <w:bookmarkEnd w:id="3"/>
    </w:p>
    <w:p>
      <w:pPr>
        <w:pStyle w:val="Style2"/>
        <w:keepNext w:val="0"/>
        <w:keepLines w:val="0"/>
        <w:widowControl w:val="0"/>
        <w:shd w:val="clear" w:color="auto" w:fill="auto"/>
        <w:bidi w:val="0"/>
        <w:spacing w:before="0" w:after="80" w:line="638" w:lineRule="exact"/>
        <w:ind w:left="0" w:right="0" w:firstLine="580"/>
        <w:jc w:val="both"/>
        <w:rPr>
          <w:sz w:val="28"/>
          <w:szCs w:val="28"/>
        </w:rPr>
      </w:pPr>
      <w:r>
        <w:rPr>
          <w:b/>
          <w:bCs/>
          <w:color w:val="000000"/>
          <w:spacing w:val="0"/>
          <w:w w:val="100"/>
          <w:position w:val="0"/>
          <w:sz w:val="28"/>
          <w:szCs w:val="28"/>
        </w:rPr>
        <w:t>公司负责人胡宏伟、主管会计工作负责人陈丽娜及会计机构负责人</w:t>
      </w:r>
      <w:r>
        <w:rPr>
          <w:rFonts w:ascii="Times New Roman" w:eastAsia="Times New Roman" w:hAnsi="Times New Roman" w:cs="Times New Roman"/>
          <w:b/>
          <w:bCs/>
          <w:color w:val="000000"/>
          <w:spacing w:val="0"/>
          <w:w w:val="100"/>
          <w:position w:val="0"/>
          <w:sz w:val="26"/>
          <w:szCs w:val="26"/>
        </w:rPr>
        <w:t>（</w:t>
      </w:r>
      <w:r>
        <w:rPr>
          <w:b/>
          <w:bCs/>
          <w:color w:val="000000"/>
          <w:spacing w:val="0"/>
          <w:w w:val="100"/>
          <w:position w:val="0"/>
          <w:sz w:val="28"/>
          <w:szCs w:val="28"/>
        </w:rPr>
        <w:t>会计主 管人员</w:t>
      </w:r>
      <w:r>
        <w:rPr>
          <w:rFonts w:ascii="Times New Roman" w:eastAsia="Times New Roman" w:hAnsi="Times New Roman" w:cs="Times New Roman"/>
          <w:b/>
          <w:bCs/>
          <w:color w:val="000000"/>
          <w:spacing w:val="0"/>
          <w:w w:val="100"/>
          <w:position w:val="0"/>
          <w:sz w:val="26"/>
          <w:szCs w:val="26"/>
        </w:rPr>
        <w:t>）</w:t>
      </w:r>
      <w:r>
        <w:rPr>
          <w:b/>
          <w:bCs/>
          <w:color w:val="000000"/>
          <w:spacing w:val="0"/>
          <w:w w:val="100"/>
          <w:position w:val="0"/>
          <w:sz w:val="28"/>
          <w:szCs w:val="28"/>
        </w:rPr>
        <w:t>张望喜声明：保证本年度报告中财务报告的真实、准确、完整。</w:t>
      </w:r>
    </w:p>
    <w:p>
      <w:pPr>
        <w:pStyle w:val="Style2"/>
        <w:keepNext w:val="0"/>
        <w:keepLines w:val="0"/>
        <w:widowControl w:val="0"/>
        <w:shd w:val="clear" w:color="auto" w:fill="auto"/>
        <w:bidi w:val="0"/>
        <w:spacing w:before="0" w:after="80" w:line="636" w:lineRule="exact"/>
        <w:ind w:left="0" w:right="0" w:firstLine="580"/>
        <w:jc w:val="both"/>
        <w:rPr>
          <w:sz w:val="28"/>
          <w:szCs w:val="28"/>
        </w:rPr>
      </w:pPr>
      <w:r>
        <w:rPr>
          <w:b/>
          <w:bCs/>
          <w:color w:val="000000"/>
          <w:spacing w:val="0"/>
          <w:w w:val="100"/>
          <w:position w:val="0"/>
          <w:sz w:val="28"/>
          <w:szCs w:val="28"/>
        </w:rPr>
        <w:t>所有董事均已出席了审议本报告的董事会会议。</w:t>
      </w:r>
    </w:p>
    <w:p>
      <w:pPr>
        <w:pStyle w:val="Style2"/>
        <w:keepNext w:val="0"/>
        <w:keepLines w:val="0"/>
        <w:widowControl w:val="0"/>
        <w:shd w:val="clear" w:color="auto" w:fill="auto"/>
        <w:bidi w:val="0"/>
        <w:spacing w:before="0" w:after="80" w:line="636" w:lineRule="exact"/>
        <w:ind w:left="0" w:right="0" w:firstLine="580"/>
        <w:jc w:val="both"/>
        <w:rPr>
          <w:sz w:val="28"/>
          <w:szCs w:val="28"/>
        </w:rPr>
        <w:sectPr>
          <w:footnotePr>
            <w:pos w:val="pageBottom"/>
            <w:numFmt w:val="decimal"/>
            <w:numRestart w:val="continuous"/>
          </w:footnotePr>
          <w:pgSz w:w="11900" w:h="16840"/>
          <w:pgMar w:top="2489" w:right="1102" w:bottom="5433" w:left="1102" w:header="0" w:footer="3" w:gutter="0"/>
          <w:cols w:space="720"/>
          <w:noEndnote/>
          <w:rtlGutter w:val="0"/>
          <w:docGrid w:linePitch="360"/>
        </w:sectPr>
      </w:pPr>
      <w:r>
        <w:rPr>
          <w:b/>
          <w:bCs/>
          <w:color w:val="000000"/>
          <w:spacing w:val="0"/>
          <w:w w:val="100"/>
          <w:position w:val="0"/>
          <w:sz w:val="28"/>
          <w:szCs w:val="28"/>
        </w:rPr>
        <w:t>公司计划不派发现金红利，不送红股，不以公积金转增股本。</w:t>
      </w:r>
    </w:p>
    <w:p>
      <w:pPr>
        <w:pStyle w:val="Style2"/>
        <w:keepNext w:val="0"/>
        <w:keepLines w:val="0"/>
        <w:widowControl w:val="0"/>
        <w:shd w:val="clear" w:color="auto" w:fill="auto"/>
        <w:bidi w:val="0"/>
        <w:spacing w:before="0" w:after="1660" w:line="240" w:lineRule="auto"/>
        <w:ind w:left="0" w:right="0" w:firstLine="0"/>
        <w:jc w:val="center"/>
        <w:rPr>
          <w:sz w:val="36"/>
          <w:szCs w:val="36"/>
        </w:rPr>
      </w:pPr>
      <w:r>
        <w:rPr>
          <w:b/>
          <w:bCs/>
          <w:color w:val="000000"/>
          <w:spacing w:val="0"/>
          <w:w w:val="100"/>
          <w:position w:val="0"/>
          <w:sz w:val="36"/>
          <w:szCs w:val="36"/>
        </w:rPr>
        <w:t>目录</w:t>
      </w:r>
    </w:p>
    <w:p>
      <w:pPr>
        <w:pStyle w:val="Style14"/>
        <w:keepNext w:val="0"/>
        <w:keepLines w:val="0"/>
        <w:widowControl w:val="0"/>
        <w:shd w:val="clear" w:color="auto" w:fill="auto"/>
        <w:tabs>
          <w:tab w:pos="1035" w:val="left"/>
          <w:tab w:leader="dot" w:pos="9622" w:val="right"/>
        </w:tabs>
        <w:bidi w:val="0"/>
        <w:spacing w:before="0" w:line="240" w:lineRule="auto"/>
        <w:ind w:left="0" w:right="0" w:firstLine="0"/>
        <w:jc w:val="left"/>
        <w:rPr>
          <w:sz w:val="26"/>
          <w:szCs w:val="26"/>
        </w:rPr>
      </w:pPr>
      <w:r>
        <w:fldChar w:fldCharType="begin"/>
        <w:instrText xml:space="preserve"> TOC \o "1-5" \h \z </w:instrText>
        <w:fldChar w:fldCharType="separate"/>
      </w:r>
      <w:hyperlink w:anchor="bookmark1" w:tooltip="Current Document">
        <w:r>
          <w:rPr>
            <w:color w:val="000000"/>
            <w:spacing w:val="0"/>
            <w:w w:val="100"/>
            <w:position w:val="0"/>
            <w:sz w:val="28"/>
            <w:szCs w:val="28"/>
          </w:rPr>
          <w:t>第一节</w:t>
          <w:tab/>
          <w:t>重要提示、目录和释义</w:t>
        </w:r>
        <w:r>
          <w:rPr>
            <w:color w:val="000000"/>
            <w:spacing w:val="0"/>
            <w:w w:val="100"/>
            <w:position w:val="0"/>
            <w:sz w:val="28"/>
            <w:szCs w:val="28"/>
          </w:rPr>
          <w:tab/>
        </w:r>
        <w:r>
          <w:rPr>
            <w:rFonts w:ascii="Times New Roman" w:eastAsia="Times New Roman" w:hAnsi="Times New Roman" w:cs="Times New Roman"/>
            <w:color w:val="000000"/>
            <w:spacing w:val="0"/>
            <w:w w:val="100"/>
            <w:position w:val="0"/>
            <w:sz w:val="26"/>
            <w:szCs w:val="26"/>
          </w:rPr>
          <w:t>1</w:t>
        </w:r>
      </w:hyperlink>
    </w:p>
    <w:p>
      <w:pPr>
        <w:pStyle w:val="Style14"/>
        <w:keepNext w:val="0"/>
        <w:keepLines w:val="0"/>
        <w:widowControl w:val="0"/>
        <w:shd w:val="clear" w:color="auto" w:fill="auto"/>
        <w:tabs>
          <w:tab w:pos="1035" w:val="left"/>
          <w:tab w:leader="dot" w:pos="9622" w:val="right"/>
        </w:tabs>
        <w:bidi w:val="0"/>
        <w:spacing w:before="0" w:line="240" w:lineRule="auto"/>
        <w:ind w:left="0" w:right="0" w:firstLine="0"/>
        <w:jc w:val="left"/>
        <w:rPr>
          <w:sz w:val="26"/>
          <w:szCs w:val="26"/>
        </w:rPr>
      </w:pPr>
      <w:hyperlink w:anchor="bookmark9" w:tooltip="Current Document">
        <w:r>
          <w:rPr>
            <w:color w:val="000000"/>
            <w:spacing w:val="0"/>
            <w:w w:val="100"/>
            <w:position w:val="0"/>
            <w:sz w:val="28"/>
            <w:szCs w:val="28"/>
          </w:rPr>
          <w:t>第二节</w:t>
          <w:tab/>
          <w:t>公司简介和主要财务指标</w:t>
        </w:r>
        <w:r>
          <w:rPr>
            <w:color w:val="000000"/>
            <w:spacing w:val="0"/>
            <w:w w:val="100"/>
            <w:position w:val="0"/>
            <w:sz w:val="28"/>
            <w:szCs w:val="28"/>
          </w:rPr>
          <w:tab/>
        </w:r>
        <w:r>
          <w:rPr>
            <w:rFonts w:ascii="Times New Roman" w:eastAsia="Times New Roman" w:hAnsi="Times New Roman" w:cs="Times New Roman"/>
            <w:color w:val="000000"/>
            <w:spacing w:val="0"/>
            <w:w w:val="100"/>
            <w:position w:val="0"/>
            <w:sz w:val="26"/>
            <w:szCs w:val="26"/>
          </w:rPr>
          <w:t>5</w:t>
        </w:r>
      </w:hyperlink>
    </w:p>
    <w:p>
      <w:pPr>
        <w:pStyle w:val="Style14"/>
        <w:keepNext w:val="0"/>
        <w:keepLines w:val="0"/>
        <w:widowControl w:val="0"/>
        <w:shd w:val="clear" w:color="auto" w:fill="auto"/>
        <w:tabs>
          <w:tab w:pos="1035" w:val="left"/>
          <w:tab w:leader="dot" w:pos="9622" w:val="right"/>
        </w:tabs>
        <w:bidi w:val="0"/>
        <w:spacing w:before="0" w:line="240" w:lineRule="auto"/>
        <w:ind w:left="0" w:right="0" w:firstLine="0"/>
        <w:jc w:val="left"/>
        <w:rPr>
          <w:sz w:val="26"/>
          <w:szCs w:val="26"/>
        </w:rPr>
      </w:pPr>
      <w:hyperlink w:anchor="bookmark52" w:tooltip="Current Document">
        <w:r>
          <w:rPr>
            <w:color w:val="000000"/>
            <w:spacing w:val="0"/>
            <w:w w:val="100"/>
            <w:position w:val="0"/>
            <w:sz w:val="28"/>
            <w:szCs w:val="28"/>
          </w:rPr>
          <w:t>第三节</w:t>
          <w:tab/>
          <w:t>管理层讨论与分析</w:t>
        </w:r>
        <w:r>
          <w:rPr>
            <w:color w:val="000000"/>
            <w:spacing w:val="0"/>
            <w:w w:val="100"/>
            <w:position w:val="0"/>
            <w:sz w:val="28"/>
            <w:szCs w:val="28"/>
          </w:rPr>
          <w:tab/>
        </w:r>
        <w:r>
          <w:rPr>
            <w:rFonts w:ascii="Times New Roman" w:eastAsia="Times New Roman" w:hAnsi="Times New Roman" w:cs="Times New Roman"/>
            <w:color w:val="000000"/>
            <w:spacing w:val="0"/>
            <w:w w:val="100"/>
            <w:position w:val="0"/>
            <w:sz w:val="26"/>
            <w:szCs w:val="26"/>
          </w:rPr>
          <w:t>9</w:t>
        </w:r>
      </w:hyperlink>
    </w:p>
    <w:p>
      <w:pPr>
        <w:pStyle w:val="Style14"/>
        <w:keepNext w:val="0"/>
        <w:keepLines w:val="0"/>
        <w:widowControl w:val="0"/>
        <w:shd w:val="clear" w:color="auto" w:fill="auto"/>
        <w:tabs>
          <w:tab w:leader="dot" w:pos="9622" w:val="right"/>
        </w:tabs>
        <w:bidi w:val="0"/>
        <w:spacing w:before="0" w:line="240" w:lineRule="auto"/>
        <w:ind w:left="0" w:right="0" w:firstLine="0"/>
        <w:jc w:val="left"/>
        <w:rPr>
          <w:sz w:val="26"/>
          <w:szCs w:val="26"/>
        </w:rPr>
      </w:pPr>
      <w:hyperlink w:anchor="bookmark336" w:tooltip="Current Document">
        <w:r>
          <w:rPr>
            <w:color w:val="000000"/>
            <w:spacing w:val="0"/>
            <w:w w:val="100"/>
            <w:position w:val="0"/>
            <w:sz w:val="28"/>
            <w:szCs w:val="28"/>
          </w:rPr>
          <w:t>第四节公司治理</w:t>
        </w:r>
        <w:r>
          <w:rPr>
            <w:color w:val="000000"/>
            <w:spacing w:val="0"/>
            <w:w w:val="100"/>
            <w:position w:val="0"/>
            <w:sz w:val="28"/>
            <w:szCs w:val="28"/>
          </w:rPr>
          <w:tab/>
        </w:r>
        <w:r>
          <w:rPr>
            <w:rFonts w:ascii="Times New Roman" w:eastAsia="Times New Roman" w:hAnsi="Times New Roman" w:cs="Times New Roman"/>
            <w:color w:val="000000"/>
            <w:spacing w:val="0"/>
            <w:w w:val="100"/>
            <w:position w:val="0"/>
            <w:sz w:val="26"/>
            <w:szCs w:val="26"/>
          </w:rPr>
          <w:t>56</w:t>
        </w:r>
      </w:hyperlink>
    </w:p>
    <w:p>
      <w:pPr>
        <w:pStyle w:val="Style14"/>
        <w:keepNext w:val="0"/>
        <w:keepLines w:val="0"/>
        <w:widowControl w:val="0"/>
        <w:shd w:val="clear" w:color="auto" w:fill="auto"/>
        <w:tabs>
          <w:tab w:leader="dot" w:pos="9622" w:val="right"/>
        </w:tabs>
        <w:bidi w:val="0"/>
        <w:spacing w:before="0" w:line="240" w:lineRule="auto"/>
        <w:ind w:left="0" w:right="0" w:firstLine="0"/>
        <w:jc w:val="left"/>
        <w:rPr>
          <w:sz w:val="26"/>
          <w:szCs w:val="26"/>
        </w:rPr>
      </w:pPr>
      <w:hyperlink w:anchor="bookmark482" w:tooltip="Current Document">
        <w:r>
          <w:rPr>
            <w:color w:val="000000"/>
            <w:spacing w:val="0"/>
            <w:w w:val="100"/>
            <w:position w:val="0"/>
            <w:sz w:val="28"/>
            <w:szCs w:val="28"/>
          </w:rPr>
          <w:t>第五节环境和社会责任</w:t>
        </w:r>
        <w:r>
          <w:rPr>
            <w:color w:val="000000"/>
            <w:spacing w:val="0"/>
            <w:w w:val="100"/>
            <w:position w:val="0"/>
            <w:sz w:val="28"/>
            <w:szCs w:val="28"/>
          </w:rPr>
          <w:tab/>
        </w:r>
        <w:r>
          <w:rPr>
            <w:rFonts w:ascii="Times New Roman" w:eastAsia="Times New Roman" w:hAnsi="Times New Roman" w:cs="Times New Roman"/>
            <w:color w:val="000000"/>
            <w:spacing w:val="0"/>
            <w:w w:val="100"/>
            <w:position w:val="0"/>
            <w:sz w:val="26"/>
            <w:szCs w:val="26"/>
          </w:rPr>
          <w:t>72</w:t>
        </w:r>
      </w:hyperlink>
    </w:p>
    <w:p>
      <w:pPr>
        <w:pStyle w:val="Style14"/>
        <w:keepNext w:val="0"/>
        <w:keepLines w:val="0"/>
        <w:widowControl w:val="0"/>
        <w:shd w:val="clear" w:color="auto" w:fill="auto"/>
        <w:tabs>
          <w:tab w:leader="dot" w:pos="9622" w:val="right"/>
        </w:tabs>
        <w:bidi w:val="0"/>
        <w:spacing w:before="0" w:line="240" w:lineRule="auto"/>
        <w:ind w:left="0" w:right="0" w:firstLine="0"/>
        <w:jc w:val="left"/>
        <w:rPr>
          <w:sz w:val="26"/>
          <w:szCs w:val="26"/>
        </w:rPr>
      </w:pPr>
      <w:hyperlink w:anchor="bookmark512" w:tooltip="Current Document">
        <w:r>
          <w:rPr>
            <w:color w:val="000000"/>
            <w:spacing w:val="0"/>
            <w:w w:val="100"/>
            <w:position w:val="0"/>
            <w:sz w:val="28"/>
            <w:szCs w:val="28"/>
          </w:rPr>
          <w:t>第六节重要事项</w:t>
        </w:r>
        <w:r>
          <w:rPr>
            <w:color w:val="000000"/>
            <w:spacing w:val="0"/>
            <w:w w:val="100"/>
            <w:position w:val="0"/>
            <w:sz w:val="28"/>
            <w:szCs w:val="28"/>
          </w:rPr>
          <w:tab/>
        </w:r>
        <w:r>
          <w:rPr>
            <w:rFonts w:ascii="Times New Roman" w:eastAsia="Times New Roman" w:hAnsi="Times New Roman" w:cs="Times New Roman"/>
            <w:color w:val="000000"/>
            <w:spacing w:val="0"/>
            <w:w w:val="100"/>
            <w:position w:val="0"/>
            <w:sz w:val="26"/>
            <w:szCs w:val="26"/>
          </w:rPr>
          <w:t>75</w:t>
        </w:r>
      </w:hyperlink>
    </w:p>
    <w:p>
      <w:pPr>
        <w:pStyle w:val="Style14"/>
        <w:keepNext w:val="0"/>
        <w:keepLines w:val="0"/>
        <w:widowControl w:val="0"/>
        <w:shd w:val="clear" w:color="auto" w:fill="auto"/>
        <w:tabs>
          <w:tab w:leader="dot" w:pos="9622" w:val="right"/>
        </w:tabs>
        <w:bidi w:val="0"/>
        <w:spacing w:before="0" w:line="240" w:lineRule="auto"/>
        <w:ind w:left="0" w:right="0" w:firstLine="0"/>
        <w:jc w:val="left"/>
        <w:rPr>
          <w:sz w:val="26"/>
          <w:szCs w:val="26"/>
        </w:rPr>
      </w:pPr>
      <w:hyperlink w:anchor="bookmark648" w:tooltip="Current Document">
        <w:r>
          <w:rPr>
            <w:color w:val="000000"/>
            <w:spacing w:val="0"/>
            <w:w w:val="100"/>
            <w:position w:val="0"/>
            <w:sz w:val="28"/>
            <w:szCs w:val="28"/>
          </w:rPr>
          <w:t>第七节股份变动及股东情况</w:t>
        </w:r>
        <w:r>
          <w:rPr>
            <w:color w:val="000000"/>
            <w:spacing w:val="0"/>
            <w:w w:val="100"/>
            <w:position w:val="0"/>
            <w:sz w:val="28"/>
            <w:szCs w:val="28"/>
          </w:rPr>
          <w:tab/>
        </w:r>
        <w:r>
          <w:rPr>
            <w:rFonts w:ascii="Times New Roman" w:eastAsia="Times New Roman" w:hAnsi="Times New Roman" w:cs="Times New Roman"/>
            <w:color w:val="000000"/>
            <w:spacing w:val="0"/>
            <w:w w:val="100"/>
            <w:position w:val="0"/>
            <w:sz w:val="26"/>
            <w:szCs w:val="26"/>
          </w:rPr>
          <w:t>83</w:t>
        </w:r>
      </w:hyperlink>
    </w:p>
    <w:p>
      <w:pPr>
        <w:pStyle w:val="Style14"/>
        <w:keepNext w:val="0"/>
        <w:keepLines w:val="0"/>
        <w:widowControl w:val="0"/>
        <w:shd w:val="clear" w:color="auto" w:fill="auto"/>
        <w:tabs>
          <w:tab w:leader="dot" w:pos="9622" w:val="right"/>
        </w:tabs>
        <w:bidi w:val="0"/>
        <w:spacing w:before="0" w:line="240" w:lineRule="auto"/>
        <w:ind w:left="0" w:right="0" w:firstLine="0"/>
        <w:jc w:val="left"/>
        <w:rPr>
          <w:sz w:val="26"/>
          <w:szCs w:val="26"/>
        </w:rPr>
      </w:pPr>
      <w:hyperlink w:anchor="bookmark712" w:tooltip="Current Document">
        <w:r>
          <w:rPr>
            <w:color w:val="000000"/>
            <w:spacing w:val="0"/>
            <w:w w:val="100"/>
            <w:position w:val="0"/>
            <w:sz w:val="28"/>
            <w:szCs w:val="28"/>
          </w:rPr>
          <w:t>第八节优先股相关情况</w:t>
        </w:r>
        <w:r>
          <w:rPr>
            <w:color w:val="000000"/>
            <w:spacing w:val="0"/>
            <w:w w:val="100"/>
            <w:position w:val="0"/>
            <w:sz w:val="28"/>
            <w:szCs w:val="28"/>
          </w:rPr>
          <w:tab/>
        </w:r>
        <w:r>
          <w:rPr>
            <w:rFonts w:ascii="Times New Roman" w:eastAsia="Times New Roman" w:hAnsi="Times New Roman" w:cs="Times New Roman"/>
            <w:color w:val="000000"/>
            <w:spacing w:val="0"/>
            <w:w w:val="100"/>
            <w:position w:val="0"/>
            <w:sz w:val="26"/>
            <w:szCs w:val="26"/>
          </w:rPr>
          <w:t>89</w:t>
        </w:r>
      </w:hyperlink>
    </w:p>
    <w:p>
      <w:pPr>
        <w:pStyle w:val="Style14"/>
        <w:keepNext w:val="0"/>
        <w:keepLines w:val="0"/>
        <w:widowControl w:val="0"/>
        <w:shd w:val="clear" w:color="auto" w:fill="auto"/>
        <w:tabs>
          <w:tab w:leader="dot" w:pos="9622" w:val="right"/>
        </w:tabs>
        <w:bidi w:val="0"/>
        <w:spacing w:before="0" w:line="240" w:lineRule="auto"/>
        <w:ind w:left="0" w:right="0" w:firstLine="0"/>
        <w:jc w:val="left"/>
        <w:rPr>
          <w:sz w:val="26"/>
          <w:szCs w:val="26"/>
        </w:rPr>
      </w:pPr>
      <w:hyperlink w:anchor="bookmark716" w:tooltip="Current Document">
        <w:r>
          <w:rPr>
            <w:color w:val="000000"/>
            <w:spacing w:val="0"/>
            <w:w w:val="100"/>
            <w:position w:val="0"/>
            <w:sz w:val="28"/>
            <w:szCs w:val="28"/>
          </w:rPr>
          <w:t>第九节债券相关情况</w:t>
        </w:r>
        <w:r>
          <w:rPr>
            <w:color w:val="000000"/>
            <w:spacing w:val="0"/>
            <w:w w:val="100"/>
            <w:position w:val="0"/>
            <w:sz w:val="28"/>
            <w:szCs w:val="28"/>
          </w:rPr>
          <w:tab/>
        </w:r>
        <w:r>
          <w:rPr>
            <w:rFonts w:ascii="Times New Roman" w:eastAsia="Times New Roman" w:hAnsi="Times New Roman" w:cs="Times New Roman"/>
            <w:color w:val="000000"/>
            <w:spacing w:val="0"/>
            <w:w w:val="100"/>
            <w:position w:val="0"/>
            <w:sz w:val="26"/>
            <w:szCs w:val="26"/>
          </w:rPr>
          <w:t>90</w:t>
        </w:r>
      </w:hyperlink>
    </w:p>
    <w:p>
      <w:pPr>
        <w:pStyle w:val="Style14"/>
        <w:keepNext w:val="0"/>
        <w:keepLines w:val="0"/>
        <w:widowControl w:val="0"/>
        <w:shd w:val="clear" w:color="auto" w:fill="auto"/>
        <w:tabs>
          <w:tab w:leader="dot" w:pos="9622" w:val="right"/>
        </w:tabs>
        <w:bidi w:val="0"/>
        <w:spacing w:before="0" w:line="240" w:lineRule="auto"/>
        <w:ind w:left="0" w:right="0" w:firstLine="0"/>
        <w:jc w:val="left"/>
        <w:rPr>
          <w:sz w:val="26"/>
          <w:szCs w:val="26"/>
        </w:rPr>
        <w:sectPr>
          <w:footnotePr>
            <w:pos w:val="pageBottom"/>
            <w:numFmt w:val="decimal"/>
            <w:numRestart w:val="continuous"/>
          </w:footnotePr>
          <w:pgSz w:w="11900" w:h="16840"/>
          <w:pgMar w:top="2864" w:right="1112" w:bottom="2864" w:left="1102" w:header="0" w:footer="3" w:gutter="0"/>
          <w:cols w:space="720"/>
          <w:noEndnote/>
          <w:rtlGutter w:val="0"/>
          <w:docGrid w:linePitch="360"/>
        </w:sectPr>
      </w:pPr>
      <w:hyperlink w:anchor="bookmark720" w:tooltip="Current Document">
        <w:r>
          <w:rPr>
            <w:color w:val="000000"/>
            <w:spacing w:val="0"/>
            <w:w w:val="100"/>
            <w:position w:val="0"/>
            <w:sz w:val="28"/>
            <w:szCs w:val="28"/>
          </w:rPr>
          <w:t>第十节财务报告</w:t>
        </w:r>
        <w:r>
          <w:rPr>
            <w:color w:val="000000"/>
            <w:spacing w:val="0"/>
            <w:w w:val="100"/>
            <w:position w:val="0"/>
            <w:sz w:val="28"/>
            <w:szCs w:val="28"/>
          </w:rPr>
          <w:tab/>
        </w:r>
        <w:r>
          <w:rPr>
            <w:rFonts w:ascii="Times New Roman" w:eastAsia="Times New Roman" w:hAnsi="Times New Roman" w:cs="Times New Roman"/>
            <w:color w:val="000000"/>
            <w:spacing w:val="0"/>
            <w:w w:val="100"/>
            <w:position w:val="0"/>
            <w:sz w:val="26"/>
            <w:szCs w:val="26"/>
          </w:rPr>
          <w:t>91</w:t>
        </w:r>
      </w:hyperlink>
      <w:r>
        <w:fldChar w:fldCharType="end"/>
      </w:r>
    </w:p>
    <w:p>
      <w:pPr>
        <w:pStyle w:val="Style2"/>
        <w:keepNext w:val="0"/>
        <w:keepLines w:val="0"/>
        <w:widowControl w:val="0"/>
        <w:shd w:val="clear" w:color="auto" w:fill="auto"/>
        <w:bidi w:val="0"/>
        <w:spacing w:before="0" w:after="700" w:line="240" w:lineRule="auto"/>
        <w:ind w:left="0" w:right="0" w:firstLine="0"/>
        <w:jc w:val="center"/>
        <w:rPr>
          <w:sz w:val="32"/>
          <w:szCs w:val="32"/>
        </w:rPr>
      </w:pPr>
      <w:r>
        <w:rPr>
          <w:b/>
          <w:bCs/>
          <w:color w:val="000000"/>
          <w:spacing w:val="0"/>
          <w:w w:val="100"/>
          <w:position w:val="0"/>
          <w:sz w:val="32"/>
          <w:szCs w:val="32"/>
        </w:rPr>
        <w:t>备查文件目录</w:t>
      </w:r>
    </w:p>
    <w:p>
      <w:pPr>
        <w:pStyle w:val="Style18"/>
        <w:keepNext w:val="0"/>
        <w:keepLines w:val="0"/>
        <w:widowControl w:val="0"/>
        <w:shd w:val="clear" w:color="auto" w:fill="auto"/>
        <w:tabs>
          <w:tab w:pos="512" w:val="left"/>
        </w:tabs>
        <w:bidi w:val="0"/>
        <w:spacing w:before="0" w:after="0" w:line="485" w:lineRule="exact"/>
        <w:ind w:left="0" w:right="0" w:firstLine="0"/>
        <w:jc w:val="left"/>
        <w:rPr>
          <w:sz w:val="22"/>
          <w:szCs w:val="22"/>
        </w:rPr>
      </w:pPr>
      <w:bookmarkStart w:id="4" w:name="bookmark4"/>
      <w:r>
        <w:rPr>
          <w:color w:val="000000"/>
          <w:spacing w:val="0"/>
          <w:w w:val="100"/>
          <w:position w:val="0"/>
          <w:sz w:val="22"/>
          <w:szCs w:val="22"/>
        </w:rPr>
        <w:t>一</w:t>
      </w:r>
      <w:bookmarkEnd w:id="4"/>
      <w:r>
        <w:rPr>
          <w:color w:val="000000"/>
          <w:spacing w:val="0"/>
          <w:w w:val="100"/>
          <w:position w:val="0"/>
          <w:sz w:val="22"/>
          <w:szCs w:val="22"/>
        </w:rPr>
        <w:t>、</w:t>
        <w:tab/>
        <w:t>载有公司法定代表人签名和公司盖章的</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年年度报告原件。</w:t>
      </w:r>
    </w:p>
    <w:p>
      <w:pPr>
        <w:pStyle w:val="Style18"/>
        <w:keepNext w:val="0"/>
        <w:keepLines w:val="0"/>
        <w:widowControl w:val="0"/>
        <w:shd w:val="clear" w:color="auto" w:fill="auto"/>
        <w:tabs>
          <w:tab w:pos="512" w:val="left"/>
        </w:tabs>
        <w:bidi w:val="0"/>
        <w:spacing w:before="0" w:after="0" w:line="485" w:lineRule="exact"/>
        <w:ind w:left="0" w:right="0" w:firstLine="0"/>
        <w:jc w:val="left"/>
        <w:rPr>
          <w:sz w:val="22"/>
          <w:szCs w:val="22"/>
        </w:rPr>
      </w:pPr>
      <w:bookmarkStart w:id="5" w:name="bookmark5"/>
      <w:r>
        <w:rPr>
          <w:color w:val="000000"/>
          <w:spacing w:val="0"/>
          <w:w w:val="100"/>
          <w:position w:val="0"/>
          <w:sz w:val="22"/>
          <w:szCs w:val="22"/>
        </w:rPr>
        <w:t>二</w:t>
      </w:r>
      <w:bookmarkEnd w:id="5"/>
      <w:r>
        <w:rPr>
          <w:color w:val="000000"/>
          <w:spacing w:val="0"/>
          <w:w w:val="100"/>
          <w:position w:val="0"/>
          <w:sz w:val="22"/>
          <w:szCs w:val="22"/>
        </w:rPr>
        <w:t>、</w:t>
        <w:tab/>
        <w:t>载有公司法定代表人、主管会计工作的公司负责人、公司会计机构负责人（会计主管人 员）签名并盖章的财务报表。</w:t>
      </w:r>
    </w:p>
    <w:p>
      <w:pPr>
        <w:pStyle w:val="Style18"/>
        <w:keepNext w:val="0"/>
        <w:keepLines w:val="0"/>
        <w:widowControl w:val="0"/>
        <w:shd w:val="clear" w:color="auto" w:fill="auto"/>
        <w:tabs>
          <w:tab w:pos="512" w:val="left"/>
        </w:tabs>
        <w:bidi w:val="0"/>
        <w:spacing w:before="0" w:after="0" w:line="485" w:lineRule="exact"/>
        <w:ind w:left="0" w:right="0" w:firstLine="0"/>
        <w:jc w:val="left"/>
        <w:rPr>
          <w:sz w:val="22"/>
          <w:szCs w:val="22"/>
        </w:rPr>
      </w:pPr>
      <w:bookmarkStart w:id="6" w:name="bookmark6"/>
      <w:r>
        <w:rPr>
          <w:color w:val="000000"/>
          <w:spacing w:val="0"/>
          <w:w w:val="100"/>
          <w:position w:val="0"/>
          <w:sz w:val="22"/>
          <w:szCs w:val="22"/>
        </w:rPr>
        <w:t>三</w:t>
      </w:r>
      <w:bookmarkEnd w:id="6"/>
      <w:r>
        <w:rPr>
          <w:color w:val="000000"/>
          <w:spacing w:val="0"/>
          <w:w w:val="100"/>
          <w:position w:val="0"/>
          <w:sz w:val="22"/>
          <w:szCs w:val="22"/>
        </w:rPr>
        <w:t>、</w:t>
        <w:tab/>
        <w:t>载有会计师事务所盖章、注册会计师签名并盖章的审计报告原件。</w:t>
      </w:r>
    </w:p>
    <w:p>
      <w:pPr>
        <w:pStyle w:val="Style18"/>
        <w:keepNext w:val="0"/>
        <w:keepLines w:val="0"/>
        <w:widowControl w:val="0"/>
        <w:shd w:val="clear" w:color="auto" w:fill="auto"/>
        <w:tabs>
          <w:tab w:pos="512" w:val="left"/>
        </w:tabs>
        <w:bidi w:val="0"/>
        <w:spacing w:before="0" w:after="0" w:line="485" w:lineRule="exact"/>
        <w:ind w:left="0" w:right="0" w:firstLine="0"/>
        <w:jc w:val="left"/>
        <w:rPr>
          <w:sz w:val="22"/>
          <w:szCs w:val="22"/>
        </w:rPr>
        <w:sectPr>
          <w:footnotePr>
            <w:pos w:val="pageBottom"/>
            <w:numFmt w:val="decimal"/>
            <w:numRestart w:val="continuous"/>
          </w:footnotePr>
          <w:pgSz w:w="11900" w:h="16840"/>
          <w:pgMar w:top="2091" w:right="1155" w:bottom="2091" w:left="1112" w:header="0" w:footer="3" w:gutter="0"/>
          <w:cols w:space="720"/>
          <w:noEndnote/>
          <w:rtlGutter w:val="0"/>
          <w:docGrid w:linePitch="360"/>
        </w:sectPr>
      </w:pPr>
      <w:bookmarkStart w:id="7" w:name="bookmark7"/>
      <w:r>
        <w:rPr>
          <w:color w:val="000000"/>
          <w:spacing w:val="0"/>
          <w:w w:val="100"/>
          <w:position w:val="0"/>
          <w:sz w:val="22"/>
          <w:szCs w:val="22"/>
        </w:rPr>
        <w:t>四</w:t>
      </w:r>
      <w:bookmarkEnd w:id="7"/>
      <w:r>
        <w:rPr>
          <w:color w:val="000000"/>
          <w:spacing w:val="0"/>
          <w:w w:val="100"/>
          <w:position w:val="0"/>
          <w:sz w:val="22"/>
          <w:szCs w:val="22"/>
        </w:rPr>
        <w:t>、</w:t>
        <w:tab/>
        <w:t>报告期内在中国证监会指定网站上公开披露过的所有公司文件的正本及公告的原稿。</w:t>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2563"/>
        <w:gridCol w:w="710"/>
        <w:gridCol w:w="6317"/>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万达信息、公司、本公司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万达信息股份有限公司</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中国人寿</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中国人寿保险股份有限公司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ICT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Information </w:t>
            </w:r>
            <w:r>
              <w:rPr>
                <w:rFonts w:ascii="Times New Roman" w:eastAsia="Times New Roman" w:hAnsi="Times New Roman" w:cs="Times New Roman"/>
                <w:color w:val="000000"/>
                <w:spacing w:val="0"/>
                <w:w w:val="100"/>
                <w:position w:val="0"/>
                <w:sz w:val="18"/>
                <w:szCs w:val="18"/>
              </w:rPr>
              <w:t xml:space="preserve">&amp; </w:t>
            </w:r>
            <w:r>
              <w:rPr>
                <w:rFonts w:ascii="Times New Roman" w:eastAsia="Times New Roman" w:hAnsi="Times New Roman" w:cs="Times New Roman"/>
                <w:color w:val="000000"/>
                <w:spacing w:val="0"/>
                <w:w w:val="100"/>
                <w:position w:val="0"/>
                <w:sz w:val="18"/>
                <w:szCs w:val="18"/>
              </w:rPr>
              <w:t>Communication Technology</w:t>
            </w:r>
            <w:r>
              <w:rPr>
                <w:color w:val="000000"/>
                <w:spacing w:val="0"/>
                <w:w w:val="100"/>
                <w:position w:val="0"/>
                <w:sz w:val="17"/>
                <w:szCs w:val="17"/>
              </w:rPr>
              <w:t>，即信息与通信技术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DRG</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Diagnosis Related Groups</w:t>
            </w:r>
            <w:r>
              <w:rPr>
                <w:color w:val="000000"/>
                <w:spacing w:val="0"/>
                <w:w w:val="100"/>
                <w:position w:val="0"/>
                <w:sz w:val="17"/>
                <w:szCs w:val="17"/>
              </w:rPr>
              <w:t>，即疾病诊断相关分组</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CHS-DRG</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China Healthcare Security Diagnosis Related Groups</w:t>
            </w:r>
            <w:r>
              <w:rPr>
                <w:color w:val="000000"/>
                <w:spacing w:val="0"/>
                <w:w w:val="100"/>
                <w:position w:val="0"/>
                <w:sz w:val="17"/>
                <w:szCs w:val="17"/>
              </w:rPr>
              <w:t>，</w:t>
            </w:r>
            <w:r>
              <w:rPr>
                <w:color w:val="000000"/>
                <w:spacing w:val="0"/>
                <w:w w:val="100"/>
                <w:position w:val="0"/>
                <w:sz w:val="17"/>
                <w:szCs w:val="17"/>
              </w:rPr>
              <w:t>即国家医疗保障疾病诊断相 关分组</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DIP</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（Big Data） Diagnosis-Intervention Packet</w:t>
            </w:r>
            <w:r>
              <w:rPr>
                <w:color w:val="000000"/>
                <w:spacing w:val="0"/>
                <w:w w:val="100"/>
                <w:position w:val="0"/>
                <w:sz w:val="17"/>
                <w:szCs w:val="17"/>
              </w:rPr>
              <w:t>，</w:t>
            </w:r>
            <w:r>
              <w:rPr>
                <w:color w:val="000000"/>
                <w:spacing w:val="0"/>
                <w:w w:val="100"/>
                <w:position w:val="0"/>
                <w:sz w:val="17"/>
                <w:szCs w:val="17"/>
              </w:rPr>
              <w:t>即（基于大数据的）按病种分值</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HIS</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Hospital Information System</w:t>
            </w:r>
            <w:r>
              <w:rPr>
                <w:color w:val="000000"/>
                <w:spacing w:val="0"/>
                <w:w w:val="100"/>
                <w:position w:val="0"/>
                <w:sz w:val="17"/>
                <w:szCs w:val="17"/>
              </w:rPr>
              <w:t>，即医院信息系统</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CIS</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Clinic al I nformation Syste m</w:t>
            </w:r>
            <w:r>
              <w:rPr>
                <w:color w:val="000000"/>
                <w:spacing w:val="0"/>
                <w:w w:val="100"/>
                <w:position w:val="0"/>
                <w:sz w:val="17"/>
                <w:szCs w:val="17"/>
              </w:rPr>
              <w:t>，即临床信息系统</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市民云</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公司的市民云业务中心；结合上下文也指各个城市的市民云</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APP</w:t>
            </w:r>
            <w:r>
              <w:rPr>
                <w:color w:val="000000"/>
                <w:spacing w:val="0"/>
                <w:w w:val="100"/>
                <w:position w:val="0"/>
                <w:sz w:val="17"/>
                <w:szCs w:val="17"/>
              </w:rPr>
              <w:t>）</w:t>
            </w:r>
          </w:p>
        </w:tc>
      </w:tr>
    </w:tbl>
    <w:p>
      <w:pPr>
        <w:sectPr>
          <w:footnotePr>
            <w:pos w:val="pageBottom"/>
            <w:numFmt w:val="decimal"/>
            <w:numRestart w:val="continuous"/>
          </w:footnotePr>
          <w:pgSz w:w="11900" w:h="16840"/>
          <w:pgMar w:top="2235" w:right="1160" w:bottom="2235" w:left="1150" w:header="0" w:footer="3" w:gutter="0"/>
          <w:cols w:space="720"/>
          <w:noEndnote/>
          <w:rtlGutter w:val="0"/>
          <w:docGrid w:linePitch="360"/>
        </w:sectPr>
      </w:pPr>
    </w:p>
    <w:p>
      <w:pPr>
        <w:pStyle w:val="Style9"/>
        <w:keepNext/>
        <w:keepLines/>
        <w:widowControl w:val="0"/>
        <w:shd w:val="clear" w:color="auto" w:fill="auto"/>
        <w:bidi w:val="0"/>
        <w:spacing w:line="240" w:lineRule="auto"/>
        <w:ind w:left="0" w:right="0" w:firstLine="0"/>
        <w:jc w:val="center"/>
      </w:pPr>
      <w:bookmarkStart w:id="10" w:name="bookmark10"/>
      <w:bookmarkStart w:id="8" w:name="bookmark8"/>
      <w:bookmarkStart w:id="9" w:name="bookmark9"/>
      <w:r>
        <w:rPr>
          <w:color w:val="000000"/>
          <w:spacing w:val="0"/>
          <w:w w:val="100"/>
          <w:position w:val="0"/>
        </w:rPr>
        <w:t>第二节公司简介和主要财务指标</w:t>
      </w:r>
      <w:bookmarkEnd w:id="10"/>
      <w:bookmarkEnd w:id="8"/>
      <w:bookmarkEnd w:id="9"/>
    </w:p>
    <w:p>
      <w:pPr>
        <w:pStyle w:val="Style24"/>
        <w:keepNext/>
        <w:keepLines/>
        <w:widowControl w:val="0"/>
        <w:shd w:val="clear" w:color="auto" w:fill="auto"/>
        <w:bidi w:val="0"/>
        <w:spacing w:before="0" w:line="240" w:lineRule="auto"/>
        <w:ind w:left="0" w:right="0" w:firstLine="240"/>
        <w:jc w:val="left"/>
      </w:pPr>
      <w:bookmarkStart w:id="11" w:name="bookmark11"/>
      <w:bookmarkStart w:id="12" w:name="bookmark12"/>
      <w:bookmarkStart w:id="13" w:name="bookmark13"/>
      <w:bookmarkStart w:id="14" w:name="bookmark14"/>
      <w:r>
        <w:rPr>
          <w:color w:val="000000"/>
          <w:spacing w:val="0"/>
          <w:w w:val="100"/>
          <w:position w:val="0"/>
        </w:rPr>
        <w:t>、公司信息</w:t>
      </w:r>
      <w:bookmarkEnd w:id="12"/>
      <w:bookmarkEnd w:id="13"/>
      <w:bookmarkEnd w:id="14"/>
      <w:bookmarkEnd w:id="11"/>
    </w:p>
    <w:tbl>
      <w:tblPr>
        <w:tblOverlap w:val="never"/>
        <w:jc w:val="center"/>
        <w:tblLayout w:type="fixed"/>
      </w:tblPr>
      <w:tblGrid>
        <w:gridCol w:w="2290"/>
        <w:gridCol w:w="7301"/>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52" w:val="left"/>
                <w:tab w:pos="5112" w:val="left"/>
              </w:tabs>
              <w:bidi w:val="0"/>
              <w:spacing w:before="0" w:after="0" w:line="240" w:lineRule="auto"/>
              <w:ind w:left="0" w:right="0" w:firstLine="0"/>
              <w:jc w:val="left"/>
              <w:rPr>
                <w:sz w:val="18"/>
                <w:szCs w:val="18"/>
              </w:rPr>
            </w:pPr>
            <w:r>
              <w:rPr>
                <w:color w:val="000000"/>
                <w:spacing w:val="0"/>
                <w:w w:val="100"/>
                <w:position w:val="0"/>
                <w:sz w:val="17"/>
                <w:szCs w:val="17"/>
              </w:rPr>
              <w:t>万达信息</w:t>
              <w:tab/>
              <w:t>股票代码</w:t>
              <w:tab/>
            </w:r>
            <w:r>
              <w:rPr>
                <w:rFonts w:ascii="Times New Roman" w:eastAsia="Times New Roman" w:hAnsi="Times New Roman" w:cs="Times New Roman"/>
                <w:color w:val="000000"/>
                <w:spacing w:val="0"/>
                <w:w w:val="100"/>
                <w:position w:val="0"/>
                <w:sz w:val="18"/>
                <w:szCs w:val="18"/>
              </w:rPr>
              <w:t>300168</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万达信息股份有限公司</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万达信息</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Wonders Information Co., Ltd</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Wonders Information</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胡宏伟</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上海市桂平路</w:t>
            </w:r>
            <w:r>
              <w:rPr>
                <w:rFonts w:ascii="Times New Roman" w:eastAsia="Times New Roman" w:hAnsi="Times New Roman" w:cs="Times New Roman"/>
                <w:color w:val="000000"/>
                <w:spacing w:val="0"/>
                <w:w w:val="100"/>
                <w:position w:val="0"/>
                <w:sz w:val="18"/>
                <w:szCs w:val="18"/>
              </w:rPr>
              <w:t>481</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层</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200233</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上海市联航路</w:t>
            </w:r>
            <w:r>
              <w:rPr>
                <w:rFonts w:ascii="Times New Roman" w:eastAsia="Times New Roman" w:hAnsi="Times New Roman" w:cs="Times New Roman"/>
                <w:color w:val="000000"/>
                <w:spacing w:val="0"/>
                <w:w w:val="100"/>
                <w:position w:val="0"/>
                <w:sz w:val="18"/>
                <w:szCs w:val="18"/>
              </w:rPr>
              <w:t>1518</w:t>
            </w:r>
            <w:r>
              <w:rPr>
                <w:color w:val="000000"/>
                <w:spacing w:val="0"/>
                <w:w w:val="100"/>
                <w:position w:val="0"/>
                <w:sz w:val="17"/>
                <w:szCs w:val="17"/>
              </w:rPr>
              <w:t>号、上海市北京西路</w:t>
            </w:r>
            <w:r>
              <w:rPr>
                <w:rFonts w:ascii="Times New Roman" w:eastAsia="Times New Roman" w:hAnsi="Times New Roman" w:cs="Times New Roman"/>
                <w:color w:val="000000"/>
                <w:spacing w:val="0"/>
                <w:w w:val="100"/>
                <w:position w:val="0"/>
                <w:sz w:val="18"/>
                <w:szCs w:val="18"/>
              </w:rPr>
              <w:t>968</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33</w:t>
            </w:r>
            <w:r>
              <w:rPr>
                <w:color w:val="000000"/>
                <w:spacing w:val="0"/>
                <w:w w:val="100"/>
                <w:position w:val="0"/>
                <w:sz w:val="17"/>
                <w:szCs w:val="17"/>
              </w:rPr>
              <w:t>楼</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201112</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200041</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wondersgroup. c om</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inve st@wondersgroup. c om</w:t>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rPr>
        <w:t>二</w:t>
      </w:r>
      <w:bookmarkEnd w:id="17"/>
      <w:r>
        <w:rPr>
          <w:color w:val="000000"/>
          <w:spacing w:val="0"/>
          <w:w w:val="100"/>
          <w:position w:val="0"/>
        </w:rPr>
        <w:t>、联系人和联系方式</w:t>
      </w:r>
      <w:bookmarkEnd w:id="15"/>
      <w:bookmarkEnd w:id="16"/>
      <w:bookmarkEnd w:id="18"/>
    </w:p>
    <w:tbl>
      <w:tblPr>
        <w:tblOverlap w:val="never"/>
        <w:jc w:val="center"/>
        <w:tblLayout w:type="fixed"/>
      </w:tblPr>
      <w:tblGrid>
        <w:gridCol w:w="2280"/>
        <w:gridCol w:w="3686"/>
        <w:gridCol w:w="3624"/>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董事会秘书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证券事务代表</w:t>
            </w:r>
          </w:p>
        </w:tc>
      </w:tr>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张丽艳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王雯钰</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上海市静安区北京西路</w:t>
            </w:r>
            <w:r>
              <w:rPr>
                <w:rFonts w:ascii="Times New Roman" w:eastAsia="Times New Roman" w:hAnsi="Times New Roman" w:cs="Times New Roman"/>
                <w:color w:val="000000"/>
                <w:spacing w:val="0"/>
                <w:w w:val="100"/>
                <w:position w:val="0"/>
                <w:sz w:val="18"/>
                <w:szCs w:val="18"/>
              </w:rPr>
              <w:t>968</w:t>
            </w:r>
            <w:r>
              <w:rPr>
                <w:color w:val="000000"/>
                <w:spacing w:val="0"/>
                <w:w w:val="100"/>
                <w:position w:val="0"/>
                <w:sz w:val="17"/>
                <w:szCs w:val="17"/>
              </w:rPr>
              <w:t>号嘉地中心</w:t>
            </w:r>
            <w:r>
              <w:rPr>
                <w:rFonts w:ascii="Times New Roman" w:eastAsia="Times New Roman" w:hAnsi="Times New Roman" w:cs="Times New Roman"/>
                <w:color w:val="000000"/>
                <w:spacing w:val="0"/>
                <w:w w:val="100"/>
                <w:position w:val="0"/>
                <w:sz w:val="18"/>
                <w:szCs w:val="18"/>
              </w:rPr>
              <w:t>33</w:t>
            </w:r>
            <w:r>
              <w:rPr>
                <w:color w:val="000000"/>
                <w:spacing w:val="0"/>
                <w:w w:val="100"/>
                <w:position w:val="0"/>
                <w:sz w:val="17"/>
                <w:szCs w:val="17"/>
              </w:rPr>
              <w:t>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上海市静安区北京西路</w:t>
            </w:r>
            <w:r>
              <w:rPr>
                <w:rFonts w:ascii="Times New Roman" w:eastAsia="Times New Roman" w:hAnsi="Times New Roman" w:cs="Times New Roman"/>
                <w:color w:val="000000"/>
                <w:spacing w:val="0"/>
                <w:w w:val="100"/>
                <w:position w:val="0"/>
                <w:sz w:val="18"/>
                <w:szCs w:val="18"/>
              </w:rPr>
              <w:t>968</w:t>
            </w:r>
            <w:r>
              <w:rPr>
                <w:color w:val="000000"/>
                <w:spacing w:val="0"/>
                <w:w w:val="100"/>
                <w:position w:val="0"/>
                <w:sz w:val="17"/>
                <w:szCs w:val="17"/>
              </w:rPr>
              <w:t>号嘉地中心</w:t>
            </w:r>
            <w:r>
              <w:rPr>
                <w:rFonts w:ascii="Times New Roman" w:eastAsia="Times New Roman" w:hAnsi="Times New Roman" w:cs="Times New Roman"/>
                <w:color w:val="000000"/>
                <w:spacing w:val="0"/>
                <w:w w:val="100"/>
                <w:position w:val="0"/>
                <w:sz w:val="18"/>
                <w:szCs w:val="18"/>
              </w:rPr>
              <w:t>33</w:t>
            </w:r>
            <w:r>
              <w:rPr>
                <w:color w:val="000000"/>
                <w:spacing w:val="0"/>
                <w:w w:val="100"/>
                <w:position w:val="0"/>
                <w:sz w:val="17"/>
                <w:szCs w:val="17"/>
              </w:rPr>
              <w:t>楼</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021-62489636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021-62489636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021-32140588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021-32140588</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"mailto:invest@wondersgroup.com" </w:instrText>
            </w:r>
            <w:r>
              <w:fldChar w:fldCharType="separate"/>
            </w:r>
            <w:r>
              <w:rPr>
                <w:rFonts w:ascii="Times New Roman" w:eastAsia="Times New Roman" w:hAnsi="Times New Roman" w:cs="Times New Roman"/>
                <w:color w:val="000000"/>
                <w:spacing w:val="0"/>
                <w:w w:val="100"/>
                <w:position w:val="0"/>
                <w:sz w:val="18"/>
                <w:szCs w:val="18"/>
              </w:rPr>
              <w:t>invest@wondersgroup.com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"mailto:invest@wondersgroup.com" </w:instrText>
            </w:r>
            <w:r>
              <w:fldChar w:fldCharType="separate"/>
            </w:r>
            <w:r>
              <w:rPr>
                <w:rFonts w:ascii="Times New Roman" w:eastAsia="Times New Roman" w:hAnsi="Times New Roman" w:cs="Times New Roman"/>
                <w:color w:val="000000"/>
                <w:spacing w:val="0"/>
                <w:w w:val="100"/>
                <w:position w:val="0"/>
                <w:sz w:val="18"/>
                <w:szCs w:val="18"/>
              </w:rPr>
              <w:t>invest@wondersgroup.com</w:t>
            </w:r>
            <w:r>
              <w:fldChar w:fldCharType="end"/>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rPr>
        <w:t>三</w:t>
      </w:r>
      <w:bookmarkEnd w:id="21"/>
      <w:r>
        <w:rPr>
          <w:color w:val="000000"/>
          <w:spacing w:val="0"/>
          <w:w w:val="100"/>
          <w:position w:val="0"/>
        </w:rPr>
        <w:t>、信息披露及备置地点</w:t>
      </w:r>
      <w:bookmarkEnd w:id="19"/>
      <w:bookmarkEnd w:id="20"/>
      <w:bookmarkEnd w:id="22"/>
    </w:p>
    <w:tbl>
      <w:tblPr>
        <w:tblOverlap w:val="never"/>
        <w:jc w:val="center"/>
        <w:tblLayout w:type="fixed"/>
      </w:tblPr>
      <w:tblGrid>
        <w:gridCol w:w="4008"/>
        <w:gridCol w:w="558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《中国证券报》、《上海证券报》、《证券时报》、《证券日报》</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上海市静安区北京西路</w:t>
            </w:r>
            <w:r>
              <w:rPr>
                <w:rFonts w:ascii="Times New Roman" w:eastAsia="Times New Roman" w:hAnsi="Times New Roman" w:cs="Times New Roman"/>
                <w:color w:val="000000"/>
                <w:spacing w:val="0"/>
                <w:w w:val="100"/>
                <w:position w:val="0"/>
                <w:sz w:val="18"/>
                <w:szCs w:val="18"/>
              </w:rPr>
              <w:t>968</w:t>
            </w:r>
            <w:r>
              <w:rPr>
                <w:color w:val="000000"/>
                <w:spacing w:val="0"/>
                <w:w w:val="100"/>
                <w:position w:val="0"/>
                <w:sz w:val="17"/>
                <w:szCs w:val="17"/>
              </w:rPr>
              <w:t>号嘉地中心</w:t>
            </w:r>
            <w:r>
              <w:rPr>
                <w:rFonts w:ascii="Times New Roman" w:eastAsia="Times New Roman" w:hAnsi="Times New Roman" w:cs="Times New Roman"/>
                <w:color w:val="000000"/>
                <w:spacing w:val="0"/>
                <w:w w:val="100"/>
                <w:position w:val="0"/>
                <w:sz w:val="18"/>
                <w:szCs w:val="18"/>
              </w:rPr>
              <w:t>33</w:t>
            </w:r>
            <w:r>
              <w:rPr>
                <w:color w:val="000000"/>
                <w:spacing w:val="0"/>
                <w:w w:val="100"/>
                <w:position w:val="0"/>
                <w:sz w:val="17"/>
                <w:szCs w:val="17"/>
              </w:rPr>
              <w:t>楼、深圳证券交易所</w:t>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rPr>
        <w:t>四</w:t>
      </w:r>
      <w:bookmarkEnd w:id="25"/>
      <w:r>
        <w:rPr>
          <w:color w:val="000000"/>
          <w:spacing w:val="0"/>
          <w:w w:val="100"/>
          <w:position w:val="0"/>
        </w:rPr>
        <w:t>、其他有关资料</w:t>
      </w:r>
      <w:bookmarkEnd w:id="23"/>
      <w:bookmarkEnd w:id="24"/>
      <w:bookmarkEnd w:id="26"/>
      <w:r>
        <w:br w:type="page"/>
      </w:r>
    </w:p>
    <w:p>
      <w:pPr>
        <w:pStyle w:val="Style2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公司聘请的会计师事务所</w:t>
      </w:r>
    </w:p>
    <w:tbl>
      <w:tblPr>
        <w:tblOverlap w:val="never"/>
        <w:jc w:val="center"/>
        <w:tblLayout w:type="fixed"/>
      </w:tblPr>
      <w:tblGrid>
        <w:gridCol w:w="2674"/>
        <w:gridCol w:w="6917"/>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立信会计师事务所（特殊普通合伙）</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上海市南京东路</w:t>
            </w:r>
            <w:r>
              <w:rPr>
                <w:rFonts w:ascii="Times New Roman" w:eastAsia="Times New Roman" w:hAnsi="Times New Roman" w:cs="Times New Roman"/>
                <w:color w:val="000000"/>
                <w:spacing w:val="0"/>
                <w:w w:val="100"/>
                <w:position w:val="0"/>
                <w:sz w:val="18"/>
                <w:szCs w:val="18"/>
              </w:rPr>
              <w:t>61</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楼</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赵敏，翟树得</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5"/>
        <w:gridCol w:w="2400"/>
        <w:gridCol w:w="2390"/>
        <w:gridCol w:w="23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保荐机构名称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保荐机构办公地址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保荐代表人姓名</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持续督导期间</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太平洋证券股份有限公司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云南省昆明市北京路</w:t>
            </w:r>
            <w:r>
              <w:rPr>
                <w:rFonts w:ascii="Times New Roman" w:eastAsia="Times New Roman" w:hAnsi="Times New Roman" w:cs="Times New Roman"/>
                <w:color w:val="000000"/>
                <w:spacing w:val="0"/>
                <w:w w:val="100"/>
                <w:position w:val="0"/>
                <w:sz w:val="18"/>
                <w:szCs w:val="18"/>
              </w:rPr>
              <w:t>926</w:t>
            </w:r>
            <w:r>
              <w:rPr>
                <w:color w:val="000000"/>
                <w:spacing w:val="0"/>
                <w:w w:val="100"/>
                <w:position w:val="0"/>
                <w:sz w:val="17"/>
                <w:szCs w:val="17"/>
              </w:rPr>
              <w:t>号 同德广场写字楼</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欧阳凌、敬启志</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bl>
    <w:p>
      <w:pPr>
        <w:pStyle w:val="Style29"/>
        <w:keepNext w:val="0"/>
        <w:keepLines w:val="0"/>
        <w:widowControl w:val="0"/>
        <w:shd w:val="clear" w:color="auto" w:fill="auto"/>
        <w:bidi w:val="0"/>
        <w:spacing w:before="0" w:after="360" w:line="350" w:lineRule="exact"/>
        <w:ind w:left="0" w:right="0" w:firstLine="0"/>
        <w:jc w:val="left"/>
      </w:pPr>
      <w:r>
        <w:rPr>
          <w:color w:val="000000"/>
          <w:spacing w:val="0"/>
          <w:w w:val="100"/>
          <w:position w:val="0"/>
        </w:rPr>
        <w:t xml:space="preserve">公司聘请的报告期内履行持续督导职责的财务顾问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6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rPr>
        <w:t>五</w:t>
      </w:r>
      <w:bookmarkEnd w:id="29"/>
      <w:r>
        <w:rPr>
          <w:color w:val="000000"/>
          <w:spacing w:val="0"/>
          <w:w w:val="100"/>
          <w:position w:val="0"/>
        </w:rPr>
        <w:t>、主要会计数据和财务指标</w:t>
      </w:r>
      <w:bookmarkEnd w:id="27"/>
      <w:bookmarkEnd w:id="28"/>
      <w:bookmarkEnd w:id="30"/>
    </w:p>
    <w:p>
      <w:pPr>
        <w:pStyle w:val="Style29"/>
        <w:keepNext w:val="0"/>
        <w:keepLines w:val="0"/>
        <w:widowControl w:val="0"/>
        <w:shd w:val="clear" w:color="auto" w:fill="auto"/>
        <w:bidi w:val="0"/>
        <w:spacing w:before="0" w:after="80" w:line="350" w:lineRule="exact"/>
        <w:ind w:left="0" w:right="0" w:firstLine="0"/>
        <w:jc w:val="left"/>
      </w:pPr>
      <w:r>
        <w:rPr>
          <w:color w:val="000000"/>
          <w:spacing w:val="0"/>
          <w:w w:val="100"/>
          <w:position w:val="0"/>
        </w:rPr>
        <w:t xml:space="preserve">公司是否需追溯调整或重述以前年度会计数据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986"/>
        <w:gridCol w:w="1709"/>
        <w:gridCol w:w="1704"/>
        <w:gridCol w:w="1694"/>
        <w:gridCol w:w="1498"/>
      </w:tblGrid>
      <w:tr>
        <w:trPr>
          <w:trHeight w:val="437"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本年比上年增减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r>
      <w:tr>
        <w:trPr>
          <w:trHeight w:val="4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3,513,114,014.44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3,008,271,072.45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2,124,500,987.29</w:t>
            </w:r>
          </w:p>
        </w:tc>
      </w:tr>
      <w:tr>
        <w:trPr>
          <w:trHeight w:val="4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69 241,554.98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-1,291,552,358.95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-1,397,325,377.07</w:t>
            </w:r>
          </w:p>
        </w:tc>
      </w:tr>
      <w:tr>
        <w:trPr>
          <w:trHeight w:val="76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归属于上市公司股东的扣除非经常性 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8,513,147.22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-1,368,100,090.08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-1,460,940 277.48</w:t>
            </w:r>
          </w:p>
        </w:tc>
      </w:tr>
      <w:tr>
        <w:trPr>
          <w:trHeight w:val="4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63,987,418.69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257,541,354.58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166,675,056.97</w:t>
            </w:r>
          </w:p>
        </w:tc>
      </w:tr>
      <w:tr>
        <w:trPr>
          <w:trHeight w:val="4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w:t>
            </w:r>
          </w:p>
        </w:tc>
      </w:tr>
      <w:tr>
        <w:trPr>
          <w:trHeight w:val="4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w:t>
            </w:r>
          </w:p>
        </w:tc>
      </w:tr>
      <w:tr>
        <w:trPr>
          <w:trHeight w:val="4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-47.53%</w:t>
            </w:r>
          </w:p>
        </w:tc>
      </w:tr>
      <w:tr>
        <w:trPr>
          <w:trHeight w:val="442"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本年末比上年末增减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年末</w:t>
            </w:r>
          </w:p>
        </w:tc>
      </w:tr>
      <w:tr>
        <w:trPr>
          <w:trHeight w:val="4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7,144,767,492.31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6,978,310,099.38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7,614,024,078.87</w:t>
            </w:r>
          </w:p>
        </w:tc>
      </w:tr>
      <w:tr>
        <w:trPr>
          <w:trHeight w:val="44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归属于上市公司股东的净资产（元）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1,554,426,979.42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1,464,130,102.92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2,891,613,904.95</w:t>
            </w:r>
          </w:p>
        </w:tc>
      </w:tr>
    </w:tbl>
    <w:p>
      <w:pPr>
        <w:pStyle w:val="Style29"/>
        <w:keepNext w:val="0"/>
        <w:keepLines w:val="0"/>
        <w:widowControl w:val="0"/>
        <w:shd w:val="clear" w:color="auto" w:fill="auto"/>
        <w:bidi w:val="0"/>
        <w:spacing w:before="0" w:after="0"/>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9"/>
        <w:keepNext w:val="0"/>
        <w:keepLines w:val="0"/>
        <w:widowControl w:val="0"/>
        <w:shd w:val="clear" w:color="auto" w:fill="auto"/>
        <w:bidi w:val="0"/>
        <w:spacing w:before="0" w:after="0"/>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0"/>
        <w:ind w:left="0" w:right="0" w:firstLine="0"/>
        <w:jc w:val="left"/>
      </w:pPr>
      <w:r>
        <w:rPr>
          <w:color w:val="000000"/>
          <w:spacing w:val="0"/>
          <w:w w:val="100"/>
          <w:position w:val="0"/>
        </w:rPr>
        <w:t>扣除非经常损益前后的净利润孰低者为负值</w:t>
      </w:r>
    </w:p>
    <w:p>
      <w:pPr>
        <w:pStyle w:val="Style29"/>
        <w:keepNext w:val="0"/>
        <w:keepLines w:val="0"/>
        <w:widowControl w:val="0"/>
        <w:shd w:val="clear" w:color="auto" w:fill="auto"/>
        <w:bidi w:val="0"/>
        <w:spacing w:before="0" w:after="360"/>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bidi w:val="0"/>
        <w:spacing w:before="0" w:after="26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rPr>
        <w:t>六</w:t>
      </w:r>
      <w:bookmarkEnd w:id="33"/>
      <w:r>
        <w:rPr>
          <w:color w:val="000000"/>
          <w:spacing w:val="0"/>
          <w:w w:val="100"/>
          <w:position w:val="0"/>
        </w:rPr>
        <w:t>、分季度主要财务指标</w:t>
      </w:r>
      <w:bookmarkEnd w:id="31"/>
      <w:bookmarkEnd w:id="32"/>
      <w:bookmarkEnd w:id="34"/>
    </w:p>
    <w:p>
      <w:pPr>
        <w:pStyle w:val="Style29"/>
        <w:keepNext w:val="0"/>
        <w:keepLines w:val="0"/>
        <w:widowControl w:val="0"/>
        <w:shd w:val="clear" w:color="auto" w:fill="auto"/>
        <w:bidi w:val="0"/>
        <w:spacing w:before="0" w:after="100"/>
        <w:ind w:left="0" w:right="0" w:firstLine="0"/>
        <w:jc w:val="right"/>
      </w:pPr>
      <w:r>
        <w:rPr>
          <w:color w:val="000000"/>
          <w:spacing w:val="0"/>
          <w:w w:val="100"/>
          <w:position w:val="0"/>
        </w:rPr>
        <w:t>单位：元</w:t>
      </w:r>
      <w:r>
        <w:br w:type="page"/>
      </w:r>
    </w:p>
    <w:tbl>
      <w:tblPr>
        <w:tblOverlap w:val="never"/>
        <w:jc w:val="center"/>
        <w:tblLayout w:type="fixed"/>
      </w:tblPr>
      <w:tblGrid>
        <w:gridCol w:w="2986"/>
        <w:gridCol w:w="1565"/>
        <w:gridCol w:w="1704"/>
        <w:gridCol w:w="1598"/>
        <w:gridCol w:w="1738"/>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第一季度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第二季度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第三季度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第四季度</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832,465,882.20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920,149,999.53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776,135,352.50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984,362,780.21</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4,260,233.34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22,431,513.22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10,094,105.07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32,455,703.35</w:t>
            </w:r>
          </w:p>
        </w:tc>
      </w:tr>
      <w:tr>
        <w:trPr>
          <w:trHeight w:val="72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归属于上市公司股东的扣除非经常性 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-6,469,037.55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19,396,142.06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7,447,295.88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-11,861,253.17</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-686,353,710.69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-143,630,603.41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-108,477,072.82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1,002,448,805.61</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tabs>
          <w:tab w:pos="522" w:val="left"/>
        </w:tabs>
        <w:bidi w:val="0"/>
        <w:spacing w:before="0" w:after="380" w:line="240" w:lineRule="auto"/>
        <w:ind w:left="0" w:right="0" w:firstLine="0"/>
        <w:jc w:val="both"/>
      </w:pPr>
      <w:bookmarkStart w:id="35" w:name="bookmark35"/>
      <w:bookmarkStart w:id="36" w:name="bookmark36"/>
      <w:bookmarkStart w:id="37" w:name="bookmark37"/>
      <w:bookmarkStart w:id="38" w:name="bookmark38"/>
      <w:r>
        <w:rPr>
          <w:color w:val="000000"/>
          <w:spacing w:val="0"/>
          <w:w w:val="100"/>
          <w:position w:val="0"/>
        </w:rPr>
        <w:t>七</w:t>
      </w:r>
      <w:bookmarkEnd w:id="37"/>
      <w:r>
        <w:rPr>
          <w:color w:val="000000"/>
          <w:spacing w:val="0"/>
          <w:w w:val="100"/>
          <w:position w:val="0"/>
        </w:rPr>
        <w:t>、</w:t>
        <w:tab/>
        <w:t>境内外会计准则下会计数据差异</w:t>
      </w:r>
      <w:bookmarkEnd w:id="35"/>
      <w:bookmarkEnd w:id="36"/>
      <w:bookmarkEnd w:id="38"/>
    </w:p>
    <w:p>
      <w:pPr>
        <w:pStyle w:val="Style33"/>
        <w:keepNext/>
        <w:keepLines/>
        <w:widowControl w:val="0"/>
        <w:shd w:val="clear" w:color="auto" w:fill="auto"/>
        <w:tabs>
          <w:tab w:pos="404" w:val="left"/>
        </w:tabs>
        <w:bidi w:val="0"/>
        <w:spacing w:before="0" w:after="380" w:line="240" w:lineRule="auto"/>
        <w:ind w:left="0" w:right="0" w:firstLine="0"/>
        <w:jc w:val="both"/>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1</w:t>
      </w:r>
      <w:bookmarkEnd w:id="41"/>
      <w:r>
        <w:rPr>
          <w:color w:val="000000"/>
          <w:spacing w:val="0"/>
          <w:w w:val="100"/>
          <w:position w:val="0"/>
        </w:rPr>
        <w:t>、</w:t>
        <w:tab/>
        <w:t>同时按照国际会计准则与按照中国会计准则披露的财务报告中净利润和净资产差异情况</w:t>
      </w:r>
      <w:bookmarkEnd w:id="39"/>
      <w:bookmarkEnd w:id="40"/>
      <w:bookmarkEnd w:id="42"/>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3"/>
        <w:keepNext/>
        <w:keepLines/>
        <w:widowControl w:val="0"/>
        <w:shd w:val="clear" w:color="auto" w:fill="auto"/>
        <w:tabs>
          <w:tab w:pos="404" w:val="left"/>
        </w:tabs>
        <w:bidi w:val="0"/>
        <w:spacing w:before="0" w:after="380" w:line="240" w:lineRule="auto"/>
        <w:ind w:left="0" w:right="0" w:firstLine="0"/>
        <w:jc w:val="both"/>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2</w:t>
      </w:r>
      <w:bookmarkEnd w:id="45"/>
      <w:r>
        <w:rPr>
          <w:color w:val="000000"/>
          <w:spacing w:val="0"/>
          <w:w w:val="100"/>
          <w:position w:val="0"/>
        </w:rPr>
        <w:t>、</w:t>
        <w:tab/>
        <w:t>同时按照境外会计准则与按照中国会计准则披露的财务报告中净利润和净资产差异情况</w:t>
      </w:r>
      <w:bookmarkEnd w:id="43"/>
      <w:bookmarkEnd w:id="44"/>
      <w:bookmarkEnd w:id="46"/>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4"/>
        <w:keepNext/>
        <w:keepLines/>
        <w:widowControl w:val="0"/>
        <w:shd w:val="clear" w:color="auto" w:fill="auto"/>
        <w:tabs>
          <w:tab w:pos="522" w:val="left"/>
        </w:tabs>
        <w:bidi w:val="0"/>
        <w:spacing w:before="0" w:after="380" w:line="240" w:lineRule="auto"/>
        <w:ind w:left="0" w:right="0" w:firstLine="0"/>
        <w:jc w:val="both"/>
      </w:pPr>
      <w:bookmarkStart w:id="47" w:name="bookmark47"/>
      <w:bookmarkStart w:id="48" w:name="bookmark48"/>
      <w:bookmarkStart w:id="49" w:name="bookmark49"/>
      <w:bookmarkStart w:id="50" w:name="bookmark50"/>
      <w:r>
        <w:rPr>
          <w:color w:val="000000"/>
          <w:spacing w:val="0"/>
          <w:w w:val="100"/>
          <w:position w:val="0"/>
        </w:rPr>
        <w:t>八</w:t>
      </w:r>
      <w:bookmarkEnd w:id="49"/>
      <w:r>
        <w:rPr>
          <w:color w:val="000000"/>
          <w:spacing w:val="0"/>
          <w:w w:val="100"/>
          <w:position w:val="0"/>
        </w:rPr>
        <w:t>、</w:t>
        <w:tab/>
        <w:t>非经常性损益项目及金额</w:t>
      </w:r>
      <w:bookmarkEnd w:id="47"/>
      <w:bookmarkEnd w:id="48"/>
      <w:bookmarkEnd w:id="50"/>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112"/>
        <w:gridCol w:w="1286"/>
        <w:gridCol w:w="1272"/>
        <w:gridCol w:w="1277"/>
        <w:gridCol w:w="643"/>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非流动资产处置损益（包括已计提资产减值准备的冲销部分）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-1,603,487.51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-515,871.54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-17,619.60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计入当期损益的政府补助（与公司正常经营业务密切相关，符合 国家政策规定、按照一定标准定额或定量持续享受的政府补助除 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29,462,158.26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63,514,733.40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50,918,633.72</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企业取得子公司、联营企业及合营企业的投资成本小于取得投资 时应享有被投资单位可辨认净资产公允价值产生的收益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609,282.45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除同公司正常经营业务相关的有效套期保值业务外，持有交易性 金融资产、交易性金融负债产生的公允价值变动损益，以及处置 交易性金融资产交易性金融负债和可供出售金融资产取得的投资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42,466,152.01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16,125,200.69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18,044,556.84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单独进行减值测试的应收款项减值准备转回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2,605,083.79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-3,721,957.91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-925,443.54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-833,845.66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6,532,309.59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3,748,467.48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3,898,966.73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少数股东权益影响额（税后）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342,147.50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1,116,786.64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597,858.16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5117"/>
        <w:gridCol w:w="1282"/>
        <w:gridCol w:w="1272"/>
        <w:gridCol w:w="1277"/>
        <w:gridCol w:w="643"/>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60,728,407.76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76,547,731.13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63,614,900.41</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331" w:lineRule="exact"/>
        <w:ind w:left="0" w:right="0" w:firstLine="0"/>
        <w:jc w:val="both"/>
      </w:pPr>
      <w:r>
        <w:rPr>
          <w:color w:val="000000"/>
          <w:spacing w:val="0"/>
          <w:w w:val="100"/>
          <w:position w:val="0"/>
        </w:rPr>
        <w:t>其他符合非经常性损益定义的损益项目的具体情况：</w:t>
      </w:r>
    </w:p>
    <w:p>
      <w:pPr>
        <w:pStyle w:val="Style29"/>
        <w:keepNext w:val="0"/>
        <w:keepLines w:val="0"/>
        <w:widowControl w:val="0"/>
        <w:shd w:val="clear" w:color="auto" w:fill="auto"/>
        <w:bidi w:val="0"/>
        <w:spacing w:before="0" w:after="0" w:line="331"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31" w:lineRule="exact"/>
        <w:ind w:left="0" w:right="0" w:firstLine="0"/>
        <w:jc w:val="both"/>
      </w:pPr>
      <w:r>
        <w:rPr>
          <w:color w:val="000000"/>
          <w:spacing w:val="0"/>
          <w:w w:val="100"/>
          <w:position w:val="0"/>
        </w:rPr>
        <w:t>公司不存在其他符合非经常性损益定义的损益项目的具体情况。</w:t>
      </w:r>
    </w:p>
    <w:p>
      <w:pPr>
        <w:pStyle w:val="Style29"/>
        <w:keepNext w:val="0"/>
        <w:keepLines w:val="0"/>
        <w:widowControl w:val="0"/>
        <w:shd w:val="clear" w:color="auto" w:fill="auto"/>
        <w:bidi w:val="0"/>
        <w:spacing w:before="0" w:after="0" w:line="331"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29"/>
        <w:keepNext w:val="0"/>
        <w:keepLines w:val="0"/>
        <w:widowControl w:val="0"/>
        <w:shd w:val="clear" w:color="auto" w:fill="auto"/>
        <w:bidi w:val="0"/>
        <w:spacing w:before="0" w:after="0" w:line="331"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22" w:lineRule="exact"/>
        <w:ind w:left="0" w:right="0" w:firstLine="0"/>
        <w:jc w:val="both"/>
        <w:sectPr>
          <w:footnotePr>
            <w:pos w:val="pageBottom"/>
            <w:numFmt w:val="decimal"/>
            <w:numRestart w:val="continuous"/>
          </w:footnotePr>
          <w:pgSz w:w="11900" w:h="16840"/>
          <w:pgMar w:top="1443" w:right="1126" w:bottom="1462" w:left="1082"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 为经常性损益的项目的情形。</w:t>
      </w:r>
    </w:p>
    <w:p>
      <w:pPr>
        <w:pStyle w:val="Style9"/>
        <w:keepNext/>
        <w:keepLines/>
        <w:widowControl w:val="0"/>
        <w:shd w:val="clear" w:color="auto" w:fill="auto"/>
        <w:bidi w:val="0"/>
        <w:spacing w:before="600" w:line="240" w:lineRule="auto"/>
        <w:ind w:left="0" w:right="0" w:firstLine="0"/>
        <w:jc w:val="center"/>
      </w:pPr>
      <w:bookmarkStart w:id="51" w:name="bookmark51"/>
      <w:bookmarkStart w:id="52" w:name="bookmark52"/>
      <w:bookmarkStart w:id="53" w:name="bookmark53"/>
      <w:r>
        <w:rPr>
          <w:color w:val="000000"/>
          <w:spacing w:val="0"/>
          <w:w w:val="100"/>
          <w:position w:val="0"/>
        </w:rPr>
        <w:t>第三节管理层讨论与分析</w:t>
      </w:r>
      <w:bookmarkEnd w:id="51"/>
      <w:bookmarkEnd w:id="52"/>
      <w:bookmarkEnd w:id="53"/>
    </w:p>
    <w:p>
      <w:pPr>
        <w:pStyle w:val="Style24"/>
        <w:keepNext/>
        <w:keepLines/>
        <w:widowControl w:val="0"/>
        <w:shd w:val="clear" w:color="auto" w:fill="auto"/>
        <w:bidi w:val="0"/>
        <w:spacing w:before="0" w:after="380" w:line="240" w:lineRule="auto"/>
        <w:ind w:left="0" w:right="0" w:firstLine="0"/>
        <w:jc w:val="left"/>
      </w:pPr>
      <w:bookmarkStart w:id="54" w:name="bookmark54"/>
      <w:bookmarkStart w:id="55" w:name="bookmark55"/>
      <w:bookmarkStart w:id="56" w:name="bookmark56"/>
      <w:bookmarkStart w:id="57" w:name="bookmark57"/>
      <w:bookmarkStart w:id="58" w:name="bookmark58"/>
      <w:r>
        <w:rPr>
          <w:color w:val="000000"/>
          <w:spacing w:val="0"/>
          <w:w w:val="100"/>
          <w:position w:val="0"/>
        </w:rPr>
        <w:t>一</w:t>
      </w:r>
      <w:bookmarkEnd w:id="57"/>
      <w:r>
        <w:rPr>
          <w:color w:val="000000"/>
          <w:spacing w:val="0"/>
          <w:w w:val="100"/>
          <w:position w:val="0"/>
        </w:rPr>
        <w:t>、报告期内公司所处行业情况</w:t>
      </w:r>
      <w:bookmarkEnd w:id="55"/>
      <w:bookmarkEnd w:id="56"/>
      <w:bookmarkEnd w:id="58"/>
      <w:bookmarkEnd w:id="54"/>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18"/>
        <w:keepNext w:val="0"/>
        <w:keepLines w:val="0"/>
        <w:widowControl w:val="0"/>
        <w:shd w:val="clear" w:color="auto" w:fill="auto"/>
        <w:bidi w:val="0"/>
        <w:spacing w:before="0" w:after="0" w:line="470" w:lineRule="exact"/>
        <w:ind w:left="0" w:right="0" w:firstLine="540"/>
        <w:jc w:val="both"/>
      </w:pPr>
      <w:r>
        <w:rPr>
          <w:color w:val="000000"/>
          <w:spacing w:val="0"/>
          <w:w w:val="100"/>
          <w:position w:val="0"/>
        </w:rPr>
        <w:t>《“十四五”软件和信息技术服务业发展规划》指出，“十三五”期间，党中央、国务院高度重视软件 和信息技术服务业发展，持续加强顶层设计，建立健全政策体系。软件和信息技术服务业规模快速增长： 业务收入从</w:t>
      </w:r>
      <w:r>
        <w:rPr>
          <w:rFonts w:ascii="Times New Roman" w:eastAsia="Times New Roman" w:hAnsi="Times New Roman" w:cs="Times New Roman"/>
          <w:color w:val="000000"/>
          <w:spacing w:val="0"/>
          <w:w w:val="100"/>
          <w:position w:val="0"/>
        </w:rPr>
        <w:t>2015</w:t>
      </w:r>
      <w:r>
        <w:rPr>
          <w:color w:val="000000"/>
          <w:spacing w:val="0"/>
          <w:w w:val="100"/>
          <w:position w:val="0"/>
        </w:rPr>
        <w:t>年的</w:t>
      </w:r>
      <w:r>
        <w:rPr>
          <w:rFonts w:ascii="Times New Roman" w:eastAsia="Times New Roman" w:hAnsi="Times New Roman" w:cs="Times New Roman"/>
          <w:color w:val="000000"/>
          <w:spacing w:val="0"/>
          <w:w w:val="100"/>
          <w:position w:val="0"/>
        </w:rPr>
        <w:t>4.28</w:t>
      </w:r>
      <w:r>
        <w:rPr>
          <w:color w:val="000000"/>
          <w:spacing w:val="0"/>
          <w:w w:val="100"/>
          <w:position w:val="0"/>
        </w:rPr>
        <w:t>万亿元增长至</w:t>
      </w:r>
      <w:r>
        <w:rPr>
          <w:rFonts w:ascii="Times New Roman" w:eastAsia="Times New Roman" w:hAnsi="Times New Roman" w:cs="Times New Roman"/>
          <w:color w:val="000000"/>
          <w:spacing w:val="0"/>
          <w:w w:val="100"/>
          <w:position w:val="0"/>
        </w:rPr>
        <w:t>2020</w:t>
      </w:r>
      <w:r>
        <w:rPr>
          <w:color w:val="000000"/>
          <w:spacing w:val="0"/>
          <w:w w:val="100"/>
          <w:position w:val="0"/>
        </w:rPr>
        <w:t>年的</w:t>
      </w:r>
      <w:r>
        <w:rPr>
          <w:rFonts w:ascii="Times New Roman" w:eastAsia="Times New Roman" w:hAnsi="Times New Roman" w:cs="Times New Roman"/>
          <w:color w:val="000000"/>
          <w:spacing w:val="0"/>
          <w:w w:val="100"/>
          <w:position w:val="0"/>
        </w:rPr>
        <w:t>8.16</w:t>
      </w:r>
      <w:r>
        <w:rPr>
          <w:color w:val="000000"/>
          <w:spacing w:val="0"/>
          <w:w w:val="100"/>
          <w:position w:val="0"/>
        </w:rPr>
        <w:t>万亿元，年均增长率达</w:t>
      </w:r>
      <w:r>
        <w:rPr>
          <w:rFonts w:ascii="Times New Roman" w:eastAsia="Times New Roman" w:hAnsi="Times New Roman" w:cs="Times New Roman"/>
          <w:color w:val="000000"/>
          <w:spacing w:val="0"/>
          <w:w w:val="100"/>
          <w:position w:val="0"/>
        </w:rPr>
        <w:t>13.8%</w:t>
      </w:r>
      <w:r>
        <w:rPr>
          <w:color w:val="000000"/>
          <w:spacing w:val="0"/>
          <w:w w:val="100"/>
          <w:position w:val="0"/>
        </w:rPr>
        <w:t xml:space="preserve">，占信息产业比重从 </w:t>
      </w:r>
      <w:r>
        <w:rPr>
          <w:rFonts w:ascii="Times New Roman" w:eastAsia="Times New Roman" w:hAnsi="Times New Roman" w:cs="Times New Roman"/>
          <w:color w:val="000000"/>
          <w:spacing w:val="0"/>
          <w:w w:val="100"/>
          <w:position w:val="0"/>
        </w:rPr>
        <w:t>2015</w:t>
      </w:r>
      <w:r>
        <w:rPr>
          <w:color w:val="000000"/>
          <w:spacing w:val="0"/>
          <w:w w:val="100"/>
          <w:position w:val="0"/>
        </w:rPr>
        <w:t>年的</w:t>
      </w:r>
      <w:r>
        <w:rPr>
          <w:rFonts w:ascii="Times New Roman" w:eastAsia="Times New Roman" w:hAnsi="Times New Roman" w:cs="Times New Roman"/>
          <w:color w:val="000000"/>
          <w:spacing w:val="0"/>
          <w:w w:val="100"/>
          <w:position w:val="0"/>
        </w:rPr>
        <w:t>28%</w:t>
      </w:r>
      <w:r>
        <w:rPr>
          <w:color w:val="000000"/>
          <w:spacing w:val="0"/>
          <w:w w:val="100"/>
          <w:position w:val="0"/>
        </w:rPr>
        <w:t>增长到</w:t>
      </w:r>
      <w:r>
        <w:rPr>
          <w:rFonts w:ascii="Times New Roman" w:eastAsia="Times New Roman" w:hAnsi="Times New Roman" w:cs="Times New Roman"/>
          <w:color w:val="000000"/>
          <w:spacing w:val="0"/>
          <w:w w:val="100"/>
          <w:position w:val="0"/>
        </w:rPr>
        <w:t>2020</w:t>
      </w:r>
      <w:r>
        <w:rPr>
          <w:color w:val="000000"/>
          <w:spacing w:val="0"/>
          <w:w w:val="100"/>
          <w:position w:val="0"/>
        </w:rPr>
        <w:t>年的</w:t>
      </w:r>
      <w:r>
        <w:rPr>
          <w:rFonts w:ascii="Times New Roman" w:eastAsia="Times New Roman" w:hAnsi="Times New Roman" w:cs="Times New Roman"/>
          <w:color w:val="000000"/>
          <w:spacing w:val="0"/>
          <w:w w:val="100"/>
          <w:position w:val="0"/>
        </w:rPr>
        <w:t>40%</w:t>
      </w:r>
      <w:r>
        <w:rPr>
          <w:color w:val="000000"/>
          <w:spacing w:val="0"/>
          <w:w w:val="100"/>
          <w:position w:val="0"/>
        </w:rPr>
        <w:t>。整个行业创新体系更加完善，推动新技术、新产品、新模式、新业 态快速发展，促进生活方式、生产方式、社会治理加速变革；融合应用日益深化，涌现出一批面向政务、 教育、金融、能源、医疗、交通、文创等领域典型应用场景的软件产品和解决方案。特别是在新型冠状病 毒肺炎疫情期间，软件创新应用有力支撑了疫情防控和复工复产。</w:t>
      </w:r>
    </w:p>
    <w:p>
      <w:pPr>
        <w:pStyle w:val="Style18"/>
        <w:keepNext w:val="0"/>
        <w:keepLines w:val="0"/>
        <w:widowControl w:val="0"/>
        <w:shd w:val="clear" w:color="auto" w:fill="auto"/>
        <w:bidi w:val="0"/>
        <w:spacing w:before="0" w:after="0" w:line="473" w:lineRule="exact"/>
        <w:ind w:left="0" w:right="0" w:firstLine="440"/>
        <w:jc w:val="both"/>
      </w:pPr>
      <w:r>
        <w:rPr>
          <w:color w:val="000000"/>
          <w:spacing w:val="0"/>
          <w:w w:val="100"/>
          <w:position w:val="0"/>
        </w:rPr>
        <w:t>人类社会正在进入以数字化生产力为主要标志的发展新阶段，而软件在数字化进程中发挥着重要的基 础支撑作用。软件对融合发展的有效赋能、赋值、赋智，全面推动经济社会数字化、网络化、智能化转型 升级，持续激发数据要素创新活力，夯实设备、网络、控制、数据、应用等安全保障，加快产业数字化进 程，为数字经济开辟了广阔的发展空间。“十四五”时期是我国开启全面建设社会主义现代化国家新征程 的第一个五年，全球新一轮科技革命和产业变革深入发展，软件和信息技术服务业迎来了新的发展机遇。</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根据客户行业的分类，分析公司主要业务所在细分行业的发展情况：</w:t>
      </w:r>
    </w:p>
    <w:p>
      <w:pPr>
        <w:pStyle w:val="Style18"/>
        <w:keepNext w:val="0"/>
        <w:keepLines w:val="0"/>
        <w:widowControl w:val="0"/>
        <w:shd w:val="clear" w:color="auto" w:fill="auto"/>
        <w:bidi w:val="0"/>
        <w:spacing w:before="0" w:after="0" w:line="470" w:lineRule="exact"/>
        <w:ind w:left="0" w:right="0" w:firstLine="440"/>
        <w:jc w:val="both"/>
      </w:pPr>
      <w:bookmarkStart w:id="59" w:name="bookmark59"/>
      <w:r>
        <w:rPr>
          <w:b/>
          <w:bCs/>
          <w:color w:val="000000"/>
          <w:spacing w:val="0"/>
          <w:w w:val="100"/>
          <w:position w:val="0"/>
        </w:rPr>
        <w:t>（</w:t>
      </w:r>
      <w:bookmarkEnd w:id="59"/>
      <w:r>
        <w:rPr>
          <w:b/>
          <w:bCs/>
          <w:color w:val="000000"/>
          <w:spacing w:val="0"/>
          <w:w w:val="100"/>
          <w:position w:val="0"/>
        </w:rPr>
        <w:t>一）智慧医卫行业</w:t>
      </w:r>
    </w:p>
    <w:p>
      <w:pPr>
        <w:pStyle w:val="Style18"/>
        <w:keepNext w:val="0"/>
        <w:keepLines w:val="0"/>
        <w:widowControl w:val="0"/>
        <w:shd w:val="clear" w:color="auto" w:fill="auto"/>
        <w:bidi w:val="0"/>
        <w:spacing w:before="0" w:after="100" w:line="47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 xml:space="preserve">年，智慧医卫行业响应“十四五”数字经济发展规划的要求，加强数字基础设施建设、完善数字 经济治理体系、赋能传统产业转型升级、培育新产业新业态，稳步通过数字化转型推动行业的优化与重构。 在卫生健康领域，国家相关文件继续强调要加强全民健康信息平台建设，联合卫健、医保等多方力量加强 对不合理诊疗行为的治理，共同推进检验检查结果的互认，引导公立医院的公益性重塑;在医疗服务领域， 国家卫健委与医保局的支付改革工作联动，着力从体制机制上推动公立医院发展方式从规模扩张转向提质 增效、运行模式从粗放管理转向精细化管理，促进公立医疗机构在区域的合理布局、能力建设与梯度发展； 在公共卫生领域，国家疾病预防控制局成立，大力推动省级疫情防控平台建设与疫情常态化管理，巩固具 有中国特色的疫情防控重大战略成果，积极保障公共卫生安全；在医疗保障领域，国家加强了医保基金监 管法治及规范保障，并重点实现了全国统一的医疗保障信息平台在各个省份完成上线落地，深化推动了 </w:t>
      </w:r>
      <w:r>
        <w:rPr>
          <w:rFonts w:ascii="Times New Roman" w:eastAsia="Times New Roman" w:hAnsi="Times New Roman" w:cs="Times New Roman"/>
          <w:color w:val="000000"/>
          <w:spacing w:val="0"/>
          <w:w w:val="100"/>
          <w:position w:val="0"/>
        </w:rPr>
        <w:t>DRG/DIP</w:t>
      </w:r>
      <w:r>
        <w:rPr>
          <w:color w:val="000000"/>
          <w:spacing w:val="0"/>
          <w:w w:val="100"/>
          <w:position w:val="0"/>
        </w:rPr>
        <w:t>的试点并提出了支付方式改革三年行动计划，为规范业务、监管以及信息化建设指明了方向。</w:t>
      </w:r>
    </w:p>
    <w:p>
      <w:pPr>
        <w:pStyle w:val="Style18"/>
        <w:keepNext w:val="0"/>
        <w:keepLines w:val="0"/>
        <w:widowControl w:val="0"/>
        <w:shd w:val="clear" w:color="auto" w:fill="auto"/>
        <w:bidi w:val="0"/>
        <w:spacing w:before="0" w:after="0" w:line="472" w:lineRule="exact"/>
        <w:ind w:left="0" w:right="0" w:firstLine="440"/>
        <w:jc w:val="both"/>
      </w:pPr>
      <w:r>
        <w:rPr>
          <w:color w:val="000000"/>
          <w:spacing w:val="0"/>
          <w:w w:val="100"/>
          <w:position w:val="0"/>
        </w:rPr>
        <w:t>为推动政策的落地，</w:t>
      </w:r>
      <w:r>
        <w:rPr>
          <w:rFonts w:ascii="Times New Roman" w:eastAsia="Times New Roman" w:hAnsi="Times New Roman" w:cs="Times New Roman"/>
          <w:color w:val="000000"/>
          <w:spacing w:val="0"/>
          <w:w w:val="100"/>
          <w:position w:val="0"/>
        </w:rPr>
        <w:t>2021</w:t>
      </w:r>
      <w:r>
        <w:rPr>
          <w:color w:val="000000"/>
          <w:spacing w:val="0"/>
          <w:w w:val="100"/>
          <w:position w:val="0"/>
        </w:rPr>
        <w:t>年国家发展改革委、国家卫生健康委、国家中医药管理局、国家疾病预防控 制局联合发布文件，指明“十四五”期间中央投资重点支持公共卫生防控救治能力提升工程、公立医院高 质量发展工程、重点人群健康服务补短板工程、促进中医药传承创新工程等四大工程的</w:t>
      </w:r>
      <w:r>
        <w:rPr>
          <w:rFonts w:ascii="Times New Roman" w:eastAsia="Times New Roman" w:hAnsi="Times New Roman" w:cs="Times New Roman"/>
          <w:color w:val="000000"/>
          <w:spacing w:val="0"/>
          <w:w w:val="100"/>
          <w:position w:val="0"/>
        </w:rPr>
        <w:t>14</w:t>
      </w:r>
      <w:r>
        <w:rPr>
          <w:color w:val="000000"/>
          <w:spacing w:val="0"/>
          <w:w w:val="100"/>
          <w:position w:val="0"/>
        </w:rPr>
        <w:t>个方向，确定 不同层级项目的补助额度；在基层，通过“千县工程”大力推动县医院综合能力提升，到</w:t>
      </w:r>
      <w:r>
        <w:rPr>
          <w:rFonts w:ascii="Times New Roman" w:eastAsia="Times New Roman" w:hAnsi="Times New Roman" w:cs="Times New Roman"/>
          <w:color w:val="000000"/>
          <w:spacing w:val="0"/>
          <w:w w:val="100"/>
          <w:position w:val="0"/>
        </w:rPr>
        <w:t>2025</w:t>
      </w:r>
      <w:r>
        <w:rPr>
          <w:color w:val="000000"/>
          <w:spacing w:val="0"/>
          <w:w w:val="100"/>
          <w:position w:val="0"/>
        </w:rPr>
        <w:t>年实现全 国至少</w:t>
      </w:r>
      <w:r>
        <w:rPr>
          <w:rFonts w:ascii="Times New Roman" w:eastAsia="Times New Roman" w:hAnsi="Times New Roman" w:cs="Times New Roman"/>
          <w:color w:val="000000"/>
          <w:spacing w:val="0"/>
          <w:w w:val="100"/>
          <w:position w:val="0"/>
        </w:rPr>
        <w:t>1000</w:t>
      </w:r>
      <w:r>
        <w:rPr>
          <w:color w:val="000000"/>
          <w:spacing w:val="0"/>
          <w:w w:val="100"/>
          <w:position w:val="0"/>
        </w:rPr>
        <w:t>家县医院达到三级医院医疗服务能力，同时以县域医共体为载体，提高县域医疗资源配置和 使用效率，从而促进全国医疗资源的优化与布局。</w:t>
      </w:r>
    </w:p>
    <w:p>
      <w:pPr>
        <w:pStyle w:val="Style18"/>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在此背景下，无论是在卫生健康、医疗服务、公共卫生领域还是医疗保障领域，传统信息化企业、大 型互联网公司、头部保险公司等已纷纷进入，地方数据资源重组也催生了当地的信息化企业入局，市场格 局更为复杂。经过市场锤炼的传统信息化企业，对行业的理解与引导能力是其不可替代的优势，在数字化 转型过程中，如何强化市场地位、增强市场拓展与交付能力，将成为这些企业赢得市场竞争的关键。</w:t>
      </w:r>
    </w:p>
    <w:p>
      <w:pPr>
        <w:pStyle w:val="Style18"/>
        <w:keepNext w:val="0"/>
        <w:keepLines w:val="0"/>
        <w:widowControl w:val="0"/>
        <w:shd w:val="clear" w:color="auto" w:fill="auto"/>
        <w:bidi w:val="0"/>
        <w:spacing w:before="0" w:after="0" w:line="472" w:lineRule="exact"/>
        <w:ind w:left="0" w:right="0" w:firstLine="440"/>
        <w:jc w:val="both"/>
      </w:pPr>
      <w:bookmarkStart w:id="60" w:name="bookmark60"/>
      <w:r>
        <w:rPr>
          <w:b/>
          <w:bCs/>
          <w:color w:val="000000"/>
          <w:spacing w:val="0"/>
          <w:w w:val="100"/>
          <w:position w:val="0"/>
        </w:rPr>
        <w:t>（</w:t>
      </w:r>
      <w:bookmarkEnd w:id="60"/>
      <w:r>
        <w:rPr>
          <w:b/>
          <w:bCs/>
          <w:color w:val="000000"/>
          <w:spacing w:val="0"/>
          <w:w w:val="100"/>
          <w:position w:val="0"/>
        </w:rPr>
        <w:t>二）智慧政务行业</w:t>
      </w:r>
    </w:p>
    <w:p>
      <w:pPr>
        <w:pStyle w:val="Style18"/>
        <w:keepNext w:val="0"/>
        <w:keepLines w:val="0"/>
        <w:widowControl w:val="0"/>
        <w:shd w:val="clear" w:color="auto" w:fill="auto"/>
        <w:bidi w:val="0"/>
        <w:spacing w:before="0" w:after="0" w:line="474" w:lineRule="exact"/>
        <w:ind w:left="0" w:right="0" w:firstLine="440"/>
        <w:jc w:val="both"/>
      </w:pPr>
      <w:r>
        <w:rPr>
          <w:color w:val="000000"/>
          <w:spacing w:val="0"/>
          <w:w w:val="100"/>
          <w:position w:val="0"/>
        </w:rPr>
        <w:t>“十三五”以来，我国政务信息化工作取得长足发展，政务信息系统整合共享实现新突破，一批重大 工程陆续建成，有力支撑了 “放管服”改革深入推进，一体化政务服务和监管效能大幅度提升，“一网通 办”、“最多跑一次”、“一网统管”、“一网协同”等服务管理新模式广泛普及，数字营商环境持续优化，在 线政务服务水平跃居全球领先行列。</w:t>
      </w:r>
    </w:p>
    <w:p>
      <w:pPr>
        <w:pStyle w:val="Style18"/>
        <w:keepNext w:val="0"/>
        <w:keepLines w:val="0"/>
        <w:widowControl w:val="0"/>
        <w:shd w:val="clear" w:color="auto" w:fill="auto"/>
        <w:tabs>
          <w:tab w:pos="754" w:val="left"/>
        </w:tabs>
        <w:bidi w:val="0"/>
        <w:spacing w:before="0" w:after="0" w:line="472" w:lineRule="exact"/>
        <w:ind w:left="0" w:right="0" w:firstLine="440"/>
        <w:jc w:val="both"/>
      </w:pPr>
      <w:bookmarkStart w:id="61" w:name="bookmark61"/>
      <w:r>
        <w:rPr>
          <w:rFonts w:ascii="Times New Roman" w:eastAsia="Times New Roman" w:hAnsi="Times New Roman" w:cs="Times New Roman"/>
          <w:color w:val="000000"/>
          <w:spacing w:val="0"/>
          <w:w w:val="100"/>
          <w:position w:val="0"/>
        </w:rPr>
        <w:t>1</w:t>
      </w:r>
      <w:bookmarkEnd w:id="61"/>
      <w:r>
        <w:rPr>
          <w:color w:val="000000"/>
          <w:spacing w:val="0"/>
          <w:w w:val="100"/>
          <w:position w:val="0"/>
        </w:rPr>
        <w:t>、</w:t>
        <w:tab/>
        <w:t>政务管理与服务领域（“一网通办”“一网统管”）</w:t>
      </w:r>
    </w:p>
    <w:p>
      <w:pPr>
        <w:pStyle w:val="Style18"/>
        <w:keepNext w:val="0"/>
        <w:keepLines w:val="0"/>
        <w:widowControl w:val="0"/>
        <w:shd w:val="clear" w:color="auto" w:fill="auto"/>
        <w:bidi w:val="0"/>
        <w:spacing w:before="0" w:after="0" w:line="472"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月，国务院印发《关于加快推进全国一体化在线政务服务平台建设的指导意见》，深入推进 “互联网</w:t>
      </w:r>
      <w:r>
        <w:rPr>
          <w:rFonts w:ascii="Times New Roman" w:eastAsia="Times New Roman" w:hAnsi="Times New Roman" w:cs="Times New Roman"/>
          <w:color w:val="000000"/>
          <w:spacing w:val="0"/>
          <w:w w:val="100"/>
          <w:position w:val="0"/>
        </w:rPr>
        <w:t>+</w:t>
      </w:r>
      <w:r>
        <w:rPr>
          <w:color w:val="000000"/>
          <w:spacing w:val="0"/>
          <w:w w:val="100"/>
          <w:position w:val="0"/>
        </w:rPr>
        <w:t>政务服务”建设，要求以试点示范破解难题、总结做法，分步推进、逐步完善，为实现政务服 务“一网通办”积累经验。随后几年，各部委和各级政府陆续出台多项政策，全面推进一体化政务服务平 台建设。其中，上海的“一网通办”实践最早成功落地。</w:t>
      </w:r>
      <w:r>
        <w:rPr>
          <w:rFonts w:ascii="Times New Roman" w:eastAsia="Times New Roman" w:hAnsi="Times New Roman" w:cs="Times New Roman"/>
          <w:color w:val="000000"/>
          <w:spacing w:val="0"/>
          <w:w w:val="100"/>
          <w:position w:val="0"/>
        </w:rPr>
        <w:t>2021</w:t>
      </w:r>
      <w:r>
        <w:rPr>
          <w:color w:val="000000"/>
          <w:spacing w:val="0"/>
          <w:w w:val="100"/>
          <w:position w:val="0"/>
        </w:rPr>
        <w:t>年，上海“一网通办”入选</w:t>
      </w:r>
      <w:r>
        <w:rPr>
          <w:rFonts w:ascii="Times New Roman" w:eastAsia="Times New Roman" w:hAnsi="Times New Roman" w:cs="Times New Roman"/>
          <w:color w:val="000000"/>
          <w:spacing w:val="0"/>
          <w:w w:val="100"/>
          <w:position w:val="0"/>
        </w:rPr>
        <w:t>2020</w:t>
      </w:r>
      <w:r>
        <w:rPr>
          <w:color w:val="000000"/>
          <w:spacing w:val="0"/>
          <w:w w:val="100"/>
          <w:position w:val="0"/>
        </w:rPr>
        <w:t>年联合国 全球电子政务调查报告经典案例，在国家行政学院发布的《省级政府一体化政务服务能力调查评估报告 （</w:t>
      </w:r>
      <w:r>
        <w:rPr>
          <w:rFonts w:ascii="Times New Roman" w:eastAsia="Times New Roman" w:hAnsi="Times New Roman" w:cs="Times New Roman"/>
          <w:color w:val="000000"/>
          <w:spacing w:val="0"/>
          <w:w w:val="100"/>
          <w:position w:val="0"/>
        </w:rPr>
        <w:t>2021</w:t>
      </w:r>
      <w:r>
        <w:rPr>
          <w:color w:val="000000"/>
          <w:spacing w:val="0"/>
          <w:w w:val="100"/>
          <w:position w:val="0"/>
        </w:rPr>
        <w:t>）》中，上海排名全国第一。近年来，上海“一网通办”经验不断向长三角复制并开始在全国推广。</w:t>
      </w:r>
    </w:p>
    <w:p>
      <w:pPr>
        <w:pStyle w:val="Style18"/>
        <w:keepNext w:val="0"/>
        <w:keepLines w:val="0"/>
        <w:widowControl w:val="0"/>
        <w:shd w:val="clear" w:color="auto" w:fill="auto"/>
        <w:bidi w:val="0"/>
        <w:spacing w:before="0" w:after="0" w:line="472"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年以来，从中央到地方各级政府陆续出台相关政策、规划及行动计划，加快推进城市治理“一网 统管”建设。</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月，李克强总理在政府工作报告中提出“提高数字政府建设水平”“建设数字中国” 的工作部署，明确了 “十四五”期间数字化建设的主基调，也从国家层面初步明确了城市治理“一网统管” 的政策导向。从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31</w:t>
      </w:r>
      <w:r>
        <w:rPr>
          <w:color w:val="000000"/>
          <w:spacing w:val="0"/>
          <w:w w:val="100"/>
          <w:position w:val="0"/>
        </w:rPr>
        <w:t>个省市区“两会”政策部署及重点任务来看，</w:t>
      </w:r>
      <w:r>
        <w:rPr>
          <w:rFonts w:ascii="Times New Roman" w:eastAsia="Times New Roman" w:hAnsi="Times New Roman" w:cs="Times New Roman"/>
          <w:color w:val="000000"/>
          <w:spacing w:val="0"/>
          <w:w w:val="100"/>
          <w:position w:val="0"/>
        </w:rPr>
        <w:t>2021</w:t>
      </w:r>
      <w:r>
        <w:rPr>
          <w:color w:val="000000"/>
          <w:spacing w:val="0"/>
          <w:w w:val="100"/>
          <w:position w:val="0"/>
        </w:rPr>
        <w:t>年绝大多数省份均涉及数字 治理相关建设任务，“一网统管”等成为越来越多地方政府提升数字化治理能力的新选择、新抓手。</w:t>
      </w:r>
    </w:p>
    <w:p>
      <w:pPr>
        <w:pStyle w:val="Style18"/>
        <w:keepNext w:val="0"/>
        <w:keepLines w:val="0"/>
        <w:widowControl w:val="0"/>
        <w:shd w:val="clear" w:color="auto" w:fill="auto"/>
        <w:tabs>
          <w:tab w:pos="758" w:val="left"/>
        </w:tabs>
        <w:bidi w:val="0"/>
        <w:spacing w:before="0" w:after="0" w:line="472" w:lineRule="exact"/>
        <w:ind w:left="0" w:right="0" w:firstLine="440"/>
        <w:jc w:val="both"/>
      </w:pPr>
      <w:bookmarkStart w:id="62" w:name="bookmark62"/>
      <w:r>
        <w:rPr>
          <w:rFonts w:ascii="Times New Roman" w:eastAsia="Times New Roman" w:hAnsi="Times New Roman" w:cs="Times New Roman"/>
          <w:color w:val="000000"/>
          <w:spacing w:val="0"/>
          <w:w w:val="100"/>
          <w:position w:val="0"/>
        </w:rPr>
        <w:t>2</w:t>
      </w:r>
      <w:bookmarkEnd w:id="62"/>
      <w:r>
        <w:rPr>
          <w:color w:val="000000"/>
          <w:spacing w:val="0"/>
          <w:w w:val="100"/>
          <w:position w:val="0"/>
        </w:rPr>
        <w:t>、</w:t>
        <w:tab/>
        <w:t>城市安全、民生服务、教育文创等领域</w:t>
      </w:r>
    </w:p>
    <w:p>
      <w:pPr>
        <w:pStyle w:val="Style18"/>
        <w:keepNext w:val="0"/>
        <w:keepLines w:val="0"/>
        <w:widowControl w:val="0"/>
        <w:shd w:val="clear" w:color="auto" w:fill="auto"/>
        <w:bidi w:val="0"/>
        <w:spacing w:before="0" w:after="0" w:line="472" w:lineRule="exact"/>
        <w:ind w:left="0" w:right="0" w:firstLine="440"/>
        <w:jc w:val="both"/>
      </w:pPr>
      <w:r>
        <w:rPr>
          <w:color w:val="000000"/>
          <w:spacing w:val="0"/>
          <w:w w:val="100"/>
          <w:position w:val="0"/>
        </w:rPr>
        <w:t xml:space="preserve">根据中共中央办公厅、国务院办公厅印发的《关于推进城市安全发展的意见》，国家对加强城市安全 </w:t>
      </w:r>
      <w:r>
        <w:rPr>
          <w:color w:val="000000"/>
          <w:spacing w:val="0"/>
          <w:w w:val="100"/>
          <w:position w:val="0"/>
        </w:rPr>
        <w:t>源头治理、健全城市安全防控机制、提升城市安全监管效能、强化城市安全保障能力、加强统筹推动等多 方面提出具体要求。随后，国务院安委办、应急管理部、交通运输部等各部门以及各省市地区等陆续出台 多项相关政策、办法，积极推进建设系统性、现代化的城市安全保障体系。</w:t>
      </w:r>
    </w:p>
    <w:p>
      <w:pPr>
        <w:pStyle w:val="Style18"/>
        <w:keepNext w:val="0"/>
        <w:keepLines w:val="0"/>
        <w:widowControl w:val="0"/>
        <w:shd w:val="clear" w:color="auto" w:fill="auto"/>
        <w:bidi w:val="0"/>
        <w:spacing w:before="0" w:after="0" w:line="473"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年，人力资源和社会保障部发布《人力资源和社会保障事业发展“十四五”规划》，要求夯实完 善社保经办线上服务基础，逐步拓宽线上服务范围，加快推动社保经办数字化转型，提升社保数据分析应 用能力，提升社会保障经办精确管理和精细化服务水平；民政部发布《“十四五”民政信息化发展规划》， 要求到</w:t>
      </w:r>
      <w:r>
        <w:rPr>
          <w:rFonts w:ascii="Times New Roman" w:eastAsia="Times New Roman" w:hAnsi="Times New Roman" w:cs="Times New Roman"/>
          <w:color w:val="000000"/>
          <w:spacing w:val="0"/>
          <w:w w:val="100"/>
          <w:position w:val="0"/>
        </w:rPr>
        <w:t>2025</w:t>
      </w:r>
      <w:r>
        <w:rPr>
          <w:color w:val="000000"/>
          <w:spacing w:val="0"/>
          <w:w w:val="100"/>
          <w:position w:val="0"/>
        </w:rPr>
        <w:t>年，数字技术与民政工作融合更加深入，民政领域网络化、数字化、智能化水平显著提升， 基本民生保障精准化、基层社会治理精细化、基本社会服务便捷化取得明显进展，信息化在促进民政事业 高质量发展、提升人民群众满意度等方面发挥更大作用。</w:t>
      </w:r>
    </w:p>
    <w:p>
      <w:pPr>
        <w:pStyle w:val="Style18"/>
        <w:keepNext w:val="0"/>
        <w:keepLines w:val="0"/>
        <w:widowControl w:val="0"/>
        <w:shd w:val="clear" w:color="auto" w:fill="auto"/>
        <w:bidi w:val="0"/>
        <w:spacing w:before="0" w:after="0" w:line="473"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color w:val="333333"/>
          <w:spacing w:val="0"/>
          <w:w w:val="100"/>
          <w:position w:val="0"/>
        </w:rPr>
        <w:t>中共中央办公厅、国务院办公厅</w:t>
      </w:r>
      <w:r>
        <w:rPr>
          <w:color w:val="000000"/>
          <w:spacing w:val="0"/>
          <w:w w:val="100"/>
          <w:position w:val="0"/>
        </w:rPr>
        <w:t>印发《关于进一步减轻义务教育阶段学生作业负担和校外培 训负担的意见》，要求做强做优线上学习服务；上海市教委发布《上海市教育数字化转型实施方案 (</w:t>
      </w:r>
      <w:r>
        <w:rPr>
          <w:rFonts w:ascii="Times New Roman" w:eastAsia="Times New Roman" w:hAnsi="Times New Roman" w:cs="Times New Roman"/>
          <w:color w:val="000000"/>
          <w:spacing w:val="0"/>
          <w:w w:val="100"/>
          <w:position w:val="0"/>
        </w:rPr>
        <w:t>2021-2023</w:t>
      </w:r>
      <w:r>
        <w:rPr>
          <w:color w:val="000000"/>
          <w:spacing w:val="0"/>
          <w:w w:val="100"/>
          <w:position w:val="0"/>
        </w:rPr>
        <w:t>)》，落实推进建设全国教育数字化转型试点，积极探索教育数字化“新环境、新体系、新平台、 新模式、新评价”建设。</w:t>
      </w:r>
      <w:r>
        <w:rPr>
          <w:rFonts w:ascii="Times New Roman" w:eastAsia="Times New Roman" w:hAnsi="Times New Roman" w:cs="Times New Roman"/>
          <w:color w:val="000000"/>
          <w:spacing w:val="0"/>
          <w:w w:val="100"/>
          <w:position w:val="0"/>
        </w:rPr>
        <w:t>2021</w:t>
      </w:r>
      <w:r>
        <w:rPr>
          <w:color w:val="000000"/>
          <w:spacing w:val="0"/>
          <w:w w:val="100"/>
          <w:position w:val="0"/>
        </w:rPr>
        <w:t>年，“十四五”规划提出，完善公共文化服务体系，推进公共图书馆、文化 馆、美术馆、博物馆等公共文化场馆数字化发展；《上海市全面推进城市数字化转型“十四五”规划》指 出，推动文旅数字化服务整体布局、一体建设，以文旅智能中枢“文旅通”为载体，推动文旅“两网”一 体融合。</w:t>
      </w:r>
    </w:p>
    <w:p>
      <w:pPr>
        <w:pStyle w:val="Style18"/>
        <w:keepNext w:val="0"/>
        <w:keepLines w:val="0"/>
        <w:widowControl w:val="0"/>
        <w:shd w:val="clear" w:color="auto" w:fill="auto"/>
        <w:bidi w:val="0"/>
        <w:spacing w:before="0" w:after="0" w:line="473" w:lineRule="exact"/>
        <w:ind w:left="0" w:right="0" w:firstLine="440"/>
        <w:jc w:val="both"/>
      </w:pPr>
      <w:r>
        <w:rPr>
          <w:color w:val="000000"/>
          <w:spacing w:val="0"/>
          <w:w w:val="100"/>
          <w:position w:val="0"/>
        </w:rPr>
        <w:t>综上，在深化“互联网</w:t>
      </w:r>
      <w:r>
        <w:rPr>
          <w:rFonts w:ascii="Times New Roman" w:eastAsia="Times New Roman" w:hAnsi="Times New Roman" w:cs="Times New Roman"/>
          <w:color w:val="000000"/>
          <w:spacing w:val="0"/>
          <w:w w:val="100"/>
          <w:position w:val="0"/>
        </w:rPr>
        <w:t>+</w:t>
      </w:r>
      <w:r>
        <w:rPr>
          <w:color w:val="000000"/>
          <w:spacing w:val="0"/>
          <w:w w:val="100"/>
          <w:position w:val="0"/>
        </w:rPr>
        <w:t>政务服务”、加快推进数字政府建设、提高政务服务水平的要求背景下，无论 是中央还是地方，无论是国务院还是各个部委，都出台了相关政策推进智慧政务行业各领域的发展与建设， 整个行业前景良好。但与此同时，传统的信息化企业也面临着来自运营商和大型互联网公司的竞争，行业 经验、创新能力、技术积累以及面对细分场景需求的定制与适配服务等，对于取得市场成功至关重要。</w:t>
      </w:r>
    </w:p>
    <w:p>
      <w:pPr>
        <w:pStyle w:val="Style18"/>
        <w:keepNext w:val="0"/>
        <w:keepLines w:val="0"/>
        <w:widowControl w:val="0"/>
        <w:numPr>
          <w:ilvl w:val="0"/>
          <w:numId w:val="1"/>
        </w:numPr>
        <w:shd w:val="clear" w:color="auto" w:fill="auto"/>
        <w:bidi w:val="0"/>
        <w:spacing w:before="0" w:after="0" w:line="473" w:lineRule="exact"/>
        <w:ind w:left="0" w:right="0" w:firstLine="440"/>
        <w:jc w:val="both"/>
      </w:pPr>
      <w:bookmarkStart w:id="63" w:name="bookmark63"/>
      <w:bookmarkEnd w:id="63"/>
      <w:r>
        <w:rPr>
          <w:rFonts w:ascii="Times New Roman" w:eastAsia="Times New Roman" w:hAnsi="Times New Roman" w:cs="Times New Roman"/>
          <w:b/>
          <w:bCs/>
          <w:color w:val="000000"/>
          <w:spacing w:val="0"/>
          <w:w w:val="100"/>
          <w:position w:val="0"/>
        </w:rPr>
        <w:t>ICT</w:t>
      </w:r>
      <w:r>
        <w:rPr>
          <w:b/>
          <w:bCs/>
          <w:color w:val="000000"/>
          <w:spacing w:val="0"/>
          <w:w w:val="100"/>
          <w:position w:val="0"/>
        </w:rPr>
        <w:t>业务</w:t>
      </w:r>
    </w:p>
    <w:p>
      <w:pPr>
        <w:pStyle w:val="Style18"/>
        <w:keepNext w:val="0"/>
        <w:keepLines w:val="0"/>
        <w:widowControl w:val="0"/>
        <w:shd w:val="clear" w:color="auto" w:fill="auto"/>
        <w:bidi w:val="0"/>
        <w:spacing w:before="0" w:after="0" w:line="471" w:lineRule="exact"/>
        <w:ind w:left="0" w:right="0" w:firstLine="440"/>
        <w:jc w:val="left"/>
      </w:pPr>
      <w:r>
        <w:rPr>
          <w:color w:val="000000"/>
          <w:spacing w:val="0"/>
          <w:w w:val="100"/>
          <w:position w:val="0"/>
        </w:rPr>
        <w:t>“十四五”规划提出，坚持创新驱动发展，全面塑造发展新优势，加快数字化发展，建设数字中国； 国务院《政府工作报告》强调从“自主创新”到“科技自强自立”，加大基础研究投入与企业扶持。这些 既是国家战略，也是</w:t>
      </w:r>
      <w:r>
        <w:rPr>
          <w:rFonts w:ascii="Times New Roman" w:eastAsia="Times New Roman" w:hAnsi="Times New Roman" w:cs="Times New Roman"/>
          <w:color w:val="000000"/>
          <w:spacing w:val="0"/>
          <w:w w:val="100"/>
          <w:position w:val="0"/>
        </w:rPr>
        <w:t>ICT</w:t>
      </w:r>
      <w:r>
        <w:rPr>
          <w:color w:val="000000"/>
          <w:spacing w:val="0"/>
          <w:w w:val="100"/>
          <w:position w:val="0"/>
        </w:rPr>
        <w:t>行业的历史性机遇。“十四五”规划以及各级政府推出的新基建、工业互联网等 相关政策，智慧城市、智慧医疗等发展方向，为政府和企业数字化转型以及</w:t>
      </w:r>
      <w:r>
        <w:rPr>
          <w:rFonts w:ascii="Times New Roman" w:eastAsia="Times New Roman" w:hAnsi="Times New Roman" w:cs="Times New Roman"/>
          <w:color w:val="000000"/>
          <w:spacing w:val="0"/>
          <w:w w:val="100"/>
          <w:position w:val="0"/>
        </w:rPr>
        <w:t>ICT</w:t>
      </w:r>
      <w:r>
        <w:rPr>
          <w:color w:val="000000"/>
          <w:spacing w:val="0"/>
          <w:w w:val="100"/>
          <w:position w:val="0"/>
        </w:rPr>
        <w:t>业务发展提供了肥沃的土 壤。</w:t>
      </w:r>
    </w:p>
    <w:p>
      <w:pPr>
        <w:pStyle w:val="Style18"/>
        <w:keepNext w:val="0"/>
        <w:keepLines w:val="0"/>
        <w:widowControl w:val="0"/>
        <w:shd w:val="clear" w:color="auto" w:fill="auto"/>
        <w:bidi w:val="0"/>
        <w:spacing w:before="0" w:after="0" w:line="471" w:lineRule="exact"/>
        <w:ind w:left="0" w:right="0" w:firstLine="440"/>
        <w:jc w:val="left"/>
      </w:pPr>
      <w:r>
        <w:rPr>
          <w:color w:val="000000"/>
          <w:spacing w:val="0"/>
          <w:w w:val="100"/>
          <w:position w:val="0"/>
        </w:rPr>
        <w:t>政府和企业对于数字化转型的理念认识越来越深刻，转型创新逐步进入倍增阶段，人工智能技术持续 高速发展，工业互联网广泛建立起来，</w:t>
      </w:r>
      <w:r>
        <w:rPr>
          <w:rFonts w:ascii="Times New Roman" w:eastAsia="Times New Roman" w:hAnsi="Times New Roman" w:cs="Times New Roman"/>
          <w:color w:val="000000"/>
          <w:spacing w:val="0"/>
          <w:w w:val="100"/>
          <w:position w:val="0"/>
        </w:rPr>
        <w:t>3D</w:t>
      </w:r>
      <w:r>
        <w:rPr>
          <w:color w:val="000000"/>
          <w:spacing w:val="0"/>
          <w:w w:val="100"/>
          <w:position w:val="0"/>
        </w:rPr>
        <w:t>打印、区块链、</w:t>
      </w:r>
      <w:r>
        <w:rPr>
          <w:rFonts w:ascii="Times New Roman" w:eastAsia="Times New Roman" w:hAnsi="Times New Roman" w:cs="Times New Roman"/>
          <w:color w:val="000000"/>
          <w:spacing w:val="0"/>
          <w:w w:val="100"/>
          <w:position w:val="0"/>
        </w:rPr>
        <w:t>VR/AR</w:t>
      </w:r>
      <w:r>
        <w:rPr>
          <w:color w:val="000000"/>
          <w:spacing w:val="0"/>
          <w:w w:val="100"/>
          <w:position w:val="0"/>
        </w:rPr>
        <w:t>等技术获得广泛应用，各类机器人、自 动驾驶系统等逐渐普及，“数字原生”、“云原生”等新型企业快速成长，物联网和</w:t>
      </w:r>
      <w:r>
        <w:rPr>
          <w:rFonts w:ascii="Times New Roman" w:eastAsia="Times New Roman" w:hAnsi="Times New Roman" w:cs="Times New Roman"/>
          <w:color w:val="000000"/>
          <w:spacing w:val="0"/>
          <w:w w:val="100"/>
          <w:position w:val="0"/>
        </w:rPr>
        <w:t>5G</w:t>
      </w:r>
      <w:r>
        <w:rPr>
          <w:color w:val="000000"/>
          <w:spacing w:val="0"/>
          <w:w w:val="100"/>
          <w:position w:val="0"/>
        </w:rPr>
        <w:t xml:space="preserve">构建新的场景，这些 </w:t>
      </w:r>
      <w:r>
        <w:rPr>
          <w:color w:val="000000"/>
          <w:spacing w:val="0"/>
          <w:w w:val="100"/>
          <w:position w:val="0"/>
        </w:rPr>
        <w:t>将成为</w:t>
      </w:r>
      <w:r>
        <w:rPr>
          <w:rFonts w:ascii="Times New Roman" w:eastAsia="Times New Roman" w:hAnsi="Times New Roman" w:cs="Times New Roman"/>
          <w:color w:val="000000"/>
          <w:spacing w:val="0"/>
          <w:w w:val="100"/>
          <w:position w:val="0"/>
        </w:rPr>
        <w:t>ICT</w:t>
      </w:r>
      <w:r>
        <w:rPr>
          <w:color w:val="000000"/>
          <w:spacing w:val="0"/>
          <w:w w:val="100"/>
          <w:position w:val="0"/>
        </w:rPr>
        <w:t>市场发展的持续动力。政府关于反垄断、治理网络环境等多项政策，则为</w:t>
      </w:r>
      <w:r>
        <w:rPr>
          <w:rFonts w:ascii="Times New Roman" w:eastAsia="Times New Roman" w:hAnsi="Times New Roman" w:cs="Times New Roman"/>
          <w:color w:val="000000"/>
          <w:spacing w:val="0"/>
          <w:w w:val="100"/>
          <w:position w:val="0"/>
        </w:rPr>
        <w:t>ICT</w:t>
      </w:r>
      <w:r>
        <w:rPr>
          <w:color w:val="000000"/>
          <w:spacing w:val="0"/>
          <w:w w:val="100"/>
          <w:position w:val="0"/>
        </w:rPr>
        <w:t>行业未来的长期 稳定发展提供了保障。</w:t>
      </w:r>
    </w:p>
    <w:p>
      <w:pPr>
        <w:pStyle w:val="Style18"/>
        <w:keepNext w:val="0"/>
        <w:keepLines w:val="0"/>
        <w:widowControl w:val="0"/>
        <w:shd w:val="clear" w:color="auto" w:fill="auto"/>
        <w:bidi w:val="0"/>
        <w:spacing w:before="0" w:after="0" w:line="476" w:lineRule="exact"/>
        <w:ind w:left="0" w:right="0" w:firstLine="440"/>
        <w:jc w:val="both"/>
      </w:pPr>
      <w:r>
        <w:rPr>
          <w:color w:val="000000"/>
          <w:spacing w:val="0"/>
          <w:w w:val="100"/>
          <w:position w:val="0"/>
        </w:rPr>
        <w:t>网络安全领域，随着城市数字化转型的不断深入，网络安全问题已成为热点议题，而《网络安全法》 《密码法》《数据安全法》《个人信息保护法》等法律法规的颁布实施，网络基础设施保护、数据安全保护 和个人隐私保护已成为关注重点。城市数字化转型离不开网络安全的重要支撑，切实提升关键信息基础设 施、行业重要数据、系统整体运营等保护能力是关键点。</w:t>
      </w:r>
    </w:p>
    <w:p>
      <w:pPr>
        <w:pStyle w:val="Style18"/>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数字园区领域，基于传统园区中信息不能共享、智能应用水平低、信息化与园区无法整体协调、公共 数据没有互联互通、用户感知度较差等痛点，重新打造数字化园区解决方案，通过智慧园区业务中台、工 业互联网数据中台、大数据分析平台以及人工智能能力平台为智慧园区提供丰富、便捷的服务，协助企业 之间实现资源共享，充分体现产业链的拉动力量。</w:t>
      </w:r>
    </w:p>
    <w:p>
      <w:pPr>
        <w:pStyle w:val="Style18"/>
        <w:keepNext w:val="0"/>
        <w:keepLines w:val="0"/>
        <w:widowControl w:val="0"/>
        <w:shd w:val="clear" w:color="auto" w:fill="auto"/>
        <w:bidi w:val="0"/>
        <w:spacing w:before="0" w:after="0" w:line="472" w:lineRule="exact"/>
        <w:ind w:left="0" w:right="0" w:firstLine="440"/>
        <w:jc w:val="both"/>
      </w:pPr>
      <w:r>
        <w:rPr>
          <w:color w:val="000000"/>
          <w:spacing w:val="0"/>
          <w:w w:val="100"/>
          <w:position w:val="0"/>
        </w:rPr>
        <w:t>信创领域，</w:t>
      </w:r>
      <w:r>
        <w:rPr>
          <w:rFonts w:ascii="Times New Roman" w:eastAsia="Times New Roman" w:hAnsi="Times New Roman" w:cs="Times New Roman"/>
          <w:color w:val="000000"/>
          <w:spacing w:val="0"/>
          <w:w w:val="100"/>
          <w:position w:val="0"/>
        </w:rPr>
        <w:t>2021</w:t>
      </w:r>
      <w:r>
        <w:rPr>
          <w:color w:val="000000"/>
          <w:spacing w:val="0"/>
          <w:w w:val="100"/>
          <w:position w:val="0"/>
        </w:rPr>
        <w:t>年，党政信创迎来行业高峰，各地政府均加大投入推进信创替代工作；行业信创全面 铺开，金融、电信进入落地关键阶段，能源、交通紧随其后。由于行业不依赖财政资金，且行业信创市场 属于性能导向，更强调适用性，金融、电信行业推进速度最快，已于</w:t>
      </w:r>
      <w:r>
        <w:rPr>
          <w:rFonts w:ascii="Times New Roman" w:eastAsia="Times New Roman" w:hAnsi="Times New Roman" w:cs="Times New Roman"/>
          <w:color w:val="000000"/>
          <w:spacing w:val="0"/>
          <w:w w:val="100"/>
          <w:position w:val="0"/>
        </w:rPr>
        <w:t>2020</w:t>
      </w:r>
      <w:r>
        <w:rPr>
          <w:color w:val="000000"/>
          <w:spacing w:val="0"/>
          <w:w w:val="100"/>
          <w:position w:val="0"/>
        </w:rPr>
        <w:t>年之前开启测试；随后能源、 交通、航空航天、教育、医疗等行业也开始逐步进行政策推进和测试，预计</w:t>
      </w:r>
      <w:r>
        <w:rPr>
          <w:rFonts w:ascii="Times New Roman" w:eastAsia="Times New Roman" w:hAnsi="Times New Roman" w:cs="Times New Roman"/>
          <w:color w:val="000000"/>
          <w:spacing w:val="0"/>
          <w:w w:val="100"/>
          <w:position w:val="0"/>
        </w:rPr>
        <w:t>2022</w:t>
      </w:r>
      <w:r>
        <w:rPr>
          <w:color w:val="000000"/>
          <w:spacing w:val="0"/>
          <w:w w:val="100"/>
          <w:position w:val="0"/>
        </w:rPr>
        <w:t>年有望成为多个行业大 规模推进国产化替代的关键年份，并在</w:t>
      </w:r>
      <w:r>
        <w:rPr>
          <w:rFonts w:ascii="Times New Roman" w:eastAsia="Times New Roman" w:hAnsi="Times New Roman" w:cs="Times New Roman"/>
          <w:color w:val="000000"/>
          <w:spacing w:val="0"/>
          <w:w w:val="100"/>
          <w:position w:val="0"/>
        </w:rPr>
        <w:t>2023</w:t>
      </w:r>
      <w:r>
        <w:rPr>
          <w:color w:val="000000"/>
          <w:spacing w:val="0"/>
          <w:w w:val="100"/>
          <w:position w:val="0"/>
        </w:rPr>
        <w:t>年进一步放量。从信创解决方案应用领域分布来看，党政领 域以较为成熟完善的解决方案持续引领，金融、电信领域正在加速推进，医疗、交通、能源领域解决方案 趋热，信创应用正在从党政领域向全领域转化，信创应用发展新格局正在形成。</w:t>
      </w:r>
    </w:p>
    <w:p>
      <w:pPr>
        <w:pStyle w:val="Style18"/>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在当今国际形势的影响下，国家战略导向和政策倾向都在大力推动着行业发展，未来市场规模庞大。 企业能否高效完成大规模项目的组织实施、提供可信安全的大规模数据处理、实现不同应用场景下的信创 适配等等，将是在市场竞争中领先与否的关键。</w:t>
      </w:r>
    </w:p>
    <w:p>
      <w:pPr>
        <w:pStyle w:val="Style18"/>
        <w:keepNext w:val="0"/>
        <w:keepLines w:val="0"/>
        <w:widowControl w:val="0"/>
        <w:shd w:val="clear" w:color="auto" w:fill="auto"/>
        <w:bidi w:val="0"/>
        <w:spacing w:before="0" w:after="0" w:line="475" w:lineRule="exact"/>
        <w:ind w:left="0" w:right="0" w:firstLine="440"/>
        <w:jc w:val="both"/>
      </w:pPr>
      <w:bookmarkStart w:id="64" w:name="bookmark64"/>
      <w:r>
        <w:rPr>
          <w:b/>
          <w:bCs/>
          <w:color w:val="000000"/>
          <w:spacing w:val="0"/>
          <w:w w:val="100"/>
          <w:position w:val="0"/>
        </w:rPr>
        <w:t>（</w:t>
      </w:r>
      <w:bookmarkEnd w:id="64"/>
      <w:r>
        <w:rPr>
          <w:b/>
          <w:bCs/>
          <w:color w:val="000000"/>
          <w:spacing w:val="0"/>
          <w:w w:val="100"/>
          <w:position w:val="0"/>
        </w:rPr>
        <w:t>四）智慧城市行业</w:t>
      </w:r>
    </w:p>
    <w:p>
      <w:pPr>
        <w:pStyle w:val="Style18"/>
        <w:keepNext w:val="0"/>
        <w:keepLines w:val="0"/>
        <w:widowControl w:val="0"/>
        <w:shd w:val="clear" w:color="auto" w:fill="auto"/>
        <w:bidi w:val="0"/>
        <w:spacing w:before="0" w:after="0" w:line="475" w:lineRule="exact"/>
        <w:ind w:left="0" w:right="0" w:firstLine="440"/>
        <w:jc w:val="both"/>
      </w:pPr>
      <w:r>
        <w:rPr>
          <w:color w:val="000000"/>
          <w:spacing w:val="0"/>
          <w:w w:val="100"/>
          <w:position w:val="0"/>
        </w:rPr>
        <w:t>自</w:t>
      </w:r>
      <w:r>
        <w:rPr>
          <w:rFonts w:ascii="Times New Roman" w:eastAsia="Times New Roman" w:hAnsi="Times New Roman" w:cs="Times New Roman"/>
          <w:color w:val="000000"/>
          <w:spacing w:val="0"/>
          <w:w w:val="100"/>
          <w:position w:val="0"/>
        </w:rPr>
        <w:t>2008</w:t>
      </w:r>
      <w:r>
        <w:rPr>
          <w:color w:val="000000"/>
          <w:spacing w:val="0"/>
          <w:w w:val="100"/>
          <w:position w:val="0"/>
        </w:rPr>
        <w:t>年智慧城市概念提出以来，我国智慧城市发展大体上经历了探索实践、规范调整、战略攻坚 和全面发展四个阶段。</w:t>
      </w:r>
      <w:r>
        <w:rPr>
          <w:rFonts w:ascii="Times New Roman" w:eastAsia="Times New Roman" w:hAnsi="Times New Roman" w:cs="Times New Roman"/>
          <w:color w:val="000000"/>
          <w:spacing w:val="0"/>
          <w:w w:val="100"/>
          <w:position w:val="0"/>
        </w:rPr>
        <w:t>2021</w:t>
      </w:r>
      <w:r>
        <w:rPr>
          <w:color w:val="000000"/>
          <w:spacing w:val="0"/>
          <w:w w:val="100"/>
          <w:position w:val="0"/>
        </w:rPr>
        <w:t>年，“十四五”规划明确提出“加快建设数字经济、数字社会、数字政府，以 数字化转型来整体驱动生产方式、生活方式、治理方式变革”，城市数字化转型上升为国家战略。</w:t>
      </w:r>
    </w:p>
    <w:p>
      <w:pPr>
        <w:pStyle w:val="Style18"/>
        <w:keepNext w:val="0"/>
        <w:keepLines w:val="0"/>
        <w:widowControl w:val="0"/>
        <w:shd w:val="clear" w:color="auto" w:fill="auto"/>
        <w:bidi w:val="0"/>
        <w:spacing w:before="0" w:after="0" w:line="475" w:lineRule="exact"/>
        <w:ind w:left="0" w:right="0" w:firstLine="440"/>
        <w:jc w:val="both"/>
      </w:pPr>
      <w:r>
        <w:rPr>
          <w:color w:val="000000"/>
          <w:spacing w:val="0"/>
          <w:w w:val="100"/>
          <w:position w:val="0"/>
        </w:rPr>
        <w:t>近两年，全球范围内新型冠状病毒肺炎疫情肆虐，传统生产生活方式面临挑战，信息化、数字化需求 激增，进一步加速了城市全面数字化转型的进程。推动城市数字化转型成为提升城市能级和塑造核心竞争 力的得力抓手与现实选择，各地政府响应国家战略，全面布局城市数字化转型，推出一系列城市数字化转 型政策。</w:t>
      </w:r>
    </w:p>
    <w:p>
      <w:pPr>
        <w:pStyle w:val="Style18"/>
        <w:keepNext w:val="0"/>
        <w:keepLines w:val="0"/>
        <w:widowControl w:val="0"/>
        <w:shd w:val="clear" w:color="auto" w:fill="auto"/>
        <w:bidi w:val="0"/>
        <w:spacing w:before="0" w:after="0" w:line="475"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年底，上海市发布《关于全面推进上海城市数字化转型的意见》，以将上海建设成为具有世界影 </w:t>
      </w:r>
      <w:r>
        <w:rPr>
          <w:color w:val="000000"/>
          <w:spacing w:val="0"/>
          <w:w w:val="100"/>
          <w:position w:val="0"/>
        </w:rPr>
        <w:t>响力的国际数字之都为目标，全面推进城市数字化转型，坚持整体性转变，推动“经济、生活、治理”全 面数字化转型；坚持全方位赋能，构建数据驱动的数字城市基本框架；坚持革命性重塑，引导全社会共建 共治共享数字城市；创新工作推进机制，科学有序全面推进城市数字化转型。</w:t>
      </w:r>
      <w:r>
        <w:rPr>
          <w:rFonts w:ascii="Times New Roman" w:eastAsia="Times New Roman" w:hAnsi="Times New Roman" w:cs="Times New Roman"/>
          <w:color w:val="000000"/>
          <w:spacing w:val="0"/>
          <w:w w:val="100"/>
          <w:position w:val="0"/>
        </w:rPr>
        <w:t>2021</w:t>
      </w:r>
      <w:r>
        <w:rPr>
          <w:color w:val="000000"/>
          <w:spacing w:val="0"/>
          <w:w w:val="100"/>
          <w:position w:val="0"/>
        </w:rPr>
        <w:t>年底，《上海市全面推 进城市数字化转型“十四五”规划》发布，明确要求到</w:t>
      </w:r>
      <w:r>
        <w:rPr>
          <w:rFonts w:ascii="Times New Roman" w:eastAsia="Times New Roman" w:hAnsi="Times New Roman" w:cs="Times New Roman"/>
          <w:color w:val="000000"/>
          <w:spacing w:val="0"/>
          <w:w w:val="100"/>
          <w:position w:val="0"/>
        </w:rPr>
        <w:t>2025</w:t>
      </w:r>
      <w:r>
        <w:rPr>
          <w:color w:val="000000"/>
          <w:spacing w:val="0"/>
          <w:w w:val="100"/>
          <w:position w:val="0"/>
        </w:rPr>
        <w:t>年，上海全面推进城市数字化转型取得显著 成效，对标打造国际一流、国内领先的数字化标杆城市，基本构建起以底座、中枢、平台互联互通的城市 数基，经济、生活、治理数字化“三位一体”的城市数体，政府、市场、社会“多元共治”的城市数治为 主要内容的城市数字化总体架构，初步实现生产生活全局转变，数据要素全域赋能，理念规则全面重塑的 城市数字化转型局面，国际数字之都建设形成基本框架。</w:t>
      </w:r>
    </w:p>
    <w:p>
      <w:pPr>
        <w:pStyle w:val="Style18"/>
        <w:keepNext w:val="0"/>
        <w:keepLines w:val="0"/>
        <w:widowControl w:val="0"/>
        <w:shd w:val="clear" w:color="auto" w:fill="auto"/>
        <w:bidi w:val="0"/>
        <w:spacing w:before="0" w:after="0" w:line="47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月，李克强总理在政府工作报告中提出“提高数字政府建设水平”“建设数字中国”的工作 部署，明确了 “十四五”期间数字化建设的主基调。在“十四五”时期，城市数字化转型将成为各地政府 的首要任务，智慧城市行业也将迎来更大的市场机遇。</w:t>
      </w:r>
    </w:p>
    <w:p>
      <w:pPr>
        <w:pStyle w:val="Style18"/>
        <w:keepNext w:val="0"/>
        <w:keepLines w:val="0"/>
        <w:widowControl w:val="0"/>
        <w:shd w:val="clear" w:color="auto" w:fill="auto"/>
        <w:bidi w:val="0"/>
        <w:spacing w:before="0" w:after="0" w:line="474" w:lineRule="exact"/>
        <w:ind w:left="0" w:right="0" w:firstLine="440"/>
        <w:jc w:val="both"/>
      </w:pPr>
      <w:r>
        <w:rPr>
          <w:color w:val="000000"/>
          <w:spacing w:val="0"/>
          <w:w w:val="100"/>
          <w:position w:val="0"/>
        </w:rPr>
        <w:t>万达信息智慧城市业务以“市民云”为基点。作为上海城市数字化转型的主要参与企业，万达信息以 “随申办”市民云作为上海城市数字化转型的核心平台，助力上海数字生活、数字治理、数字经济的全面 发展。立足上海，辐射全国，公司智慧城市业务助力成都、长沙、海口、柳州、西安等</w:t>
      </w:r>
      <w:r>
        <w:rPr>
          <w:rFonts w:ascii="Times New Roman" w:eastAsia="Times New Roman" w:hAnsi="Times New Roman" w:cs="Times New Roman"/>
          <w:color w:val="000000"/>
          <w:spacing w:val="0"/>
          <w:w w:val="100"/>
          <w:position w:val="0"/>
        </w:rPr>
        <w:t>27</w:t>
      </w:r>
      <w:r>
        <w:rPr>
          <w:color w:val="000000"/>
          <w:spacing w:val="0"/>
          <w:w w:val="100"/>
          <w:position w:val="0"/>
        </w:rPr>
        <w:t>个城市的数字 化转型进程。</w:t>
      </w:r>
    </w:p>
    <w:p>
      <w:pPr>
        <w:pStyle w:val="Style18"/>
        <w:keepNext w:val="0"/>
        <w:keepLines w:val="0"/>
        <w:widowControl w:val="0"/>
        <w:shd w:val="clear" w:color="auto" w:fill="auto"/>
        <w:bidi w:val="0"/>
        <w:spacing w:before="0" w:after="0" w:line="474"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年，万达信息智慧城市（市民云）中心联合国家信息中心共同编撰了《中国智慧城市长效运营报 告（</w:t>
      </w:r>
      <w:r>
        <w:rPr>
          <w:rFonts w:ascii="Times New Roman" w:eastAsia="Times New Roman" w:hAnsi="Times New Roman" w:cs="Times New Roman"/>
          <w:color w:val="000000"/>
          <w:spacing w:val="0"/>
          <w:w w:val="100"/>
          <w:position w:val="0"/>
        </w:rPr>
        <w:t>2021</w:t>
      </w:r>
      <w:r>
        <w:rPr>
          <w:color w:val="000000"/>
          <w:spacing w:val="0"/>
          <w:w w:val="100"/>
          <w:position w:val="0"/>
        </w:rPr>
        <w:t>）》，并以“激发数据活力，赋能城市数字化转型”为主题，举办了第一届智慧城市长效运营峰会， 奠定了在城市数字化转型浪潮中，万达信息的智慧城市长效运营标杆地位。</w:t>
      </w:r>
    </w:p>
    <w:p>
      <w:pPr>
        <w:pStyle w:val="Style18"/>
        <w:keepNext w:val="0"/>
        <w:keepLines w:val="0"/>
        <w:widowControl w:val="0"/>
        <w:shd w:val="clear" w:color="auto" w:fill="auto"/>
        <w:bidi w:val="0"/>
        <w:spacing w:before="0" w:after="0" w:line="472" w:lineRule="exact"/>
        <w:ind w:left="0" w:right="0" w:firstLine="440"/>
        <w:jc w:val="both"/>
      </w:pPr>
      <w:bookmarkStart w:id="65" w:name="bookmark65"/>
      <w:r>
        <w:rPr>
          <w:b/>
          <w:bCs/>
          <w:color w:val="000000"/>
          <w:spacing w:val="0"/>
          <w:w w:val="100"/>
          <w:position w:val="0"/>
        </w:rPr>
        <w:t>（</w:t>
      </w:r>
      <w:bookmarkEnd w:id="65"/>
      <w:r>
        <w:rPr>
          <w:b/>
          <w:bCs/>
          <w:color w:val="000000"/>
          <w:spacing w:val="0"/>
          <w:w w:val="100"/>
          <w:position w:val="0"/>
        </w:rPr>
        <w:t>五）健康管理行业</w:t>
      </w:r>
    </w:p>
    <w:p>
      <w:pPr>
        <w:pStyle w:val="Style18"/>
        <w:keepNext w:val="0"/>
        <w:keepLines w:val="0"/>
        <w:widowControl w:val="0"/>
        <w:shd w:val="clear" w:color="auto" w:fill="auto"/>
        <w:bidi w:val="0"/>
        <w:spacing w:before="0" w:after="0" w:line="475" w:lineRule="exact"/>
        <w:ind w:left="0" w:right="0" w:firstLine="440"/>
        <w:jc w:val="both"/>
      </w:pPr>
      <w:r>
        <w:rPr>
          <w:color w:val="000000"/>
          <w:spacing w:val="0"/>
          <w:w w:val="100"/>
          <w:position w:val="0"/>
        </w:rPr>
        <w:t>自从</w:t>
      </w:r>
      <w:r>
        <w:rPr>
          <w:rFonts w:ascii="Times New Roman" w:eastAsia="Times New Roman" w:hAnsi="Times New Roman" w:cs="Times New Roman"/>
          <w:color w:val="000000"/>
          <w:spacing w:val="0"/>
          <w:w w:val="100"/>
          <w:position w:val="0"/>
        </w:rPr>
        <w:t>2013</w:t>
      </w:r>
      <w:r>
        <w:rPr>
          <w:color w:val="000000"/>
          <w:spacing w:val="0"/>
          <w:w w:val="100"/>
          <w:position w:val="0"/>
        </w:rPr>
        <w:t>年《关于促进健康服务业发展的若干意见》发布以来，国家围绕健康中国建设密集出台了 一系列政策文件，核心目标是“全方位干预、全生命周期和防控重大疾病”。</w:t>
      </w:r>
      <w:r>
        <w:rPr>
          <w:rFonts w:ascii="Times New Roman" w:eastAsia="Times New Roman" w:hAnsi="Times New Roman" w:cs="Times New Roman"/>
          <w:color w:val="000000"/>
          <w:spacing w:val="0"/>
          <w:w w:val="100"/>
          <w:position w:val="0"/>
        </w:rPr>
        <w:t>2016</w:t>
      </w:r>
      <w:r>
        <w:rPr>
          <w:color w:val="000000"/>
          <w:spacing w:val="0"/>
          <w:w w:val="100"/>
          <w:position w:val="0"/>
        </w:rPr>
        <w:t>年，国务院印发《“健康 中国</w:t>
      </w:r>
      <w:r>
        <w:rPr>
          <w:rFonts w:ascii="Times New Roman" w:eastAsia="Times New Roman" w:hAnsi="Times New Roman" w:cs="Times New Roman"/>
          <w:color w:val="000000"/>
          <w:spacing w:val="0"/>
          <w:w w:val="100"/>
          <w:position w:val="0"/>
        </w:rPr>
        <w:t>2030</w:t>
      </w:r>
      <w:r>
        <w:rPr>
          <w:color w:val="000000"/>
          <w:spacing w:val="0"/>
          <w:w w:val="100"/>
          <w:position w:val="0"/>
        </w:rPr>
        <w:t>”规划纲要》，成为引领大健康产业发展的航标，大健康上升到国家战略高度。随着经济社会的 发展，产业发展问题推动市场改革和创新，主要体现在两大方面：</w:t>
      </w:r>
    </w:p>
    <w:p>
      <w:pPr>
        <w:pStyle w:val="Style18"/>
        <w:keepNext w:val="0"/>
        <w:keepLines w:val="0"/>
        <w:widowControl w:val="0"/>
        <w:shd w:val="clear" w:color="auto" w:fill="auto"/>
        <w:bidi w:val="0"/>
        <w:spacing w:before="0" w:after="0" w:line="472" w:lineRule="exact"/>
        <w:ind w:left="0" w:right="0" w:firstLine="440"/>
        <w:jc w:val="both"/>
      </w:pPr>
      <w:r>
        <w:rPr>
          <w:color w:val="000000"/>
          <w:spacing w:val="0"/>
          <w:w w:val="100"/>
          <w:position w:val="0"/>
        </w:rPr>
        <w:t>第一，供给侧矛盾促使医疗健康服务向预防为主模式转变。医疗服务需求尤其是高质量服务需求与医 疗资源配置存在矛盾，医疗卫生人力资源配置增长滞后于人均</w:t>
      </w:r>
      <w:r>
        <w:rPr>
          <w:rFonts w:ascii="Times New Roman" w:eastAsia="Times New Roman" w:hAnsi="Times New Roman" w:cs="Times New Roman"/>
          <w:color w:val="000000"/>
          <w:spacing w:val="0"/>
          <w:w w:val="100"/>
          <w:position w:val="0"/>
        </w:rPr>
        <w:t>GDP</w:t>
      </w:r>
      <w:r>
        <w:rPr>
          <w:color w:val="000000"/>
          <w:spacing w:val="0"/>
          <w:w w:val="100"/>
          <w:position w:val="0"/>
        </w:rPr>
        <w:t>增长和医疗需求增长，常见病逐渐解 决，疑难杂症需求加大，导致看病难、看病贵等医疗供给方占主导地位的现象，直接推动以治疗为主到以 预防为主的健康服务供给模式转变。</w:t>
      </w:r>
    </w:p>
    <w:p>
      <w:pPr>
        <w:pStyle w:val="Style18"/>
        <w:keepNext w:val="0"/>
        <w:keepLines w:val="0"/>
        <w:widowControl w:val="0"/>
        <w:shd w:val="clear" w:color="auto" w:fill="auto"/>
        <w:bidi w:val="0"/>
        <w:spacing w:before="0" w:after="0" w:line="472" w:lineRule="exact"/>
        <w:ind w:left="0" w:right="0" w:firstLine="440"/>
        <w:jc w:val="both"/>
      </w:pPr>
      <w:r>
        <w:rPr>
          <w:color w:val="000000"/>
          <w:spacing w:val="0"/>
          <w:w w:val="100"/>
          <w:position w:val="0"/>
        </w:rPr>
        <w:t xml:space="preserve">第二，大健康产业成为推动城市数字化转型的重要推手。大健康产业正在成为许多城市推动数字化转 型升级的重要内容，有资源有条件的地区纷纷用“健康”来串联、激活区域内的医疗服务、养生养老、文 </w:t>
      </w:r>
      <w:r>
        <w:rPr>
          <w:color w:val="000000"/>
          <w:spacing w:val="0"/>
          <w:w w:val="100"/>
          <w:position w:val="0"/>
        </w:rPr>
        <w:t>化旅游、生态农业、温泉地热等健康相关产业资源。围绕生活、生态、产业三个方面，打造一系列健康主 题功能项目，推动健康消费升级，发展健康产业体系，打造健康生活系统。</w:t>
      </w:r>
    </w:p>
    <w:p>
      <w:pPr>
        <w:pStyle w:val="Style18"/>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此外，当前市场存在日益增长的需求和严重供不应求的矛盾。健康行业是唯一一个不需要界定客户群 体的行业，所有人都会接触健康行业，这意味着一个</w:t>
      </w:r>
      <w:r>
        <w:rPr>
          <w:rFonts w:ascii="Times New Roman" w:eastAsia="Times New Roman" w:hAnsi="Times New Roman" w:cs="Times New Roman"/>
          <w:color w:val="000000"/>
          <w:spacing w:val="0"/>
          <w:w w:val="100"/>
          <w:position w:val="0"/>
        </w:rPr>
        <w:t>14</w:t>
      </w:r>
      <w:r>
        <w:rPr>
          <w:color w:val="000000"/>
          <w:spacing w:val="0"/>
          <w:w w:val="100"/>
          <w:position w:val="0"/>
        </w:rPr>
        <w:t>亿人口的大国会有强大的需求。值得关注的是， 目前很多医疗资源向大中城市的三甲医院集中，虹吸效应日益凸显，但是大城市挂号又很难。所以，如何 更好地匹配资源、均衡资源也是值得思考的问题。</w:t>
      </w:r>
    </w:p>
    <w:p>
      <w:pPr>
        <w:pStyle w:val="Style18"/>
        <w:keepNext w:val="0"/>
        <w:keepLines w:val="0"/>
        <w:widowControl w:val="0"/>
        <w:shd w:val="clear" w:color="auto" w:fill="auto"/>
        <w:bidi w:val="0"/>
        <w:spacing w:before="0" w:after="0" w:line="474" w:lineRule="exact"/>
        <w:ind w:left="0" w:right="0" w:firstLine="440"/>
        <w:jc w:val="both"/>
      </w:pPr>
      <w:r>
        <w:rPr>
          <w:color w:val="000000"/>
          <w:spacing w:val="0"/>
          <w:w w:val="100"/>
          <w:position w:val="0"/>
        </w:rPr>
        <w:t>综上所述，由于人口老龄化加剧、人均收入提高以及基本医疗保障制度全面覆盖等因素的驱动，我国 医疗健康服务行业急速发展。在“健康中国”大战略指引下，宏观层面发布利好产业政策、各级政府设立 多层次大规模项目基金，资本市场适应灵活机制快速响应，多方共同推动了中国医疗健康行业进入发展快 车道。</w:t>
      </w:r>
    </w:p>
    <w:p>
      <w:pPr>
        <w:pStyle w:val="Style18"/>
        <w:keepNext w:val="0"/>
        <w:keepLines w:val="0"/>
        <w:widowControl w:val="0"/>
        <w:shd w:val="clear" w:color="auto" w:fill="auto"/>
        <w:bidi w:val="0"/>
        <w:spacing w:before="0" w:after="0" w:line="474" w:lineRule="exact"/>
        <w:ind w:left="0" w:right="0" w:firstLine="440"/>
        <w:jc w:val="both"/>
      </w:pPr>
      <w:r>
        <w:rPr>
          <w:color w:val="000000"/>
          <w:spacing w:val="0"/>
          <w:w w:val="100"/>
          <w:position w:val="0"/>
        </w:rPr>
        <w:t>国家《健康中国行动（</w:t>
      </w:r>
      <w:r>
        <w:rPr>
          <w:rFonts w:ascii="Times New Roman" w:eastAsia="Times New Roman" w:hAnsi="Times New Roman" w:cs="Times New Roman"/>
          <w:color w:val="000000"/>
          <w:spacing w:val="0"/>
          <w:w w:val="100"/>
          <w:position w:val="0"/>
        </w:rPr>
        <w:t>2019</w:t>
      </w:r>
      <w:r>
        <w:rPr>
          <w:color w:val="000000"/>
          <w:spacing w:val="0"/>
          <w:w w:val="100"/>
          <w:position w:val="0"/>
        </w:rPr>
        <w:t>年一</w:t>
      </w:r>
      <w:r>
        <w:rPr>
          <w:rFonts w:ascii="Times New Roman" w:eastAsia="Times New Roman" w:hAnsi="Times New Roman" w:cs="Times New Roman"/>
          <w:color w:val="000000"/>
          <w:spacing w:val="0"/>
          <w:w w:val="100"/>
          <w:position w:val="0"/>
        </w:rPr>
        <w:t>2030</w:t>
      </w:r>
      <w:r>
        <w:rPr>
          <w:color w:val="000000"/>
          <w:spacing w:val="0"/>
          <w:w w:val="100"/>
          <w:position w:val="0"/>
        </w:rPr>
        <w:t>年）》提出了十五项重大行动，行动的总体目标为：“到</w:t>
      </w:r>
      <w:r>
        <w:rPr>
          <w:rFonts w:ascii="Times New Roman" w:eastAsia="Times New Roman" w:hAnsi="Times New Roman" w:cs="Times New Roman"/>
          <w:color w:val="000000"/>
          <w:spacing w:val="0"/>
          <w:w w:val="100"/>
          <w:position w:val="0"/>
        </w:rPr>
        <w:t>2030</w:t>
      </w:r>
      <w:r>
        <w:rPr>
          <w:color w:val="000000"/>
          <w:spacing w:val="0"/>
          <w:w w:val="100"/>
          <w:position w:val="0"/>
        </w:rPr>
        <w:t>年， 全民健康素养水平大幅提升，健康生活方式基本普及，居民主要健康影响因素得到有效控制，因重大慢性 病导致的过早死亡率明显降低，人均健康预期寿命得到较大提高，居民主要健康指标水平进入高收入国家 行列，健康公平基本实现，实现《“健康中国</w:t>
      </w:r>
      <w:r>
        <w:rPr>
          <w:rFonts w:ascii="Times New Roman" w:eastAsia="Times New Roman" w:hAnsi="Times New Roman" w:cs="Times New Roman"/>
          <w:color w:val="000000"/>
          <w:spacing w:val="0"/>
          <w:w w:val="100"/>
          <w:position w:val="0"/>
        </w:rPr>
        <w:t>2030</w:t>
      </w:r>
      <w:r>
        <w:rPr>
          <w:color w:val="000000"/>
          <w:spacing w:val="0"/>
          <w:w w:val="100"/>
          <w:position w:val="0"/>
        </w:rPr>
        <w:t>”规划纲要》有关目标。”</w:t>
      </w:r>
    </w:p>
    <w:p>
      <w:pPr>
        <w:pStyle w:val="Style18"/>
        <w:keepNext w:val="0"/>
        <w:keepLines w:val="0"/>
        <w:widowControl w:val="0"/>
        <w:shd w:val="clear" w:color="auto" w:fill="auto"/>
        <w:bidi w:val="0"/>
        <w:spacing w:before="0" w:after="0" w:line="474" w:lineRule="exact"/>
        <w:ind w:left="0" w:right="0" w:firstLine="440"/>
        <w:jc w:val="both"/>
      </w:pPr>
      <w:r>
        <w:rPr>
          <w:color w:val="000000"/>
          <w:spacing w:val="0"/>
          <w:w w:val="100"/>
          <w:position w:val="0"/>
        </w:rPr>
        <w:t>近年来中国医疗健康服务市场发展迅猛，</w:t>
      </w:r>
      <w:r>
        <w:rPr>
          <w:rFonts w:ascii="Times New Roman" w:eastAsia="Times New Roman" w:hAnsi="Times New Roman" w:cs="Times New Roman"/>
          <w:color w:val="000000"/>
          <w:spacing w:val="0"/>
          <w:w w:val="100"/>
          <w:position w:val="0"/>
        </w:rPr>
        <w:t>2019</w:t>
      </w:r>
      <w:r>
        <w:rPr>
          <w:color w:val="000000"/>
          <w:spacing w:val="0"/>
          <w:w w:val="100"/>
          <w:position w:val="0"/>
        </w:rPr>
        <w:t>年，中国银保监会等</w:t>
      </w:r>
      <w:r>
        <w:rPr>
          <w:rFonts w:ascii="Times New Roman" w:eastAsia="Times New Roman" w:hAnsi="Times New Roman" w:cs="Times New Roman"/>
          <w:color w:val="000000"/>
          <w:spacing w:val="0"/>
          <w:w w:val="100"/>
          <w:position w:val="0"/>
        </w:rPr>
        <w:t>13</w:t>
      </w:r>
      <w:r>
        <w:rPr>
          <w:color w:val="000000"/>
          <w:spacing w:val="0"/>
          <w:w w:val="100"/>
          <w:position w:val="0"/>
        </w:rPr>
        <w:t>个部门联合发布了《关于促进 社会服务领域商业保险发展的意见》，到</w:t>
      </w:r>
      <w:r>
        <w:rPr>
          <w:rFonts w:ascii="Times New Roman" w:eastAsia="Times New Roman" w:hAnsi="Times New Roman" w:cs="Times New Roman"/>
          <w:color w:val="000000"/>
          <w:spacing w:val="0"/>
          <w:w w:val="100"/>
          <w:position w:val="0"/>
        </w:rPr>
        <w:t>2025</w:t>
      </w:r>
      <w:r>
        <w:rPr>
          <w:color w:val="000000"/>
          <w:spacing w:val="0"/>
          <w:w w:val="100"/>
          <w:position w:val="0"/>
        </w:rPr>
        <w:t>年，商业健康保险市场规模将超过</w:t>
      </w:r>
      <w:r>
        <w:rPr>
          <w:rFonts w:ascii="Times New Roman" w:eastAsia="Times New Roman" w:hAnsi="Times New Roman" w:cs="Times New Roman"/>
          <w:color w:val="000000"/>
          <w:spacing w:val="0"/>
          <w:w w:val="100"/>
          <w:position w:val="0"/>
        </w:rPr>
        <w:t>2</w:t>
      </w:r>
      <w:r>
        <w:rPr>
          <w:color w:val="000000"/>
          <w:spacing w:val="0"/>
          <w:w w:val="100"/>
          <w:position w:val="0"/>
        </w:rPr>
        <w:t>万亿元。伴随着中国银 保监会新修订的《健康保险管理办法》落地，健康管理服务成本占净保费比例上限提高至</w:t>
      </w:r>
      <w:r>
        <w:rPr>
          <w:rFonts w:ascii="Times New Roman" w:eastAsia="Times New Roman" w:hAnsi="Times New Roman" w:cs="Times New Roman"/>
          <w:color w:val="000000"/>
          <w:spacing w:val="0"/>
          <w:w w:val="100"/>
          <w:position w:val="0"/>
        </w:rPr>
        <w:t>20%</w:t>
      </w:r>
      <w:r>
        <w:rPr>
          <w:color w:val="000000"/>
          <w:spacing w:val="0"/>
          <w:w w:val="100"/>
          <w:position w:val="0"/>
        </w:rPr>
        <w:t>，健康管理 服务产业市场蓄势待发。</w:t>
      </w:r>
    </w:p>
    <w:p>
      <w:pPr>
        <w:pStyle w:val="Style18"/>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基于在三医核心业务的优势基础，公司健康云汇聚各类医疗健康服务资源，为政府</w:t>
      </w:r>
      <w:r>
        <w:rPr>
          <w:color w:val="000000"/>
          <w:spacing w:val="0"/>
          <w:w w:val="100"/>
          <w:position w:val="0"/>
        </w:rPr>
        <w:t>（</w:t>
      </w:r>
      <w:r>
        <w:rPr>
          <w:rFonts w:ascii="Times New Roman" w:eastAsia="Times New Roman" w:hAnsi="Times New Roman" w:cs="Times New Roman"/>
          <w:color w:val="000000"/>
          <w:spacing w:val="0"/>
          <w:w w:val="100"/>
          <w:position w:val="0"/>
        </w:rPr>
        <w:t>G</w:t>
      </w:r>
      <w:r>
        <w:rPr>
          <w:color w:val="000000"/>
          <w:spacing w:val="0"/>
          <w:w w:val="100"/>
          <w:position w:val="0"/>
        </w:rPr>
        <w:t>端）、服务机 构</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端）、公众</w:t>
      </w:r>
      <w:r>
        <w:rPr>
          <w:color w:val="000000"/>
          <w:spacing w:val="0"/>
          <w:w w:val="100"/>
          <w:position w:val="0"/>
        </w:rPr>
        <w:t>（</w:t>
      </w:r>
      <w:r>
        <w:rPr>
          <w:rFonts w:ascii="Times New Roman" w:eastAsia="Times New Roman" w:hAnsi="Times New Roman" w:cs="Times New Roman"/>
          <w:color w:val="000000"/>
          <w:spacing w:val="0"/>
          <w:w w:val="100"/>
          <w:position w:val="0"/>
        </w:rPr>
        <w:t>C</w:t>
      </w:r>
      <w:r>
        <w:rPr>
          <w:color w:val="000000"/>
          <w:spacing w:val="0"/>
          <w:w w:val="100"/>
          <w:position w:val="0"/>
        </w:rPr>
        <w:t>端）打造城市级医疗健康服务的一站式互联网总入口，为城市医疗健康管理方提供新 型健康保障运营服务平台，与行业链上下游合力构建“医、药、防、养、康、护、健”融合的七位一体健 康服务生态圈。通过抓住城市数字化转型的拐点，成为提供数字健康城市高质量发展解决方案的提供商； 以创新驱动增长，以转型促进发展，成为“互联网</w:t>
      </w:r>
      <w:r>
        <w:rPr>
          <w:rFonts w:ascii="Times New Roman" w:eastAsia="Times New Roman" w:hAnsi="Times New Roman" w:cs="Times New Roman"/>
          <w:color w:val="000000"/>
          <w:spacing w:val="0"/>
          <w:w w:val="100"/>
          <w:position w:val="0"/>
        </w:rPr>
        <w:t>+</w:t>
      </w:r>
      <w:r>
        <w:rPr>
          <w:color w:val="000000"/>
          <w:spacing w:val="0"/>
          <w:w w:val="100"/>
          <w:position w:val="0"/>
        </w:rPr>
        <w:t>公共健康服务”综合运营服务商。</w:t>
      </w:r>
    </w:p>
    <w:p>
      <w:pPr>
        <w:pStyle w:val="Style18"/>
        <w:keepNext w:val="0"/>
        <w:keepLines w:val="0"/>
        <w:widowControl w:val="0"/>
        <w:shd w:val="clear" w:color="auto" w:fill="auto"/>
        <w:bidi w:val="0"/>
        <w:spacing w:before="0" w:after="0" w:line="473"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年，健康云重点依托</w:t>
      </w:r>
      <w:r>
        <w:rPr>
          <w:rFonts w:ascii="Times New Roman" w:eastAsia="Times New Roman" w:hAnsi="Times New Roman" w:cs="Times New Roman"/>
          <w:color w:val="000000"/>
          <w:spacing w:val="0"/>
          <w:w w:val="100"/>
          <w:position w:val="0"/>
        </w:rPr>
        <w:t>5G</w:t>
      </w:r>
      <w:r>
        <w:rPr>
          <w:color w:val="000000"/>
          <w:spacing w:val="0"/>
          <w:w w:val="100"/>
          <w:position w:val="0"/>
        </w:rPr>
        <w:t>和云计算技术，技术平台向云化、容器化、大数据化方向发展，建立覆 盖“云、管、端、用”的统一协作业务体系，逐步构筑数字物联网健康管理产品体系；医疗健康产业服务 与线上线下一体化运营体系相结合，以健康云平台的多渠道入口、大规模用户体量为基础，构建“多产业 服务</w:t>
      </w:r>
      <w:r>
        <w:rPr>
          <w:rFonts w:ascii="Times New Roman" w:eastAsia="Times New Roman" w:hAnsi="Times New Roman" w:cs="Times New Roman"/>
          <w:color w:val="000000"/>
          <w:spacing w:val="0"/>
          <w:w w:val="100"/>
          <w:position w:val="0"/>
        </w:rPr>
        <w:t>+</w:t>
      </w:r>
      <w:r>
        <w:rPr>
          <w:color w:val="000000"/>
          <w:spacing w:val="0"/>
          <w:w w:val="100"/>
          <w:position w:val="0"/>
        </w:rPr>
        <w:t>双引擎”运营生态体系。</w:t>
      </w:r>
    </w:p>
    <w:p>
      <w:pPr>
        <w:pStyle w:val="Style18"/>
        <w:keepNext w:val="0"/>
        <w:keepLines w:val="0"/>
        <w:widowControl w:val="0"/>
        <w:shd w:val="clear" w:color="auto" w:fill="auto"/>
        <w:bidi w:val="0"/>
        <w:spacing w:before="0" w:after="0" w:line="461" w:lineRule="exact"/>
        <w:ind w:left="0" w:right="0" w:firstLine="440"/>
        <w:jc w:val="both"/>
      </w:pPr>
      <w:r>
        <w:rPr>
          <w:color w:val="000000"/>
          <w:spacing w:val="0"/>
          <w:w w:val="100"/>
          <w:position w:val="0"/>
        </w:rPr>
        <w:t>作为中国人寿成为万达信息第一大股东后首个重点孵化的战略项目，蛮牛健康以助力“健康中国</w:t>
      </w:r>
      <w:r>
        <w:rPr>
          <w:rFonts w:ascii="Times New Roman" w:eastAsia="Times New Roman" w:hAnsi="Times New Roman" w:cs="Times New Roman"/>
          <w:color w:val="000000"/>
          <w:spacing w:val="0"/>
          <w:w w:val="100"/>
          <w:position w:val="0"/>
        </w:rPr>
        <w:t>2030</w:t>
      </w:r>
      <w:r>
        <w:rPr>
          <w:color w:val="000000"/>
          <w:spacing w:val="0"/>
          <w:w w:val="100"/>
          <w:position w:val="0"/>
        </w:rPr>
        <w:t>” 建设，促进全民健康为己任，聚焦健康管理与保险科技领域，基于</w:t>
      </w:r>
      <w:r>
        <w:rPr>
          <w:rFonts w:ascii="Times New Roman" w:eastAsia="Times New Roman" w:hAnsi="Times New Roman" w:cs="Times New Roman"/>
          <w:color w:val="000000"/>
          <w:spacing w:val="0"/>
          <w:w w:val="100"/>
          <w:position w:val="0"/>
        </w:rPr>
        <w:t>AI</w:t>
      </w:r>
      <w:r>
        <w:rPr>
          <w:color w:val="000000"/>
          <w:spacing w:val="0"/>
          <w:w w:val="100"/>
          <w:position w:val="0"/>
        </w:rPr>
        <w:t>及大数据技术，搭建健康筛查、健</w:t>
        <w:br w:type="page"/>
      </w:r>
      <w:r>
        <w:rPr>
          <w:color w:val="000000"/>
          <w:spacing w:val="0"/>
          <w:w w:val="100"/>
          <w:position w:val="0"/>
        </w:rPr>
        <w:t>康计划、医疗服务、健康商城、生活检测、金融保险六层架构，全生命周期、全流程的健康管理服务平台， 为用户及行业客户提供全流程健康管理和精准保险科技服务。</w:t>
      </w:r>
    </w:p>
    <w:p>
      <w:pPr>
        <w:pStyle w:val="Style18"/>
        <w:keepNext w:val="0"/>
        <w:keepLines w:val="0"/>
        <w:widowControl w:val="0"/>
        <w:shd w:val="clear" w:color="auto" w:fill="auto"/>
        <w:bidi w:val="0"/>
        <w:spacing w:before="0" w:after="440" w:line="477" w:lineRule="exact"/>
        <w:ind w:left="0" w:right="0" w:firstLine="440"/>
        <w:jc w:val="both"/>
      </w:pPr>
      <w:r>
        <w:rPr>
          <w:color w:val="000000"/>
          <w:spacing w:val="0"/>
          <w:w w:val="100"/>
          <w:position w:val="0"/>
        </w:rPr>
        <w:t>下一阶段，蛮牛健康将聚力产品创新，打通健康管理场景布局，通过引入政府、学会、药企、商保等 外部战略资源方，依托创新服务、保障支付、医药险价值链等战略新项目，创新</w:t>
      </w:r>
      <w:r>
        <w:rPr>
          <w:rFonts w:ascii="Times New Roman" w:eastAsia="Times New Roman" w:hAnsi="Times New Roman" w:cs="Times New Roman"/>
          <w:color w:val="000000"/>
          <w:spacing w:val="0"/>
          <w:w w:val="100"/>
          <w:position w:val="0"/>
        </w:rPr>
        <w:t>2G2B</w:t>
      </w:r>
      <w:r>
        <w:rPr>
          <w:color w:val="000000"/>
          <w:spacing w:val="0"/>
          <w:w w:val="100"/>
          <w:position w:val="0"/>
        </w:rPr>
        <w:t>业务模式，共同构 建健康管理服务生态、打造保险科技驱动轮，以服务创新为“健康中国</w:t>
      </w:r>
      <w:r>
        <w:rPr>
          <w:rFonts w:ascii="Times New Roman" w:eastAsia="Times New Roman" w:hAnsi="Times New Roman" w:cs="Times New Roman"/>
          <w:color w:val="000000"/>
          <w:spacing w:val="0"/>
          <w:w w:val="100"/>
          <w:position w:val="0"/>
        </w:rPr>
        <w:t>2030</w:t>
      </w:r>
      <w:r>
        <w:rPr>
          <w:color w:val="000000"/>
          <w:spacing w:val="0"/>
          <w:w w:val="100"/>
          <w:position w:val="0"/>
        </w:rPr>
        <w:t>”战略目标增添新动能。</w:t>
      </w:r>
    </w:p>
    <w:p>
      <w:pPr>
        <w:pStyle w:val="Style24"/>
        <w:keepNext/>
        <w:keepLines/>
        <w:widowControl w:val="0"/>
        <w:shd w:val="clear" w:color="auto" w:fill="auto"/>
        <w:bidi w:val="0"/>
        <w:spacing w:before="0" w:after="120" w:line="240" w:lineRule="auto"/>
        <w:ind w:left="0" w:right="0" w:firstLine="0"/>
        <w:jc w:val="left"/>
      </w:pPr>
      <w:bookmarkStart w:id="66" w:name="bookmark66"/>
      <w:bookmarkStart w:id="67" w:name="bookmark67"/>
      <w:bookmarkStart w:id="68" w:name="bookmark68"/>
      <w:bookmarkStart w:id="69" w:name="bookmark69"/>
      <w:r>
        <w:rPr>
          <w:color w:val="000000"/>
          <w:spacing w:val="0"/>
          <w:w w:val="100"/>
          <w:position w:val="0"/>
        </w:rPr>
        <w:t>二</w:t>
      </w:r>
      <w:bookmarkEnd w:id="68"/>
      <w:r>
        <w:rPr>
          <w:color w:val="000000"/>
          <w:spacing w:val="0"/>
          <w:w w:val="100"/>
          <w:position w:val="0"/>
        </w:rPr>
        <w:t>、报告期内公司从事的主要业务</w:t>
      </w:r>
      <w:bookmarkEnd w:id="66"/>
      <w:bookmarkEnd w:id="67"/>
      <w:bookmarkEnd w:id="69"/>
    </w:p>
    <w:p>
      <w:pPr>
        <w:pStyle w:val="Style33"/>
        <w:keepNext/>
        <w:keepLines/>
        <w:widowControl w:val="0"/>
        <w:shd w:val="clear" w:color="auto" w:fill="auto"/>
        <w:bidi w:val="0"/>
        <w:spacing w:before="0" w:after="0" w:line="473" w:lineRule="exact"/>
        <w:ind w:left="0" w:right="0"/>
        <w:jc w:val="both"/>
      </w:pPr>
      <w:bookmarkStart w:id="70" w:name="bookmark70"/>
      <w:bookmarkStart w:id="71" w:name="bookmark71"/>
      <w:bookmarkStart w:id="72" w:name="bookmark72"/>
      <w:bookmarkStart w:id="73" w:name="bookmark73"/>
      <w:r>
        <w:rPr>
          <w:color w:val="000000"/>
          <w:spacing w:val="0"/>
          <w:w w:val="100"/>
          <w:position w:val="0"/>
        </w:rPr>
        <w:t>（</w:t>
      </w:r>
      <w:bookmarkEnd w:id="72"/>
      <w:r>
        <w:rPr>
          <w:color w:val="000000"/>
          <w:spacing w:val="0"/>
          <w:w w:val="100"/>
          <w:position w:val="0"/>
        </w:rPr>
        <w:t>一）智慧医卫</w:t>
      </w:r>
      <w:bookmarkEnd w:id="70"/>
      <w:bookmarkEnd w:id="71"/>
      <w:bookmarkEnd w:id="73"/>
    </w:p>
    <w:p>
      <w:pPr>
        <w:pStyle w:val="Style18"/>
        <w:keepNext w:val="0"/>
        <w:keepLines w:val="0"/>
        <w:widowControl w:val="0"/>
        <w:shd w:val="clear" w:color="auto" w:fill="auto"/>
        <w:bidi w:val="0"/>
        <w:spacing w:before="0" w:after="0" w:line="490" w:lineRule="exact"/>
        <w:ind w:left="0" w:right="0" w:firstLine="440"/>
        <w:jc w:val="both"/>
      </w:pPr>
      <w:r>
        <w:rPr>
          <w:color w:val="000000"/>
          <w:spacing w:val="0"/>
          <w:w w:val="100"/>
          <w:position w:val="0"/>
        </w:rPr>
        <w:t>作为公司“</w:t>
      </w:r>
      <w:r>
        <w:rPr>
          <w:rFonts w:ascii="Times New Roman" w:eastAsia="Times New Roman" w:hAnsi="Times New Roman" w:cs="Times New Roman"/>
          <w:color w:val="000000"/>
          <w:spacing w:val="0"/>
          <w:w w:val="100"/>
          <w:position w:val="0"/>
        </w:rPr>
        <w:t>3+2</w:t>
      </w:r>
      <w:r>
        <w:rPr>
          <w:color w:val="000000"/>
          <w:spacing w:val="0"/>
          <w:w w:val="100"/>
          <w:position w:val="0"/>
        </w:rPr>
        <w:t>”架构中的重要传统业务板块，智慧医卫历经二十余年发展，形成了覆盖医疗保障、 药品管理、区域卫生、公共卫生、医疗服务、基层卫生等领域的全线产品和解决方案。</w:t>
      </w:r>
    </w:p>
    <w:p>
      <w:pPr>
        <w:pStyle w:val="Style18"/>
        <w:keepNext w:val="0"/>
        <w:keepLines w:val="0"/>
        <w:widowControl w:val="0"/>
        <w:shd w:val="clear" w:color="auto" w:fill="auto"/>
        <w:bidi w:val="0"/>
        <w:spacing w:before="0" w:after="0" w:line="470" w:lineRule="exact"/>
        <w:ind w:left="0" w:right="0" w:firstLine="440"/>
        <w:jc w:val="both"/>
      </w:pPr>
      <w:r>
        <w:drawing>
          <wp:anchor distT="76200" distB="76200" distL="88900" distR="88900" simplePos="0" relativeHeight="125829378" behindDoc="0" locked="0" layoutInCell="1" allowOverlap="1">
            <wp:simplePos x="0" y="0"/>
            <wp:positionH relativeFrom="page">
              <wp:posOffset>3854450</wp:posOffset>
            </wp:positionH>
            <wp:positionV relativeFrom="paragraph">
              <wp:posOffset>1143000</wp:posOffset>
            </wp:positionV>
            <wp:extent cx="2956560" cy="2688590"/>
            <wp:wrapSquare wrapText="left"/>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2956560" cy="2688590"/>
                    </a:xfrm>
                    <a:prstGeom prst="rect"/>
                  </pic:spPr>
                </pic:pic>
              </a:graphicData>
            </a:graphic>
          </wp:anchor>
        </w:drawing>
      </w:r>
      <w:r>
        <w:rPr>
          <w:color w:val="000000"/>
          <w:spacing w:val="0"/>
          <w:w w:val="100"/>
          <w:position w:val="0"/>
        </w:rPr>
        <w:t>万达信息是医疗保障</w:t>
      </w:r>
      <w:r>
        <w:rPr>
          <w:rFonts w:ascii="Times New Roman" w:eastAsia="Times New Roman" w:hAnsi="Times New Roman" w:cs="Times New Roman"/>
          <w:color w:val="000000"/>
          <w:spacing w:val="0"/>
          <w:w w:val="100"/>
          <w:position w:val="0"/>
        </w:rPr>
        <w:t>/</w:t>
      </w:r>
      <w:r>
        <w:rPr>
          <w:color w:val="000000"/>
          <w:spacing w:val="0"/>
          <w:w w:val="100"/>
          <w:position w:val="0"/>
        </w:rPr>
        <w:t>药品管理领域的开创者和创新者、区域卫生</w:t>
      </w:r>
      <w:r>
        <w:rPr>
          <w:rFonts w:ascii="Times New Roman" w:eastAsia="Times New Roman" w:hAnsi="Times New Roman" w:cs="Times New Roman"/>
          <w:color w:val="000000"/>
          <w:spacing w:val="0"/>
          <w:w w:val="100"/>
          <w:position w:val="0"/>
        </w:rPr>
        <w:t>/</w:t>
      </w:r>
      <w:r>
        <w:rPr>
          <w:color w:val="000000"/>
          <w:spacing w:val="0"/>
          <w:w w:val="100"/>
          <w:position w:val="0"/>
        </w:rPr>
        <w:t>公共卫生领域的领导者和引领者、 医疗服务</w:t>
      </w:r>
      <w:r>
        <w:rPr>
          <w:rFonts w:ascii="Times New Roman" w:eastAsia="Times New Roman" w:hAnsi="Times New Roman" w:cs="Times New Roman"/>
          <w:color w:val="000000"/>
          <w:spacing w:val="0"/>
          <w:w w:val="100"/>
          <w:position w:val="0"/>
        </w:rPr>
        <w:t>/</w:t>
      </w:r>
      <w:r>
        <w:rPr>
          <w:color w:val="000000"/>
          <w:spacing w:val="0"/>
          <w:w w:val="100"/>
          <w:position w:val="0"/>
        </w:rPr>
        <w:t>基层卫生领域的领先者和革新者，拥有全民健康信息平台、医疗保险业务经办、</w:t>
      </w:r>
      <w:r>
        <w:rPr>
          <w:rFonts w:ascii="Times New Roman" w:eastAsia="Times New Roman" w:hAnsi="Times New Roman" w:cs="Times New Roman"/>
          <w:color w:val="000000"/>
          <w:spacing w:val="0"/>
          <w:w w:val="100"/>
          <w:position w:val="0"/>
        </w:rPr>
        <w:t>DRG</w:t>
      </w:r>
      <w:r>
        <w:rPr>
          <w:color w:val="000000"/>
          <w:spacing w:val="0"/>
          <w:w w:val="100"/>
          <w:position w:val="0"/>
        </w:rPr>
        <w:t>及</w:t>
      </w:r>
      <w:r>
        <w:rPr>
          <w:rFonts w:ascii="Times New Roman" w:eastAsia="Times New Roman" w:hAnsi="Times New Roman" w:cs="Times New Roman"/>
          <w:color w:val="000000"/>
          <w:spacing w:val="0"/>
          <w:w w:val="100"/>
          <w:position w:val="0"/>
        </w:rPr>
        <w:t>DIP</w:t>
      </w:r>
      <w:r>
        <w:rPr>
          <w:color w:val="000000"/>
          <w:spacing w:val="0"/>
          <w:w w:val="100"/>
          <w:position w:val="0"/>
        </w:rPr>
        <w:t xml:space="preserve">医 保支付改革、医保基金监管、全流程传染病防控、突发公共卫生事件应急指挥、疫情联防联控、智慧疾控 </w:t>
      </w:r>
      <w:r>
        <w:rPr>
          <w:rFonts w:ascii="Times New Roman" w:eastAsia="Times New Roman" w:hAnsi="Times New Roman" w:cs="Times New Roman"/>
          <w:color w:val="000000"/>
          <w:spacing w:val="0"/>
          <w:w w:val="100"/>
          <w:position w:val="0"/>
        </w:rPr>
        <w:t>/</w:t>
      </w:r>
      <w:r>
        <w:rPr>
          <w:color w:val="000000"/>
          <w:spacing w:val="0"/>
          <w:w w:val="100"/>
          <w:position w:val="0"/>
        </w:rPr>
        <w:t>卫监</w:t>
      </w:r>
      <w:r>
        <w:rPr>
          <w:rFonts w:ascii="Times New Roman" w:eastAsia="Times New Roman" w:hAnsi="Times New Roman" w:cs="Times New Roman"/>
          <w:color w:val="000000"/>
          <w:spacing w:val="0"/>
          <w:w w:val="100"/>
          <w:position w:val="0"/>
        </w:rPr>
        <w:t>/</w:t>
      </w:r>
      <w:r>
        <w:rPr>
          <w:color w:val="000000"/>
          <w:spacing w:val="0"/>
          <w:w w:val="100"/>
          <w:position w:val="0"/>
        </w:rPr>
        <w:t>妇幼</w:t>
      </w:r>
      <w:r>
        <w:rPr>
          <w:rFonts w:ascii="Times New Roman" w:eastAsia="Times New Roman" w:hAnsi="Times New Roman" w:cs="Times New Roman"/>
          <w:color w:val="000000"/>
          <w:spacing w:val="0"/>
          <w:w w:val="100"/>
          <w:position w:val="0"/>
        </w:rPr>
        <w:t>/</w:t>
      </w:r>
      <w:r>
        <w:rPr>
          <w:color w:val="000000"/>
          <w:spacing w:val="0"/>
          <w:w w:val="100"/>
          <w:position w:val="0"/>
        </w:rPr>
        <w:t>精卫、药品招采配用一体化平台（阳光医 药）、多院区一体化智慧医院解决方案、基层医疗一 体化云平台、互联网</w:t>
      </w:r>
      <w:r>
        <w:rPr>
          <w:rFonts w:ascii="Times New Roman" w:eastAsia="Times New Roman" w:hAnsi="Times New Roman" w:cs="Times New Roman"/>
          <w:color w:val="000000"/>
          <w:spacing w:val="0"/>
          <w:w w:val="100"/>
          <w:position w:val="0"/>
        </w:rPr>
        <w:t>+</w:t>
      </w:r>
      <w:r>
        <w:rPr>
          <w:color w:val="000000"/>
          <w:spacing w:val="0"/>
          <w:w w:val="100"/>
          <w:position w:val="0"/>
        </w:rPr>
        <w:t>医疗健康、智保通商保协同服 务平台等全行业领先的产品和解决方案，参加了多 项国家信息标准、指南和技术方案的编制。</w:t>
      </w:r>
    </w:p>
    <w:p>
      <w:pPr>
        <w:pStyle w:val="Style18"/>
        <w:keepNext w:val="0"/>
        <w:keepLines w:val="0"/>
        <w:widowControl w:val="0"/>
        <w:shd w:val="clear" w:color="auto" w:fill="auto"/>
        <w:bidi w:val="0"/>
        <w:spacing w:before="0" w:after="0" w:line="473" w:lineRule="exact"/>
        <w:ind w:left="0" w:right="0" w:firstLine="440"/>
        <w:jc w:val="both"/>
      </w:pPr>
      <w:r>
        <w:rPr>
          <w:color w:val="000000"/>
          <w:spacing w:val="0"/>
          <w:w w:val="100"/>
          <w:position w:val="0"/>
        </w:rPr>
        <w:t>万达信息积极响应国家卫健委、医保局等的管 理需求和工作部署，围绕不同类型卫生机构的智慧 卫健、智慧医保</w:t>
      </w:r>
      <w:r>
        <w:rPr>
          <w:rFonts w:ascii="Times New Roman" w:eastAsia="Times New Roman" w:hAnsi="Times New Roman" w:cs="Times New Roman"/>
          <w:color w:val="000000"/>
          <w:spacing w:val="0"/>
          <w:w w:val="100"/>
          <w:position w:val="0"/>
        </w:rPr>
        <w:t>/</w:t>
      </w:r>
      <w:r>
        <w:rPr>
          <w:color w:val="000000"/>
          <w:spacing w:val="0"/>
          <w:w w:val="100"/>
          <w:position w:val="0"/>
        </w:rPr>
        <w:t>医药、智慧医疗建设，深度参与医 疗保障、分级诊疗、医共体</w:t>
      </w:r>
      <w:r>
        <w:rPr>
          <w:rFonts w:ascii="Times New Roman" w:eastAsia="Times New Roman" w:hAnsi="Times New Roman" w:cs="Times New Roman"/>
          <w:color w:val="000000"/>
          <w:spacing w:val="0"/>
          <w:w w:val="100"/>
          <w:position w:val="0"/>
        </w:rPr>
        <w:t>/</w:t>
      </w:r>
      <w:r>
        <w:rPr>
          <w:color w:val="000000"/>
          <w:spacing w:val="0"/>
          <w:w w:val="100"/>
          <w:position w:val="0"/>
        </w:rPr>
        <w:t>医联体等方面的改革以 及“三医联动”协同框架的构建。</w:t>
      </w:r>
    </w:p>
    <w:p>
      <w:pPr>
        <w:pStyle w:val="Style18"/>
        <w:keepNext w:val="0"/>
        <w:keepLines w:val="0"/>
        <w:widowControl w:val="0"/>
        <w:shd w:val="clear" w:color="auto" w:fill="auto"/>
        <w:bidi w:val="0"/>
        <w:spacing w:before="0" w:after="280" w:line="473" w:lineRule="exact"/>
        <w:ind w:left="0" w:right="0" w:firstLine="440"/>
        <w:jc w:val="both"/>
      </w:pPr>
      <w:r>
        <w:rPr>
          <w:color w:val="000000"/>
          <w:spacing w:val="0"/>
          <w:w w:val="100"/>
          <w:position w:val="0"/>
        </w:rPr>
        <w:t>目前，公司智慧医卫业务已覆盖全国</w:t>
      </w:r>
      <w:r>
        <w:rPr>
          <w:rFonts w:ascii="Times New Roman" w:eastAsia="Times New Roman" w:hAnsi="Times New Roman" w:cs="Times New Roman"/>
          <w:color w:val="000000"/>
          <w:spacing w:val="0"/>
          <w:w w:val="100"/>
          <w:position w:val="0"/>
        </w:rPr>
        <w:t>30</w:t>
      </w:r>
      <w:r>
        <w:rPr>
          <w:color w:val="000000"/>
          <w:spacing w:val="0"/>
          <w:w w:val="100"/>
          <w:position w:val="0"/>
        </w:rPr>
        <w:t>多个省</w:t>
      </w:r>
      <w:r>
        <w:rPr>
          <w:rFonts w:ascii="Times New Roman" w:eastAsia="Times New Roman" w:hAnsi="Times New Roman" w:cs="Times New Roman"/>
          <w:color w:val="000000"/>
          <w:spacing w:val="0"/>
          <w:w w:val="100"/>
          <w:position w:val="0"/>
        </w:rPr>
        <w:t>/</w:t>
      </w:r>
      <w:r>
        <w:rPr>
          <w:color w:val="000000"/>
          <w:spacing w:val="0"/>
          <w:w w:val="100"/>
          <w:position w:val="0"/>
        </w:rPr>
        <w:t>自治区</w:t>
      </w:r>
      <w:r>
        <w:rPr>
          <w:rFonts w:ascii="Times New Roman" w:eastAsia="Times New Roman" w:hAnsi="Times New Roman" w:cs="Times New Roman"/>
          <w:color w:val="000000"/>
          <w:spacing w:val="0"/>
          <w:w w:val="100"/>
          <w:position w:val="0"/>
        </w:rPr>
        <w:t>/</w:t>
      </w:r>
      <w:r>
        <w:rPr>
          <w:color w:val="000000"/>
          <w:spacing w:val="0"/>
          <w:w w:val="100"/>
          <w:position w:val="0"/>
        </w:rPr>
        <w:t>直辖市，</w:t>
      </w:r>
      <w:r>
        <w:rPr>
          <w:rFonts w:ascii="Times New Roman" w:eastAsia="Times New Roman" w:hAnsi="Times New Roman" w:cs="Times New Roman"/>
          <w:color w:val="000000"/>
          <w:spacing w:val="0"/>
          <w:w w:val="100"/>
          <w:position w:val="0"/>
        </w:rPr>
        <w:t>120</w:t>
      </w:r>
      <w:r>
        <w:rPr>
          <w:color w:val="000000"/>
          <w:spacing w:val="0"/>
          <w:w w:val="100"/>
          <w:position w:val="0"/>
        </w:rPr>
        <w:t>多个地市，</w:t>
      </w:r>
      <w:r>
        <w:rPr>
          <w:rFonts w:ascii="Times New Roman" w:eastAsia="Times New Roman" w:hAnsi="Times New Roman" w:cs="Times New Roman"/>
          <w:color w:val="000000"/>
          <w:spacing w:val="0"/>
          <w:w w:val="100"/>
          <w:position w:val="0"/>
        </w:rPr>
        <w:t>1000</w:t>
      </w:r>
      <w:r>
        <w:rPr>
          <w:color w:val="000000"/>
          <w:spacing w:val="0"/>
          <w:w w:val="100"/>
          <w:position w:val="0"/>
        </w:rPr>
        <w:t>多个区县，涉及 二、三级医疗机构</w:t>
      </w:r>
      <w:r>
        <w:rPr>
          <w:rFonts w:ascii="Times New Roman" w:eastAsia="Times New Roman" w:hAnsi="Times New Roman" w:cs="Times New Roman"/>
          <w:color w:val="000000"/>
          <w:spacing w:val="0"/>
          <w:w w:val="100"/>
          <w:position w:val="0"/>
        </w:rPr>
        <w:t>200</w:t>
      </w:r>
      <w:r>
        <w:rPr>
          <w:color w:val="000000"/>
          <w:spacing w:val="0"/>
          <w:w w:val="100"/>
          <w:position w:val="0"/>
        </w:rPr>
        <w:t>多家，社区卫生服务中心和乡镇卫生院</w:t>
      </w:r>
      <w:r>
        <w:rPr>
          <w:rFonts w:ascii="Times New Roman" w:eastAsia="Times New Roman" w:hAnsi="Times New Roman" w:cs="Times New Roman"/>
          <w:color w:val="000000"/>
          <w:spacing w:val="0"/>
          <w:w w:val="100"/>
          <w:position w:val="0"/>
        </w:rPr>
        <w:t>1500</w:t>
      </w:r>
      <w:r>
        <w:rPr>
          <w:color w:val="000000"/>
          <w:spacing w:val="0"/>
          <w:w w:val="100"/>
          <w:position w:val="0"/>
        </w:rPr>
        <w:t>多家，社区（村）卫生室（站）</w:t>
      </w:r>
      <w:r>
        <w:rPr>
          <w:rFonts w:ascii="Times New Roman" w:eastAsia="Times New Roman" w:hAnsi="Times New Roman" w:cs="Times New Roman"/>
          <w:color w:val="000000"/>
          <w:spacing w:val="0"/>
          <w:w w:val="100"/>
          <w:position w:val="0"/>
        </w:rPr>
        <w:t>1</w:t>
      </w:r>
      <w:r>
        <w:rPr>
          <w:color w:val="000000"/>
          <w:spacing w:val="0"/>
          <w:w w:val="100"/>
          <w:position w:val="0"/>
        </w:rPr>
        <w:t>万余 家，累计为</w:t>
      </w:r>
      <w:r>
        <w:rPr>
          <w:rFonts w:ascii="Times New Roman" w:eastAsia="Times New Roman" w:hAnsi="Times New Roman" w:cs="Times New Roman"/>
          <w:color w:val="000000"/>
          <w:spacing w:val="0"/>
          <w:w w:val="100"/>
          <w:position w:val="0"/>
        </w:rPr>
        <w:t>6</w:t>
      </w:r>
      <w:r>
        <w:rPr>
          <w:color w:val="000000"/>
          <w:spacing w:val="0"/>
          <w:w w:val="100"/>
          <w:position w:val="0"/>
        </w:rPr>
        <w:t>亿多人提供卫生健康和医保服务。</w:t>
      </w:r>
    </w:p>
    <w:p>
      <w:pPr>
        <w:pStyle w:val="Style18"/>
        <w:keepNext w:val="0"/>
        <w:keepLines w:val="0"/>
        <w:widowControl w:val="0"/>
        <w:shd w:val="clear" w:color="auto" w:fill="auto"/>
        <w:bidi w:val="0"/>
        <w:spacing w:before="0" w:after="0" w:line="497" w:lineRule="auto"/>
        <w:ind w:left="0" w:right="0" w:firstLine="440"/>
        <w:jc w:val="both"/>
      </w:pPr>
      <w:bookmarkStart w:id="74" w:name="bookmark74"/>
      <w:r>
        <w:rPr>
          <w:rFonts w:ascii="Times New Roman" w:eastAsia="Times New Roman" w:hAnsi="Times New Roman" w:cs="Times New Roman"/>
          <w:b/>
          <w:bCs/>
          <w:color w:val="000000"/>
          <w:spacing w:val="0"/>
          <w:w w:val="100"/>
          <w:position w:val="0"/>
        </w:rPr>
        <w:t>1</w:t>
      </w:r>
      <w:bookmarkEnd w:id="74"/>
      <w:r>
        <w:rPr>
          <w:b/>
          <w:bCs/>
          <w:color w:val="000000"/>
          <w:spacing w:val="0"/>
          <w:w w:val="100"/>
          <w:position w:val="0"/>
        </w:rPr>
        <w:t>、智慧卫健</w:t>
      </w:r>
    </w:p>
    <w:p>
      <w:pPr>
        <w:pStyle w:val="Style18"/>
        <w:keepNext w:val="0"/>
        <w:keepLines w:val="0"/>
        <w:widowControl w:val="0"/>
        <w:shd w:val="clear" w:color="auto" w:fill="auto"/>
        <w:bidi w:val="0"/>
        <w:spacing w:before="0" w:after="0" w:line="475"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 xml:space="preserve">年，作为智慧卫健的领导者，公司持续发力传统业务，一方面重大项目如海南“三医联动一张网”、 上海市卫健委数据中台等完成阶段性验收，并获得业内高度评价，既有客户认可度保持高位水平；另一方 </w:t>
      </w:r>
      <w:r>
        <w:rPr>
          <w:color w:val="000000"/>
          <w:spacing w:val="0"/>
          <w:w w:val="100"/>
          <w:position w:val="0"/>
        </w:rPr>
        <w:t>面，开拓了贵州、重庆、甘肃、大理、荆门等省市新客户，协助南京、宁波、东营以及苏州市吴中区客户 获得互联互通评测五级乙等荣誉，进一步夯实了市场地位，为未来持续深耕市场奠定了基础。公司积极推 进创新业务，加大在卫生健康数字化转型领域的研发与转化，参与上海市便捷就医数字化转型以及浙江省 数字化改革，结合行业痛点稳步布局互联互通互认、医疗付费一件事、精准预约等相关业务场景。</w:t>
      </w:r>
    </w:p>
    <w:p>
      <w:pPr>
        <w:pStyle w:val="Style18"/>
        <w:keepNext w:val="0"/>
        <w:keepLines w:val="0"/>
        <w:widowControl w:val="0"/>
        <w:shd w:val="clear" w:color="auto" w:fill="auto"/>
        <w:bidi w:val="0"/>
        <w:spacing w:before="0" w:after="280" w:line="472" w:lineRule="exact"/>
        <w:ind w:left="0" w:right="0" w:firstLine="440"/>
        <w:jc w:val="left"/>
      </w:pPr>
      <w:r>
        <w:rPr>
          <w:color w:val="000000"/>
          <w:spacing w:val="0"/>
          <w:w w:val="100"/>
          <w:position w:val="0"/>
        </w:rPr>
        <w:t>公司重点推进疫情防控常态化下的公共卫生业务，深入抗疫一线，深挖公共卫生需求、短板和弱项， 结合国家疾病预防控制局成立的政策导向整合资源布局“未来公卫”，整体推动面向智慧城市的公共卫生 应急、融合条线业务的公共卫生大脑、政府与市场协同的健康管理等应用场景的构建，在上海、贵州、重 庆、湖北、浙江等省市地区落地项目，引领市场。截至</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年底，公司累计重点保障和支撑了 </w:t>
      </w:r>
      <w:r>
        <w:rPr>
          <w:rFonts w:ascii="Times New Roman" w:eastAsia="Times New Roman" w:hAnsi="Times New Roman" w:cs="Times New Roman"/>
          <w:color w:val="000000"/>
          <w:spacing w:val="0"/>
          <w:w w:val="100"/>
          <w:position w:val="0"/>
        </w:rPr>
        <w:t>20</w:t>
      </w:r>
      <w:r>
        <w:rPr>
          <w:color w:val="000000"/>
          <w:spacing w:val="0"/>
          <w:w w:val="100"/>
          <w:position w:val="0"/>
        </w:rPr>
        <w:t xml:space="preserve">多个省 市疫情防控应用安全、有序、高效运转，响应了 </w:t>
      </w:r>
      <w:r>
        <w:rPr>
          <w:rFonts w:ascii="Times New Roman" w:eastAsia="Times New Roman" w:hAnsi="Times New Roman" w:cs="Times New Roman"/>
          <w:color w:val="000000"/>
          <w:spacing w:val="0"/>
          <w:w w:val="100"/>
          <w:position w:val="0"/>
        </w:rPr>
        <w:t>100</w:t>
      </w:r>
      <w:r>
        <w:rPr>
          <w:color w:val="000000"/>
          <w:spacing w:val="0"/>
          <w:w w:val="100"/>
          <w:position w:val="0"/>
        </w:rPr>
        <w:t>多个地市以上客户的疫情防控数据交换和数据治理的 应急需求，助力抗击疫情并支撑疫情防控常态化，得到了用户的广泛好评。</w:t>
      </w:r>
    </w:p>
    <w:p>
      <w:pPr>
        <w:pStyle w:val="Style18"/>
        <w:keepNext w:val="0"/>
        <w:keepLines w:val="0"/>
        <w:widowControl w:val="0"/>
        <w:shd w:val="clear" w:color="auto" w:fill="auto"/>
        <w:tabs>
          <w:tab w:pos="757" w:val="left"/>
        </w:tabs>
        <w:bidi w:val="0"/>
        <w:spacing w:before="0" w:after="0" w:line="492" w:lineRule="auto"/>
        <w:ind w:left="0" w:right="0" w:firstLine="440"/>
        <w:jc w:val="both"/>
      </w:pPr>
      <w:bookmarkStart w:id="75" w:name="bookmark75"/>
      <w:r>
        <w:rPr>
          <w:rFonts w:ascii="Times New Roman" w:eastAsia="Times New Roman" w:hAnsi="Times New Roman" w:cs="Times New Roman"/>
          <w:b/>
          <w:bCs/>
          <w:color w:val="000000"/>
          <w:spacing w:val="0"/>
          <w:w w:val="100"/>
          <w:position w:val="0"/>
        </w:rPr>
        <w:t>2</w:t>
      </w:r>
      <w:bookmarkEnd w:id="75"/>
      <w:r>
        <w:rPr>
          <w:b/>
          <w:bCs/>
          <w:color w:val="000000"/>
          <w:spacing w:val="0"/>
          <w:w w:val="100"/>
          <w:position w:val="0"/>
        </w:rPr>
        <w:t>、</w:t>
        <w:tab/>
        <w:t>智慧医保</w:t>
      </w:r>
      <w:r>
        <w:rPr>
          <w:rFonts w:ascii="Times New Roman" w:eastAsia="Times New Roman" w:hAnsi="Times New Roman" w:cs="Times New Roman"/>
          <w:b/>
          <w:bCs/>
          <w:color w:val="000000"/>
          <w:spacing w:val="0"/>
          <w:w w:val="100"/>
          <w:position w:val="0"/>
        </w:rPr>
        <w:t>/</w:t>
      </w:r>
      <w:r>
        <w:rPr>
          <w:b/>
          <w:bCs/>
          <w:color w:val="000000"/>
          <w:spacing w:val="0"/>
          <w:w w:val="100"/>
          <w:position w:val="0"/>
        </w:rPr>
        <w:t>医药</w:t>
      </w:r>
    </w:p>
    <w:p>
      <w:pPr>
        <w:pStyle w:val="Style18"/>
        <w:keepNext w:val="0"/>
        <w:keepLines w:val="0"/>
        <w:widowControl w:val="0"/>
        <w:shd w:val="clear" w:color="auto" w:fill="auto"/>
        <w:bidi w:val="0"/>
        <w:spacing w:before="0" w:after="280" w:line="471"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年，智慧医保</w:t>
      </w:r>
      <w:r>
        <w:rPr>
          <w:rFonts w:ascii="Times New Roman" w:eastAsia="Times New Roman" w:hAnsi="Times New Roman" w:cs="Times New Roman"/>
          <w:color w:val="000000"/>
          <w:spacing w:val="0"/>
          <w:w w:val="100"/>
          <w:position w:val="0"/>
        </w:rPr>
        <w:t>/</w:t>
      </w:r>
      <w:r>
        <w:rPr>
          <w:color w:val="000000"/>
          <w:spacing w:val="0"/>
          <w:w w:val="100"/>
          <w:position w:val="0"/>
        </w:rPr>
        <w:t>医药板块重点围绕三大领域推动市场布局：（</w:t>
      </w:r>
      <w:r>
        <w:rPr>
          <w:rFonts w:ascii="Times New Roman" w:eastAsia="Times New Roman" w:hAnsi="Times New Roman" w:cs="Times New Roman"/>
          <w:color w:val="000000"/>
          <w:spacing w:val="0"/>
          <w:w w:val="100"/>
          <w:position w:val="0"/>
        </w:rPr>
        <w:t>1</w:t>
      </w:r>
      <w:r>
        <w:rPr>
          <w:color w:val="000000"/>
          <w:spacing w:val="0"/>
          <w:w w:val="100"/>
          <w:position w:val="0"/>
        </w:rPr>
        <w:t>）医保标准信息化方面，凭借雄厚 的技术实力与丰富的项目实践经验积累，助力上海、浙江、广东、广西、安徽、重庆等省级国家医保平台 系统落地；（</w:t>
      </w:r>
      <w:r>
        <w:rPr>
          <w:rFonts w:ascii="Times New Roman" w:eastAsia="Times New Roman" w:hAnsi="Times New Roman" w:cs="Times New Roman"/>
          <w:color w:val="000000"/>
          <w:spacing w:val="0"/>
          <w:w w:val="100"/>
          <w:position w:val="0"/>
        </w:rPr>
        <w:t>2</w:t>
      </w:r>
      <w:r>
        <w:rPr>
          <w:color w:val="000000"/>
          <w:spacing w:val="0"/>
          <w:w w:val="100"/>
          <w:position w:val="0"/>
        </w:rPr>
        <w:t>）支付制度改革方面，向广州、上海、潍坊、营口等</w:t>
      </w:r>
      <w:r>
        <w:rPr>
          <w:rFonts w:ascii="Times New Roman" w:eastAsia="Times New Roman" w:hAnsi="Times New Roman" w:cs="Times New Roman"/>
          <w:color w:val="000000"/>
          <w:spacing w:val="0"/>
          <w:w w:val="100"/>
          <w:position w:val="0"/>
        </w:rPr>
        <w:t>15</w:t>
      </w:r>
      <w:r>
        <w:rPr>
          <w:color w:val="000000"/>
          <w:spacing w:val="0"/>
          <w:w w:val="100"/>
          <w:position w:val="0"/>
        </w:rPr>
        <w:t>个地市的</w:t>
      </w:r>
      <w:r>
        <w:rPr>
          <w:rFonts w:ascii="Times New Roman" w:eastAsia="Times New Roman" w:hAnsi="Times New Roman" w:cs="Times New Roman"/>
          <w:color w:val="000000"/>
          <w:spacing w:val="0"/>
          <w:w w:val="100"/>
          <w:position w:val="0"/>
        </w:rPr>
        <w:t>DIP</w:t>
      </w:r>
      <w:r>
        <w:rPr>
          <w:color w:val="000000"/>
          <w:spacing w:val="0"/>
          <w:w w:val="100"/>
          <w:position w:val="0"/>
        </w:rPr>
        <w:t>业务项目提供服务， 并助力这些试点城市在国家医保局两轮交叉调研评估考核中交出了 “优秀”的评估答卷，市场占有率处于 领先地位；（</w:t>
      </w:r>
      <w:r>
        <w:rPr>
          <w:rFonts w:ascii="Times New Roman" w:eastAsia="Times New Roman" w:hAnsi="Times New Roman" w:cs="Times New Roman"/>
          <w:color w:val="000000"/>
          <w:spacing w:val="0"/>
          <w:w w:val="100"/>
          <w:position w:val="0"/>
        </w:rPr>
        <w:t>3</w:t>
      </w:r>
      <w:r>
        <w:rPr>
          <w:color w:val="000000"/>
          <w:spacing w:val="0"/>
          <w:w w:val="100"/>
          <w:position w:val="0"/>
        </w:rPr>
        <w:t>）在服务商保方面，协同中国人寿为相关地市医保管理部门提供智能监管和支付改革等技术 服务，通过“医保科技</w:t>
      </w:r>
      <w:r>
        <w:rPr>
          <w:rFonts w:ascii="Times New Roman" w:eastAsia="Times New Roman" w:hAnsi="Times New Roman" w:cs="Times New Roman"/>
          <w:color w:val="000000"/>
          <w:spacing w:val="0"/>
          <w:w w:val="100"/>
          <w:position w:val="0"/>
        </w:rPr>
        <w:t>+</w:t>
      </w:r>
      <w:r>
        <w:rPr>
          <w:color w:val="000000"/>
          <w:spacing w:val="0"/>
          <w:w w:val="100"/>
          <w:position w:val="0"/>
        </w:rPr>
        <w:t>经办服务”线上线下相结合的一体化专业技术服务模式，完成海南、广西、四川、 贵州、新疆兵团等</w:t>
      </w:r>
      <w:r>
        <w:rPr>
          <w:rFonts w:ascii="Times New Roman" w:eastAsia="Times New Roman" w:hAnsi="Times New Roman" w:cs="Times New Roman"/>
          <w:color w:val="000000"/>
          <w:spacing w:val="0"/>
          <w:w w:val="100"/>
          <w:position w:val="0"/>
        </w:rPr>
        <w:t>15</w:t>
      </w:r>
      <w:r>
        <w:rPr>
          <w:color w:val="000000"/>
          <w:spacing w:val="0"/>
          <w:w w:val="100"/>
          <w:position w:val="0"/>
        </w:rPr>
        <w:t>个省</w:t>
      </w:r>
      <w:r>
        <w:rPr>
          <w:rFonts w:ascii="Times New Roman" w:eastAsia="Times New Roman" w:hAnsi="Times New Roman" w:cs="Times New Roman"/>
          <w:color w:val="000000"/>
          <w:spacing w:val="0"/>
          <w:w w:val="100"/>
          <w:position w:val="0"/>
        </w:rPr>
        <w:t>28</w:t>
      </w:r>
      <w:r>
        <w:rPr>
          <w:color w:val="000000"/>
          <w:spacing w:val="0"/>
          <w:w w:val="100"/>
          <w:position w:val="0"/>
        </w:rPr>
        <w:t>个地市的医保飞行检查工作，从行业解决方案、交付实施管理、产品研发推 广、专业知识运营等多维度，实现业务增长目标，持续优化资源使用与成本控制。</w:t>
      </w:r>
    </w:p>
    <w:p>
      <w:pPr>
        <w:pStyle w:val="Style18"/>
        <w:keepNext w:val="0"/>
        <w:keepLines w:val="0"/>
        <w:widowControl w:val="0"/>
        <w:shd w:val="clear" w:color="auto" w:fill="auto"/>
        <w:tabs>
          <w:tab w:pos="757" w:val="left"/>
        </w:tabs>
        <w:bidi w:val="0"/>
        <w:spacing w:before="0" w:after="0" w:line="492" w:lineRule="auto"/>
        <w:ind w:left="0" w:right="0" w:firstLine="440"/>
        <w:jc w:val="both"/>
      </w:pPr>
      <w:bookmarkStart w:id="76" w:name="bookmark76"/>
      <w:r>
        <w:rPr>
          <w:rFonts w:ascii="Times New Roman" w:eastAsia="Times New Roman" w:hAnsi="Times New Roman" w:cs="Times New Roman"/>
          <w:b/>
          <w:bCs/>
          <w:color w:val="000000"/>
          <w:spacing w:val="0"/>
          <w:w w:val="100"/>
          <w:position w:val="0"/>
        </w:rPr>
        <w:t>3</w:t>
      </w:r>
      <w:bookmarkEnd w:id="76"/>
      <w:r>
        <w:rPr>
          <w:b/>
          <w:bCs/>
          <w:color w:val="000000"/>
          <w:spacing w:val="0"/>
          <w:w w:val="100"/>
          <w:position w:val="0"/>
        </w:rPr>
        <w:t>、</w:t>
        <w:tab/>
        <w:t>智慧医疗</w:t>
      </w:r>
    </w:p>
    <w:p>
      <w:pPr>
        <w:pStyle w:val="Style18"/>
        <w:keepNext w:val="0"/>
        <w:keepLines w:val="0"/>
        <w:widowControl w:val="0"/>
        <w:shd w:val="clear" w:color="auto" w:fill="auto"/>
        <w:bidi w:val="0"/>
        <w:spacing w:before="0" w:after="280" w:line="47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年，国家进一步推动公立医院高质量发展，提升医院管理精细化、智能化水平，推进互联互通测 评、电子病历评价、医院智慧评估等医疗信息化建设步伐。公司智慧医疗板块市场继续拓展，围绕上海交 通大学医学院附属仁济医院东西南北四院区的系统整合工作，实现大型医院信息一体化建设，并助力医院 通过医院信息互联互通五级乙等的等级评审；积极开拓新地域，中标深河人民医院信息化建设、同济大学 附属口腔医院电子病历配套改造项目、景德镇市第一人民医院的信息化整体建设项目，其中深河人民医院 项目是公司在广东省第一家三级医院客户，为公司拓展粤港澳大湾区的医疗信息化市场夯实了基础；持续 深耕区域医疗中心建设，承建安徽省儿童医院国家儿童医学中心信息化建设项目，已于</w:t>
      </w:r>
      <w:r>
        <w:rPr>
          <w:rFonts w:ascii="Times New Roman" w:eastAsia="Times New Roman" w:hAnsi="Times New Roman" w:cs="Times New Roman"/>
          <w:color w:val="000000"/>
          <w:spacing w:val="0"/>
          <w:w w:val="100"/>
          <w:position w:val="0"/>
        </w:rPr>
        <w:t>2021</w:t>
      </w:r>
      <w:r>
        <w:rPr>
          <w:color w:val="000000"/>
          <w:spacing w:val="0"/>
          <w:w w:val="100"/>
          <w:position w:val="0"/>
        </w:rPr>
        <w:t>年上半年成 功切换上线，并完成电子病历四级评审工作，为助力医院进一步的高等级评审奠定基础。</w:t>
      </w:r>
    </w:p>
    <w:p>
      <w:pPr>
        <w:pStyle w:val="Style33"/>
        <w:keepNext/>
        <w:keepLines/>
        <w:widowControl w:val="0"/>
        <w:shd w:val="clear" w:color="auto" w:fill="auto"/>
        <w:bidi w:val="0"/>
        <w:spacing w:before="0" w:after="0" w:line="470" w:lineRule="exact"/>
        <w:ind w:left="0" w:right="0"/>
        <w:jc w:val="both"/>
      </w:pPr>
      <w:bookmarkStart w:id="77" w:name="bookmark77"/>
      <w:bookmarkStart w:id="78" w:name="bookmark78"/>
      <w:bookmarkStart w:id="79" w:name="bookmark79"/>
      <w:bookmarkStart w:id="80" w:name="bookmark80"/>
      <w:r>
        <w:rPr>
          <w:color w:val="000000"/>
          <w:spacing w:val="0"/>
          <w:w w:val="100"/>
          <w:position w:val="0"/>
        </w:rPr>
        <w:t>（</w:t>
      </w:r>
      <w:bookmarkEnd w:id="79"/>
      <w:r>
        <w:rPr>
          <w:color w:val="000000"/>
          <w:spacing w:val="0"/>
          <w:w w:val="100"/>
          <w:position w:val="0"/>
        </w:rPr>
        <w:t>二）智慧政务</w:t>
      </w:r>
      <w:bookmarkEnd w:id="77"/>
      <w:bookmarkEnd w:id="78"/>
      <w:bookmarkEnd w:id="80"/>
    </w:p>
    <w:p>
      <w:pPr>
        <w:pStyle w:val="Style18"/>
        <w:keepNext w:val="0"/>
        <w:keepLines w:val="0"/>
        <w:widowControl w:val="0"/>
        <w:shd w:val="clear" w:color="auto" w:fill="auto"/>
        <w:bidi w:val="0"/>
        <w:spacing w:before="0" w:after="0" w:line="474" w:lineRule="exact"/>
        <w:ind w:left="0" w:right="0" w:firstLine="440"/>
        <w:jc w:val="both"/>
      </w:pPr>
      <w:r>
        <w:rPr>
          <w:color w:val="000000"/>
          <w:spacing w:val="0"/>
          <w:w w:val="100"/>
          <w:position w:val="0"/>
        </w:rPr>
        <w:t>作为公司“</w:t>
      </w:r>
      <w:r>
        <w:rPr>
          <w:rFonts w:ascii="Times New Roman" w:eastAsia="Times New Roman" w:hAnsi="Times New Roman" w:cs="Times New Roman"/>
          <w:color w:val="000000"/>
          <w:spacing w:val="0"/>
          <w:w w:val="100"/>
          <w:position w:val="0"/>
        </w:rPr>
        <w:t>3+2</w:t>
      </w:r>
      <w:r>
        <w:rPr>
          <w:color w:val="000000"/>
          <w:spacing w:val="0"/>
          <w:w w:val="100"/>
          <w:position w:val="0"/>
        </w:rPr>
        <w:t>”架构中的重要业务板块，智慧政务在深耕上海行业市场的基础上，打造以“物联、 数联、智联”为特征的数字底座，搭建数据驱动的数字城市基本框架，构建城市数据中枢体系，以“一网 通办，，“一网统管，，建设强化精细高效的政务服务、企业服务能力以及数字治理综合能力，涵盖城市安全、 民生服务、教育文创等业务领域，向全国积极输出政务服务和城市治理的先进模式，助力城市数字化转型。</w:t>
      </w:r>
    </w:p>
    <w:p>
      <w:pPr>
        <w:pStyle w:val="Style18"/>
        <w:keepNext w:val="0"/>
        <w:keepLines w:val="0"/>
        <w:widowControl w:val="0"/>
        <w:shd w:val="clear" w:color="auto" w:fill="auto"/>
        <w:bidi w:val="0"/>
        <w:spacing w:before="0" w:after="0" w:line="474" w:lineRule="exact"/>
        <w:ind w:left="0" w:right="0" w:firstLine="440"/>
        <w:jc w:val="both"/>
      </w:pPr>
      <w:r>
        <w:rPr>
          <w:color w:val="000000"/>
          <w:spacing w:val="0"/>
          <w:w w:val="100"/>
          <w:position w:val="0"/>
        </w:rPr>
        <w:t>报告期内，公司构建城市级“数据底座”，形成“数据资源运营</w:t>
      </w:r>
      <w:r>
        <w:rPr>
          <w:rFonts w:ascii="Times New Roman" w:eastAsia="Times New Roman" w:hAnsi="Times New Roman" w:cs="Times New Roman"/>
          <w:color w:val="000000"/>
          <w:spacing w:val="0"/>
          <w:w w:val="100"/>
          <w:position w:val="0"/>
        </w:rPr>
        <w:t>+</w:t>
      </w:r>
      <w:r>
        <w:rPr>
          <w:color w:val="000000"/>
          <w:spacing w:val="0"/>
          <w:w w:val="100"/>
          <w:position w:val="0"/>
        </w:rPr>
        <w:t>应用场景模型”的数据服务体系，有 效支持全域数据要素的归集、融合、治理与赋能应用，全面打造“城市贡献数据、数据促进应用、应用服 务城市”的大数据共建、共用生态闭环。比如公安数据大基座聚合了公安各条线数据资源，提供集成业务 流和数据流于一体的服务能力，汇集一人一档、标签中心、布控总线等全局业务组件，实现业务能力复用， 将分散在不同业务系统中孤立的数据通过组件服务进行整合，从而支撑前端业务快速智能创新。</w:t>
      </w:r>
    </w:p>
    <w:p>
      <w:pPr>
        <w:pStyle w:val="Style18"/>
        <w:keepNext w:val="0"/>
        <w:keepLines w:val="0"/>
        <w:widowControl w:val="0"/>
        <w:shd w:val="clear" w:color="auto" w:fill="auto"/>
        <w:bidi w:val="0"/>
        <w:spacing w:before="0" w:after="0" w:line="470" w:lineRule="exact"/>
        <w:ind w:left="0" w:right="0" w:firstLine="440"/>
        <w:jc w:val="both"/>
      </w:pPr>
      <w:bookmarkStart w:id="81" w:name="bookmark81"/>
      <w:r>
        <w:rPr>
          <w:rFonts w:ascii="Times New Roman" w:eastAsia="Times New Roman" w:hAnsi="Times New Roman" w:cs="Times New Roman"/>
          <w:b/>
          <w:bCs/>
          <w:color w:val="000000"/>
          <w:spacing w:val="0"/>
          <w:w w:val="100"/>
          <w:position w:val="0"/>
        </w:rPr>
        <w:t>1</w:t>
      </w:r>
      <w:bookmarkEnd w:id="81"/>
      <w:r>
        <w:rPr>
          <w:b/>
          <w:bCs/>
          <w:color w:val="000000"/>
          <w:spacing w:val="0"/>
          <w:w w:val="100"/>
          <w:position w:val="0"/>
        </w:rPr>
        <w:t>、政务管理与服务领域（“一网通办”“一网统管”）</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“一网通办”通过搭建起全流程一体化在线政务服务平台，实现政务服务事项的一 口受理、集成服务、 一网通办，为用户提供高效、便捷的一体化政务服务。上海“一网通办”已对接</w:t>
      </w:r>
      <w:r>
        <w:rPr>
          <w:rFonts w:ascii="Times New Roman" w:eastAsia="Times New Roman" w:hAnsi="Times New Roman" w:cs="Times New Roman"/>
          <w:color w:val="000000"/>
          <w:spacing w:val="0"/>
          <w:w w:val="100"/>
          <w:position w:val="0"/>
        </w:rPr>
        <w:t>42</w:t>
      </w:r>
      <w:r>
        <w:rPr>
          <w:color w:val="000000"/>
          <w:spacing w:val="0"/>
          <w:w w:val="100"/>
          <w:position w:val="0"/>
        </w:rPr>
        <w:t>个委办单位、</w:t>
      </w:r>
      <w:r>
        <w:rPr>
          <w:rFonts w:ascii="Times New Roman" w:eastAsia="Times New Roman" w:hAnsi="Times New Roman" w:cs="Times New Roman"/>
          <w:color w:val="000000"/>
          <w:spacing w:val="0"/>
          <w:w w:val="100"/>
          <w:position w:val="0"/>
        </w:rPr>
        <w:t>16</w:t>
      </w:r>
      <w:r>
        <w:rPr>
          <w:color w:val="000000"/>
          <w:spacing w:val="0"/>
          <w:w w:val="100"/>
          <w:position w:val="0"/>
        </w:rPr>
        <w:t>个行 政服务中心、</w:t>
      </w:r>
      <w:r>
        <w:rPr>
          <w:rFonts w:ascii="Times New Roman" w:eastAsia="Times New Roman" w:hAnsi="Times New Roman" w:cs="Times New Roman"/>
          <w:color w:val="000000"/>
          <w:spacing w:val="0"/>
          <w:w w:val="100"/>
          <w:position w:val="0"/>
        </w:rPr>
        <w:t>220</w:t>
      </w:r>
      <w:r>
        <w:rPr>
          <w:color w:val="000000"/>
          <w:spacing w:val="0"/>
          <w:w w:val="100"/>
          <w:position w:val="0"/>
        </w:rPr>
        <w:t>个街道社区、</w:t>
      </w:r>
      <w:r>
        <w:rPr>
          <w:rFonts w:ascii="Times New Roman" w:eastAsia="Times New Roman" w:hAnsi="Times New Roman" w:cs="Times New Roman"/>
          <w:color w:val="000000"/>
          <w:spacing w:val="0"/>
          <w:w w:val="100"/>
          <w:position w:val="0"/>
        </w:rPr>
        <w:t>3000</w:t>
      </w:r>
      <w:r>
        <w:rPr>
          <w:color w:val="000000"/>
          <w:spacing w:val="0"/>
          <w:w w:val="100"/>
          <w:position w:val="0"/>
        </w:rPr>
        <w:t>余项服务事项。报告期内，公司承建上海大数据中心运营项目总集， 夯实上海政务服务新型运营服务模式，树立了 “建设与运营并重”创新理念，为加快城市数字化转型奠定 基础。公司聚焦服务提升，重点推进</w:t>
      </w:r>
      <w:r>
        <w:rPr>
          <w:rFonts w:ascii="Times New Roman" w:eastAsia="Times New Roman" w:hAnsi="Times New Roman" w:cs="Times New Roman"/>
          <w:color w:val="000000"/>
          <w:spacing w:val="0"/>
          <w:w w:val="100"/>
          <w:position w:val="0"/>
        </w:rPr>
        <w:t>12</w:t>
      </w:r>
      <w:r>
        <w:rPr>
          <w:color w:val="000000"/>
          <w:spacing w:val="0"/>
          <w:w w:val="100"/>
          <w:position w:val="0"/>
        </w:rPr>
        <w:t>个“一件事”，协助政府开通“一网通办”视频号、抖音号、</w:t>
      </w:r>
      <w:r>
        <w:rPr>
          <w:rFonts w:ascii="Times New Roman" w:eastAsia="Times New Roman" w:hAnsi="Times New Roman" w:cs="Times New Roman"/>
          <w:color w:val="000000"/>
          <w:spacing w:val="0"/>
          <w:w w:val="100"/>
          <w:position w:val="0"/>
        </w:rPr>
        <w:t>B</w:t>
      </w:r>
      <w:r>
        <w:rPr>
          <w:color w:val="000000"/>
          <w:spacing w:val="0"/>
          <w:w w:val="100"/>
          <w:position w:val="0"/>
        </w:rPr>
        <w:t>站 号等。上线“一网通办”线上帮办，覆盖各终端</w:t>
      </w:r>
      <w:r>
        <w:rPr>
          <w:rFonts w:ascii="Times New Roman" w:eastAsia="Times New Roman" w:hAnsi="Times New Roman" w:cs="Times New Roman"/>
          <w:color w:val="000000"/>
          <w:spacing w:val="0"/>
          <w:w w:val="100"/>
          <w:position w:val="0"/>
        </w:rPr>
        <w:t>35</w:t>
      </w:r>
      <w:r>
        <w:rPr>
          <w:color w:val="000000"/>
          <w:spacing w:val="0"/>
          <w:w w:val="100"/>
          <w:position w:val="0"/>
        </w:rPr>
        <w:t>项高频事项；推动“一网通办”政务服务事项入驻银 行自助终端，拓展服务渠道；落实长三角“一网通办”政务服务地图，方便三省一市企业和群众查询信息、 就近办理。</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报告期内，“一网统管”方面，公司建立实时动态“观管防” 一体化的城运总平台，接入各个部门的 系统和应用，实现对城市运行管理实时数据的共享交换、分析研判和闭环处置，实现平战无缝衔接转换， 确保高效处置突发事件。围绕“高效处置一件事”，推出生态环保、市场监管、司法、市域社会治理等业 务领域的一网统管解决方案，运用物联网、大数据、</w:t>
      </w:r>
      <w:r>
        <w:rPr>
          <w:rFonts w:ascii="Times New Roman" w:eastAsia="Times New Roman" w:hAnsi="Times New Roman" w:cs="Times New Roman"/>
          <w:color w:val="000000"/>
          <w:spacing w:val="0"/>
          <w:w w:val="100"/>
          <w:position w:val="0"/>
        </w:rPr>
        <w:t>5G</w:t>
      </w:r>
      <w:r>
        <w:rPr>
          <w:color w:val="000000"/>
          <w:spacing w:val="0"/>
          <w:w w:val="100"/>
          <w:position w:val="0"/>
        </w:rPr>
        <w:t>网络、</w:t>
      </w:r>
      <w:r>
        <w:rPr>
          <w:rFonts w:ascii="Times New Roman" w:eastAsia="Times New Roman" w:hAnsi="Times New Roman" w:cs="Times New Roman"/>
          <w:color w:val="000000"/>
          <w:spacing w:val="0"/>
          <w:w w:val="100"/>
          <w:position w:val="0"/>
        </w:rPr>
        <w:t>AI</w:t>
      </w:r>
      <w:r>
        <w:rPr>
          <w:color w:val="000000"/>
          <w:spacing w:val="0"/>
          <w:w w:val="100"/>
          <w:position w:val="0"/>
        </w:rPr>
        <w:t>技术等前沿技术开展城市精细化管理， 通过一网统管线上线下的联动，以数字化管理解放人力、减负基层、再造流程，打破城市治理条线壁垒， 推动城市治理由人力密集型向人机交互型转变，由经验判断型向数据分析型转变，由被动处置型向主动发 现型转变，全面提高管理效率。</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报告期内，公司持续深化各省市场监管一体化综合业务平台建设，积极呼应业务改革要求，陆续推出 智慧市场监管一体化平台升级版、市场监管应急指挥解决方案、市场监管数据驾驶舱解决方案等多个解决 方案体系。随着国家市场监管总局全国统一企业开办系统、全国市场主体登记注册网上办事服务平台等项 </w:t>
      </w:r>
      <w:r>
        <w:rPr>
          <w:color w:val="000000"/>
          <w:spacing w:val="0"/>
          <w:w w:val="100"/>
          <w:position w:val="0"/>
        </w:rPr>
        <w:t>目在全国</w:t>
      </w:r>
      <w:r>
        <w:rPr>
          <w:rFonts w:ascii="Times New Roman" w:eastAsia="Times New Roman" w:hAnsi="Times New Roman" w:cs="Times New Roman"/>
          <w:color w:val="000000"/>
          <w:spacing w:val="0"/>
          <w:w w:val="100"/>
          <w:position w:val="0"/>
        </w:rPr>
        <w:t>31</w:t>
      </w:r>
      <w:r>
        <w:rPr>
          <w:color w:val="000000"/>
          <w:spacing w:val="0"/>
          <w:w w:val="100"/>
          <w:position w:val="0"/>
        </w:rPr>
        <w:t>个省份的逐步推广，各省市场监管领域客户对公司的信任度和认可度得到了进一步提升。</w:t>
      </w:r>
    </w:p>
    <w:p>
      <w:pPr>
        <w:pStyle w:val="Style18"/>
        <w:keepNext w:val="0"/>
        <w:keepLines w:val="0"/>
        <w:widowControl w:val="0"/>
        <w:shd w:val="clear" w:color="auto" w:fill="auto"/>
        <w:bidi w:val="0"/>
        <w:spacing w:before="0" w:after="0" w:line="478" w:lineRule="exact"/>
        <w:ind w:left="0" w:right="0" w:firstLine="440"/>
        <w:jc w:val="both"/>
      </w:pPr>
      <w:r>
        <w:rPr>
          <w:color w:val="000000"/>
          <w:spacing w:val="0"/>
          <w:w w:val="100"/>
          <w:position w:val="0"/>
        </w:rPr>
        <w:t>报告期内，公司积极拓展与中行、工行、建行、交行等金融部门在政银合作领域的政务服务项目，响 应各地政务服务局、行政审批局、数字经济局、网络理政办等政务服务部门的业务扩展需求，助力客户实 现精细化管理，全方位、立体化地输出公司强大的政务服务综合能力。</w:t>
      </w:r>
    </w:p>
    <w:p>
      <w:pPr>
        <w:pStyle w:val="Style18"/>
        <w:keepNext w:val="0"/>
        <w:keepLines w:val="0"/>
        <w:widowControl w:val="0"/>
        <w:shd w:val="clear" w:color="auto" w:fill="auto"/>
        <w:bidi w:val="0"/>
        <w:spacing w:before="0" w:after="0" w:line="470" w:lineRule="exact"/>
        <w:ind w:left="0" w:right="0" w:firstLine="440"/>
        <w:jc w:val="both"/>
      </w:pPr>
      <w:bookmarkStart w:id="82" w:name="bookmark82"/>
      <w:r>
        <w:rPr>
          <w:rFonts w:ascii="Times New Roman" w:eastAsia="Times New Roman" w:hAnsi="Times New Roman" w:cs="Times New Roman"/>
          <w:b/>
          <w:bCs/>
          <w:color w:val="000000"/>
          <w:spacing w:val="0"/>
          <w:w w:val="100"/>
          <w:position w:val="0"/>
        </w:rPr>
        <w:t>2</w:t>
      </w:r>
      <w:bookmarkEnd w:id="82"/>
      <w:r>
        <w:rPr>
          <w:b/>
          <w:bCs/>
          <w:color w:val="000000"/>
          <w:spacing w:val="0"/>
          <w:w w:val="100"/>
          <w:position w:val="0"/>
        </w:rPr>
        <w:t>、城市安全、民生服务、教育文创等领域</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城市安全领域，主要聚焦在公共安全、大司法、智慧交通和工业互联等四个方向。报告期内，公司重 点完成智慧检察平台、综治网格化平台、公安综合执法和交通综合执法平台等行业平台的开发；进一步加 强移动安全管理、公安大数据、智慧矫正中心三个软件的产品化工作；在行业信创领域完成智慧公安、智 慧戒毒、智慧检务、智慧交通等业务软件适配工作。同时，加大公共安全、政法、交通等领域的全国市场 拓展力度，在上海、浙江、重庆、湖南、四川等省市形成较大规模业务增长。</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民生服务领域，公司提供面向</w:t>
      </w:r>
      <w:r>
        <w:rPr>
          <w:rFonts w:ascii="Times New Roman" w:eastAsia="Times New Roman" w:hAnsi="Times New Roman" w:cs="Times New Roman"/>
          <w:color w:val="000000"/>
          <w:spacing w:val="0"/>
          <w:w w:val="100"/>
          <w:position w:val="0"/>
        </w:rPr>
        <w:t>B</w:t>
      </w:r>
      <w:r>
        <w:rPr>
          <w:color w:val="000000"/>
          <w:spacing w:val="0"/>
          <w:w w:val="100"/>
          <w:position w:val="0"/>
        </w:rPr>
        <w:t>端和</w:t>
      </w:r>
      <w:r>
        <w:rPr>
          <w:rFonts w:ascii="Times New Roman" w:eastAsia="Times New Roman" w:hAnsi="Times New Roman" w:cs="Times New Roman"/>
          <w:color w:val="000000"/>
          <w:spacing w:val="0"/>
          <w:w w:val="100"/>
          <w:position w:val="0"/>
        </w:rPr>
        <w:t>C</w:t>
      </w:r>
      <w:r>
        <w:rPr>
          <w:color w:val="000000"/>
          <w:spacing w:val="0"/>
          <w:w w:val="100"/>
          <w:position w:val="0"/>
        </w:rPr>
        <w:t>端的民生云服务运营体系。报告期内，公司全面推进细分领域 的服务体系建设，中标湖北省退役军人“</w:t>
      </w:r>
      <w:r>
        <w:rPr>
          <w:rFonts w:ascii="Times New Roman" w:eastAsia="Times New Roman" w:hAnsi="Times New Roman" w:cs="Times New Roman"/>
          <w:color w:val="000000"/>
          <w:spacing w:val="0"/>
          <w:w w:val="100"/>
          <w:position w:val="0"/>
        </w:rPr>
        <w:t>1123</w:t>
      </w:r>
      <w:r>
        <w:rPr>
          <w:color w:val="000000"/>
          <w:spacing w:val="0"/>
          <w:w w:val="100"/>
          <w:position w:val="0"/>
        </w:rPr>
        <w:t>”工程综合信息管理系统、江西省社会保险对接养老保险全 国统筹信息系统、“云上贵州”全省养老服务云平台、南通市退役军人管理服务平台、大连市人才大数据 综合服务平台、吴忠市居家和社区基本养老服务提升、青岛市退休一件事及大数据辅助工伤鉴定平台等项 目。尤其在“十四五”期间，针对国家和各级政府部门重点关心的“一老一小”问题，公司承建的民政部 金民工程全国养老服务系统已经实现全国</w:t>
      </w:r>
      <w:r>
        <w:rPr>
          <w:rFonts w:ascii="Times New Roman" w:eastAsia="Times New Roman" w:hAnsi="Times New Roman" w:cs="Times New Roman"/>
          <w:color w:val="000000"/>
          <w:spacing w:val="0"/>
          <w:w w:val="100"/>
          <w:position w:val="0"/>
        </w:rPr>
        <w:t>32</w:t>
      </w:r>
      <w:r>
        <w:rPr>
          <w:color w:val="000000"/>
          <w:spacing w:val="0"/>
          <w:w w:val="100"/>
          <w:position w:val="0"/>
        </w:rPr>
        <w:t>个省（区、市）正式运行，协助各级地方政府开展养老服务 体系建设；通过苏州建设未成年保护管理系统，协助苏州市开展未成年保护管理体系建设。同时，继续推 进中国人寿集团人力资源系统建设，在大型中央企业人力资源管理领域树立“产品</w:t>
      </w:r>
      <w:r>
        <w:rPr>
          <w:rFonts w:ascii="Times New Roman" w:eastAsia="Times New Roman" w:hAnsi="Times New Roman" w:cs="Times New Roman"/>
          <w:color w:val="000000"/>
          <w:spacing w:val="0"/>
          <w:w w:val="100"/>
          <w:position w:val="0"/>
        </w:rPr>
        <w:t>+</w:t>
      </w:r>
      <w:r>
        <w:rPr>
          <w:color w:val="000000"/>
          <w:spacing w:val="0"/>
          <w:w w:val="100"/>
          <w:position w:val="0"/>
        </w:rPr>
        <w:t>服务”标杆。此外， 积极推进互联网</w:t>
      </w:r>
      <w:r>
        <w:rPr>
          <w:rFonts w:ascii="Times New Roman" w:eastAsia="Times New Roman" w:hAnsi="Times New Roman" w:cs="Times New Roman"/>
          <w:color w:val="000000"/>
          <w:spacing w:val="0"/>
          <w:w w:val="100"/>
          <w:position w:val="0"/>
        </w:rPr>
        <w:t>SaaS</w:t>
      </w:r>
      <w:r>
        <w:rPr>
          <w:color w:val="000000"/>
          <w:spacing w:val="0"/>
          <w:w w:val="100"/>
          <w:position w:val="0"/>
        </w:rPr>
        <w:t>产品，其中居家护理</w:t>
      </w:r>
      <w:r>
        <w:rPr>
          <w:rFonts w:ascii="Times New Roman" w:eastAsia="Times New Roman" w:hAnsi="Times New Roman" w:cs="Times New Roman"/>
          <w:color w:val="000000"/>
          <w:spacing w:val="0"/>
          <w:w w:val="100"/>
          <w:position w:val="0"/>
        </w:rPr>
        <w:t>SaaS</w:t>
      </w:r>
      <w:r>
        <w:rPr>
          <w:color w:val="000000"/>
          <w:spacing w:val="0"/>
          <w:w w:val="100"/>
          <w:position w:val="0"/>
        </w:rPr>
        <w:t>平台已服务</w:t>
      </w:r>
      <w:r>
        <w:rPr>
          <w:rFonts w:ascii="Times New Roman" w:eastAsia="Times New Roman" w:hAnsi="Times New Roman" w:cs="Times New Roman"/>
          <w:color w:val="000000"/>
          <w:spacing w:val="0"/>
          <w:w w:val="100"/>
          <w:position w:val="0"/>
        </w:rPr>
        <w:t>170</w:t>
      </w:r>
      <w:r>
        <w:rPr>
          <w:color w:val="000000"/>
          <w:spacing w:val="0"/>
          <w:w w:val="100"/>
          <w:position w:val="0"/>
        </w:rPr>
        <w:t>余家企业。同时，不断探索新业务合作模 式，在江苏海门区与农业银行合作试点开展养老机构预存款资金监管。</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教育文创领域：智慧教育方面，公司智慧教育平台涵盖了智慧教育、数字校园、智慧幼教、双减进校 进社区等领域。报告期内，公司继续以“上海微校”为核心进行重点业务扩展和产品推进，完成资源底座 和应用服务、“海上名师坊”运行服务、空中课堂运营支持和运行保障服务等，“上海微校”作为上海在线 教育品牌写入上海市促进在线新经济发展行动方案</w:t>
      </w:r>
      <w:r>
        <w:rPr>
          <w:color w:val="000000"/>
          <w:spacing w:val="0"/>
          <w:w w:val="100"/>
          <w:position w:val="0"/>
        </w:rPr>
        <w:t>（</w:t>
      </w:r>
      <w:r>
        <w:rPr>
          <w:rFonts w:ascii="Times New Roman" w:eastAsia="Times New Roman" w:hAnsi="Times New Roman" w:cs="Times New Roman"/>
          <w:color w:val="000000"/>
          <w:spacing w:val="0"/>
          <w:w w:val="100"/>
          <w:position w:val="0"/>
        </w:rPr>
        <w:t>2020-2022</w:t>
      </w:r>
      <w:r>
        <w:rPr>
          <w:color w:val="000000"/>
          <w:spacing w:val="0"/>
          <w:w w:val="100"/>
          <w:position w:val="0"/>
        </w:rPr>
        <w:t>年）；公司持续打造上海青少年体育素养大 数据平台，面向全上海中小学学生提供体育素养监测、分析及智慧干预服务；公司持续推进高校数字化转 型，打造典型数字校园建设，初步形成“数字校园数字基座加智慧校园一网通办、智慧校园一网统管、智 慧校园一网统学”的产品体系。智慧文创方面，报告期内，公司在线上数字化体验与服务的创意、技术和 产品化取得显著成效，为智慧博物馆、科技馆、图书馆、文旅、会展等多元化线上服务提供了优质产品和 解决方案；积极参与建党</w:t>
      </w:r>
      <w:r>
        <w:rPr>
          <w:rFonts w:ascii="Times New Roman" w:eastAsia="Times New Roman" w:hAnsi="Times New Roman" w:cs="Times New Roman"/>
          <w:color w:val="000000"/>
          <w:spacing w:val="0"/>
          <w:w w:val="100"/>
          <w:position w:val="0"/>
        </w:rPr>
        <w:t>100</w:t>
      </w:r>
      <w:r>
        <w:rPr>
          <w:color w:val="000000"/>
          <w:spacing w:val="0"/>
          <w:w w:val="100"/>
          <w:position w:val="0"/>
        </w:rPr>
        <w:t>周年全国性多个重大文化献礼智慧化项目及文旅数字化转型典型场景建设，</w:t>
        <w:br w:type="page"/>
      </w:r>
      <w:r>
        <w:rPr>
          <w:color w:val="000000"/>
          <w:spacing w:val="0"/>
          <w:w w:val="100"/>
          <w:position w:val="0"/>
        </w:rPr>
        <w:t>成功中标、实施国家级</w:t>
      </w:r>
      <w:r>
        <w:rPr>
          <w:rFonts w:ascii="Times New Roman" w:eastAsia="Times New Roman" w:hAnsi="Times New Roman" w:cs="Times New Roman"/>
          <w:color w:val="000000"/>
          <w:spacing w:val="0"/>
          <w:w w:val="100"/>
          <w:position w:val="0"/>
        </w:rPr>
        <w:t>/</w:t>
      </w:r>
      <w:r>
        <w:rPr>
          <w:color w:val="000000"/>
          <w:spacing w:val="0"/>
          <w:w w:val="100"/>
          <w:position w:val="0"/>
        </w:rPr>
        <w:t>省市级的线上场馆平台项目，包括解放军海军博物馆、中央礼品文物管理中心、上 海市文化和旅游局、上海少年儿童图书馆、上海天文馆、苏州博物馆等项目；参与编制</w:t>
      </w:r>
      <w:r>
        <w:rPr>
          <w:rFonts w:ascii="Times New Roman" w:eastAsia="Times New Roman" w:hAnsi="Times New Roman" w:cs="Times New Roman"/>
          <w:color w:val="000000"/>
          <w:spacing w:val="0"/>
          <w:w w:val="100"/>
          <w:position w:val="0"/>
        </w:rPr>
        <w:t>2021</w:t>
      </w:r>
      <w:r>
        <w:rPr>
          <w:color w:val="000000"/>
          <w:spacing w:val="0"/>
          <w:w w:val="100"/>
          <w:position w:val="0"/>
        </w:rPr>
        <w:t>年文化和旅 游行业标准《文旅二维码信息编码和交换规范》，促进文化和旅游业服务和数据方面的深度融合。报告期 内，公司荣膺全国“第七届十佳文博技术产品及服务奖”。</w:t>
      </w:r>
    </w:p>
    <w:p>
      <w:pPr>
        <w:pStyle w:val="Style33"/>
        <w:keepNext/>
        <w:keepLines/>
        <w:widowControl w:val="0"/>
        <w:shd w:val="clear" w:color="auto" w:fill="auto"/>
        <w:bidi w:val="0"/>
        <w:spacing w:before="0" w:after="0" w:line="472" w:lineRule="exact"/>
        <w:ind w:left="0" w:right="0" w:firstLine="420"/>
        <w:jc w:val="both"/>
      </w:pPr>
      <w:bookmarkStart w:id="83" w:name="bookmark83"/>
      <w:bookmarkStart w:id="84" w:name="bookmark84"/>
      <w:bookmarkStart w:id="85" w:name="bookmark85"/>
      <w:bookmarkStart w:id="86" w:name="bookmark86"/>
      <w:r>
        <w:rPr>
          <w:color w:val="000000"/>
          <w:spacing w:val="0"/>
          <w:w w:val="100"/>
          <w:position w:val="0"/>
        </w:rPr>
        <w:t>（</w:t>
      </w:r>
      <w:bookmarkEnd w:id="85"/>
      <w:r>
        <w:rPr>
          <w:color w:val="000000"/>
          <w:spacing w:val="0"/>
          <w:w w:val="100"/>
          <w:position w:val="0"/>
        </w:rPr>
        <w:t>三）</w:t>
      </w:r>
      <w:r>
        <w:rPr>
          <w:rFonts w:ascii="Times New Roman" w:eastAsia="Times New Roman" w:hAnsi="Times New Roman" w:cs="Times New Roman"/>
          <w:color w:val="000000"/>
          <w:spacing w:val="0"/>
          <w:w w:val="100"/>
          <w:position w:val="0"/>
        </w:rPr>
        <w:t>ICT</w:t>
      </w:r>
      <w:r>
        <w:rPr>
          <w:color w:val="000000"/>
          <w:spacing w:val="0"/>
          <w:w w:val="100"/>
          <w:position w:val="0"/>
        </w:rPr>
        <w:t>业务</w:t>
      </w:r>
      <w:bookmarkEnd w:id="83"/>
      <w:bookmarkEnd w:id="84"/>
      <w:bookmarkEnd w:id="86"/>
    </w:p>
    <w:p>
      <w:pPr>
        <w:pStyle w:val="Style18"/>
        <w:keepNext w:val="0"/>
        <w:keepLines w:val="0"/>
        <w:widowControl w:val="0"/>
        <w:shd w:val="clear" w:color="auto" w:fill="auto"/>
        <w:bidi w:val="0"/>
        <w:spacing w:before="0" w:after="0" w:line="472" w:lineRule="exact"/>
        <w:ind w:left="0" w:right="0" w:firstLine="420"/>
        <w:jc w:val="both"/>
      </w:pPr>
      <w:r>
        <w:rPr>
          <w:rFonts w:ascii="Times New Roman" w:eastAsia="Times New Roman" w:hAnsi="Times New Roman" w:cs="Times New Roman"/>
          <w:color w:val="000000"/>
          <w:spacing w:val="0"/>
          <w:w w:val="100"/>
          <w:position w:val="0"/>
        </w:rPr>
        <w:t>ICT</w:t>
      </w:r>
      <w:r>
        <w:rPr>
          <w:color w:val="000000"/>
          <w:spacing w:val="0"/>
          <w:w w:val="100"/>
          <w:position w:val="0"/>
        </w:rPr>
        <w:t>业务通过信息技术应用创新、云计算、大数据、人工智能、网络安全、数字园区等创新技术驱动 和升级业务革新，通过提升项目管理应用能力，挖掘海量信息数据资源价值，利用系统集成支持业务决策 和运行，赋能客户数字化转型驱动业务运营，将数字资源转变为战略资产。作为可信赖的新</w:t>
      </w:r>
      <w:r>
        <w:rPr>
          <w:rFonts w:ascii="Times New Roman" w:eastAsia="Times New Roman" w:hAnsi="Times New Roman" w:cs="Times New Roman"/>
          <w:color w:val="000000"/>
          <w:spacing w:val="0"/>
          <w:w w:val="100"/>
          <w:position w:val="0"/>
        </w:rPr>
        <w:t>IT</w:t>
      </w:r>
      <w:r>
        <w:rPr>
          <w:color w:val="000000"/>
          <w:spacing w:val="0"/>
          <w:w w:val="100"/>
          <w:position w:val="0"/>
        </w:rPr>
        <w:t>综合服务 商，万达信息提供基于新</w:t>
      </w:r>
      <w:r>
        <w:rPr>
          <w:rFonts w:ascii="Times New Roman" w:eastAsia="Times New Roman" w:hAnsi="Times New Roman" w:cs="Times New Roman"/>
          <w:color w:val="000000"/>
          <w:spacing w:val="0"/>
          <w:w w:val="100"/>
          <w:position w:val="0"/>
        </w:rPr>
        <w:t>IT</w:t>
      </w:r>
      <w:r>
        <w:rPr>
          <w:color w:val="000000"/>
          <w:spacing w:val="0"/>
          <w:w w:val="100"/>
          <w:position w:val="0"/>
        </w:rPr>
        <w:t>架构的智慧解决方案，包括信息技术应用创新、系统集成、网络安全、数字 园区等业务领域解决方案，以及全生命周期的综合</w:t>
      </w:r>
      <w:r>
        <w:rPr>
          <w:rFonts w:ascii="Times New Roman" w:eastAsia="Times New Roman" w:hAnsi="Times New Roman" w:cs="Times New Roman"/>
          <w:color w:val="000000"/>
          <w:spacing w:val="0"/>
          <w:w w:val="100"/>
          <w:position w:val="0"/>
        </w:rPr>
        <w:t>IT</w:t>
      </w:r>
      <w:r>
        <w:rPr>
          <w:color w:val="000000"/>
          <w:spacing w:val="0"/>
          <w:w w:val="100"/>
          <w:position w:val="0"/>
        </w:rPr>
        <w:t xml:space="preserve">服务，包括集成、运维、咨询、安全、增值等服务。 </w:t>
      </w:r>
      <w:r>
        <w:rPr>
          <w:rFonts w:ascii="Times New Roman" w:eastAsia="Times New Roman" w:hAnsi="Times New Roman" w:cs="Times New Roman"/>
          <w:color w:val="000000"/>
          <w:spacing w:val="0"/>
          <w:w w:val="100"/>
          <w:position w:val="0"/>
        </w:rPr>
        <w:t>ICT</w:t>
      </w:r>
      <w:r>
        <w:rPr>
          <w:color w:val="000000"/>
          <w:spacing w:val="0"/>
          <w:w w:val="100"/>
          <w:position w:val="0"/>
        </w:rPr>
        <w:t>行业技术解决方案既独立形成自身业务，也与公司传统业务及战略业务相辅相成，是公司整体软件解 决方案的基石。</w:t>
      </w:r>
    </w:p>
    <w:p>
      <w:pPr>
        <w:pStyle w:val="Style18"/>
        <w:keepNext w:val="0"/>
        <w:keepLines w:val="0"/>
        <w:widowControl w:val="0"/>
        <w:shd w:val="clear" w:color="auto" w:fill="auto"/>
        <w:bidi w:val="0"/>
        <w:spacing w:before="0" w:after="0" w:line="472" w:lineRule="exact"/>
        <w:ind w:left="0" w:right="0" w:firstLine="420"/>
        <w:jc w:val="both"/>
      </w:pPr>
      <w:r>
        <w:rPr>
          <w:color w:val="000000"/>
          <w:spacing w:val="0"/>
          <w:w w:val="100"/>
          <w:position w:val="0"/>
        </w:rPr>
        <w:t>作为数字化经济的领导者和赋能者，作为“双碳”战略的践行者和推动者，万达信息正通过在大数据 中心建设、“东数西算”战略布局等方面的强大实力，契合数字经济、绿色发展的理念和价值，实现数字 创新与行业场景的深化融合，并且在数字技术与解决方案、工业互联网等领域全面布局，通过智慧工厂、 数字园区、碳中和行动等新的尝试和探索，以技术创新构建起了引领绿色发展的数字化基石。</w:t>
      </w:r>
    </w:p>
    <w:p>
      <w:pPr>
        <w:widowControl w:val="0"/>
        <w:spacing w:line="1" w:lineRule="exact"/>
        <w:sectPr>
          <w:footnotePr>
            <w:pos w:val="pageBottom"/>
            <w:numFmt w:val="decimal"/>
            <w:numRestart w:val="continuous"/>
          </w:footnotePr>
          <w:pgSz w:w="11900" w:h="16840"/>
          <w:pgMar w:top="1304" w:right="946" w:bottom="1520" w:left="1042" w:header="0" w:footer="3" w:gutter="0"/>
          <w:cols w:space="720"/>
          <w:noEndnote/>
          <w:rtlGutter w:val="0"/>
          <w:docGrid w:linePitch="360"/>
        </w:sectPr>
      </w:pPr>
      <w:r>
        <mc:AlternateContent>
          <mc:Choice Requires="wps">
            <w:drawing>
              <wp:anchor distT="241300" distB="1231265" distL="0" distR="30480" simplePos="0" relativeHeight="125829379" behindDoc="0" locked="0" layoutInCell="1" allowOverlap="1">
                <wp:simplePos x="0" y="0"/>
                <wp:positionH relativeFrom="page">
                  <wp:posOffset>1717675</wp:posOffset>
                </wp:positionH>
                <wp:positionV relativeFrom="paragraph">
                  <wp:posOffset>241300</wp:posOffset>
                </wp:positionV>
                <wp:extent cx="4349750" cy="198120"/>
                <wp:wrapTopAndBottom/>
                <wp:docPr id="3" name="Shape 3"/>
                <a:graphic xmlns:a="http://schemas.openxmlformats.org/drawingml/2006/main">
                  <a:graphicData uri="http://schemas.microsoft.com/office/word/2010/wordprocessingShape">
                    <wps:wsp>
                      <wps:cNvSpPr txBox="1"/>
                      <wps:spPr>
                        <a:xfrm>
                          <a:ext cx="4349750" cy="198120"/>
                        </a:xfrm>
                        <a:prstGeom prst="rect"/>
                        <a:noFill/>
                      </wps:spPr>
                      <wps:txbx>
                        <w:txbxContent>
                          <w:tbl>
                            <w:tblPr>
                              <w:tblOverlap w:val="never"/>
                              <w:jc w:val="left"/>
                              <w:tblLayout w:type="fixed"/>
                            </w:tblPr>
                            <w:tblGrid>
                              <w:gridCol w:w="955"/>
                              <w:gridCol w:w="965"/>
                              <w:gridCol w:w="1018"/>
                              <w:gridCol w:w="960"/>
                              <w:gridCol w:w="1013"/>
                              <w:gridCol w:w="998"/>
                              <w:gridCol w:w="941"/>
                            </w:tblGrid>
                            <w:tr>
                              <w:trPr>
                                <w:tblHeader/>
                                <w:trHeight w:val="312" w:hRule="exact"/>
                              </w:trPr>
                              <w:tc>
                                <w:tcPr>
                                  <w:tcBorders/>
                                  <w:shd w:val="clear" w:color="auto" w:fill="3DB1FC"/>
                                  <w:vAlign w:val="top"/>
                                </w:tcPr>
                                <w:p>
                                  <w:pPr>
                                    <w:pStyle w:val="Style2"/>
                                    <w:keepNext w:val="0"/>
                                    <w:keepLines w:val="0"/>
                                    <w:widowControl w:val="0"/>
                                    <w:pBdr>
                                      <w:top w:val="single" w:sz="0" w:space="0" w:color="3DB1FC"/>
                                      <w:left w:val="single" w:sz="0" w:space="0" w:color="3DB1FC"/>
                                      <w:bottom w:val="single" w:sz="0" w:space="0" w:color="3DB1FC"/>
                                      <w:right w:val="single" w:sz="0" w:space="0" w:color="3DB1FC"/>
                                    </w:pBdr>
                                    <w:shd w:val="clear" w:color="auto" w:fill="3DB1FC"/>
                                    <w:bidi w:val="0"/>
                                    <w:spacing w:before="0" w:after="0" w:line="240" w:lineRule="auto"/>
                                    <w:ind w:left="0" w:right="0" w:firstLine="0"/>
                                    <w:jc w:val="center"/>
                                    <w:rPr>
                                      <w:sz w:val="17"/>
                                      <w:szCs w:val="17"/>
                                    </w:rPr>
                                  </w:pPr>
                                  <w:r>
                                    <w:rPr>
                                      <w:b/>
                                      <w:bCs/>
                                      <w:color w:val="FFFFFF"/>
                                      <w:spacing w:val="0"/>
                                      <w:w w:val="100"/>
                                      <w:position w:val="0"/>
                                      <w:sz w:val="17"/>
                                      <w:szCs w:val="17"/>
                                    </w:rPr>
                                    <w:t>智慧政务</w:t>
                                  </w:r>
                                </w:p>
                              </w:tc>
                              <w:tc>
                                <w:tcPr>
                                  <w:tcBorders/>
                                  <w:shd w:val="clear" w:color="auto" w:fill="3DB1FC"/>
                                  <w:vAlign w:val="top"/>
                                </w:tcPr>
                                <w:p>
                                  <w:pPr>
                                    <w:pStyle w:val="Style2"/>
                                    <w:keepNext w:val="0"/>
                                    <w:keepLines w:val="0"/>
                                    <w:widowControl w:val="0"/>
                                    <w:pBdr>
                                      <w:top w:val="single" w:sz="0" w:space="0" w:color="3DB1FC"/>
                                      <w:left w:val="single" w:sz="0" w:space="0" w:color="3DB1FC"/>
                                      <w:bottom w:val="single" w:sz="0" w:space="0" w:color="3DB1FC"/>
                                      <w:right w:val="single" w:sz="0" w:space="0" w:color="3DB1FC"/>
                                    </w:pBdr>
                                    <w:shd w:val="clear" w:color="auto" w:fill="3DB1FC"/>
                                    <w:bidi w:val="0"/>
                                    <w:spacing w:before="0" w:after="0" w:line="240" w:lineRule="auto"/>
                                    <w:ind w:left="0" w:right="0" w:firstLine="0"/>
                                    <w:jc w:val="center"/>
                                    <w:rPr>
                                      <w:sz w:val="17"/>
                                      <w:szCs w:val="17"/>
                                    </w:rPr>
                                  </w:pPr>
                                  <w:r>
                                    <w:rPr>
                                      <w:b/>
                                      <w:bCs/>
                                      <w:color w:val="FFFFFF"/>
                                      <w:spacing w:val="0"/>
                                      <w:w w:val="100"/>
                                      <w:position w:val="0"/>
                                      <w:sz w:val="17"/>
                                      <w:szCs w:val="17"/>
                                    </w:rPr>
                                    <w:t>市场监管</w:t>
                                  </w:r>
                                </w:p>
                              </w:tc>
                              <w:tc>
                                <w:tcPr>
                                  <w:tcBorders/>
                                  <w:shd w:val="clear" w:color="auto" w:fill="3DB1FC"/>
                                  <w:vAlign w:val="top"/>
                                </w:tcPr>
                                <w:p>
                                  <w:pPr>
                                    <w:pStyle w:val="Style2"/>
                                    <w:keepNext w:val="0"/>
                                    <w:keepLines w:val="0"/>
                                    <w:widowControl w:val="0"/>
                                    <w:pBdr>
                                      <w:top w:val="single" w:sz="0" w:space="0" w:color="3DB1FC"/>
                                      <w:left w:val="single" w:sz="0" w:space="0" w:color="3DB1FC"/>
                                      <w:bottom w:val="single" w:sz="0" w:space="0" w:color="3DB1FC"/>
                                      <w:right w:val="single" w:sz="0" w:space="0" w:color="3DB1FC"/>
                                    </w:pBdr>
                                    <w:shd w:val="clear" w:color="auto" w:fill="3DB1FC"/>
                                    <w:bidi w:val="0"/>
                                    <w:spacing w:before="0" w:after="0" w:line="240" w:lineRule="auto"/>
                                    <w:ind w:left="0" w:right="0" w:firstLine="0"/>
                                    <w:jc w:val="center"/>
                                    <w:rPr>
                                      <w:sz w:val="17"/>
                                      <w:szCs w:val="17"/>
                                    </w:rPr>
                                  </w:pPr>
                                  <w:r>
                                    <w:rPr>
                                      <w:b/>
                                      <w:bCs/>
                                      <w:color w:val="FFFFFF"/>
                                      <w:spacing w:val="0"/>
                                      <w:w w:val="100"/>
                                      <w:position w:val="0"/>
                                      <w:sz w:val="17"/>
                                      <w:szCs w:val="17"/>
                                    </w:rPr>
                                    <w:t>城市安全</w:t>
                                  </w:r>
                                </w:p>
                              </w:tc>
                              <w:tc>
                                <w:tcPr>
                                  <w:tcBorders/>
                                  <w:shd w:val="clear" w:color="auto" w:fill="3DB1FC"/>
                                  <w:vAlign w:val="top"/>
                                </w:tcPr>
                                <w:p>
                                  <w:pPr>
                                    <w:pStyle w:val="Style2"/>
                                    <w:keepNext w:val="0"/>
                                    <w:keepLines w:val="0"/>
                                    <w:widowControl w:val="0"/>
                                    <w:pBdr>
                                      <w:top w:val="single" w:sz="0" w:space="0" w:color="3DB1FC"/>
                                      <w:left w:val="single" w:sz="0" w:space="0" w:color="3DB1FC"/>
                                      <w:bottom w:val="single" w:sz="0" w:space="0" w:color="3DB1FC"/>
                                      <w:right w:val="single" w:sz="0" w:space="0" w:color="3DB1FC"/>
                                    </w:pBdr>
                                    <w:shd w:val="clear" w:color="auto" w:fill="3DB1FC"/>
                                    <w:bidi w:val="0"/>
                                    <w:spacing w:before="0" w:after="0" w:line="240" w:lineRule="auto"/>
                                    <w:ind w:left="0" w:right="0" w:firstLine="0"/>
                                    <w:jc w:val="center"/>
                                    <w:rPr>
                                      <w:sz w:val="40"/>
                                      <w:szCs w:val="40"/>
                                    </w:rPr>
                                  </w:pPr>
                                  <w:r>
                                    <w:rPr>
                                      <w:b/>
                                      <w:bCs/>
                                      <w:color w:val="FFFFFF"/>
                                      <w:spacing w:val="0"/>
                                      <w:w w:val="100"/>
                                      <w:position w:val="0"/>
                                      <w:sz w:val="17"/>
                                      <w:szCs w:val="17"/>
                                    </w:rPr>
                                    <w:t>健康管理</w:t>
                                  </w:r>
                                  <w:r>
                                    <w:rPr>
                                      <w:rFonts w:ascii="Times New Roman" w:eastAsia="Times New Roman" w:hAnsi="Times New Roman" w:cs="Times New Roman"/>
                                      <w:b/>
                                      <w:bCs/>
                                      <w:color w:val="FFFFFF"/>
                                      <w:spacing w:val="0"/>
                                      <w:w w:val="100"/>
                                      <w:position w:val="0"/>
                                      <w:sz w:val="40"/>
                                      <w:szCs w:val="40"/>
                                    </w:rPr>
                                    <w:t>1</w:t>
                                  </w:r>
                                </w:p>
                              </w:tc>
                              <w:tc>
                                <w:tcPr>
                                  <w:tcBorders/>
                                  <w:shd w:val="clear" w:color="auto" w:fill="3DB1FC"/>
                                  <w:vAlign w:val="top"/>
                                </w:tcPr>
                                <w:p>
                                  <w:pPr>
                                    <w:pStyle w:val="Style2"/>
                                    <w:keepNext w:val="0"/>
                                    <w:keepLines w:val="0"/>
                                    <w:widowControl w:val="0"/>
                                    <w:pBdr>
                                      <w:top w:val="single" w:sz="0" w:space="0" w:color="3DB1FC"/>
                                      <w:left w:val="single" w:sz="0" w:space="0" w:color="3DB1FC"/>
                                      <w:bottom w:val="single" w:sz="0" w:space="0" w:color="3DB1FC"/>
                                      <w:right w:val="single" w:sz="0" w:space="0" w:color="3DB1FC"/>
                                    </w:pBdr>
                                    <w:shd w:val="clear" w:color="auto" w:fill="3DB1FC"/>
                                    <w:bidi w:val="0"/>
                                    <w:spacing w:before="0" w:after="0" w:line="240" w:lineRule="auto"/>
                                    <w:ind w:left="0" w:right="0" w:firstLine="0"/>
                                    <w:jc w:val="right"/>
                                    <w:rPr>
                                      <w:sz w:val="17"/>
                                      <w:szCs w:val="17"/>
                                    </w:rPr>
                                  </w:pPr>
                                  <w:r>
                                    <w:rPr>
                                      <w:rFonts w:ascii="Times New Roman" w:eastAsia="Times New Roman" w:hAnsi="Times New Roman" w:cs="Times New Roman"/>
                                      <w:b/>
                                      <w:bCs/>
                                      <w:color w:val="FFFFFF"/>
                                      <w:spacing w:val="0"/>
                                      <w:w w:val="100"/>
                                      <w:position w:val="0"/>
                                      <w:sz w:val="40"/>
                                      <w:szCs w:val="40"/>
                                    </w:rPr>
                                    <w:t>1</w:t>
                                  </w:r>
                                  <w:r>
                                    <w:rPr>
                                      <w:b/>
                                      <w:bCs/>
                                      <w:color w:val="FFFFFF"/>
                                      <w:spacing w:val="0"/>
                                      <w:w w:val="100"/>
                                      <w:position w:val="0"/>
                                      <w:sz w:val="17"/>
                                      <w:szCs w:val="17"/>
                                    </w:rPr>
                                    <w:t>医疗卫生</w:t>
                                  </w:r>
                                </w:p>
                              </w:tc>
                              <w:tc>
                                <w:tcPr>
                                  <w:tcBorders/>
                                  <w:shd w:val="clear" w:color="auto" w:fill="3DB1FC"/>
                                  <w:vAlign w:val="top"/>
                                </w:tcPr>
                                <w:p>
                                  <w:pPr>
                                    <w:pStyle w:val="Style2"/>
                                    <w:keepNext w:val="0"/>
                                    <w:keepLines w:val="0"/>
                                    <w:widowControl w:val="0"/>
                                    <w:pBdr>
                                      <w:top w:val="single" w:sz="0" w:space="0" w:color="3DB1FC"/>
                                      <w:left w:val="single" w:sz="0" w:space="0" w:color="3DB1FC"/>
                                      <w:bottom w:val="single" w:sz="0" w:space="0" w:color="3DB1FC"/>
                                      <w:right w:val="single" w:sz="0" w:space="0" w:color="3DB1FC"/>
                                    </w:pBdr>
                                    <w:shd w:val="clear" w:color="auto" w:fill="3DB1FC"/>
                                    <w:bidi w:val="0"/>
                                    <w:spacing w:before="0" w:after="0" w:line="240" w:lineRule="auto"/>
                                    <w:ind w:left="0" w:right="0" w:firstLine="0"/>
                                    <w:jc w:val="center"/>
                                    <w:rPr>
                                      <w:sz w:val="40"/>
                                      <w:szCs w:val="40"/>
                                    </w:rPr>
                                  </w:pPr>
                                  <w:r>
                                    <w:rPr>
                                      <w:b/>
                                      <w:bCs/>
                                      <w:color w:val="FFFFFF"/>
                                      <w:spacing w:val="0"/>
                                      <w:w w:val="100"/>
                                      <w:position w:val="0"/>
                                      <w:sz w:val="17"/>
                                      <w:szCs w:val="17"/>
                                    </w:rPr>
                                    <w:t>民生保障</w:t>
                                  </w:r>
                                  <w:r>
                                    <w:rPr>
                                      <w:rFonts w:ascii="Times New Roman" w:eastAsia="Times New Roman" w:hAnsi="Times New Roman" w:cs="Times New Roman"/>
                                      <w:b/>
                                      <w:bCs/>
                                      <w:color w:val="FFFFFF"/>
                                      <w:spacing w:val="0"/>
                                      <w:w w:val="100"/>
                                      <w:position w:val="0"/>
                                      <w:sz w:val="40"/>
                                      <w:szCs w:val="40"/>
                                    </w:rPr>
                                    <w:t>1</w:t>
                                  </w:r>
                                </w:p>
                              </w:tc>
                              <w:tc>
                                <w:tcPr>
                                  <w:tcBorders/>
                                  <w:shd w:val="clear" w:color="auto" w:fill="3DB1FC"/>
                                  <w:vAlign w:val="top"/>
                                </w:tcPr>
                                <w:p>
                                  <w:pPr>
                                    <w:pStyle w:val="Style2"/>
                                    <w:keepNext w:val="0"/>
                                    <w:keepLines w:val="0"/>
                                    <w:widowControl w:val="0"/>
                                    <w:pBdr>
                                      <w:top w:val="single" w:sz="0" w:space="0" w:color="3DB1FC"/>
                                      <w:left w:val="single" w:sz="0" w:space="0" w:color="3DB1FC"/>
                                      <w:bottom w:val="single" w:sz="0" w:space="0" w:color="3DB1FC"/>
                                      <w:right w:val="single" w:sz="0" w:space="0" w:color="3DB1FC"/>
                                    </w:pBdr>
                                    <w:shd w:val="clear" w:color="auto" w:fill="3DB1FC"/>
                                    <w:bidi w:val="0"/>
                                    <w:spacing w:before="0" w:after="0" w:line="240" w:lineRule="auto"/>
                                    <w:ind w:left="0" w:right="0" w:firstLine="0"/>
                                    <w:jc w:val="right"/>
                                    <w:rPr>
                                      <w:sz w:val="17"/>
                                      <w:szCs w:val="17"/>
                                    </w:rPr>
                                  </w:pPr>
                                  <w:r>
                                    <w:rPr>
                                      <w:rFonts w:ascii="Times New Roman" w:eastAsia="Times New Roman" w:hAnsi="Times New Roman" w:cs="Times New Roman"/>
                                      <w:b/>
                                      <w:bCs/>
                                      <w:color w:val="FFFFFF"/>
                                      <w:spacing w:val="0"/>
                                      <w:w w:val="100"/>
                                      <w:position w:val="0"/>
                                      <w:sz w:val="40"/>
                                      <w:szCs w:val="40"/>
                                    </w:rPr>
                                    <w:t>1</w:t>
                                  </w:r>
                                  <w:r>
                                    <w:rPr>
                                      <w:b/>
                                      <w:bCs/>
                                      <w:color w:val="FFFFFF"/>
                                      <w:spacing w:val="0"/>
                                      <w:w w:val="100"/>
                                      <w:position w:val="0"/>
                                      <w:sz w:val="17"/>
                                      <w:szCs w:val="17"/>
                                    </w:rPr>
                                    <w:t>智慧教育</w:t>
                                  </w:r>
                                </w:p>
                              </w:tc>
                            </w:tr>
                          </w:tbl>
                          <w:p>
                            <w:pPr>
                              <w:widowControl w:val="0"/>
                              <w:spacing w:line="1" w:lineRule="exact"/>
                            </w:pP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135.25pt;margin-top:19.pt;width:342.5pt;height:15.6pt;z-index:-125829374;mso-wrap-distance-left:0;mso-wrap-distance-top:19.pt;mso-wrap-distance-right:2.3999999999999999pt;mso-wrap-distance-bottom:96.950000000000003pt;mso-position-horizontal-relative:page" filled="f" stroked="f">
                <v:textbox inset="0,0,0,0">
                  <w:txbxContent>
                    <w:tbl>
                      <w:tblPr>
                        <w:tblOverlap w:val="never"/>
                        <w:jc w:val="left"/>
                        <w:tblLayout w:type="fixed"/>
                      </w:tblPr>
                      <w:tblGrid>
                        <w:gridCol w:w="955"/>
                        <w:gridCol w:w="965"/>
                        <w:gridCol w:w="1018"/>
                        <w:gridCol w:w="960"/>
                        <w:gridCol w:w="1013"/>
                        <w:gridCol w:w="998"/>
                        <w:gridCol w:w="941"/>
                      </w:tblGrid>
                      <w:tr>
                        <w:trPr>
                          <w:tblHeader/>
                          <w:trHeight w:val="312" w:hRule="exact"/>
                        </w:trPr>
                        <w:tc>
                          <w:tcPr>
                            <w:tcBorders/>
                            <w:shd w:val="clear" w:color="auto" w:fill="3DB1FC"/>
                            <w:vAlign w:val="top"/>
                          </w:tcPr>
                          <w:p>
                            <w:pPr>
                              <w:pStyle w:val="Style2"/>
                              <w:keepNext w:val="0"/>
                              <w:keepLines w:val="0"/>
                              <w:widowControl w:val="0"/>
                              <w:pBdr>
                                <w:top w:val="single" w:sz="0" w:space="0" w:color="3DB1FC"/>
                                <w:left w:val="single" w:sz="0" w:space="0" w:color="3DB1FC"/>
                                <w:bottom w:val="single" w:sz="0" w:space="0" w:color="3DB1FC"/>
                                <w:right w:val="single" w:sz="0" w:space="0" w:color="3DB1FC"/>
                              </w:pBdr>
                              <w:shd w:val="clear" w:color="auto" w:fill="3DB1FC"/>
                              <w:bidi w:val="0"/>
                              <w:spacing w:before="0" w:after="0" w:line="240" w:lineRule="auto"/>
                              <w:ind w:left="0" w:right="0" w:firstLine="0"/>
                              <w:jc w:val="center"/>
                              <w:rPr>
                                <w:sz w:val="17"/>
                                <w:szCs w:val="17"/>
                              </w:rPr>
                            </w:pPr>
                            <w:r>
                              <w:rPr>
                                <w:b/>
                                <w:bCs/>
                                <w:color w:val="FFFFFF"/>
                                <w:spacing w:val="0"/>
                                <w:w w:val="100"/>
                                <w:position w:val="0"/>
                                <w:sz w:val="17"/>
                                <w:szCs w:val="17"/>
                              </w:rPr>
                              <w:t>智慧政务</w:t>
                            </w:r>
                          </w:p>
                        </w:tc>
                        <w:tc>
                          <w:tcPr>
                            <w:tcBorders/>
                            <w:shd w:val="clear" w:color="auto" w:fill="3DB1FC"/>
                            <w:vAlign w:val="top"/>
                          </w:tcPr>
                          <w:p>
                            <w:pPr>
                              <w:pStyle w:val="Style2"/>
                              <w:keepNext w:val="0"/>
                              <w:keepLines w:val="0"/>
                              <w:widowControl w:val="0"/>
                              <w:pBdr>
                                <w:top w:val="single" w:sz="0" w:space="0" w:color="3DB1FC"/>
                                <w:left w:val="single" w:sz="0" w:space="0" w:color="3DB1FC"/>
                                <w:bottom w:val="single" w:sz="0" w:space="0" w:color="3DB1FC"/>
                                <w:right w:val="single" w:sz="0" w:space="0" w:color="3DB1FC"/>
                              </w:pBdr>
                              <w:shd w:val="clear" w:color="auto" w:fill="3DB1FC"/>
                              <w:bidi w:val="0"/>
                              <w:spacing w:before="0" w:after="0" w:line="240" w:lineRule="auto"/>
                              <w:ind w:left="0" w:right="0" w:firstLine="0"/>
                              <w:jc w:val="center"/>
                              <w:rPr>
                                <w:sz w:val="17"/>
                                <w:szCs w:val="17"/>
                              </w:rPr>
                            </w:pPr>
                            <w:r>
                              <w:rPr>
                                <w:b/>
                                <w:bCs/>
                                <w:color w:val="FFFFFF"/>
                                <w:spacing w:val="0"/>
                                <w:w w:val="100"/>
                                <w:position w:val="0"/>
                                <w:sz w:val="17"/>
                                <w:szCs w:val="17"/>
                              </w:rPr>
                              <w:t>市场监管</w:t>
                            </w:r>
                          </w:p>
                        </w:tc>
                        <w:tc>
                          <w:tcPr>
                            <w:tcBorders/>
                            <w:shd w:val="clear" w:color="auto" w:fill="3DB1FC"/>
                            <w:vAlign w:val="top"/>
                          </w:tcPr>
                          <w:p>
                            <w:pPr>
                              <w:pStyle w:val="Style2"/>
                              <w:keepNext w:val="0"/>
                              <w:keepLines w:val="0"/>
                              <w:widowControl w:val="0"/>
                              <w:pBdr>
                                <w:top w:val="single" w:sz="0" w:space="0" w:color="3DB1FC"/>
                                <w:left w:val="single" w:sz="0" w:space="0" w:color="3DB1FC"/>
                                <w:bottom w:val="single" w:sz="0" w:space="0" w:color="3DB1FC"/>
                                <w:right w:val="single" w:sz="0" w:space="0" w:color="3DB1FC"/>
                              </w:pBdr>
                              <w:shd w:val="clear" w:color="auto" w:fill="3DB1FC"/>
                              <w:bidi w:val="0"/>
                              <w:spacing w:before="0" w:after="0" w:line="240" w:lineRule="auto"/>
                              <w:ind w:left="0" w:right="0" w:firstLine="0"/>
                              <w:jc w:val="center"/>
                              <w:rPr>
                                <w:sz w:val="17"/>
                                <w:szCs w:val="17"/>
                              </w:rPr>
                            </w:pPr>
                            <w:r>
                              <w:rPr>
                                <w:b/>
                                <w:bCs/>
                                <w:color w:val="FFFFFF"/>
                                <w:spacing w:val="0"/>
                                <w:w w:val="100"/>
                                <w:position w:val="0"/>
                                <w:sz w:val="17"/>
                                <w:szCs w:val="17"/>
                              </w:rPr>
                              <w:t>城市安全</w:t>
                            </w:r>
                          </w:p>
                        </w:tc>
                        <w:tc>
                          <w:tcPr>
                            <w:tcBorders/>
                            <w:shd w:val="clear" w:color="auto" w:fill="3DB1FC"/>
                            <w:vAlign w:val="top"/>
                          </w:tcPr>
                          <w:p>
                            <w:pPr>
                              <w:pStyle w:val="Style2"/>
                              <w:keepNext w:val="0"/>
                              <w:keepLines w:val="0"/>
                              <w:widowControl w:val="0"/>
                              <w:pBdr>
                                <w:top w:val="single" w:sz="0" w:space="0" w:color="3DB1FC"/>
                                <w:left w:val="single" w:sz="0" w:space="0" w:color="3DB1FC"/>
                                <w:bottom w:val="single" w:sz="0" w:space="0" w:color="3DB1FC"/>
                                <w:right w:val="single" w:sz="0" w:space="0" w:color="3DB1FC"/>
                              </w:pBdr>
                              <w:shd w:val="clear" w:color="auto" w:fill="3DB1FC"/>
                              <w:bidi w:val="0"/>
                              <w:spacing w:before="0" w:after="0" w:line="240" w:lineRule="auto"/>
                              <w:ind w:left="0" w:right="0" w:firstLine="0"/>
                              <w:jc w:val="center"/>
                              <w:rPr>
                                <w:sz w:val="40"/>
                                <w:szCs w:val="40"/>
                              </w:rPr>
                            </w:pPr>
                            <w:r>
                              <w:rPr>
                                <w:b/>
                                <w:bCs/>
                                <w:color w:val="FFFFFF"/>
                                <w:spacing w:val="0"/>
                                <w:w w:val="100"/>
                                <w:position w:val="0"/>
                                <w:sz w:val="17"/>
                                <w:szCs w:val="17"/>
                              </w:rPr>
                              <w:t>健康管理</w:t>
                            </w:r>
                            <w:r>
                              <w:rPr>
                                <w:rFonts w:ascii="Times New Roman" w:eastAsia="Times New Roman" w:hAnsi="Times New Roman" w:cs="Times New Roman"/>
                                <w:b/>
                                <w:bCs/>
                                <w:color w:val="FFFFFF"/>
                                <w:spacing w:val="0"/>
                                <w:w w:val="100"/>
                                <w:position w:val="0"/>
                                <w:sz w:val="40"/>
                                <w:szCs w:val="40"/>
                              </w:rPr>
                              <w:t>1</w:t>
                            </w:r>
                          </w:p>
                        </w:tc>
                        <w:tc>
                          <w:tcPr>
                            <w:tcBorders/>
                            <w:shd w:val="clear" w:color="auto" w:fill="3DB1FC"/>
                            <w:vAlign w:val="top"/>
                          </w:tcPr>
                          <w:p>
                            <w:pPr>
                              <w:pStyle w:val="Style2"/>
                              <w:keepNext w:val="0"/>
                              <w:keepLines w:val="0"/>
                              <w:widowControl w:val="0"/>
                              <w:pBdr>
                                <w:top w:val="single" w:sz="0" w:space="0" w:color="3DB1FC"/>
                                <w:left w:val="single" w:sz="0" w:space="0" w:color="3DB1FC"/>
                                <w:bottom w:val="single" w:sz="0" w:space="0" w:color="3DB1FC"/>
                                <w:right w:val="single" w:sz="0" w:space="0" w:color="3DB1FC"/>
                              </w:pBdr>
                              <w:shd w:val="clear" w:color="auto" w:fill="3DB1FC"/>
                              <w:bidi w:val="0"/>
                              <w:spacing w:before="0" w:after="0" w:line="240" w:lineRule="auto"/>
                              <w:ind w:left="0" w:right="0" w:firstLine="0"/>
                              <w:jc w:val="right"/>
                              <w:rPr>
                                <w:sz w:val="17"/>
                                <w:szCs w:val="17"/>
                              </w:rPr>
                            </w:pPr>
                            <w:r>
                              <w:rPr>
                                <w:rFonts w:ascii="Times New Roman" w:eastAsia="Times New Roman" w:hAnsi="Times New Roman" w:cs="Times New Roman"/>
                                <w:b/>
                                <w:bCs/>
                                <w:color w:val="FFFFFF"/>
                                <w:spacing w:val="0"/>
                                <w:w w:val="100"/>
                                <w:position w:val="0"/>
                                <w:sz w:val="40"/>
                                <w:szCs w:val="40"/>
                              </w:rPr>
                              <w:t>1</w:t>
                            </w:r>
                            <w:r>
                              <w:rPr>
                                <w:b/>
                                <w:bCs/>
                                <w:color w:val="FFFFFF"/>
                                <w:spacing w:val="0"/>
                                <w:w w:val="100"/>
                                <w:position w:val="0"/>
                                <w:sz w:val="17"/>
                                <w:szCs w:val="17"/>
                              </w:rPr>
                              <w:t>医疗卫生</w:t>
                            </w:r>
                          </w:p>
                        </w:tc>
                        <w:tc>
                          <w:tcPr>
                            <w:tcBorders/>
                            <w:shd w:val="clear" w:color="auto" w:fill="3DB1FC"/>
                            <w:vAlign w:val="top"/>
                          </w:tcPr>
                          <w:p>
                            <w:pPr>
                              <w:pStyle w:val="Style2"/>
                              <w:keepNext w:val="0"/>
                              <w:keepLines w:val="0"/>
                              <w:widowControl w:val="0"/>
                              <w:pBdr>
                                <w:top w:val="single" w:sz="0" w:space="0" w:color="3DB1FC"/>
                                <w:left w:val="single" w:sz="0" w:space="0" w:color="3DB1FC"/>
                                <w:bottom w:val="single" w:sz="0" w:space="0" w:color="3DB1FC"/>
                                <w:right w:val="single" w:sz="0" w:space="0" w:color="3DB1FC"/>
                              </w:pBdr>
                              <w:shd w:val="clear" w:color="auto" w:fill="3DB1FC"/>
                              <w:bidi w:val="0"/>
                              <w:spacing w:before="0" w:after="0" w:line="240" w:lineRule="auto"/>
                              <w:ind w:left="0" w:right="0" w:firstLine="0"/>
                              <w:jc w:val="center"/>
                              <w:rPr>
                                <w:sz w:val="40"/>
                                <w:szCs w:val="40"/>
                              </w:rPr>
                            </w:pPr>
                            <w:r>
                              <w:rPr>
                                <w:b/>
                                <w:bCs/>
                                <w:color w:val="FFFFFF"/>
                                <w:spacing w:val="0"/>
                                <w:w w:val="100"/>
                                <w:position w:val="0"/>
                                <w:sz w:val="17"/>
                                <w:szCs w:val="17"/>
                              </w:rPr>
                              <w:t>民生保障</w:t>
                            </w:r>
                            <w:r>
                              <w:rPr>
                                <w:rFonts w:ascii="Times New Roman" w:eastAsia="Times New Roman" w:hAnsi="Times New Roman" w:cs="Times New Roman"/>
                                <w:b/>
                                <w:bCs/>
                                <w:color w:val="FFFFFF"/>
                                <w:spacing w:val="0"/>
                                <w:w w:val="100"/>
                                <w:position w:val="0"/>
                                <w:sz w:val="40"/>
                                <w:szCs w:val="40"/>
                              </w:rPr>
                              <w:t>1</w:t>
                            </w:r>
                          </w:p>
                        </w:tc>
                        <w:tc>
                          <w:tcPr>
                            <w:tcBorders/>
                            <w:shd w:val="clear" w:color="auto" w:fill="3DB1FC"/>
                            <w:vAlign w:val="top"/>
                          </w:tcPr>
                          <w:p>
                            <w:pPr>
                              <w:pStyle w:val="Style2"/>
                              <w:keepNext w:val="0"/>
                              <w:keepLines w:val="0"/>
                              <w:widowControl w:val="0"/>
                              <w:pBdr>
                                <w:top w:val="single" w:sz="0" w:space="0" w:color="3DB1FC"/>
                                <w:left w:val="single" w:sz="0" w:space="0" w:color="3DB1FC"/>
                                <w:bottom w:val="single" w:sz="0" w:space="0" w:color="3DB1FC"/>
                                <w:right w:val="single" w:sz="0" w:space="0" w:color="3DB1FC"/>
                              </w:pBdr>
                              <w:shd w:val="clear" w:color="auto" w:fill="3DB1FC"/>
                              <w:bidi w:val="0"/>
                              <w:spacing w:before="0" w:after="0" w:line="240" w:lineRule="auto"/>
                              <w:ind w:left="0" w:right="0" w:firstLine="0"/>
                              <w:jc w:val="right"/>
                              <w:rPr>
                                <w:sz w:val="17"/>
                                <w:szCs w:val="17"/>
                              </w:rPr>
                            </w:pPr>
                            <w:r>
                              <w:rPr>
                                <w:rFonts w:ascii="Times New Roman" w:eastAsia="Times New Roman" w:hAnsi="Times New Roman" w:cs="Times New Roman"/>
                                <w:b/>
                                <w:bCs/>
                                <w:color w:val="FFFFFF"/>
                                <w:spacing w:val="0"/>
                                <w:w w:val="100"/>
                                <w:position w:val="0"/>
                                <w:sz w:val="40"/>
                                <w:szCs w:val="40"/>
                              </w:rPr>
                              <w:t>1</w:t>
                            </w:r>
                            <w:r>
                              <w:rPr>
                                <w:b/>
                                <w:bCs/>
                                <w:color w:val="FFFFFF"/>
                                <w:spacing w:val="0"/>
                                <w:w w:val="100"/>
                                <w:position w:val="0"/>
                                <w:sz w:val="17"/>
                                <w:szCs w:val="17"/>
                              </w:rPr>
                              <w:t>智慧教育</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1790700</wp:posOffset>
                </wp:positionH>
                <wp:positionV relativeFrom="paragraph">
                  <wp:posOffset>631190</wp:posOffset>
                </wp:positionV>
                <wp:extent cx="4306570" cy="372110"/>
                <wp:wrapNone/>
                <wp:docPr id="5" name="Shape 5"/>
                <a:graphic xmlns:a="http://schemas.openxmlformats.org/drawingml/2006/main">
                  <a:graphicData uri="http://schemas.microsoft.com/office/word/2010/wordprocessingShape">
                    <wps:wsp>
                      <wps:cNvSpPr txBox="1"/>
                      <wps:spPr>
                        <a:xfrm>
                          <a:ext cx="4306570" cy="372110"/>
                        </a:xfrm>
                        <a:prstGeom prst="rect"/>
                        <a:noFill/>
                      </wps:spPr>
                      <wps:txbx>
                        <w:txbxContent>
                          <w:p>
                            <w:pPr>
                              <w:pStyle w:val="Style26"/>
                              <w:keepNext w:val="0"/>
                              <w:keepLines w:val="0"/>
                              <w:widowControl w:val="0"/>
                              <w:pBdr>
                                <w:top w:val="single" w:sz="0" w:space="0" w:color="0071C1"/>
                                <w:left w:val="single" w:sz="0" w:space="0" w:color="0071C1"/>
                                <w:bottom w:val="single" w:sz="0" w:space="0" w:color="0071C1"/>
                                <w:right w:val="single" w:sz="0" w:space="0" w:color="0071C1"/>
                              </w:pBdr>
                              <w:shd w:val="clear" w:color="auto" w:fill="0071C1"/>
                              <w:tabs>
                                <w:tab w:pos="2057" w:val="left"/>
                                <w:tab w:pos="3338" w:val="left"/>
                                <w:tab w:pos="3842" w:val="left"/>
                                <w:tab w:pos="5124" w:val="left"/>
                              </w:tabs>
                              <w:bidi w:val="0"/>
                              <w:spacing w:before="0" w:after="0" w:line="240" w:lineRule="auto"/>
                              <w:ind w:left="0" w:right="0" w:firstLine="180"/>
                              <w:jc w:val="left"/>
                            </w:pPr>
                            <w:r>
                              <w:rPr>
                                <w:spacing w:val="0"/>
                                <w:w w:val="100"/>
                                <w:position w:val="0"/>
                              </w:rPr>
                              <w:t>信</w:t>
                            </w:r>
                            <w:r>
                              <w:rPr>
                                <w:color w:val="FFFFFF"/>
                                <w:spacing w:val="0"/>
                                <w:w w:val="100"/>
                                <w:position w:val="0"/>
                              </w:rPr>
                              <w:t xml:space="preserve">息技术应用创新能力 </w:t>
                            </w:r>
                            <w:r>
                              <w:rPr>
                                <w:rFonts w:ascii="Courier New" w:eastAsia="Courier New" w:hAnsi="Courier New" w:cs="Courier New"/>
                                <w:color w:val="FFFFFF"/>
                                <w:spacing w:val="0"/>
                                <w:w w:val="100"/>
                                <w:position w:val="0"/>
                                <w:sz w:val="26"/>
                                <w:szCs w:val="26"/>
                              </w:rPr>
                              <w:t>Y</w:t>
                              <w:tab/>
                            </w:r>
                            <w:r>
                              <w:rPr>
                                <w:color w:val="FFFFFF"/>
                                <w:spacing w:val="0"/>
                                <w:w w:val="100"/>
                                <w:position w:val="0"/>
                              </w:rPr>
                              <w:t>系统集成业务能力</w:t>
                              <w:tab/>
                            </w:r>
                            <w:r>
                              <w:rPr>
                                <w:rFonts w:ascii="Courier New" w:eastAsia="Courier New" w:hAnsi="Courier New" w:cs="Courier New"/>
                                <w:color w:val="FFFFFF"/>
                                <w:spacing w:val="0"/>
                                <w:w w:val="100"/>
                                <w:position w:val="0"/>
                                <w:sz w:val="26"/>
                                <w:szCs w:val="26"/>
                              </w:rPr>
                              <w:t>y</w:t>
                              <w:tab/>
                            </w:r>
                            <w:r>
                              <w:rPr>
                                <w:color w:val="FFFFFF"/>
                                <w:spacing w:val="0"/>
                                <w:w w:val="100"/>
                                <w:position w:val="0"/>
                              </w:rPr>
                              <w:t>网络安全服务能力</w:t>
                              <w:tab/>
                            </w:r>
                            <w:r>
                              <w:rPr>
                                <w:rFonts w:ascii="Courier New" w:eastAsia="Courier New" w:hAnsi="Courier New" w:cs="Courier New"/>
                                <w:color w:val="FFFFFF"/>
                                <w:spacing w:val="0"/>
                                <w:w w:val="100"/>
                                <w:position w:val="0"/>
                                <w:sz w:val="26"/>
                                <w:szCs w:val="26"/>
                              </w:rPr>
                              <w:t xml:space="preserve">Y </w:t>
                            </w:r>
                            <w:r>
                              <w:rPr>
                                <w:color w:val="FFFFFF"/>
                                <w:spacing w:val="0"/>
                                <w:w w:val="100"/>
                                <w:position w:val="0"/>
                              </w:rPr>
                              <w:t>数字园区建设能力</w:t>
                            </w:r>
                          </w:p>
                          <w:p>
                            <w:pPr>
                              <w:pStyle w:val="Style26"/>
                              <w:keepNext w:val="0"/>
                              <w:keepLines w:val="0"/>
                              <w:widowControl w:val="0"/>
                              <w:pBdr>
                                <w:top w:val="single" w:sz="0" w:space="0" w:color="0071C1"/>
                                <w:left w:val="single" w:sz="0" w:space="0" w:color="0071C1"/>
                                <w:bottom w:val="single" w:sz="0" w:space="0" w:color="0071C1"/>
                                <w:right w:val="single" w:sz="0" w:space="0" w:color="0071C1"/>
                              </w:pBdr>
                              <w:shd w:val="clear" w:color="auto" w:fill="0071C1"/>
                              <w:bidi w:val="0"/>
                              <w:spacing w:before="0" w:after="0" w:line="240" w:lineRule="auto"/>
                              <w:ind w:left="0" w:right="0" w:firstLine="0"/>
                              <w:jc w:val="left"/>
                            </w:pPr>
                            <w:r>
                              <w:rPr>
                                <w:spacing w:val="0"/>
                                <w:w w:val="100"/>
                                <w:position w:val="0"/>
                              </w:rPr>
                              <w:t>信创设计、咨询规划、集成</w:t>
                            </w:r>
                            <w:r>
                              <w:rPr>
                                <w:rFonts w:ascii="Courier New" w:eastAsia="Courier New" w:hAnsi="Courier New" w:cs="Courier New"/>
                                <w:color w:val="FFFFFF"/>
                                <w:spacing w:val="0"/>
                                <w:w w:val="100"/>
                                <w:position w:val="0"/>
                                <w:sz w:val="26"/>
                                <w:szCs w:val="26"/>
                              </w:rPr>
                              <w:t>I</w:t>
                            </w:r>
                            <w:r>
                              <w:rPr>
                                <w:color w:val="FFFFFF"/>
                                <w:spacing w:val="0"/>
                                <w:w w:val="100"/>
                                <w:position w:val="0"/>
                              </w:rPr>
                              <w:t>云计算、</w:t>
                            </w:r>
                            <w:r>
                              <w:rPr>
                                <w:spacing w:val="0"/>
                                <w:w w:val="100"/>
                                <w:position w:val="0"/>
                              </w:rPr>
                              <w:t>专</w:t>
                            </w:r>
                            <w:r>
                              <w:rPr>
                                <w:color w:val="FFFFFF"/>
                                <w:spacing w:val="0"/>
                                <w:w w:val="100"/>
                                <w:position w:val="0"/>
                              </w:rPr>
                              <w:t>用计算设备、</w:t>
                            </w:r>
                            <w:r>
                              <w:rPr>
                                <w:spacing w:val="0"/>
                                <w:w w:val="100"/>
                                <w:position w:val="0"/>
                              </w:rPr>
                              <w:t>分布</w:t>
                            </w:r>
                            <w:r>
                              <w:rPr>
                                <w:rFonts w:ascii="Courier New" w:eastAsia="Courier New" w:hAnsi="Courier New" w:cs="Courier New"/>
                                <w:color w:val="FFFFFF"/>
                                <w:spacing w:val="0"/>
                                <w:w w:val="100"/>
                                <w:position w:val="0"/>
                                <w:sz w:val="26"/>
                                <w:szCs w:val="26"/>
                              </w:rPr>
                              <w:t>I</w:t>
                            </w:r>
                            <w:r>
                              <w:rPr>
                                <w:spacing w:val="0"/>
                                <w:w w:val="100"/>
                                <w:position w:val="0"/>
                              </w:rPr>
                              <w:t xml:space="preserve">安全集或 </w:t>
                            </w:r>
                            <w:r>
                              <w:rPr>
                                <w:color w:val="FFFFFF"/>
                                <w:spacing w:val="0"/>
                                <w:w w:val="100"/>
                                <w:position w:val="0"/>
                              </w:rPr>
                              <w:t>安全</w:t>
                            </w:r>
                            <w:r>
                              <w:rPr>
                                <w:spacing w:val="0"/>
                                <w:w w:val="100"/>
                                <w:position w:val="0"/>
                              </w:rPr>
                              <w:t>咨询、安全</w:t>
                            </w:r>
                            <w:r>
                              <w:rPr>
                                <w:rFonts w:ascii="Courier New" w:eastAsia="Courier New" w:hAnsi="Courier New" w:cs="Courier New"/>
                                <w:color w:val="FFFFFF"/>
                                <w:spacing w:val="0"/>
                                <w:w w:val="100"/>
                                <w:position w:val="0"/>
                                <w:sz w:val="26"/>
                                <w:szCs w:val="26"/>
                              </w:rPr>
                              <w:t>I</w:t>
                            </w:r>
                            <w:r>
                              <w:rPr>
                                <w:spacing w:val="0"/>
                                <w:w w:val="100"/>
                                <w:position w:val="0"/>
                              </w:rPr>
                              <w:t>园区设计咨询、园区智慧</w:t>
                            </w:r>
                          </w:p>
                          <w:p>
                            <w:pPr>
                              <w:pStyle w:val="Style26"/>
                              <w:keepNext w:val="0"/>
                              <w:keepLines w:val="0"/>
                              <w:widowControl w:val="0"/>
                              <w:pBdr>
                                <w:top w:val="single" w:sz="0" w:space="0" w:color="0071C1"/>
                                <w:left w:val="single" w:sz="0" w:space="0" w:color="0071C1"/>
                                <w:bottom w:val="single" w:sz="0" w:space="0" w:color="0071C1"/>
                                <w:right w:val="single" w:sz="0" w:space="0" w:color="0071C1"/>
                              </w:pBdr>
                              <w:shd w:val="clear" w:color="auto" w:fill="0071C1"/>
                              <w:tabs>
                                <w:tab w:pos="1470" w:val="left"/>
                                <w:tab w:pos="5080" w:val="left"/>
                              </w:tabs>
                              <w:bidi w:val="0"/>
                              <w:spacing w:before="0" w:after="0" w:line="240" w:lineRule="auto"/>
                              <w:ind w:left="0" w:right="0" w:firstLine="520"/>
                              <w:jc w:val="left"/>
                            </w:pPr>
                            <w:r>
                              <w:rPr>
                                <w:spacing w:val="0"/>
                                <w:w w:val="100"/>
                                <w:position w:val="0"/>
                              </w:rPr>
                              <w:t>龄适闺</w:t>
                              <w:tab/>
                            </w:r>
                            <w:r>
                              <w:rPr>
                                <w:color w:val="FFFFFF"/>
                                <w:spacing w:val="0"/>
                                <w:w w:val="100"/>
                                <w:position w:val="0"/>
                              </w:rPr>
                              <w:t>人式</w:t>
                            </w:r>
                            <w:r>
                              <w:rPr>
                                <w:spacing w:val="0"/>
                                <w:w w:val="100"/>
                                <w:position w:val="0"/>
                              </w:rPr>
                              <w:t>存储、光磁融合存储、</w:t>
                            </w:r>
                            <w:r>
                              <w:rPr>
                                <w:rFonts w:ascii="Arial" w:eastAsia="Arial" w:hAnsi="Arial" w:cs="Arial"/>
                                <w:smallCaps/>
                                <w:spacing w:val="0"/>
                                <w:w w:val="100"/>
                                <w:position w:val="0"/>
                                <w:sz w:val="16"/>
                                <w:szCs w:val="16"/>
                              </w:rPr>
                              <w:t>idc</w:t>
                            </w:r>
                            <w:r>
                              <w:rPr>
                                <w:rFonts w:ascii="Courier New" w:eastAsia="Courier New" w:hAnsi="Courier New" w:cs="Courier New"/>
                                <w:spacing w:val="0"/>
                                <w:w w:val="100"/>
                                <w:position w:val="0"/>
                                <w:sz w:val="26"/>
                                <w:szCs w:val="26"/>
                              </w:rPr>
                              <w:t xml:space="preserve"> </w:t>
                            </w:r>
                            <w:r>
                              <w:rPr>
                                <w:rFonts w:ascii="Courier New" w:eastAsia="Courier New" w:hAnsi="Courier New" w:cs="Courier New"/>
                                <w:color w:val="FFFFFF"/>
                                <w:spacing w:val="0"/>
                                <w:w w:val="100"/>
                                <w:position w:val="0"/>
                                <w:sz w:val="26"/>
                                <w:szCs w:val="26"/>
                              </w:rPr>
                              <w:t xml:space="preserve">A </w:t>
                            </w:r>
                            <w:r>
                              <w:rPr>
                                <w:spacing w:val="0"/>
                                <w:w w:val="100"/>
                                <w:position w:val="0"/>
                              </w:rPr>
                              <w:t>应急.安全培训等</w:t>
                              <w:tab/>
                            </w:r>
                            <w:r>
                              <w:rPr>
                                <w:color w:val="FFFFFF"/>
                                <w:spacing w:val="0"/>
                                <w:w w:val="100"/>
                                <w:position w:val="0"/>
                              </w:rPr>
                              <w:t xml:space="preserve">入 </w:t>
                            </w:r>
                            <w:r>
                              <w:rPr>
                                <w:spacing w:val="0"/>
                                <w:w w:val="100"/>
                                <w:position w:val="0"/>
                              </w:rPr>
                              <w:t>施工、园区工程管麋</w:t>
                            </w:r>
                          </w:p>
                        </w:txbxContent>
                      </wps:txbx>
                      <wps:bodyPr lIns="0" tIns="0" rIns="0" bIns="0">
                        <a:noAutoFit/>
                      </wps:bodyPr>
                    </wps:wsp>
                  </a:graphicData>
                </a:graphic>
              </wp:anchor>
            </w:drawing>
          </mc:Choice>
          <mc:Fallback>
            <w:pict>
              <v:shape id="_x0000_s1031" type="#_x0000_t202" style="position:absolute;margin-left:141.pt;margin-top:49.700000000000003pt;width:339.10000000000002pt;height:29.300000000000001pt;z-index:251657729;mso-wrap-distance-left:0;mso-wrap-distance-right:0;mso-position-horizontal-relative:page" filled="f" stroked="f">
                <v:textbox inset="0,0,0,0">
                  <w:txbxContent>
                    <w:p>
                      <w:pPr>
                        <w:pStyle w:val="Style26"/>
                        <w:keepNext w:val="0"/>
                        <w:keepLines w:val="0"/>
                        <w:widowControl w:val="0"/>
                        <w:pBdr>
                          <w:top w:val="single" w:sz="0" w:space="0" w:color="0071C1"/>
                          <w:left w:val="single" w:sz="0" w:space="0" w:color="0071C1"/>
                          <w:bottom w:val="single" w:sz="0" w:space="0" w:color="0071C1"/>
                          <w:right w:val="single" w:sz="0" w:space="0" w:color="0071C1"/>
                        </w:pBdr>
                        <w:shd w:val="clear" w:color="auto" w:fill="0071C1"/>
                        <w:tabs>
                          <w:tab w:pos="2057" w:val="left"/>
                          <w:tab w:pos="3338" w:val="left"/>
                          <w:tab w:pos="3842" w:val="left"/>
                          <w:tab w:pos="5124" w:val="left"/>
                        </w:tabs>
                        <w:bidi w:val="0"/>
                        <w:spacing w:before="0" w:after="0" w:line="240" w:lineRule="auto"/>
                        <w:ind w:left="0" w:right="0" w:firstLine="180"/>
                        <w:jc w:val="left"/>
                      </w:pPr>
                      <w:r>
                        <w:rPr>
                          <w:spacing w:val="0"/>
                          <w:w w:val="100"/>
                          <w:position w:val="0"/>
                        </w:rPr>
                        <w:t>信</w:t>
                      </w:r>
                      <w:r>
                        <w:rPr>
                          <w:color w:val="FFFFFF"/>
                          <w:spacing w:val="0"/>
                          <w:w w:val="100"/>
                          <w:position w:val="0"/>
                        </w:rPr>
                        <w:t xml:space="preserve">息技术应用创新能力 </w:t>
                      </w:r>
                      <w:r>
                        <w:rPr>
                          <w:rFonts w:ascii="Courier New" w:eastAsia="Courier New" w:hAnsi="Courier New" w:cs="Courier New"/>
                          <w:color w:val="FFFFFF"/>
                          <w:spacing w:val="0"/>
                          <w:w w:val="100"/>
                          <w:position w:val="0"/>
                          <w:sz w:val="26"/>
                          <w:szCs w:val="26"/>
                        </w:rPr>
                        <w:t>Y</w:t>
                        <w:tab/>
                      </w:r>
                      <w:r>
                        <w:rPr>
                          <w:color w:val="FFFFFF"/>
                          <w:spacing w:val="0"/>
                          <w:w w:val="100"/>
                          <w:position w:val="0"/>
                        </w:rPr>
                        <w:t>系统集成业务能力</w:t>
                        <w:tab/>
                      </w:r>
                      <w:r>
                        <w:rPr>
                          <w:rFonts w:ascii="Courier New" w:eastAsia="Courier New" w:hAnsi="Courier New" w:cs="Courier New"/>
                          <w:color w:val="FFFFFF"/>
                          <w:spacing w:val="0"/>
                          <w:w w:val="100"/>
                          <w:position w:val="0"/>
                          <w:sz w:val="26"/>
                          <w:szCs w:val="26"/>
                        </w:rPr>
                        <w:t>y</w:t>
                        <w:tab/>
                      </w:r>
                      <w:r>
                        <w:rPr>
                          <w:color w:val="FFFFFF"/>
                          <w:spacing w:val="0"/>
                          <w:w w:val="100"/>
                          <w:position w:val="0"/>
                        </w:rPr>
                        <w:t>网络安全服务能力</w:t>
                        <w:tab/>
                      </w:r>
                      <w:r>
                        <w:rPr>
                          <w:rFonts w:ascii="Courier New" w:eastAsia="Courier New" w:hAnsi="Courier New" w:cs="Courier New"/>
                          <w:color w:val="FFFFFF"/>
                          <w:spacing w:val="0"/>
                          <w:w w:val="100"/>
                          <w:position w:val="0"/>
                          <w:sz w:val="26"/>
                          <w:szCs w:val="26"/>
                        </w:rPr>
                        <w:t xml:space="preserve">Y </w:t>
                      </w:r>
                      <w:r>
                        <w:rPr>
                          <w:color w:val="FFFFFF"/>
                          <w:spacing w:val="0"/>
                          <w:w w:val="100"/>
                          <w:position w:val="0"/>
                        </w:rPr>
                        <w:t>数字园区建设能力</w:t>
                      </w:r>
                    </w:p>
                    <w:p>
                      <w:pPr>
                        <w:pStyle w:val="Style26"/>
                        <w:keepNext w:val="0"/>
                        <w:keepLines w:val="0"/>
                        <w:widowControl w:val="0"/>
                        <w:pBdr>
                          <w:top w:val="single" w:sz="0" w:space="0" w:color="0071C1"/>
                          <w:left w:val="single" w:sz="0" w:space="0" w:color="0071C1"/>
                          <w:bottom w:val="single" w:sz="0" w:space="0" w:color="0071C1"/>
                          <w:right w:val="single" w:sz="0" w:space="0" w:color="0071C1"/>
                        </w:pBdr>
                        <w:shd w:val="clear" w:color="auto" w:fill="0071C1"/>
                        <w:bidi w:val="0"/>
                        <w:spacing w:before="0" w:after="0" w:line="240" w:lineRule="auto"/>
                        <w:ind w:left="0" w:right="0" w:firstLine="0"/>
                        <w:jc w:val="left"/>
                      </w:pPr>
                      <w:r>
                        <w:rPr>
                          <w:spacing w:val="0"/>
                          <w:w w:val="100"/>
                          <w:position w:val="0"/>
                        </w:rPr>
                        <w:t>信创设计、咨询规划、集成</w:t>
                      </w:r>
                      <w:r>
                        <w:rPr>
                          <w:rFonts w:ascii="Courier New" w:eastAsia="Courier New" w:hAnsi="Courier New" w:cs="Courier New"/>
                          <w:color w:val="FFFFFF"/>
                          <w:spacing w:val="0"/>
                          <w:w w:val="100"/>
                          <w:position w:val="0"/>
                          <w:sz w:val="26"/>
                          <w:szCs w:val="26"/>
                        </w:rPr>
                        <w:t>I</w:t>
                      </w:r>
                      <w:r>
                        <w:rPr>
                          <w:color w:val="FFFFFF"/>
                          <w:spacing w:val="0"/>
                          <w:w w:val="100"/>
                          <w:position w:val="0"/>
                        </w:rPr>
                        <w:t>云计算、</w:t>
                      </w:r>
                      <w:r>
                        <w:rPr>
                          <w:spacing w:val="0"/>
                          <w:w w:val="100"/>
                          <w:position w:val="0"/>
                        </w:rPr>
                        <w:t>专</w:t>
                      </w:r>
                      <w:r>
                        <w:rPr>
                          <w:color w:val="FFFFFF"/>
                          <w:spacing w:val="0"/>
                          <w:w w:val="100"/>
                          <w:position w:val="0"/>
                        </w:rPr>
                        <w:t>用计算设备、</w:t>
                      </w:r>
                      <w:r>
                        <w:rPr>
                          <w:spacing w:val="0"/>
                          <w:w w:val="100"/>
                          <w:position w:val="0"/>
                        </w:rPr>
                        <w:t>分布</w:t>
                      </w:r>
                      <w:r>
                        <w:rPr>
                          <w:rFonts w:ascii="Courier New" w:eastAsia="Courier New" w:hAnsi="Courier New" w:cs="Courier New"/>
                          <w:color w:val="FFFFFF"/>
                          <w:spacing w:val="0"/>
                          <w:w w:val="100"/>
                          <w:position w:val="0"/>
                          <w:sz w:val="26"/>
                          <w:szCs w:val="26"/>
                        </w:rPr>
                        <w:t>I</w:t>
                      </w:r>
                      <w:r>
                        <w:rPr>
                          <w:spacing w:val="0"/>
                          <w:w w:val="100"/>
                          <w:position w:val="0"/>
                        </w:rPr>
                        <w:t xml:space="preserve">安全集或 </w:t>
                      </w:r>
                      <w:r>
                        <w:rPr>
                          <w:color w:val="FFFFFF"/>
                          <w:spacing w:val="0"/>
                          <w:w w:val="100"/>
                          <w:position w:val="0"/>
                        </w:rPr>
                        <w:t>安全</w:t>
                      </w:r>
                      <w:r>
                        <w:rPr>
                          <w:spacing w:val="0"/>
                          <w:w w:val="100"/>
                          <w:position w:val="0"/>
                        </w:rPr>
                        <w:t>咨询、安全</w:t>
                      </w:r>
                      <w:r>
                        <w:rPr>
                          <w:rFonts w:ascii="Courier New" w:eastAsia="Courier New" w:hAnsi="Courier New" w:cs="Courier New"/>
                          <w:color w:val="FFFFFF"/>
                          <w:spacing w:val="0"/>
                          <w:w w:val="100"/>
                          <w:position w:val="0"/>
                          <w:sz w:val="26"/>
                          <w:szCs w:val="26"/>
                        </w:rPr>
                        <w:t>I</w:t>
                      </w:r>
                      <w:r>
                        <w:rPr>
                          <w:spacing w:val="0"/>
                          <w:w w:val="100"/>
                          <w:position w:val="0"/>
                        </w:rPr>
                        <w:t>园区设计咨询、园区智慧</w:t>
                      </w:r>
                    </w:p>
                    <w:p>
                      <w:pPr>
                        <w:pStyle w:val="Style26"/>
                        <w:keepNext w:val="0"/>
                        <w:keepLines w:val="0"/>
                        <w:widowControl w:val="0"/>
                        <w:pBdr>
                          <w:top w:val="single" w:sz="0" w:space="0" w:color="0071C1"/>
                          <w:left w:val="single" w:sz="0" w:space="0" w:color="0071C1"/>
                          <w:bottom w:val="single" w:sz="0" w:space="0" w:color="0071C1"/>
                          <w:right w:val="single" w:sz="0" w:space="0" w:color="0071C1"/>
                        </w:pBdr>
                        <w:shd w:val="clear" w:color="auto" w:fill="0071C1"/>
                        <w:tabs>
                          <w:tab w:pos="1470" w:val="left"/>
                          <w:tab w:pos="5080" w:val="left"/>
                        </w:tabs>
                        <w:bidi w:val="0"/>
                        <w:spacing w:before="0" w:after="0" w:line="240" w:lineRule="auto"/>
                        <w:ind w:left="0" w:right="0" w:firstLine="520"/>
                        <w:jc w:val="left"/>
                      </w:pPr>
                      <w:r>
                        <w:rPr>
                          <w:spacing w:val="0"/>
                          <w:w w:val="100"/>
                          <w:position w:val="0"/>
                        </w:rPr>
                        <w:t>龄适闺</w:t>
                        <w:tab/>
                      </w:r>
                      <w:r>
                        <w:rPr>
                          <w:color w:val="FFFFFF"/>
                          <w:spacing w:val="0"/>
                          <w:w w:val="100"/>
                          <w:position w:val="0"/>
                        </w:rPr>
                        <w:t>人式</w:t>
                      </w:r>
                      <w:r>
                        <w:rPr>
                          <w:spacing w:val="0"/>
                          <w:w w:val="100"/>
                          <w:position w:val="0"/>
                        </w:rPr>
                        <w:t>存储、光磁融合存储、</w:t>
                      </w:r>
                      <w:r>
                        <w:rPr>
                          <w:rFonts w:ascii="Arial" w:eastAsia="Arial" w:hAnsi="Arial" w:cs="Arial"/>
                          <w:smallCaps/>
                          <w:spacing w:val="0"/>
                          <w:w w:val="100"/>
                          <w:position w:val="0"/>
                          <w:sz w:val="16"/>
                          <w:szCs w:val="16"/>
                        </w:rPr>
                        <w:t>idc</w:t>
                      </w:r>
                      <w:r>
                        <w:rPr>
                          <w:rFonts w:ascii="Courier New" w:eastAsia="Courier New" w:hAnsi="Courier New" w:cs="Courier New"/>
                          <w:spacing w:val="0"/>
                          <w:w w:val="100"/>
                          <w:position w:val="0"/>
                          <w:sz w:val="26"/>
                          <w:szCs w:val="26"/>
                        </w:rPr>
                        <w:t xml:space="preserve"> </w:t>
                      </w:r>
                      <w:r>
                        <w:rPr>
                          <w:rFonts w:ascii="Courier New" w:eastAsia="Courier New" w:hAnsi="Courier New" w:cs="Courier New"/>
                          <w:color w:val="FFFFFF"/>
                          <w:spacing w:val="0"/>
                          <w:w w:val="100"/>
                          <w:position w:val="0"/>
                          <w:sz w:val="26"/>
                          <w:szCs w:val="26"/>
                        </w:rPr>
                        <w:t xml:space="preserve">A </w:t>
                      </w:r>
                      <w:r>
                        <w:rPr>
                          <w:spacing w:val="0"/>
                          <w:w w:val="100"/>
                          <w:position w:val="0"/>
                        </w:rPr>
                        <w:t>应急.安全培训等</w:t>
                        <w:tab/>
                      </w:r>
                      <w:r>
                        <w:rPr>
                          <w:color w:val="FFFFFF"/>
                          <w:spacing w:val="0"/>
                          <w:w w:val="100"/>
                          <w:position w:val="0"/>
                        </w:rPr>
                        <w:t xml:space="preserve">入 </w:t>
                      </w:r>
                      <w:r>
                        <w:rPr>
                          <w:spacing w:val="0"/>
                          <w:w w:val="100"/>
                          <w:position w:val="0"/>
                        </w:rPr>
                        <w:t>施工、园区工程管麋</w:t>
                      </w:r>
                    </w:p>
                  </w:txbxContent>
                </v:textbox>
                <w10:wrap anchorx="page"/>
              </v:shape>
            </w:pict>
          </mc:Fallback>
        </mc:AlternateContent>
      </w:r>
      <w:r>
        <mc:AlternateContent>
          <mc:Choice Requires="wps">
            <w:drawing>
              <wp:anchor distT="655955" distB="618490" distL="0" distR="0" simplePos="0" relativeHeight="125829381" behindDoc="0" locked="0" layoutInCell="1" allowOverlap="1">
                <wp:simplePos x="0" y="0"/>
                <wp:positionH relativeFrom="page">
                  <wp:posOffset>1318260</wp:posOffset>
                </wp:positionH>
                <wp:positionV relativeFrom="paragraph">
                  <wp:posOffset>655955</wp:posOffset>
                </wp:positionV>
                <wp:extent cx="133985" cy="396240"/>
                <wp:wrapTopAndBottom/>
                <wp:docPr id="7" name="Shape 7"/>
                <a:graphic xmlns:a="http://schemas.openxmlformats.org/drawingml/2006/main">
                  <a:graphicData uri="http://schemas.microsoft.com/office/word/2010/wordprocessingShape">
                    <wps:wsp>
                      <wps:cNvSpPr txBox="1"/>
                      <wps:spPr>
                        <a:xfrm>
                          <a:ext cx="133985" cy="39624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right"/>
                            </w:pPr>
                            <w:r>
                              <w:rPr>
                                <w:spacing w:val="0"/>
                                <w:w w:val="100"/>
                                <w:position w:val="0"/>
                              </w:rPr>
                              <w:t>技整能</w:t>
                            </w:r>
                          </w:p>
                        </w:txbxContent>
                      </wps:txbx>
                      <wps:bodyPr upright="1" vert="eaVert" lIns="0" tIns="0" rIns="0" bIns="0">
                        <a:noAutoFit/>
                      </wps:bodyPr>
                    </wps:wsp>
                  </a:graphicData>
                </a:graphic>
              </wp:anchor>
            </w:drawing>
          </mc:Choice>
          <mc:Fallback>
            <w:pict>
              <v:shape id="_x0000_s1033" type="#_x0000_t202" style="position:absolute;margin-left:103.8pt;margin-top:51.649999999999999pt;width:10.550000000000001pt;height:31.199999999999999pt;z-index:-125829372;mso-wrap-distance-left:0;mso-wrap-distance-top:51.649999999999999pt;mso-wrap-distance-right:0;mso-wrap-distance-bottom:48.700000000000003pt;mso-position-horizontal-relative:page" filled="f" stroked="f">
                <v:textbox style="layout-flow:vertical-ideographic" inset="0,0,0,0">
                  <w:txbxContent>
                    <w:p>
                      <w:pPr>
                        <w:pStyle w:val="Style42"/>
                        <w:keepNext w:val="0"/>
                        <w:keepLines w:val="0"/>
                        <w:widowControl w:val="0"/>
                        <w:shd w:val="clear" w:color="auto" w:fill="auto"/>
                        <w:bidi w:val="0"/>
                        <w:spacing w:before="0" w:after="0" w:line="240" w:lineRule="auto"/>
                        <w:ind w:left="0" w:right="0" w:firstLine="0"/>
                        <w:jc w:val="right"/>
                      </w:pPr>
                      <w:r>
                        <w:rPr>
                          <w:spacing w:val="0"/>
                          <w:w w:val="100"/>
                          <w:position w:val="0"/>
                        </w:rPr>
                        <w:t>技整能</w:t>
                      </w:r>
                    </w:p>
                  </w:txbxContent>
                </v:textbox>
                <w10:wrap type="topAndBottom" anchorx="page"/>
              </v:shape>
            </w:pict>
          </mc:Fallback>
        </mc:AlternateContent>
      </w:r>
      <w:r>
        <mc:AlternateContent>
          <mc:Choice Requires="wps">
            <w:drawing>
              <wp:anchor distT="655955" distB="618490" distL="0" distR="0" simplePos="0" relativeHeight="125829383" behindDoc="0" locked="0" layoutInCell="1" allowOverlap="1">
                <wp:simplePos x="0" y="0"/>
                <wp:positionH relativeFrom="page">
                  <wp:posOffset>1449070</wp:posOffset>
                </wp:positionH>
                <wp:positionV relativeFrom="paragraph">
                  <wp:posOffset>655955</wp:posOffset>
                </wp:positionV>
                <wp:extent cx="113030" cy="396240"/>
                <wp:wrapTopAndBottom/>
                <wp:docPr id="9" name="Shape 9"/>
                <a:graphic xmlns:a="http://schemas.openxmlformats.org/drawingml/2006/main">
                  <a:graphicData uri="http://schemas.microsoft.com/office/word/2010/wordprocessingShape">
                    <wps:wsp>
                      <wps:cNvSpPr txBox="1"/>
                      <wps:spPr>
                        <a:xfrm>
                          <a:ext cx="113030" cy="39624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both"/>
                            </w:pPr>
                            <w:r>
                              <w:rPr>
                                <w:spacing w:val="0"/>
                                <w:w w:val="100"/>
                                <w:position w:val="0"/>
                              </w:rPr>
                              <w:t>术合力</w:t>
                            </w:r>
                          </w:p>
                        </w:txbxContent>
                      </wps:txbx>
                      <wps:bodyPr upright="1" vert="eaVert" lIns="0" tIns="0" rIns="0" bIns="0">
                        <a:noAutoFit/>
                      </wps:bodyPr>
                    </wps:wsp>
                  </a:graphicData>
                </a:graphic>
              </wp:anchor>
            </w:drawing>
          </mc:Choice>
          <mc:Fallback>
            <w:pict>
              <v:shape id="_x0000_s1035" type="#_x0000_t202" style="position:absolute;margin-left:114.10000000000001pt;margin-top:51.649999999999999pt;width:8.9000000000000004pt;height:31.199999999999999pt;z-index:-125829370;mso-wrap-distance-left:0;mso-wrap-distance-top:51.649999999999999pt;mso-wrap-distance-right:0;mso-wrap-distance-bottom:48.700000000000003pt;mso-position-horizontal-relative:page" filled="f" stroked="f">
                <v:textbox style="layout-flow:vertical-ideographic" inset="0,0,0,0">
                  <w:txbxContent>
                    <w:p>
                      <w:pPr>
                        <w:pStyle w:val="Style42"/>
                        <w:keepNext w:val="0"/>
                        <w:keepLines w:val="0"/>
                        <w:widowControl w:val="0"/>
                        <w:shd w:val="clear" w:color="auto" w:fill="auto"/>
                        <w:bidi w:val="0"/>
                        <w:spacing w:before="0" w:after="0" w:line="240" w:lineRule="auto"/>
                        <w:ind w:left="0" w:right="0" w:firstLine="0"/>
                        <w:jc w:val="both"/>
                      </w:pPr>
                      <w:r>
                        <w:rPr>
                          <w:spacing w:val="0"/>
                          <w:w w:val="100"/>
                          <w:position w:val="0"/>
                        </w:rPr>
                        <w:t>术合力</w:t>
                      </w:r>
                    </w:p>
                  </w:txbxContent>
                </v:textbox>
                <w10:wrap type="topAndBottom" anchorx="page"/>
              </v:shape>
            </w:pict>
          </mc:Fallback>
        </mc:AlternateContent>
      </w:r>
      <w:r>
        <mc:AlternateContent>
          <mc:Choice Requires="wps">
            <w:drawing>
              <wp:anchor distT="905510" distB="533400" distL="0" distR="0" simplePos="0" relativeHeight="125829385" behindDoc="0" locked="0" layoutInCell="1" allowOverlap="1">
                <wp:simplePos x="0" y="0"/>
                <wp:positionH relativeFrom="page">
                  <wp:posOffset>2805430</wp:posOffset>
                </wp:positionH>
                <wp:positionV relativeFrom="paragraph">
                  <wp:posOffset>905510</wp:posOffset>
                </wp:positionV>
                <wp:extent cx="3502025" cy="231775"/>
                <wp:wrapTopAndBottom/>
                <wp:docPr id="11" name="Shape 11"/>
                <a:graphic xmlns:a="http://schemas.openxmlformats.org/drawingml/2006/main">
                  <a:graphicData uri="http://schemas.microsoft.com/office/word/2010/wordprocessingShape">
                    <wps:wsp>
                      <wps:cNvSpPr txBox="1"/>
                      <wps:spPr>
                        <a:xfrm>
                          <a:ext cx="3502025" cy="231775"/>
                        </a:xfrm>
                        <a:prstGeom prst="rect"/>
                        <a:noFill/>
                      </wps:spPr>
                      <wps:txbx>
                        <w:txbxContent>
                          <w:p>
                            <w:pPr>
                              <w:pStyle w:val="Style2"/>
                              <w:keepNext w:val="0"/>
                              <w:keepLines w:val="0"/>
                              <w:widowControl w:val="0"/>
                              <w:shd w:val="clear" w:color="auto" w:fill="auto"/>
                              <w:tabs>
                                <w:tab w:leader="hyphen" w:pos="1762" w:val="left"/>
                                <w:tab w:leader="hyphen" w:pos="3259" w:val="left"/>
                                <w:tab w:leader="hyphen" w:pos="3461" w:val="left"/>
                                <w:tab w:leader="dot" w:pos="5155" w:val="left"/>
                                <w:tab w:leader="dot" w:pos="5314" w:val="left"/>
                              </w:tabs>
                              <w:bidi w:val="0"/>
                              <w:spacing w:before="0" w:after="0" w:line="240" w:lineRule="auto"/>
                              <w:ind w:left="0" w:right="0" w:firstLine="0"/>
                              <w:jc w:val="left"/>
                              <w:rPr>
                                <w:sz w:val="30"/>
                                <w:szCs w:val="30"/>
                              </w:rPr>
                            </w:pPr>
                            <w:r>
                              <w:rPr>
                                <w:rFonts w:ascii="Times New Roman" w:eastAsia="Times New Roman" w:hAnsi="Times New Roman" w:cs="Times New Roman"/>
                                <w:color w:val="A8D4EB"/>
                                <w:spacing w:val="0"/>
                                <w:w w:val="100"/>
                                <w:position w:val="0"/>
                                <w:sz w:val="30"/>
                                <w:szCs w:val="30"/>
                              </w:rPr>
                              <w:t>v</w:t>
                            </w:r>
                            <w:r>
                              <w:rPr>
                                <w:rFonts w:ascii="Times New Roman" w:eastAsia="Times New Roman" w:hAnsi="Times New Roman" w:cs="Times New Roman"/>
                                <w:color w:val="A8D4EB"/>
                                <w:spacing w:val="0"/>
                                <w:w w:val="100"/>
                                <w:position w:val="0"/>
                                <w:sz w:val="30"/>
                                <w:szCs w:val="30"/>
                              </w:rPr>
                              <w:tab/>
                              <w:tab/>
                              <w:tab/>
                            </w:r>
                            <w:r>
                              <w:rPr>
                                <w:rFonts w:ascii="Times New Roman" w:eastAsia="Times New Roman" w:hAnsi="Times New Roman" w:cs="Times New Roman"/>
                                <w:color w:val="A8D4EB"/>
                                <w:spacing w:val="0"/>
                                <w:w w:val="100"/>
                                <w:position w:val="0"/>
                                <w:sz w:val="30"/>
                                <w:szCs w:val="30"/>
                              </w:rPr>
                              <w:t xml:space="preserve">-V </w:t>
                            </w:r>
                            <w:r>
                              <w:rPr>
                                <w:rFonts w:ascii="Times New Roman" w:eastAsia="Times New Roman" w:hAnsi="Times New Roman" w:cs="Times New Roman"/>
                                <w:color w:val="81B5D9"/>
                                <w:spacing w:val="0"/>
                                <w:w w:val="100"/>
                                <w:position w:val="0"/>
                                <w:sz w:val="30"/>
                                <w:szCs w:val="30"/>
                              </w:rPr>
                              <w:tab/>
                            </w:r>
                            <w:r>
                              <w:rPr>
                                <w:rFonts w:ascii="Times New Roman" w:eastAsia="Times New Roman" w:hAnsi="Times New Roman" w:cs="Times New Roman"/>
                                <w:color w:val="81B5D9"/>
                                <w:spacing w:val="0"/>
                                <w:w w:val="100"/>
                                <w:position w:val="0"/>
                                <w:sz w:val="30"/>
                                <w:szCs w:val="30"/>
                              </w:rPr>
                              <w:tab/>
                            </w:r>
                          </w:p>
                        </w:txbxContent>
                      </wps:txbx>
                      <wps:bodyPr wrap="none" lIns="0" tIns="0" rIns="0" bIns="0">
                        <a:noAutoFit/>
                      </wps:bodyPr>
                    </wps:wsp>
                  </a:graphicData>
                </a:graphic>
              </wp:anchor>
            </w:drawing>
          </mc:Choice>
          <mc:Fallback>
            <w:pict>
              <v:shape id="_x0000_s1037" type="#_x0000_t202" style="position:absolute;margin-left:220.90000000000001pt;margin-top:71.299999999999997pt;width:275.75pt;height:18.25pt;z-index:-125829368;mso-wrap-distance-left:0;mso-wrap-distance-top:71.299999999999997pt;mso-wrap-distance-right:0;mso-wrap-distance-bottom:42.pt;mso-position-horizontal-relative:page" filled="f" stroked="f">
                <v:textbox inset="0,0,0,0">
                  <w:txbxContent>
                    <w:p>
                      <w:pPr>
                        <w:pStyle w:val="Style2"/>
                        <w:keepNext w:val="0"/>
                        <w:keepLines w:val="0"/>
                        <w:widowControl w:val="0"/>
                        <w:shd w:val="clear" w:color="auto" w:fill="auto"/>
                        <w:tabs>
                          <w:tab w:leader="hyphen" w:pos="1762" w:val="left"/>
                          <w:tab w:leader="hyphen" w:pos="3259" w:val="left"/>
                          <w:tab w:leader="hyphen" w:pos="3461" w:val="left"/>
                          <w:tab w:leader="dot" w:pos="5155" w:val="left"/>
                          <w:tab w:leader="dot" w:pos="5314" w:val="left"/>
                        </w:tabs>
                        <w:bidi w:val="0"/>
                        <w:spacing w:before="0" w:after="0" w:line="240" w:lineRule="auto"/>
                        <w:ind w:left="0" w:right="0" w:firstLine="0"/>
                        <w:jc w:val="left"/>
                        <w:rPr>
                          <w:sz w:val="30"/>
                          <w:szCs w:val="30"/>
                        </w:rPr>
                      </w:pPr>
                      <w:r>
                        <w:rPr>
                          <w:rFonts w:ascii="Times New Roman" w:eastAsia="Times New Roman" w:hAnsi="Times New Roman" w:cs="Times New Roman"/>
                          <w:color w:val="A8D4EB"/>
                          <w:spacing w:val="0"/>
                          <w:w w:val="100"/>
                          <w:position w:val="0"/>
                          <w:sz w:val="30"/>
                          <w:szCs w:val="30"/>
                        </w:rPr>
                        <w:t>v</w:t>
                      </w:r>
                      <w:r>
                        <w:rPr>
                          <w:rFonts w:ascii="Times New Roman" w:eastAsia="Times New Roman" w:hAnsi="Times New Roman" w:cs="Times New Roman"/>
                          <w:color w:val="A8D4EB"/>
                          <w:spacing w:val="0"/>
                          <w:w w:val="100"/>
                          <w:position w:val="0"/>
                          <w:sz w:val="30"/>
                          <w:szCs w:val="30"/>
                        </w:rPr>
                        <w:tab/>
                        <w:tab/>
                        <w:tab/>
                      </w:r>
                      <w:r>
                        <w:rPr>
                          <w:rFonts w:ascii="Times New Roman" w:eastAsia="Times New Roman" w:hAnsi="Times New Roman" w:cs="Times New Roman"/>
                          <w:color w:val="A8D4EB"/>
                          <w:spacing w:val="0"/>
                          <w:w w:val="100"/>
                          <w:position w:val="0"/>
                          <w:sz w:val="30"/>
                          <w:szCs w:val="30"/>
                        </w:rPr>
                        <w:t xml:space="preserve">-V </w:t>
                      </w:r>
                      <w:r>
                        <w:rPr>
                          <w:rFonts w:ascii="Times New Roman" w:eastAsia="Times New Roman" w:hAnsi="Times New Roman" w:cs="Times New Roman"/>
                          <w:color w:val="81B5D9"/>
                          <w:spacing w:val="0"/>
                          <w:w w:val="100"/>
                          <w:position w:val="0"/>
                          <w:sz w:val="30"/>
                          <w:szCs w:val="30"/>
                        </w:rPr>
                        <w:tab/>
                      </w:r>
                      <w:r>
                        <w:rPr>
                          <w:rFonts w:ascii="Times New Roman" w:eastAsia="Times New Roman" w:hAnsi="Times New Roman" w:cs="Times New Roman"/>
                          <w:color w:val="81B5D9"/>
                          <w:spacing w:val="0"/>
                          <w:w w:val="100"/>
                          <w:position w:val="0"/>
                          <w:sz w:val="30"/>
                          <w:szCs w:val="30"/>
                        </w:rPr>
                        <w:tab/>
                      </w:r>
                    </w:p>
                  </w:txbxContent>
                </v:textbox>
                <w10:wrap type="topAndBottom" anchorx="page"/>
              </v:shape>
            </w:pict>
          </mc:Fallback>
        </mc:AlternateContent>
      </w:r>
      <w:r>
        <mc:AlternateContent>
          <mc:Choice Requires="wps">
            <w:drawing>
              <wp:anchor distT="1170940" distB="103505" distL="0" distR="0" simplePos="0" relativeHeight="125829387" behindDoc="0" locked="0" layoutInCell="1" allowOverlap="1">
                <wp:simplePos x="0" y="0"/>
                <wp:positionH relativeFrom="page">
                  <wp:posOffset>1318260</wp:posOffset>
                </wp:positionH>
                <wp:positionV relativeFrom="paragraph">
                  <wp:posOffset>1170940</wp:posOffset>
                </wp:positionV>
                <wp:extent cx="133985" cy="396240"/>
                <wp:wrapTopAndBottom/>
                <wp:docPr id="13" name="Shape 13"/>
                <a:graphic xmlns:a="http://schemas.openxmlformats.org/drawingml/2006/main">
                  <a:graphicData uri="http://schemas.microsoft.com/office/word/2010/wordprocessingShape">
                    <wps:wsp>
                      <wps:cNvSpPr txBox="1"/>
                      <wps:spPr>
                        <a:xfrm>
                          <a:ext cx="133985" cy="39624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both"/>
                            </w:pPr>
                            <w:r>
                              <w:rPr>
                                <w:spacing w:val="0"/>
                                <w:w w:val="100"/>
                                <w:position w:val="0"/>
                              </w:rPr>
                              <w:t>关技能</w:t>
                            </w:r>
                          </w:p>
                        </w:txbxContent>
                      </wps:txbx>
                      <wps:bodyPr upright="1" vert="eaVert" lIns="0" tIns="0" rIns="0" bIns="0">
                        <a:noAutoFit/>
                      </wps:bodyPr>
                    </wps:wsp>
                  </a:graphicData>
                </a:graphic>
              </wp:anchor>
            </w:drawing>
          </mc:Choice>
          <mc:Fallback>
            <w:pict>
              <v:shape id="_x0000_s1039" type="#_x0000_t202" style="position:absolute;margin-left:103.8pt;margin-top:92.200000000000003pt;width:10.550000000000001pt;height:31.199999999999999pt;z-index:-125829366;mso-wrap-distance-left:0;mso-wrap-distance-top:92.200000000000003pt;mso-wrap-distance-right:0;mso-wrap-distance-bottom:8.1500000000000004pt;mso-position-horizontal-relative:page" filled="f" stroked="f">
                <v:textbox style="layout-flow:vertical-ideographic" inset="0,0,0,0">
                  <w:txbxContent>
                    <w:p>
                      <w:pPr>
                        <w:pStyle w:val="Style42"/>
                        <w:keepNext w:val="0"/>
                        <w:keepLines w:val="0"/>
                        <w:widowControl w:val="0"/>
                        <w:shd w:val="clear" w:color="auto" w:fill="auto"/>
                        <w:bidi w:val="0"/>
                        <w:spacing w:before="0" w:after="0" w:line="240" w:lineRule="auto"/>
                        <w:ind w:left="0" w:right="0" w:firstLine="0"/>
                        <w:jc w:val="both"/>
                      </w:pPr>
                      <w:r>
                        <w:rPr>
                          <w:spacing w:val="0"/>
                          <w:w w:val="100"/>
                          <w:position w:val="0"/>
                        </w:rPr>
                        <w:t>关技能</w:t>
                      </w:r>
                    </w:p>
                  </w:txbxContent>
                </v:textbox>
                <w10:wrap type="topAndBottom" anchorx="page"/>
              </v:shape>
            </w:pict>
          </mc:Fallback>
        </mc:AlternateContent>
      </w:r>
      <w:r>
        <mc:AlternateContent>
          <mc:Choice Requires="wps">
            <w:drawing>
              <wp:anchor distT="1170940" distB="103505" distL="0" distR="0" simplePos="0" relativeHeight="125829389" behindDoc="0" locked="0" layoutInCell="1" allowOverlap="1">
                <wp:simplePos x="0" y="0"/>
                <wp:positionH relativeFrom="page">
                  <wp:posOffset>1449070</wp:posOffset>
                </wp:positionH>
                <wp:positionV relativeFrom="paragraph">
                  <wp:posOffset>1170940</wp:posOffset>
                </wp:positionV>
                <wp:extent cx="113030" cy="396240"/>
                <wp:wrapTopAndBottom/>
                <wp:docPr id="15" name="Shape 15"/>
                <a:graphic xmlns:a="http://schemas.openxmlformats.org/drawingml/2006/main">
                  <a:graphicData uri="http://schemas.microsoft.com/office/word/2010/wordprocessingShape">
                    <wps:wsp>
                      <wps:cNvSpPr txBox="1"/>
                      <wps:spPr>
                        <a:xfrm>
                          <a:ext cx="113030" cy="39624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both"/>
                            </w:pPr>
                            <w:r>
                              <w:rPr>
                                <w:spacing w:val="0"/>
                                <w:w w:val="100"/>
                                <w:position w:val="0"/>
                              </w:rPr>
                              <w:t>健术力</w:t>
                            </w:r>
                          </w:p>
                        </w:txbxContent>
                      </wps:txbx>
                      <wps:bodyPr upright="1" vert="eaVert" lIns="0" tIns="0" rIns="0" bIns="0">
                        <a:noAutoFit/>
                      </wps:bodyPr>
                    </wps:wsp>
                  </a:graphicData>
                </a:graphic>
              </wp:anchor>
            </w:drawing>
          </mc:Choice>
          <mc:Fallback>
            <w:pict>
              <v:shape id="_x0000_s1041" type="#_x0000_t202" style="position:absolute;margin-left:114.10000000000001pt;margin-top:92.200000000000003pt;width:8.9000000000000004pt;height:31.199999999999999pt;z-index:-125829364;mso-wrap-distance-left:0;mso-wrap-distance-top:92.200000000000003pt;mso-wrap-distance-right:0;mso-wrap-distance-bottom:8.1500000000000004pt;mso-position-horizontal-relative:page" filled="f" stroked="f">
                <v:textbox style="layout-flow:vertical-ideographic" inset="0,0,0,0">
                  <w:txbxContent>
                    <w:p>
                      <w:pPr>
                        <w:pStyle w:val="Style42"/>
                        <w:keepNext w:val="0"/>
                        <w:keepLines w:val="0"/>
                        <w:widowControl w:val="0"/>
                        <w:shd w:val="clear" w:color="auto" w:fill="auto"/>
                        <w:bidi w:val="0"/>
                        <w:spacing w:before="0" w:after="0" w:line="240" w:lineRule="auto"/>
                        <w:ind w:left="0" w:right="0" w:firstLine="0"/>
                        <w:jc w:val="both"/>
                      </w:pPr>
                      <w:r>
                        <w:rPr>
                          <w:spacing w:val="0"/>
                          <w:w w:val="100"/>
                          <w:position w:val="0"/>
                        </w:rPr>
                        <w:t>健术力</w:t>
                      </w:r>
                    </w:p>
                  </w:txbxContent>
                </v:textbox>
                <w10:wrap type="topAndBottom" anchorx="page"/>
              </v:shape>
            </w:pict>
          </mc:Fallback>
        </mc:AlternateContent>
      </w:r>
      <w:r>
        <mc:AlternateContent>
          <mc:Choice Requires="wps">
            <w:drawing>
              <wp:anchor distT="1484630" distB="0" distL="0" distR="0" simplePos="0" relativeHeight="125829391" behindDoc="0" locked="0" layoutInCell="1" allowOverlap="1">
                <wp:simplePos x="0" y="0"/>
                <wp:positionH relativeFrom="page">
                  <wp:posOffset>3338830</wp:posOffset>
                </wp:positionH>
                <wp:positionV relativeFrom="paragraph">
                  <wp:posOffset>1484630</wp:posOffset>
                </wp:positionV>
                <wp:extent cx="1273810" cy="186055"/>
                <wp:wrapTopAndBottom/>
                <wp:docPr id="17" name="Shape 17"/>
                <a:graphic xmlns:a="http://schemas.openxmlformats.org/drawingml/2006/main">
                  <a:graphicData uri="http://schemas.microsoft.com/office/word/2010/wordprocessingShape">
                    <wps:wsp>
                      <wps:cNvSpPr txBox="1"/>
                      <wps:spPr>
                        <a:xfrm>
                          <a:ext cx="1273810" cy="186055"/>
                        </a:xfrm>
                        <a:prstGeom prst="rect"/>
                        <a:noFill/>
                      </wps:spPr>
                      <wps:txbx>
                        <w:txbxContent>
                          <w:p>
                            <w:pPr>
                              <w:pStyle w:val="Style2"/>
                              <w:keepNext w:val="0"/>
                              <w:keepLines w:val="0"/>
                              <w:widowControl w:val="0"/>
                              <w:pBdr>
                                <w:top w:val="single" w:sz="0" w:space="0" w:color="2DA5E1"/>
                                <w:left w:val="single" w:sz="0" w:space="0" w:color="2DA5E1"/>
                                <w:bottom w:val="single" w:sz="0" w:space="0" w:color="2DA5E1"/>
                                <w:right w:val="single" w:sz="0" w:space="0" w:color="2DA5E1"/>
                              </w:pBdr>
                              <w:shd w:val="clear" w:color="auto" w:fill="2DA5E1"/>
                              <w:bidi w:val="0"/>
                              <w:spacing w:before="80" w:after="0" w:line="240" w:lineRule="auto"/>
                              <w:ind w:left="0" w:right="0" w:firstLine="0"/>
                              <w:jc w:val="center"/>
                              <w:rPr>
                                <w:sz w:val="17"/>
                                <w:szCs w:val="17"/>
                              </w:rPr>
                            </w:pPr>
                            <w:r>
                              <w:rPr>
                                <w:rFonts w:ascii="SimHei" w:eastAsia="SimHei" w:hAnsi="SimHei" w:cs="SimHei"/>
                                <w:color w:val="FFFFFF"/>
                                <w:spacing w:val="0"/>
                                <w:w w:val="100"/>
                                <w:position w:val="0"/>
                                <w:sz w:val="17"/>
                                <w:szCs w:val="17"/>
                              </w:rPr>
                              <w:t>“城市数字化“关键技术</w:t>
                            </w:r>
                          </w:p>
                        </w:txbxContent>
                      </wps:txbx>
                      <wps:bodyPr wrap="none" lIns="0" tIns="0" rIns="0" bIns="0">
                        <a:noAutoFit/>
                      </wps:bodyPr>
                    </wps:wsp>
                  </a:graphicData>
                </a:graphic>
              </wp:anchor>
            </w:drawing>
          </mc:Choice>
          <mc:Fallback>
            <w:pict>
              <v:shape id="_x0000_s1043" type="#_x0000_t202" style="position:absolute;margin-left:262.89999999999998pt;margin-top:116.90000000000001pt;width:100.3pt;height:14.65pt;z-index:-125829362;mso-wrap-distance-left:0;mso-wrap-distance-top:116.90000000000001pt;mso-wrap-distance-right:0;mso-position-horizontal-relative:page" filled="f" stroked="f">
                <v:textbox inset="0,0,0,0">
                  <w:txbxContent>
                    <w:p>
                      <w:pPr>
                        <w:pStyle w:val="Style2"/>
                        <w:keepNext w:val="0"/>
                        <w:keepLines w:val="0"/>
                        <w:widowControl w:val="0"/>
                        <w:pBdr>
                          <w:top w:val="single" w:sz="0" w:space="0" w:color="2DA5E1"/>
                          <w:left w:val="single" w:sz="0" w:space="0" w:color="2DA5E1"/>
                          <w:bottom w:val="single" w:sz="0" w:space="0" w:color="2DA5E1"/>
                          <w:right w:val="single" w:sz="0" w:space="0" w:color="2DA5E1"/>
                        </w:pBdr>
                        <w:shd w:val="clear" w:color="auto" w:fill="2DA5E1"/>
                        <w:bidi w:val="0"/>
                        <w:spacing w:before="80" w:after="0" w:line="240" w:lineRule="auto"/>
                        <w:ind w:left="0" w:right="0" w:firstLine="0"/>
                        <w:jc w:val="center"/>
                        <w:rPr>
                          <w:sz w:val="17"/>
                          <w:szCs w:val="17"/>
                        </w:rPr>
                      </w:pPr>
                      <w:r>
                        <w:rPr>
                          <w:rFonts w:ascii="SimHei" w:eastAsia="SimHei" w:hAnsi="SimHei" w:cs="SimHei"/>
                          <w:color w:val="FFFFFF"/>
                          <w:spacing w:val="0"/>
                          <w:w w:val="100"/>
                          <w:position w:val="0"/>
                          <w:sz w:val="17"/>
                          <w:szCs w:val="17"/>
                        </w:rPr>
                        <w:t>“城市数字化“关键技术</w:t>
                      </w:r>
                    </w:p>
                  </w:txbxContent>
                </v:textbox>
                <w10:wrap type="topAndBottom" anchorx="page"/>
              </v:shape>
            </w:pict>
          </mc:Fallback>
        </mc:AlternateContent>
      </w:r>
    </w:p>
    <w:p>
      <w:pPr>
        <w:widowControl w:val="0"/>
        <w:spacing w:line="14" w:lineRule="exact"/>
        <w:rPr>
          <w:sz w:val="2"/>
          <w:szCs w:val="2"/>
        </w:rPr>
      </w:pPr>
    </w:p>
    <w:p>
      <w:pPr>
        <w:widowControl w:val="0"/>
        <w:spacing w:line="1" w:lineRule="exact"/>
        <w:sectPr>
          <w:footnotePr>
            <w:pos w:val="pageBottom"/>
            <w:numFmt w:val="decimal"/>
            <w:numRestart w:val="continuous"/>
          </w:footnotePr>
          <w:type w:val="continuous"/>
          <w:pgSz w:w="11900" w:h="16840"/>
          <w:pgMar w:top="1333" w:right="0" w:bottom="1520" w:left="0" w:header="0" w:footer="3" w:gutter="0"/>
          <w:cols w:space="720"/>
          <w:noEndnote/>
          <w:rtlGutter w:val="0"/>
          <w:docGrid w:linePitch="360"/>
        </w:sectPr>
      </w:pPr>
    </w:p>
    <w:p>
      <w:pPr>
        <w:pStyle w:val="Style2"/>
        <w:keepNext w:val="0"/>
        <w:keepLines w:val="0"/>
        <w:widowControl w:val="0"/>
        <w:shd w:val="clear" w:color="auto" w:fill="auto"/>
        <w:tabs>
          <w:tab w:pos="1903" w:val="left"/>
        </w:tabs>
        <w:bidi w:val="0"/>
        <w:spacing w:before="0" w:after="0" w:line="168" w:lineRule="exact"/>
        <w:ind w:left="900" w:right="0" w:firstLine="1080"/>
        <w:jc w:val="left"/>
        <w:rPr>
          <w:sz w:val="13"/>
          <w:szCs w:val="13"/>
        </w:rPr>
      </w:pPr>
      <w:r>
        <w:rPr>
          <w:color w:val="13173B"/>
          <w:spacing w:val="0"/>
          <w:w w:val="100"/>
          <w:position w:val="0"/>
          <w:sz w:val="13"/>
          <w:szCs w:val="13"/>
        </w:rPr>
        <w:t>中国</w:t>
      </w:r>
      <w:r>
        <w:rPr>
          <w:color w:val="220F18"/>
          <w:spacing w:val="0"/>
          <w:w w:val="100"/>
          <w:position w:val="0"/>
          <w:sz w:val="13"/>
          <w:szCs w:val="13"/>
        </w:rPr>
        <w:t>人工智</w:t>
      </w:r>
      <w:r>
        <w:rPr>
          <w:color w:val="000000"/>
          <w:spacing w:val="0"/>
          <w:w w:val="100"/>
          <w:position w:val="0"/>
          <w:sz w:val="13"/>
          <w:szCs w:val="13"/>
        </w:rPr>
        <w:t>能产业</w:t>
      </w:r>
      <w:r>
        <w:rPr>
          <w:color w:val="13173B"/>
          <w:spacing w:val="0"/>
          <w:w w:val="100"/>
          <w:position w:val="0"/>
          <w:sz w:val="13"/>
          <w:szCs w:val="13"/>
        </w:rPr>
        <w:t>发展联</w:t>
      </w:r>
      <w:r>
        <w:rPr>
          <w:color w:val="220F18"/>
          <w:spacing w:val="0"/>
          <w:w w:val="100"/>
          <w:position w:val="0"/>
          <w:sz w:val="13"/>
          <w:szCs w:val="13"/>
        </w:rPr>
        <w:t>盟理事</w:t>
      </w:r>
      <w:r>
        <w:rPr>
          <w:color w:val="000000"/>
          <w:spacing w:val="0"/>
          <w:w w:val="100"/>
          <w:position w:val="0"/>
          <w:sz w:val="13"/>
          <w:szCs w:val="13"/>
        </w:rPr>
        <w:t>单位，</w:t>
      </w:r>
      <w:r>
        <w:rPr>
          <w:color w:val="220F18"/>
          <w:spacing w:val="0"/>
          <w:w w:val="100"/>
          <w:position w:val="0"/>
          <w:sz w:val="13"/>
          <w:szCs w:val="13"/>
        </w:rPr>
        <w:t>中国信息系统集成及</w:t>
      </w:r>
      <w:r>
        <w:rPr>
          <w:color w:val="000000"/>
          <w:spacing w:val="0"/>
          <w:w w:val="100"/>
          <w:position w:val="0"/>
          <w:sz w:val="13"/>
          <w:szCs w:val="13"/>
        </w:rPr>
        <w:t>服务</w:t>
      </w:r>
      <w:r>
        <w:rPr>
          <w:color w:val="13173B"/>
          <w:spacing w:val="0"/>
          <w:w w:val="100"/>
          <w:position w:val="0"/>
          <w:sz w:val="13"/>
          <w:szCs w:val="13"/>
        </w:rPr>
        <w:t>行业联</w:t>
      </w:r>
      <w:r>
        <w:rPr>
          <w:color w:val="000000"/>
          <w:spacing w:val="0"/>
          <w:w w:val="100"/>
          <w:position w:val="0"/>
          <w:sz w:val="13"/>
          <w:szCs w:val="13"/>
        </w:rPr>
        <w:t>盟副</w:t>
      </w:r>
      <w:r>
        <w:rPr>
          <w:color w:val="220F18"/>
          <w:spacing w:val="0"/>
          <w:w w:val="100"/>
          <w:position w:val="0"/>
          <w:sz w:val="13"/>
          <w:szCs w:val="13"/>
        </w:rPr>
        <w:t>理事长</w:t>
      </w:r>
      <w:r>
        <w:rPr>
          <w:color w:val="000000"/>
          <w:spacing w:val="0"/>
          <w:w w:val="100"/>
          <w:position w:val="0"/>
          <w:sz w:val="13"/>
          <w:szCs w:val="13"/>
        </w:rPr>
        <w:t>单位，全国信</w:t>
      </w:r>
      <w:r>
        <w:rPr>
          <w:color w:val="220F18"/>
          <w:spacing w:val="0"/>
          <w:w w:val="100"/>
          <w:position w:val="0"/>
          <w:sz w:val="13"/>
          <w:szCs w:val="13"/>
        </w:rPr>
        <w:t xml:space="preserve">标委大 </w:t>
      </w:r>
      <w:r>
        <w:rPr>
          <w:color w:val="2EA9D5"/>
          <w:spacing w:val="0"/>
          <w:w w:val="100"/>
          <w:position w:val="0"/>
          <w:sz w:val="13"/>
          <w:szCs w:val="13"/>
        </w:rPr>
        <w:t>国际兄</w:t>
        <w:tab/>
      </w:r>
      <w:r>
        <w:rPr>
          <w:color w:val="220F18"/>
          <w:spacing w:val="0"/>
          <w:w w:val="100"/>
          <w:position w:val="0"/>
          <w:sz w:val="13"/>
          <w:szCs w:val="13"/>
        </w:rPr>
        <w:t>数据标</w:t>
      </w:r>
      <w:r>
        <w:rPr>
          <w:color w:val="000000"/>
          <w:spacing w:val="0"/>
          <w:w w:val="100"/>
          <w:position w:val="0"/>
          <w:sz w:val="13"/>
          <w:szCs w:val="13"/>
        </w:rPr>
        <w:t>准工作</w:t>
      </w:r>
      <w:r>
        <w:rPr>
          <w:color w:val="220F18"/>
          <w:spacing w:val="0"/>
          <w:w w:val="100"/>
          <w:position w:val="0"/>
          <w:sz w:val="13"/>
          <w:szCs w:val="13"/>
        </w:rPr>
        <w:t>组成员单位，医疗大数据</w:t>
      </w:r>
      <w:r>
        <w:rPr>
          <w:color w:val="13173B"/>
          <w:spacing w:val="0"/>
          <w:w w:val="100"/>
          <w:position w:val="0"/>
          <w:sz w:val="13"/>
          <w:szCs w:val="13"/>
        </w:rPr>
        <w:t>应用技</w:t>
      </w:r>
      <w:r>
        <w:rPr>
          <w:color w:val="220F18"/>
          <w:spacing w:val="0"/>
          <w:w w:val="100"/>
          <w:position w:val="0"/>
          <w:sz w:val="13"/>
          <w:szCs w:val="13"/>
        </w:rPr>
        <w:t>术国家</w:t>
      </w:r>
      <w:r>
        <w:rPr>
          <w:color w:val="13173B"/>
          <w:spacing w:val="0"/>
          <w:w w:val="100"/>
          <w:position w:val="0"/>
          <w:sz w:val="13"/>
          <w:szCs w:val="13"/>
        </w:rPr>
        <w:t>工程</w:t>
      </w:r>
      <w:r>
        <w:rPr>
          <w:color w:val="220F18"/>
          <w:spacing w:val="0"/>
          <w:w w:val="100"/>
          <w:position w:val="0"/>
          <w:sz w:val="13"/>
          <w:szCs w:val="13"/>
        </w:rPr>
        <w:t>实验室</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Hei" w:eastAsia="SimHei" w:hAnsi="SimHei" w:cs="SimHei"/>
          <w:color w:val="2EA9D5"/>
          <w:spacing w:val="0"/>
          <w:w w:val="100"/>
          <w:position w:val="0"/>
          <w:sz w:val="17"/>
          <w:szCs w:val="17"/>
        </w:rPr>
        <w:t xml:space="preserve">争力 </w:t>
      </w:r>
      <w:r>
        <w:rPr>
          <w:rFonts w:ascii="Arial" w:eastAsia="Arial" w:hAnsi="Arial" w:cs="Arial"/>
          <w:color w:val="C21D1D"/>
          <w:spacing w:val="0"/>
          <w:w w:val="100"/>
          <w:position w:val="0"/>
          <w:sz w:val="16"/>
          <w:szCs w:val="16"/>
        </w:rPr>
        <w:t>2021</w:t>
      </w:r>
      <w:r>
        <w:rPr>
          <w:rFonts w:ascii="SimHei" w:eastAsia="SimHei" w:hAnsi="SimHei" w:cs="SimHei"/>
          <w:color w:val="C83A33"/>
          <w:spacing w:val="0"/>
          <w:w w:val="100"/>
          <w:position w:val="0"/>
          <w:sz w:val="15"/>
          <w:szCs w:val="15"/>
        </w:rPr>
        <w:t>世界</w:t>
      </w:r>
      <w:r>
        <w:rPr>
          <w:rFonts w:ascii="SimHei" w:eastAsia="SimHei" w:hAnsi="SimHei" w:cs="SimHei"/>
          <w:color w:val="C21D1D"/>
          <w:spacing w:val="0"/>
          <w:w w:val="100"/>
          <w:position w:val="0"/>
          <w:sz w:val="15"/>
          <w:szCs w:val="15"/>
        </w:rPr>
        <w:t>人工智</w:t>
      </w:r>
      <w:r>
        <w:rPr>
          <w:rFonts w:ascii="SimHei" w:eastAsia="SimHei" w:hAnsi="SimHei" w:cs="SimHei"/>
          <w:color w:val="C83A33"/>
          <w:spacing w:val="0"/>
          <w:w w:val="100"/>
          <w:position w:val="0"/>
          <w:sz w:val="15"/>
          <w:szCs w:val="15"/>
        </w:rPr>
        <w:t>能大会</w:t>
      </w:r>
      <w:r>
        <w:rPr>
          <w:rFonts w:ascii="SimHei" w:eastAsia="SimHei" w:hAnsi="SimHei" w:cs="SimHei"/>
          <w:color w:val="C21D1D"/>
          <w:spacing w:val="0"/>
          <w:w w:val="100"/>
          <w:position w:val="0"/>
          <w:sz w:val="15"/>
          <w:szCs w:val="15"/>
        </w:rPr>
        <w:t>金融和医疗赛</w:t>
      </w:r>
      <w:r>
        <w:rPr>
          <w:rFonts w:ascii="SimHei" w:eastAsia="SimHei" w:hAnsi="SimHei" w:cs="SimHei"/>
          <w:color w:val="C83A33"/>
          <w:spacing w:val="0"/>
          <w:w w:val="100"/>
          <w:position w:val="0"/>
          <w:sz w:val="15"/>
          <w:szCs w:val="15"/>
        </w:rPr>
        <w:t>道全球</w:t>
      </w:r>
      <w:r>
        <w:rPr>
          <w:rFonts w:ascii="Arial" w:eastAsia="Arial" w:hAnsi="Arial" w:cs="Arial"/>
          <w:color w:val="C21D1D"/>
          <w:spacing w:val="0"/>
          <w:w w:val="100"/>
          <w:position w:val="0"/>
          <w:sz w:val="16"/>
          <w:szCs w:val="16"/>
        </w:rPr>
        <w:t>10</w:t>
      </w:r>
      <w:r>
        <w:rPr>
          <w:rFonts w:ascii="SimHei" w:eastAsia="SimHei" w:hAnsi="SimHei" w:cs="SimHei"/>
          <w:color w:val="C21D1D"/>
          <w:spacing w:val="0"/>
          <w:w w:val="100"/>
          <w:position w:val="0"/>
          <w:sz w:val="15"/>
          <w:szCs w:val="15"/>
        </w:rPr>
        <w:t>强</w:t>
      </w:r>
      <w:r>
        <w:rPr>
          <w:rFonts w:ascii="Arial" w:eastAsia="Arial" w:hAnsi="Arial" w:cs="Arial"/>
          <w:color w:val="C21D1D"/>
          <w:spacing w:val="0"/>
          <w:w w:val="100"/>
          <w:position w:val="0"/>
          <w:sz w:val="16"/>
          <w:szCs w:val="16"/>
        </w:rPr>
        <w:t>2021</w:t>
      </w:r>
      <w:r>
        <w:rPr>
          <w:rFonts w:ascii="SimHei" w:eastAsia="SimHei" w:hAnsi="SimHei" w:cs="SimHei"/>
          <w:color w:val="C21D1D"/>
          <w:spacing w:val="0"/>
          <w:w w:val="100"/>
          <w:position w:val="0"/>
          <w:sz w:val="15"/>
          <w:szCs w:val="15"/>
        </w:rPr>
        <w:t>世界人工智能</w:t>
      </w:r>
      <w:r>
        <w:rPr>
          <w:rFonts w:ascii="SimHei" w:eastAsia="SimHei" w:hAnsi="SimHei" w:cs="SimHei"/>
          <w:color w:val="C83A33"/>
          <w:spacing w:val="0"/>
          <w:w w:val="100"/>
          <w:position w:val="0"/>
          <w:sz w:val="15"/>
          <w:szCs w:val="15"/>
        </w:rPr>
        <w:t>大会算</w:t>
      </w:r>
      <w:r>
        <w:rPr>
          <w:rFonts w:ascii="SimHei" w:eastAsia="SimHei" w:hAnsi="SimHei" w:cs="SimHei"/>
          <w:color w:val="C21D1D"/>
          <w:spacing w:val="0"/>
          <w:w w:val="100"/>
          <w:position w:val="0"/>
          <w:sz w:val="15"/>
          <w:szCs w:val="15"/>
        </w:rPr>
        <w:t>法大赛</w:t>
      </w:r>
      <w:r>
        <w:rPr>
          <w:rFonts w:ascii="Arial" w:eastAsia="Arial" w:hAnsi="Arial" w:cs="Arial"/>
          <w:color w:val="C21D1D"/>
          <w:spacing w:val="0"/>
          <w:w w:val="100"/>
          <w:position w:val="0"/>
          <w:sz w:val="16"/>
          <w:szCs w:val="16"/>
        </w:rPr>
        <w:t>BPAA</w:t>
      </w:r>
      <w:r>
        <w:rPr>
          <w:rFonts w:ascii="SimHei" w:eastAsia="SimHei" w:hAnsi="SimHei" w:cs="SimHei"/>
          <w:color w:val="C83A33"/>
          <w:spacing w:val="0"/>
          <w:w w:val="100"/>
          <w:position w:val="0"/>
          <w:sz w:val="15"/>
          <w:szCs w:val="15"/>
        </w:rPr>
        <w:t>金融赛道冠军</w:t>
      </w:r>
    </w:p>
    <w:p>
      <w:pPr>
        <w:widowControl w:val="0"/>
        <w:spacing w:line="1" w:lineRule="exact"/>
        <w:sectPr>
          <w:footnotePr>
            <w:pos w:val="pageBottom"/>
            <w:numFmt w:val="decimal"/>
            <w:numRestart w:val="continuous"/>
          </w:footnotePr>
          <w:type w:val="continuous"/>
          <w:pgSz w:w="11900" w:h="16840"/>
          <w:pgMar w:top="1333" w:right="992" w:bottom="1520" w:left="1126" w:header="0" w:footer="3" w:gutter="0"/>
          <w:cols w:space="720"/>
          <w:noEndnote/>
          <w:rtlGutter w:val="0"/>
          <w:docGrid w:linePitch="360"/>
        </w:sectPr>
      </w:pPr>
      <w:r>
        <w:drawing>
          <wp:anchor distT="33655" distB="97155" distL="18415" distR="6350" simplePos="0" relativeHeight="125829393" behindDoc="0" locked="0" layoutInCell="1" allowOverlap="1">
            <wp:simplePos x="0" y="0"/>
            <wp:positionH relativeFrom="page">
              <wp:posOffset>1300480</wp:posOffset>
            </wp:positionH>
            <wp:positionV relativeFrom="paragraph">
              <wp:posOffset>33655</wp:posOffset>
            </wp:positionV>
            <wp:extent cx="262255" cy="267970"/>
            <wp:wrapTopAndBottom/>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7"/>
                    <a:stretch/>
                  </pic:blipFill>
                  <pic:spPr>
                    <a:xfrm>
                      <a:ext cx="262255" cy="26797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1282065</wp:posOffset>
                </wp:positionH>
                <wp:positionV relativeFrom="paragraph">
                  <wp:posOffset>289560</wp:posOffset>
                </wp:positionV>
                <wp:extent cx="286385" cy="100330"/>
                <wp:wrapNone/>
                <wp:docPr id="21" name="Shape 21"/>
                <a:graphic xmlns:a="http://schemas.openxmlformats.org/drawingml/2006/main">
                  <a:graphicData uri="http://schemas.microsoft.com/office/word/2010/wordprocessingShape">
                    <wps:wsp>
                      <wps:cNvSpPr txBox="1"/>
                      <wps:spPr>
                        <a:xfrm>
                          <a:ext cx="286385" cy="10033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spacing w:val="0"/>
                                <w:w w:val="100"/>
                                <w:position w:val="0"/>
                              </w:rPr>
                              <w:t>专业资质</w:t>
                            </w:r>
                          </w:p>
                        </w:txbxContent>
                      </wps:txbx>
                      <wps:bodyPr lIns="0" tIns="0" rIns="0" bIns="0">
                        <a:noAutoFit/>
                      </wps:bodyPr>
                    </wps:wsp>
                  </a:graphicData>
                </a:graphic>
              </wp:anchor>
            </w:drawing>
          </mc:Choice>
          <mc:Fallback>
            <w:pict>
              <v:shape id="_x0000_s1047" type="#_x0000_t202" style="position:absolute;margin-left:100.95pt;margin-top:22.800000000000001pt;width:22.550000000000001pt;height:7.9000000000000004pt;z-index:251657731;mso-wrap-distance-left:0;mso-wrap-distance-right:0;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spacing w:val="0"/>
                          <w:w w:val="100"/>
                          <w:position w:val="0"/>
                        </w:rPr>
                        <w:t>专业资质</w:t>
                      </w:r>
                    </w:p>
                  </w:txbxContent>
                </v:textbox>
                <w10:wrap anchorx="page"/>
              </v:shape>
            </w:pict>
          </mc:Fallback>
        </mc:AlternateContent>
      </w:r>
      <w:r>
        <w:drawing>
          <wp:anchor distT="0" distB="0" distL="0" distR="0" simplePos="0" relativeHeight="125829394" behindDoc="0" locked="0" layoutInCell="1" allowOverlap="1">
            <wp:simplePos x="0" y="0"/>
            <wp:positionH relativeFrom="page">
              <wp:posOffset>1943735</wp:posOffset>
            </wp:positionH>
            <wp:positionV relativeFrom="paragraph">
              <wp:posOffset>0</wp:posOffset>
            </wp:positionV>
            <wp:extent cx="3846830" cy="396240"/>
            <wp:wrapTopAndBottom/>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9"/>
                    <a:stretch/>
                  </pic:blipFill>
                  <pic:spPr>
                    <a:xfrm>
                      <a:ext cx="3846830" cy="396240"/>
                    </a:xfrm>
                    <a:prstGeom prst="rect"/>
                  </pic:spPr>
                </pic:pic>
              </a:graphicData>
            </a:graphic>
          </wp:anchor>
        </w:drawing>
      </w:r>
    </w:p>
    <w:p>
      <w:pPr>
        <w:widowControl w:val="0"/>
        <w:spacing w:before="65" w:after="65"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33" w:right="0" w:bottom="1333" w:left="0" w:header="0" w:footer="3" w:gutter="0"/>
          <w:cols w:space="720"/>
          <w:noEndnote/>
          <w:rtlGutter w:val="0"/>
          <w:docGrid w:linePitch="360"/>
        </w:sectPr>
      </w:pPr>
    </w:p>
    <w:p>
      <w:pPr>
        <w:pStyle w:val="Style18"/>
        <w:keepNext w:val="0"/>
        <w:keepLines w:val="0"/>
        <w:widowControl w:val="0"/>
        <w:shd w:val="clear" w:color="auto" w:fill="auto"/>
        <w:bidi w:val="0"/>
        <w:spacing w:before="0" w:after="0" w:line="240" w:lineRule="auto"/>
        <w:ind w:left="0" w:right="0" w:firstLine="420"/>
        <w:jc w:val="left"/>
      </w:pPr>
      <w:bookmarkStart w:id="87" w:name="bookmark87"/>
      <w:r>
        <w:rPr>
          <w:rFonts w:ascii="Times New Roman" w:eastAsia="Times New Roman" w:hAnsi="Times New Roman" w:cs="Times New Roman"/>
          <w:b/>
          <w:bCs/>
          <w:color w:val="000000"/>
          <w:spacing w:val="0"/>
          <w:w w:val="100"/>
          <w:position w:val="0"/>
        </w:rPr>
        <w:t>1</w:t>
      </w:r>
      <w:bookmarkEnd w:id="87"/>
      <w:r>
        <w:rPr>
          <w:b/>
          <w:bCs/>
          <w:color w:val="000000"/>
          <w:spacing w:val="0"/>
          <w:w w:val="100"/>
          <w:position w:val="0"/>
        </w:rPr>
        <w:t>、信息技术应用创新业务</w:t>
      </w:r>
    </w:p>
    <w:p>
      <w:pPr>
        <w:widowControl w:val="0"/>
        <w:spacing w:line="1" w:lineRule="exact"/>
      </w:pPr>
      <w:r>
        <mc:AlternateContent>
          <mc:Choice Requires="wps">
            <w:drawing>
              <wp:anchor distT="63500" distB="0" distL="0" distR="0" simplePos="0" relativeHeight="125829395" behindDoc="0" locked="0" layoutInCell="1" allowOverlap="1">
                <wp:simplePos x="0" y="0"/>
                <wp:positionH relativeFrom="page">
                  <wp:posOffset>962025</wp:posOffset>
                </wp:positionH>
                <wp:positionV relativeFrom="paragraph">
                  <wp:posOffset>63500</wp:posOffset>
                </wp:positionV>
                <wp:extent cx="2651760" cy="170815"/>
                <wp:wrapTopAndBottom/>
                <wp:docPr id="25" name="Shape 25"/>
                <a:graphic xmlns:a="http://schemas.openxmlformats.org/drawingml/2006/main">
                  <a:graphicData uri="http://schemas.microsoft.com/office/word/2010/wordprocessingShape">
                    <wps:wsp>
                      <wps:cNvSpPr txBox="1"/>
                      <wps:spPr>
                        <a:xfrm>
                          <a:ext cx="2651760" cy="17081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公司信创业务以国家“新基建”战略为指引，</w:t>
                            </w:r>
                          </w:p>
                        </w:txbxContent>
                      </wps:txbx>
                      <wps:bodyPr wrap="none" lIns="0" tIns="0" rIns="0" bIns="0">
                        <a:noAutoFit/>
                      </wps:bodyPr>
                    </wps:wsp>
                  </a:graphicData>
                </a:graphic>
              </wp:anchor>
            </w:drawing>
          </mc:Choice>
          <mc:Fallback>
            <w:pict>
              <v:shape id="_x0000_s1051" type="#_x0000_t202" style="position:absolute;margin-left:75.75pt;margin-top:5.pt;width:208.80000000000001pt;height:13.450000000000001pt;z-index:-125829358;mso-wrap-distance-left:0;mso-wrap-distance-top:5.pt;mso-wrap-distance-right:0;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公司信创业务以国家“新基建”战略为指引，</w:t>
                      </w:r>
                    </w:p>
                  </w:txbxContent>
                </v:textbox>
                <w10:wrap type="topAndBottom" anchorx="page"/>
              </v:shape>
            </w:pict>
          </mc:Fallback>
        </mc:AlternateContent>
      </w:r>
      <w:r>
        <mc:AlternateContent>
          <mc:Choice Requires="wps">
            <w:drawing>
              <wp:anchor distT="63500" distB="0" distL="0" distR="0" simplePos="0" relativeHeight="125829397" behindDoc="0" locked="0" layoutInCell="1" allowOverlap="1">
                <wp:simplePos x="0" y="0"/>
                <wp:positionH relativeFrom="page">
                  <wp:posOffset>3620135</wp:posOffset>
                </wp:positionH>
                <wp:positionV relativeFrom="paragraph">
                  <wp:posOffset>63500</wp:posOffset>
                </wp:positionV>
                <wp:extent cx="3221990" cy="170815"/>
                <wp:wrapTopAndBottom/>
                <wp:docPr id="27" name="Shape 27"/>
                <a:graphic xmlns:a="http://schemas.openxmlformats.org/drawingml/2006/main">
                  <a:graphicData uri="http://schemas.microsoft.com/office/word/2010/wordprocessingShape">
                    <wps:wsp>
                      <wps:cNvSpPr txBox="1"/>
                      <wps:spPr>
                        <a:xfrm>
                          <a:ext cx="3221990" cy="17081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充分发挥自身行业优势，积极构建信创产业生态，打通</w:t>
                            </w:r>
                          </w:p>
                        </w:txbxContent>
                      </wps:txbx>
                      <wps:bodyPr wrap="none" lIns="0" tIns="0" rIns="0" bIns="0">
                        <a:noAutoFit/>
                      </wps:bodyPr>
                    </wps:wsp>
                  </a:graphicData>
                </a:graphic>
              </wp:anchor>
            </w:drawing>
          </mc:Choice>
          <mc:Fallback>
            <w:pict>
              <v:shape id="_x0000_s1053" type="#_x0000_t202" style="position:absolute;margin-left:285.05000000000001pt;margin-top:5.pt;width:253.70000000000002pt;height:13.450000000000001pt;z-index:-125829356;mso-wrap-distance-left:0;mso-wrap-distance-top:5.pt;mso-wrap-distance-right:0;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充分发挥自身行业优势，积极构建信创产业生态，打通</w:t>
                      </w:r>
                    </w:p>
                  </w:txbxContent>
                </v:textbox>
                <w10:wrap type="topAndBottom" anchorx="page"/>
              </v:shape>
            </w:pict>
          </mc:Fallback>
        </mc:AlternateContent>
      </w:r>
    </w:p>
    <w:p>
      <w:pPr>
        <w:widowControl w:val="0"/>
        <w:spacing w:line="1" w:lineRule="exact"/>
      </w:pPr>
      <w:r>
        <mc:AlternateContent>
          <mc:Choice Requires="wps">
            <w:drawing>
              <wp:anchor distT="127000" distB="0" distL="0" distR="0" simplePos="0" relativeHeight="125829399" behindDoc="0" locked="0" layoutInCell="1" allowOverlap="1">
                <wp:simplePos x="0" y="0"/>
                <wp:positionH relativeFrom="page">
                  <wp:posOffset>702945</wp:posOffset>
                </wp:positionH>
                <wp:positionV relativeFrom="paragraph">
                  <wp:posOffset>127000</wp:posOffset>
                </wp:positionV>
                <wp:extent cx="2910840" cy="167640"/>
                <wp:wrapTopAndBottom/>
                <wp:docPr id="29" name="Shape 29"/>
                <a:graphic xmlns:a="http://schemas.openxmlformats.org/drawingml/2006/main">
                  <a:graphicData uri="http://schemas.microsoft.com/office/word/2010/wordprocessingShape">
                    <wps:wsp>
                      <wps:cNvSpPr txBox="1"/>
                      <wps:spPr>
                        <a:xfrm>
                          <a:ext cx="2910840" cy="16764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信创产业上下游，提供包含规划咨询、设计研发、</w:t>
                            </w:r>
                          </w:p>
                        </w:txbxContent>
                      </wps:txbx>
                      <wps:bodyPr wrap="none" lIns="0" tIns="0" rIns="0" bIns="0">
                        <a:noAutoFit/>
                      </wps:bodyPr>
                    </wps:wsp>
                  </a:graphicData>
                </a:graphic>
              </wp:anchor>
            </w:drawing>
          </mc:Choice>
          <mc:Fallback>
            <w:pict>
              <v:shape id="_x0000_s1055" type="#_x0000_t202" style="position:absolute;margin-left:55.350000000000001pt;margin-top:10.pt;width:229.20000000000002pt;height:13.200000000000001pt;z-index:-125829354;mso-wrap-distance-left:0;mso-wrap-distance-top:10.pt;mso-wrap-distance-right:0;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信创产业上下游，提供包含规划咨询、设计研发、</w:t>
                      </w:r>
                    </w:p>
                  </w:txbxContent>
                </v:textbox>
                <w10:wrap type="topAndBottom" anchorx="page"/>
              </v:shape>
            </w:pict>
          </mc:Fallback>
        </mc:AlternateContent>
      </w:r>
      <w:r>
        <mc:AlternateContent>
          <mc:Choice Requires="wps">
            <w:drawing>
              <wp:anchor distT="127000" distB="0" distL="0" distR="0" simplePos="0" relativeHeight="125829401" behindDoc="0" locked="0" layoutInCell="1" allowOverlap="1">
                <wp:simplePos x="0" y="0"/>
                <wp:positionH relativeFrom="page">
                  <wp:posOffset>3616960</wp:posOffset>
                </wp:positionH>
                <wp:positionV relativeFrom="paragraph">
                  <wp:posOffset>127000</wp:posOffset>
                </wp:positionV>
                <wp:extent cx="3224530" cy="167640"/>
                <wp:wrapTopAndBottom/>
                <wp:docPr id="31" name="Shape 31"/>
                <a:graphic xmlns:a="http://schemas.openxmlformats.org/drawingml/2006/main">
                  <a:graphicData uri="http://schemas.microsoft.com/office/word/2010/wordprocessingShape">
                    <wps:wsp>
                      <wps:cNvSpPr txBox="1"/>
                      <wps:spPr>
                        <a:xfrm>
                          <a:ext cx="3224530" cy="16764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软件测试、系统集成、实施交付和运营维护的一站式服</w:t>
                            </w:r>
                          </w:p>
                        </w:txbxContent>
                      </wps:txbx>
                      <wps:bodyPr wrap="none" lIns="0" tIns="0" rIns="0" bIns="0">
                        <a:noAutoFit/>
                      </wps:bodyPr>
                    </wps:wsp>
                  </a:graphicData>
                </a:graphic>
              </wp:anchor>
            </w:drawing>
          </mc:Choice>
          <mc:Fallback>
            <w:pict>
              <v:shape id="_x0000_s1057" type="#_x0000_t202" style="position:absolute;margin-left:284.80000000000001pt;margin-top:10.pt;width:253.90000000000001pt;height:13.200000000000001pt;z-index:-125829352;mso-wrap-distance-left:0;mso-wrap-distance-top:10.pt;mso-wrap-distance-right:0;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软件测试、系统集成、实施交付和运营维护的一站式服</w:t>
                      </w:r>
                    </w:p>
                  </w:txbxContent>
                </v:textbox>
                <w10:wrap type="topAndBottom" anchorx="page"/>
              </v:shape>
            </w:pict>
          </mc:Fallback>
        </mc:AlternateContent>
      </w:r>
    </w:p>
    <w:p>
      <w:pPr>
        <w:widowControl w:val="0"/>
        <w:spacing w:line="1" w:lineRule="exact"/>
        <w:sectPr>
          <w:footnotePr>
            <w:pos w:val="pageBottom"/>
            <w:numFmt w:val="decimal"/>
            <w:numRestart w:val="continuous"/>
          </w:footnotePr>
          <w:type w:val="continuous"/>
          <w:pgSz w:w="11900" w:h="16840"/>
          <w:pgMar w:top="1333" w:right="992" w:bottom="1333" w:left="1126" w:header="0" w:footer="3" w:gutter="0"/>
          <w:cols w:space="720"/>
          <w:noEndnote/>
          <w:rtlGutter w:val="0"/>
          <w:docGrid w:linePitch="360"/>
        </w:sectPr>
      </w:pPr>
      <w:r>
        <mc:AlternateContent>
          <mc:Choice Requires="wps">
            <w:drawing>
              <wp:anchor distT="127000" distB="0" distL="0" distR="0" simplePos="0" relativeHeight="125829403" behindDoc="0" locked="0" layoutInCell="1" allowOverlap="1">
                <wp:simplePos x="0" y="0"/>
                <wp:positionH relativeFrom="page">
                  <wp:posOffset>702945</wp:posOffset>
                </wp:positionH>
                <wp:positionV relativeFrom="paragraph">
                  <wp:posOffset>127000</wp:posOffset>
                </wp:positionV>
                <wp:extent cx="2910840" cy="173990"/>
                <wp:wrapTopAndBottom/>
                <wp:docPr id="33" name="Shape 33"/>
                <a:graphic xmlns:a="http://schemas.openxmlformats.org/drawingml/2006/main">
                  <a:graphicData uri="http://schemas.microsoft.com/office/word/2010/wordprocessingShape">
                    <wps:wsp>
                      <wps:cNvSpPr txBox="1"/>
                      <wps:spPr>
                        <a:xfrm>
                          <a:ext cx="2910840" cy="17399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r>
                              <w:rPr>
                                <w:rFonts w:ascii="Times New Roman" w:eastAsia="Times New Roman" w:hAnsi="Times New Roman" w:cs="Times New Roman"/>
                                <w:color w:val="000000"/>
                                <w:spacing w:val="0"/>
                                <w:w w:val="100"/>
                                <w:position w:val="0"/>
                              </w:rPr>
                              <w:t>2021</w:t>
                            </w:r>
                            <w:r>
                              <w:rPr>
                                <w:color w:val="000000"/>
                                <w:spacing w:val="0"/>
                                <w:w w:val="100"/>
                                <w:position w:val="0"/>
                              </w:rPr>
                              <w:t>年，公司深耕党政信创、加速国寿协同、</w:t>
                            </w:r>
                          </w:p>
                        </w:txbxContent>
                      </wps:txbx>
                      <wps:bodyPr wrap="none" lIns="0" tIns="0" rIns="0" bIns="0">
                        <a:noAutoFit/>
                      </wps:bodyPr>
                    </wps:wsp>
                  </a:graphicData>
                </a:graphic>
              </wp:anchor>
            </w:drawing>
          </mc:Choice>
          <mc:Fallback>
            <w:pict>
              <v:shape id="_x0000_s1059" type="#_x0000_t202" style="position:absolute;margin-left:55.350000000000001pt;margin-top:10.pt;width:229.20000000000002pt;height:13.700000000000001pt;z-index:-125829350;mso-wrap-distance-left:0;mso-wrap-distance-top:10.pt;mso-wrap-distance-right:0;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r>
                        <w:rPr>
                          <w:rFonts w:ascii="Times New Roman" w:eastAsia="Times New Roman" w:hAnsi="Times New Roman" w:cs="Times New Roman"/>
                          <w:color w:val="000000"/>
                          <w:spacing w:val="0"/>
                          <w:w w:val="100"/>
                          <w:position w:val="0"/>
                        </w:rPr>
                        <w:t>2021</w:t>
                      </w:r>
                      <w:r>
                        <w:rPr>
                          <w:color w:val="000000"/>
                          <w:spacing w:val="0"/>
                          <w:w w:val="100"/>
                          <w:position w:val="0"/>
                        </w:rPr>
                        <w:t>年，公司深耕党政信创、加速国寿协同、</w:t>
                      </w:r>
                    </w:p>
                  </w:txbxContent>
                </v:textbox>
                <w10:wrap type="topAndBottom" anchorx="page"/>
              </v:shape>
            </w:pict>
          </mc:Fallback>
        </mc:AlternateContent>
      </w:r>
      <w:r>
        <mc:AlternateContent>
          <mc:Choice Requires="wps">
            <w:drawing>
              <wp:anchor distT="127000" distB="3175" distL="0" distR="0" simplePos="0" relativeHeight="125829405" behindDoc="0" locked="0" layoutInCell="1" allowOverlap="1">
                <wp:simplePos x="0" y="0"/>
                <wp:positionH relativeFrom="page">
                  <wp:posOffset>3629025</wp:posOffset>
                </wp:positionH>
                <wp:positionV relativeFrom="paragraph">
                  <wp:posOffset>127000</wp:posOffset>
                </wp:positionV>
                <wp:extent cx="3218815" cy="170815"/>
                <wp:wrapTopAndBottom/>
                <wp:docPr id="35" name="Shape 35"/>
                <a:graphic xmlns:a="http://schemas.openxmlformats.org/drawingml/2006/main">
                  <a:graphicData uri="http://schemas.microsoft.com/office/word/2010/wordprocessingShape">
                    <wps:wsp>
                      <wps:cNvSpPr txBox="1"/>
                      <wps:spPr>
                        <a:xfrm>
                          <a:ext cx="3218815" cy="17081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拓展国家部委和行业信创业务，同时强化基于信创的通</w:t>
                            </w:r>
                          </w:p>
                        </w:txbxContent>
                      </wps:txbx>
                      <wps:bodyPr wrap="none" lIns="0" tIns="0" rIns="0" bIns="0">
                        <a:noAutoFit/>
                      </wps:bodyPr>
                    </wps:wsp>
                  </a:graphicData>
                </a:graphic>
              </wp:anchor>
            </w:drawing>
          </mc:Choice>
          <mc:Fallback>
            <w:pict>
              <v:shape id="_x0000_s1061" type="#_x0000_t202" style="position:absolute;margin-left:285.75pt;margin-top:10.pt;width:253.45000000000002pt;height:13.450000000000001pt;z-index:-125829348;mso-wrap-distance-left:0;mso-wrap-distance-top:10.pt;mso-wrap-distance-right:0;mso-wrap-distance-bottom:0.25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拓展国家部委和行业信创业务，同时强化基于信创的通</w:t>
                      </w:r>
                    </w:p>
                  </w:txbxContent>
                </v:textbox>
                <w10:wrap type="topAndBottom" anchorx="page"/>
              </v:shape>
            </w:pict>
          </mc:Fallback>
        </mc:AlternateContent>
      </w:r>
    </w:p>
    <w:p>
      <w:pPr>
        <w:pStyle w:val="Style18"/>
        <w:keepNext w:val="0"/>
        <w:keepLines w:val="0"/>
        <w:widowControl w:val="0"/>
        <w:shd w:val="clear" w:color="auto" w:fill="auto"/>
        <w:bidi w:val="0"/>
        <w:spacing w:before="0" w:after="0" w:line="474" w:lineRule="exact"/>
        <w:ind w:left="0" w:right="0" w:firstLine="0"/>
        <w:jc w:val="left"/>
      </w:pPr>
      <w:r>
        <w:rPr>
          <w:color w:val="000000"/>
          <w:spacing w:val="0"/>
          <w:w w:val="100"/>
          <w:position w:val="0"/>
        </w:rPr>
        <w:t>用解决方案和行业解决方案的研发投入。</w:t>
      </w:r>
    </w:p>
    <w:p>
      <w:pPr>
        <w:pStyle w:val="Style18"/>
        <w:keepNext w:val="0"/>
        <w:keepLines w:val="0"/>
        <w:widowControl w:val="0"/>
        <w:shd w:val="clear" w:color="auto" w:fill="auto"/>
        <w:bidi w:val="0"/>
        <w:spacing w:before="0" w:after="0" w:line="474" w:lineRule="exact"/>
        <w:ind w:left="0" w:right="0" w:firstLine="440"/>
        <w:jc w:val="both"/>
      </w:pPr>
      <w:r>
        <w:rPr>
          <w:color w:val="000000"/>
          <w:spacing w:val="0"/>
          <w:w w:val="100"/>
          <w:position w:val="0"/>
        </w:rPr>
        <w:t>通用方面，打造万达特色数字化信创底座方案，内容包括信创云、信创桌面云、密码体系的建设方案、 数据迁移、应用迁移、异构数据同步、数据备份、应用容灾等解决方案；行业方面，在公文系统、政务管 理、公检法司、民生保障、智慧交通、市场监管、金融保险、医疗卫生、企业制造等方面均形成了基于信 创的行业解决方案。同时，行业应用还加大与信创生态厂商的兼容适配工作，取得了大量兼容互认证书。</w:t>
      </w:r>
    </w:p>
    <w:p>
      <w:pPr>
        <w:pStyle w:val="Style18"/>
        <w:keepNext w:val="0"/>
        <w:keepLines w:val="0"/>
        <w:widowControl w:val="0"/>
        <w:shd w:val="clear" w:color="auto" w:fill="auto"/>
        <w:bidi w:val="0"/>
        <w:spacing w:before="0" w:after="0" w:line="487" w:lineRule="exact"/>
        <w:ind w:left="0" w:right="0" w:firstLine="440"/>
        <w:jc w:val="both"/>
      </w:pPr>
      <w:r>
        <w:rPr>
          <w:color w:val="000000"/>
          <w:spacing w:val="0"/>
          <w:w w:val="100"/>
          <w:position w:val="0"/>
        </w:rPr>
        <w:t>党政信创方面，加强在中央部委和上海、四川、山西、河北等区域市场拓展，保持信创业务良好发展。 行业信创方面，公司积极推进在金融、制造、医卫等领域的信创试点和拓展，助力行业客户国产化进程。</w:t>
      </w:r>
    </w:p>
    <w:p>
      <w:pPr>
        <w:pStyle w:val="Style18"/>
        <w:keepNext w:val="0"/>
        <w:keepLines w:val="0"/>
        <w:widowControl w:val="0"/>
        <w:shd w:val="clear" w:color="auto" w:fill="auto"/>
        <w:bidi w:val="0"/>
        <w:spacing w:before="0" w:after="280" w:line="487" w:lineRule="exact"/>
        <w:ind w:left="0" w:right="0" w:firstLine="440"/>
        <w:jc w:val="both"/>
      </w:pPr>
      <w:r>
        <w:rPr>
          <w:color w:val="000000"/>
          <w:spacing w:val="0"/>
          <w:w w:val="100"/>
          <w:position w:val="0"/>
        </w:rPr>
        <w:t>报告期内，公司信创协同电子公文系统入选《</w:t>
      </w:r>
      <w:r>
        <w:rPr>
          <w:rFonts w:ascii="Times New Roman" w:eastAsia="Times New Roman" w:hAnsi="Times New Roman" w:cs="Times New Roman"/>
          <w:color w:val="000000"/>
          <w:spacing w:val="0"/>
          <w:w w:val="100"/>
          <w:position w:val="0"/>
        </w:rPr>
        <w:t>2021</w:t>
      </w:r>
      <w:r>
        <w:rPr>
          <w:color w:val="000000"/>
          <w:spacing w:val="0"/>
          <w:w w:val="100"/>
          <w:position w:val="0"/>
        </w:rPr>
        <w:t>年上海市优秀信创解决方案名单》，公司在“</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上海城市数字化转型‘智慧工匠’选树、‘领军先锋’评选活动”中，荣获信创应用测试竞赛一等奖。</w:t>
      </w:r>
    </w:p>
    <w:p>
      <w:pPr>
        <w:pStyle w:val="Style18"/>
        <w:keepNext w:val="0"/>
        <w:keepLines w:val="0"/>
        <w:widowControl w:val="0"/>
        <w:shd w:val="clear" w:color="auto" w:fill="auto"/>
        <w:tabs>
          <w:tab w:pos="764" w:val="left"/>
        </w:tabs>
        <w:bidi w:val="0"/>
        <w:spacing w:before="0" w:after="0" w:line="509" w:lineRule="auto"/>
        <w:ind w:left="0" w:right="0" w:firstLine="440"/>
        <w:jc w:val="both"/>
      </w:pPr>
      <w:bookmarkStart w:id="88" w:name="bookmark88"/>
      <w:r>
        <w:rPr>
          <w:rFonts w:ascii="Times New Roman" w:eastAsia="Times New Roman" w:hAnsi="Times New Roman" w:cs="Times New Roman"/>
          <w:b/>
          <w:bCs/>
          <w:color w:val="000000"/>
          <w:spacing w:val="0"/>
          <w:w w:val="100"/>
          <w:position w:val="0"/>
        </w:rPr>
        <w:t>2</w:t>
      </w:r>
      <w:bookmarkEnd w:id="88"/>
      <w:r>
        <w:rPr>
          <w:b/>
          <w:bCs/>
          <w:color w:val="000000"/>
          <w:spacing w:val="0"/>
          <w:w w:val="100"/>
          <w:position w:val="0"/>
        </w:rPr>
        <w:t>、</w:t>
        <w:tab/>
        <w:t>系统集成业务</w:t>
      </w:r>
    </w:p>
    <w:p>
      <w:pPr>
        <w:pStyle w:val="Style18"/>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在新一轮“智慧</w:t>
      </w:r>
      <w:r>
        <w:rPr>
          <w:rFonts w:ascii="Times New Roman" w:eastAsia="Times New Roman" w:hAnsi="Times New Roman" w:cs="Times New Roman"/>
          <w:color w:val="000000"/>
          <w:spacing w:val="0"/>
          <w:w w:val="100"/>
          <w:position w:val="0"/>
        </w:rPr>
        <w:t>+</w:t>
      </w:r>
      <w:r>
        <w:rPr>
          <w:color w:val="000000"/>
          <w:spacing w:val="0"/>
          <w:w w:val="100"/>
          <w:position w:val="0"/>
        </w:rPr>
        <w:t>行业”建设的行业背景下，行业智能化迈入规范建设、纵深推进时期。如何全面构 建面向公众的“智慧服务”和面向管理的“智慧管理”，是各个行业实现数字化转型、提升智能化建设水 平面临的重要挑战。行业服务的高效化与安全化、服务的便捷化与自主化及管理的标准化与数据化，是行 业智慧化现阶段建设的关键要素和目标。随着智慧应用的增多，业务的互联互通和运维管理、资源的高效 利用与关键业务的永续性，成为行业智慧化纵深推进中必须攻克的难关，基于对智慧城市行业的深刻理解， 万达信息的系统集成解决方案具有突出优势。</w:t>
      </w:r>
    </w:p>
    <w:p>
      <w:pPr>
        <w:pStyle w:val="Style18"/>
        <w:keepNext w:val="0"/>
        <w:keepLines w:val="0"/>
        <w:widowControl w:val="0"/>
        <w:shd w:val="clear" w:color="auto" w:fill="auto"/>
        <w:bidi w:val="0"/>
        <w:spacing w:before="0" w:after="0" w:line="475"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年，公司主要打造基于</w:t>
      </w:r>
      <w:r>
        <w:rPr>
          <w:rFonts w:ascii="Times New Roman" w:eastAsia="Times New Roman" w:hAnsi="Times New Roman" w:cs="Times New Roman"/>
          <w:color w:val="000000"/>
          <w:spacing w:val="0"/>
          <w:w w:val="100"/>
          <w:position w:val="0"/>
        </w:rPr>
        <w:t>5G</w:t>
      </w:r>
      <w:r>
        <w:rPr>
          <w:color w:val="000000"/>
          <w:spacing w:val="0"/>
          <w:w w:val="100"/>
          <w:position w:val="0"/>
        </w:rPr>
        <w:t>网络、数据中心、云计算、大数据、光磁融合存储、物联网等的数字 新基建场景，打造泛在赋能、智能协同、开放共享的数字化底座，整体解决方案主要围绕智慧医卫、智慧 政务等场景展开并推进，业务提供包括顶层设计、规划咨询、售后交付、方案创新以及生态构建等。</w:t>
      </w:r>
    </w:p>
    <w:p>
      <w:pPr>
        <w:pStyle w:val="Style18"/>
        <w:keepNext w:val="0"/>
        <w:keepLines w:val="0"/>
        <w:widowControl w:val="0"/>
        <w:shd w:val="clear" w:color="auto" w:fill="auto"/>
        <w:bidi w:val="0"/>
        <w:spacing w:before="0" w:after="280" w:line="475"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年，公司紧握长三角一体化发展机遇，在立足上海、浙江、安徽、江苏区域市场的同时，西南、 中南、西北等区域拓展保持良好势头；行业方面，公司在大政务（政府、事业、政法等）、大民生（医疗 卫生、教育等）、大企业（金融、烟草等）等领域也保持了良好发展势头。</w:t>
      </w:r>
    </w:p>
    <w:p>
      <w:pPr>
        <w:pStyle w:val="Style18"/>
        <w:keepNext w:val="0"/>
        <w:keepLines w:val="0"/>
        <w:widowControl w:val="0"/>
        <w:shd w:val="clear" w:color="auto" w:fill="auto"/>
        <w:tabs>
          <w:tab w:pos="764" w:val="left"/>
        </w:tabs>
        <w:bidi w:val="0"/>
        <w:spacing w:before="0" w:after="0" w:line="497" w:lineRule="auto"/>
        <w:ind w:left="0" w:right="0" w:firstLine="440"/>
        <w:jc w:val="both"/>
      </w:pPr>
      <w:bookmarkStart w:id="89" w:name="bookmark89"/>
      <w:r>
        <w:rPr>
          <w:rFonts w:ascii="Times New Roman" w:eastAsia="Times New Roman" w:hAnsi="Times New Roman" w:cs="Times New Roman"/>
          <w:b/>
          <w:bCs/>
          <w:color w:val="000000"/>
          <w:spacing w:val="0"/>
          <w:w w:val="100"/>
          <w:position w:val="0"/>
        </w:rPr>
        <w:t>3</w:t>
      </w:r>
      <w:bookmarkEnd w:id="89"/>
      <w:r>
        <w:rPr>
          <w:b/>
          <w:bCs/>
          <w:color w:val="000000"/>
          <w:spacing w:val="0"/>
          <w:w w:val="100"/>
          <w:position w:val="0"/>
        </w:rPr>
        <w:t>、</w:t>
        <w:tab/>
        <w:t>网络安全业务</w:t>
      </w:r>
    </w:p>
    <w:p>
      <w:pPr>
        <w:pStyle w:val="Style18"/>
        <w:keepNext w:val="0"/>
        <w:keepLines w:val="0"/>
        <w:widowControl w:val="0"/>
        <w:shd w:val="clear" w:color="auto" w:fill="auto"/>
        <w:bidi w:val="0"/>
        <w:spacing w:before="0" w:after="0" w:line="473" w:lineRule="exact"/>
        <w:ind w:left="0" w:right="0" w:firstLine="440"/>
        <w:jc w:val="both"/>
      </w:pPr>
      <w:r>
        <w:rPr>
          <w:color w:val="000000"/>
          <w:spacing w:val="0"/>
          <w:w w:val="100"/>
          <w:position w:val="0"/>
        </w:rPr>
        <w:t>万达信息的网络安全业务主要包括：（</w:t>
      </w:r>
      <w:r>
        <w:rPr>
          <w:rFonts w:ascii="Times New Roman" w:eastAsia="Times New Roman" w:hAnsi="Times New Roman" w:cs="Times New Roman"/>
          <w:color w:val="000000"/>
          <w:spacing w:val="0"/>
          <w:w w:val="100"/>
          <w:position w:val="0"/>
        </w:rPr>
        <w:t>1</w:t>
      </w:r>
      <w:r>
        <w:rPr>
          <w:color w:val="000000"/>
          <w:spacing w:val="0"/>
          <w:w w:val="100"/>
          <w:position w:val="0"/>
        </w:rPr>
        <w:t>）等保</w:t>
      </w:r>
      <w:r>
        <w:rPr>
          <w:rFonts w:ascii="Times New Roman" w:eastAsia="Times New Roman" w:hAnsi="Times New Roman" w:cs="Times New Roman"/>
          <w:color w:val="000000"/>
          <w:spacing w:val="0"/>
          <w:w w:val="100"/>
          <w:position w:val="0"/>
        </w:rPr>
        <w:t>2.0</w:t>
      </w:r>
      <w:r>
        <w:rPr>
          <w:color w:val="000000"/>
          <w:spacing w:val="0"/>
          <w:w w:val="100"/>
          <w:position w:val="0"/>
        </w:rPr>
        <w:t>服务能力（覆盖系统定级咨询、系统安全评估、系 统差距分析、安全建设整改、协助安全测评全生命周期的安全服务能力）；（</w:t>
      </w:r>
      <w:r>
        <w:rPr>
          <w:rFonts w:ascii="Times New Roman" w:eastAsia="Times New Roman" w:hAnsi="Times New Roman" w:cs="Times New Roman"/>
          <w:color w:val="000000"/>
          <w:spacing w:val="0"/>
          <w:w w:val="100"/>
          <w:position w:val="0"/>
        </w:rPr>
        <w:t>2</w:t>
      </w:r>
      <w:r>
        <w:rPr>
          <w:color w:val="000000"/>
          <w:spacing w:val="0"/>
          <w:w w:val="100"/>
          <w:position w:val="0"/>
        </w:rPr>
        <w:t>）网络安全服务能力（涵盖 网络安全重保、护网红蓝对抗、安全渗透测试、代码审核评估、应急响应服务、安全培训服务）；（</w:t>
      </w:r>
      <w:r>
        <w:rPr>
          <w:rFonts w:ascii="Times New Roman" w:eastAsia="Times New Roman" w:hAnsi="Times New Roman" w:cs="Times New Roman"/>
          <w:color w:val="000000"/>
          <w:spacing w:val="0"/>
          <w:w w:val="100"/>
          <w:position w:val="0"/>
        </w:rPr>
        <w:t>3</w:t>
      </w:r>
      <w:r>
        <w:rPr>
          <w:color w:val="000000"/>
          <w:spacing w:val="0"/>
          <w:w w:val="100"/>
          <w:position w:val="0"/>
        </w:rPr>
        <w:t>）密 码应用评估能力（覆盖密码应用咨询、密码应用安全评估、密码应用差距分析、密码应用建设整改和密码 评估协助测评等）等，通过以上的安全服务实施可帮助客户准确全面识别安全风险，提出技术解决方案， 从而有效降低客户系统的整体风险。</w:t>
      </w:r>
    </w:p>
    <w:p>
      <w:pPr>
        <w:pStyle w:val="Style18"/>
        <w:keepNext w:val="0"/>
        <w:keepLines w:val="0"/>
        <w:widowControl w:val="0"/>
        <w:shd w:val="clear" w:color="auto" w:fill="auto"/>
        <w:bidi w:val="0"/>
        <w:spacing w:before="0" w:after="0" w:line="473"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 xml:space="preserve">年，围绕国家和地方提出的政务、医疗、教育等场景化数字化的相关要求，结合公司行业优势， </w:t>
      </w:r>
      <w:r>
        <w:rPr>
          <w:rFonts w:ascii="Times New Roman" w:eastAsia="Times New Roman" w:hAnsi="Times New Roman" w:cs="Times New Roman"/>
          <w:color w:val="000000"/>
          <w:spacing w:val="0"/>
          <w:w w:val="100"/>
          <w:position w:val="0"/>
        </w:rPr>
        <w:t>ICT</w:t>
      </w:r>
      <w:r>
        <w:rPr>
          <w:color w:val="000000"/>
          <w:spacing w:val="0"/>
          <w:w w:val="100"/>
          <w:position w:val="0"/>
        </w:rPr>
        <w:t>与政务、医卫、教育等部门联手打造与业务紧耦合的数字安全底座，进一步突出行业优势；强化“产 品服务化、服务产品化”的理念，进行业务赋能升级，以智慧政务、智慧医院、智慧教育等为切入点，打 造基于项目型的安全运营服务能力，以市民云、健康云等互联网服务平台为基础，打造互联网安全运营创 新服务能力。</w:t>
      </w:r>
    </w:p>
    <w:p>
      <w:pPr>
        <w:pStyle w:val="Style18"/>
        <w:keepNext w:val="0"/>
        <w:keepLines w:val="0"/>
        <w:widowControl w:val="0"/>
        <w:shd w:val="clear" w:color="auto" w:fill="auto"/>
        <w:bidi w:val="0"/>
        <w:spacing w:before="0" w:after="0" w:line="473"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年，《关于推动公立医院高质量发展的意见》《“十四五”优质高效医疗卫生服务体系建设实施方 案》等一系列利好政策推出，医卫行业信息化投入相对较多，智慧医卫也是公司的传统优势行业，因此， 凭借在安全集成、安全运营、安全重保和红蓝对抗等方面的经验积累，公司在医卫行业收获较多网络安全 项目。同时，以“随申办”市民云为平台基础，打造的互联网安全运营服务项目获得突破；在教育、政务 等行业网络安全业务也保持稳步增长。</w:t>
      </w:r>
    </w:p>
    <w:p>
      <w:pPr>
        <w:pStyle w:val="Style18"/>
        <w:keepNext w:val="0"/>
        <w:keepLines w:val="0"/>
        <w:widowControl w:val="0"/>
        <w:shd w:val="clear" w:color="auto" w:fill="auto"/>
        <w:bidi w:val="0"/>
        <w:spacing w:before="0" w:after="0" w:line="473" w:lineRule="exact"/>
        <w:ind w:left="0" w:right="0" w:firstLine="440"/>
        <w:jc w:val="both"/>
      </w:pPr>
      <w:bookmarkStart w:id="90" w:name="bookmark90"/>
      <w:r>
        <w:rPr>
          <w:rFonts w:ascii="Times New Roman" w:eastAsia="Times New Roman" w:hAnsi="Times New Roman" w:cs="Times New Roman"/>
          <w:b/>
          <w:bCs/>
          <w:color w:val="000000"/>
          <w:spacing w:val="0"/>
          <w:w w:val="100"/>
          <w:position w:val="0"/>
        </w:rPr>
        <w:t>4</w:t>
      </w:r>
      <w:bookmarkEnd w:id="90"/>
      <w:r>
        <w:rPr>
          <w:b/>
          <w:bCs/>
          <w:color w:val="000000"/>
          <w:spacing w:val="0"/>
          <w:w w:val="100"/>
          <w:position w:val="0"/>
        </w:rPr>
        <w:t>、数字园区业务</w:t>
      </w:r>
    </w:p>
    <w:p>
      <w:pPr>
        <w:pStyle w:val="Style18"/>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数字园区作为新一代信息技术与数字化制造业深度融合的产物，通过对人、机、物的全面互联，构建 起全要素、全产业链、全价值链全面连接的新型生产制造和服务体系，是数字化转型的实现途径。结合</w:t>
      </w:r>
      <w:r>
        <w:rPr>
          <w:rFonts w:ascii="Times New Roman" w:eastAsia="Times New Roman" w:hAnsi="Times New Roman" w:cs="Times New Roman"/>
          <w:color w:val="000000"/>
          <w:spacing w:val="0"/>
          <w:w w:val="100"/>
          <w:position w:val="0"/>
        </w:rPr>
        <w:t xml:space="preserve">5G </w:t>
      </w:r>
      <w:r>
        <w:rPr>
          <w:color w:val="000000"/>
          <w:spacing w:val="0"/>
          <w:w w:val="100"/>
          <w:position w:val="0"/>
        </w:rPr>
        <w:t>网络集群通讯、云计算、工业智脑、物联网、边缘计算等技术，重新定义智慧园区数字中台，实现自上而 下的全对象联接，为客户实现智慧商务、智慧建筑、智慧生活等场景，并提供技术咨询、系统设计、施工 安装、调试、培训及维护在内，全面整合、互联互通全方位的智慧园区数字中台系统整体解决方案服务。 随着国家和地方政府“十四五”规划的不断推出，全国各地都在加速智慧城市、平安城市、智慧园区、雪 亮工程、智慧校园、未来社区等各种结合场景的智能化大中型项目落地。</w:t>
      </w:r>
    </w:p>
    <w:p>
      <w:pPr>
        <w:pStyle w:val="Style18"/>
        <w:keepNext w:val="0"/>
        <w:keepLines w:val="0"/>
        <w:widowControl w:val="0"/>
        <w:shd w:val="clear" w:color="auto" w:fill="auto"/>
        <w:bidi w:val="0"/>
        <w:spacing w:before="0" w:after="0" w:line="47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年，公司基于过往的行业经验积累，加速拓展医警联网、校警联网、雪亮工程、人脸识别</w:t>
      </w:r>
      <w:r>
        <w:rPr>
          <w:rFonts w:ascii="Times New Roman" w:eastAsia="Times New Roman" w:hAnsi="Times New Roman" w:cs="Times New Roman"/>
          <w:color w:val="000000"/>
          <w:spacing w:val="0"/>
          <w:w w:val="100"/>
          <w:position w:val="0"/>
        </w:rPr>
        <w:t>+</w:t>
      </w:r>
      <w:r>
        <w:rPr>
          <w:color w:val="000000"/>
          <w:spacing w:val="0"/>
          <w:w w:val="100"/>
          <w:position w:val="0"/>
        </w:rPr>
        <w:t>医保 控费、智慧园区、智能楼宇等行业领域的解决方案落地。利用万达信息在行业客户的优势基础，在医卫、 教育、政务行业等落地相关数字园区项目，持续提升行业影响力。</w:t>
      </w:r>
    </w:p>
    <w:p>
      <w:pPr>
        <w:pStyle w:val="Style33"/>
        <w:keepNext/>
        <w:keepLines/>
        <w:widowControl w:val="0"/>
        <w:shd w:val="clear" w:color="auto" w:fill="auto"/>
        <w:bidi w:val="0"/>
        <w:spacing w:before="0" w:after="0" w:line="474" w:lineRule="exact"/>
        <w:ind w:left="0" w:right="0"/>
        <w:jc w:val="both"/>
      </w:pPr>
      <w:bookmarkStart w:id="91" w:name="bookmark91"/>
      <w:bookmarkStart w:id="92" w:name="bookmark92"/>
      <w:bookmarkStart w:id="93" w:name="bookmark93"/>
      <w:bookmarkStart w:id="94" w:name="bookmark94"/>
      <w:r>
        <w:rPr>
          <w:color w:val="000000"/>
          <w:spacing w:val="0"/>
          <w:w w:val="100"/>
          <w:position w:val="0"/>
        </w:rPr>
        <w:t>（</w:t>
      </w:r>
      <w:bookmarkEnd w:id="93"/>
      <w:r>
        <w:rPr>
          <w:color w:val="000000"/>
          <w:spacing w:val="0"/>
          <w:w w:val="100"/>
          <w:position w:val="0"/>
        </w:rPr>
        <w:t>四）智慧城市（市民云）业务</w:t>
      </w:r>
      <w:bookmarkEnd w:id="91"/>
      <w:bookmarkEnd w:id="92"/>
      <w:bookmarkEnd w:id="94"/>
    </w:p>
    <w:p>
      <w:pPr>
        <w:pStyle w:val="Style18"/>
        <w:keepNext w:val="0"/>
        <w:keepLines w:val="0"/>
        <w:widowControl w:val="0"/>
        <w:shd w:val="clear" w:color="auto" w:fill="auto"/>
        <w:bidi w:val="0"/>
        <w:spacing w:before="0" w:after="0" w:line="474" w:lineRule="exact"/>
        <w:ind w:left="0" w:right="0" w:firstLine="440"/>
        <w:jc w:val="both"/>
      </w:pPr>
      <w:r>
        <w:rPr>
          <w:color w:val="000000"/>
          <w:spacing w:val="0"/>
          <w:w w:val="100"/>
          <w:position w:val="0"/>
        </w:rPr>
        <w:t>公司智慧城市业务主要以市民云为载体，搭建可信的“互联网</w:t>
      </w:r>
      <w:r>
        <w:rPr>
          <w:rFonts w:ascii="Times New Roman" w:eastAsia="Times New Roman" w:hAnsi="Times New Roman" w:cs="Times New Roman"/>
          <w:color w:val="000000"/>
          <w:spacing w:val="0"/>
          <w:w w:val="100"/>
          <w:position w:val="0"/>
        </w:rPr>
        <w:t>+</w:t>
      </w:r>
      <w:r>
        <w:rPr>
          <w:color w:val="000000"/>
          <w:spacing w:val="0"/>
          <w:w w:val="100"/>
          <w:position w:val="0"/>
        </w:rPr>
        <w:t>城市服务”平台。“市民云”</w:t>
      </w:r>
      <w:r>
        <w:rPr>
          <w:color w:val="000000"/>
          <w:spacing w:val="0"/>
          <w:w w:val="100"/>
          <w:position w:val="0"/>
        </w:rPr>
        <w:t>（</w:t>
      </w:r>
      <w:r>
        <w:rPr>
          <w:rFonts w:ascii="Times New Roman" w:eastAsia="Times New Roman" w:hAnsi="Times New Roman" w:cs="Times New Roman"/>
          <w:color w:val="000000"/>
          <w:spacing w:val="0"/>
          <w:w w:val="100"/>
          <w:position w:val="0"/>
        </w:rPr>
        <w:t>APP</w:t>
      </w:r>
      <w:r>
        <w:rPr>
          <w:color w:val="000000"/>
          <w:spacing w:val="0"/>
          <w:w w:val="100"/>
          <w:position w:val="0"/>
        </w:rPr>
        <w:t>名 称因省市地区各异）是城市服务的总入口，为个人提供智能、可信的个性化服务，包括政务服务、公共服 务、生活服务及社区服务，是一个集成面向市民出生、教育、就业、就医、养老等在内全生命周期服务的 超级</w:t>
      </w:r>
      <w:r>
        <w:rPr>
          <w:rFonts w:ascii="Times New Roman" w:eastAsia="Times New Roman" w:hAnsi="Times New Roman" w:cs="Times New Roman"/>
          <w:color w:val="000000"/>
          <w:spacing w:val="0"/>
          <w:w w:val="100"/>
          <w:position w:val="0"/>
        </w:rPr>
        <w:t>APP</w:t>
      </w:r>
      <w:r>
        <w:rPr>
          <w:color w:val="000000"/>
          <w:spacing w:val="0"/>
          <w:w w:val="100"/>
          <w:position w:val="0"/>
        </w:rPr>
        <w:t>，</w:t>
      </w:r>
      <w:r>
        <w:rPr>
          <w:color w:val="000000"/>
          <w:spacing w:val="0"/>
          <w:w w:val="100"/>
          <w:position w:val="0"/>
        </w:rPr>
        <w:t>让百姓享受城市服务像网上购物一样方便，提升百姓对智慧城市的获得感。</w:t>
      </w:r>
    </w:p>
    <w:p>
      <w:pPr>
        <w:pStyle w:val="Style18"/>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在城市数字化转型关键时期，作为城市服务总入口，市民云积极发展以智慧社区为载体的“可信生活 圈”和“社会协同平台”的两翼服务：（</w:t>
      </w:r>
      <w:r>
        <w:rPr>
          <w:rFonts w:ascii="Times New Roman" w:eastAsia="Times New Roman" w:hAnsi="Times New Roman" w:cs="Times New Roman"/>
          <w:color w:val="000000"/>
          <w:spacing w:val="0"/>
          <w:w w:val="100"/>
          <w:position w:val="0"/>
        </w:rPr>
        <w:t>1</w:t>
      </w:r>
      <w:r>
        <w:rPr>
          <w:color w:val="000000"/>
          <w:spacing w:val="0"/>
          <w:w w:val="100"/>
          <w:position w:val="0"/>
        </w:rPr>
        <w:t>）提供以个人为中心的智能化生活方式，围绕社区</w:t>
      </w:r>
      <w:r>
        <w:rPr>
          <w:rFonts w:ascii="Times New Roman" w:eastAsia="Times New Roman" w:hAnsi="Times New Roman" w:cs="Times New Roman"/>
          <w:color w:val="000000"/>
          <w:spacing w:val="0"/>
          <w:w w:val="100"/>
          <w:position w:val="0"/>
        </w:rPr>
        <w:t>-</w:t>
      </w:r>
      <w:r>
        <w:rPr>
          <w:color w:val="000000"/>
          <w:spacing w:val="0"/>
          <w:w w:val="100"/>
          <w:position w:val="0"/>
        </w:rPr>
        <w:t>商家</w:t>
      </w:r>
      <w:r>
        <w:rPr>
          <w:rFonts w:ascii="Times New Roman" w:eastAsia="Times New Roman" w:hAnsi="Times New Roman" w:cs="Times New Roman"/>
          <w:color w:val="000000"/>
          <w:spacing w:val="0"/>
          <w:w w:val="100"/>
          <w:position w:val="0"/>
        </w:rPr>
        <w:t>-</w:t>
      </w:r>
      <w:r>
        <w:rPr>
          <w:color w:val="000000"/>
          <w:spacing w:val="0"/>
          <w:w w:val="100"/>
          <w:position w:val="0"/>
        </w:rPr>
        <w:t xml:space="preserve">居民， 链接社区周边资源，包括社区卫生服务中心、学校、小商铺、菜市场、水电维修等服务，实现社区街道办、 </w:t>
      </w:r>
      <w:r>
        <w:rPr>
          <w:color w:val="000000"/>
          <w:spacing w:val="0"/>
          <w:w w:val="100"/>
          <w:position w:val="0"/>
        </w:rPr>
        <w:t>社区居民、社区商家三端闭环，以周到贴心的管家式服务，为市民提供智能的生活方式；（</w:t>
      </w:r>
      <w:r>
        <w:rPr>
          <w:rFonts w:ascii="Times New Roman" w:eastAsia="Times New Roman" w:hAnsi="Times New Roman" w:cs="Times New Roman"/>
          <w:color w:val="000000"/>
          <w:spacing w:val="0"/>
          <w:w w:val="100"/>
          <w:position w:val="0"/>
        </w:rPr>
        <w:t>2</w:t>
      </w:r>
      <w:r>
        <w:rPr>
          <w:color w:val="000000"/>
          <w:spacing w:val="0"/>
          <w:w w:val="100"/>
          <w:position w:val="0"/>
        </w:rPr>
        <w:t>）社会协同平 台，围绕优政、惠民、兴业、智治，打造智慧治理“操作系统”，向政府提供监管审批、组织治理的平台， 为企业搭建供需匹配的桥梁，向居民提供参与治理的渠道：</w:t>
      </w:r>
      <w:r>
        <w:rPr>
          <w:rFonts w:ascii="Times New Roman" w:eastAsia="Times New Roman" w:hAnsi="Times New Roman" w:cs="Times New Roman"/>
          <w:color w:val="000000"/>
          <w:spacing w:val="0"/>
          <w:w w:val="100"/>
          <w:position w:val="0"/>
        </w:rPr>
        <w:t>1</w:t>
      </w:r>
      <w:r>
        <w:rPr>
          <w:color w:val="000000"/>
          <w:spacing w:val="0"/>
          <w:w w:val="100"/>
          <w:position w:val="0"/>
        </w:rPr>
        <w:t>）打造智慧社区，服务政府基层治理，为政 府机构、基层组织、社会力量提供参与治理的平台；</w:t>
      </w:r>
      <w:r>
        <w:rPr>
          <w:rFonts w:ascii="Times New Roman" w:eastAsia="Times New Roman" w:hAnsi="Times New Roman" w:cs="Times New Roman"/>
          <w:color w:val="000000"/>
          <w:spacing w:val="0"/>
          <w:w w:val="100"/>
          <w:position w:val="0"/>
        </w:rPr>
        <w:t>2</w:t>
      </w:r>
      <w:r>
        <w:rPr>
          <w:color w:val="000000"/>
          <w:spacing w:val="0"/>
          <w:w w:val="100"/>
          <w:position w:val="0"/>
        </w:rPr>
        <w:t>）在提供</w:t>
      </w:r>
      <w:r>
        <w:rPr>
          <w:rFonts w:ascii="Times New Roman" w:eastAsia="Times New Roman" w:hAnsi="Times New Roman" w:cs="Times New Roman"/>
          <w:color w:val="000000"/>
          <w:spacing w:val="0"/>
          <w:w w:val="100"/>
          <w:position w:val="0"/>
        </w:rPr>
        <w:t xml:space="preserve">SaaS </w:t>
      </w:r>
      <w:r>
        <w:rPr>
          <w:color w:val="000000"/>
          <w:spacing w:val="0"/>
          <w:w w:val="100"/>
          <w:position w:val="0"/>
        </w:rPr>
        <w:t>（软件即服务）的基础上，进一步建 设数据和服务能力开放系统，通过开放接口方便企业在市民云平台上发布和运营社区服务；</w:t>
      </w:r>
      <w:r>
        <w:rPr>
          <w:rFonts w:ascii="Times New Roman" w:eastAsia="Times New Roman" w:hAnsi="Times New Roman" w:cs="Times New Roman"/>
          <w:color w:val="000000"/>
          <w:spacing w:val="0"/>
          <w:w w:val="100"/>
          <w:position w:val="0"/>
        </w:rPr>
        <w:t>3</w:t>
      </w:r>
      <w:r>
        <w:rPr>
          <w:color w:val="000000"/>
          <w:spacing w:val="0"/>
          <w:w w:val="100"/>
          <w:position w:val="0"/>
        </w:rPr>
        <w:t>）提供居民 建言献策、评价体系等服务，通过信息公示、问卷调查、投票评选、线上议事等方式鼓励居民参与社区事 务。</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报告期内，市民云在市场拓展中积极探索并验证“智慧城市整体建设运营新模式”、“智慧城市与产业 投资结合模式”、“智慧城市长效运营模式”等市场拓展新模式，在此基础上成功落地张家口、石家庄等城 市，并和甘肃武威签署成立大数据公司、负责武威智慧城市建设及运营的协议。截至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月，市民 云签约城市数达</w:t>
      </w:r>
      <w:r>
        <w:rPr>
          <w:rFonts w:ascii="Times New Roman" w:eastAsia="Times New Roman" w:hAnsi="Times New Roman" w:cs="Times New Roman"/>
          <w:color w:val="000000"/>
          <w:spacing w:val="0"/>
          <w:w w:val="100"/>
          <w:position w:val="0"/>
        </w:rPr>
        <w:t>27</w:t>
      </w:r>
      <w:r>
        <w:rPr>
          <w:color w:val="000000"/>
          <w:spacing w:val="0"/>
          <w:w w:val="100"/>
          <w:position w:val="0"/>
        </w:rPr>
        <w:t>个，覆盖人口超</w:t>
      </w:r>
      <w:r>
        <w:rPr>
          <w:rFonts w:ascii="Times New Roman" w:eastAsia="Times New Roman" w:hAnsi="Times New Roman" w:cs="Times New Roman"/>
          <w:color w:val="000000"/>
          <w:spacing w:val="0"/>
          <w:w w:val="100"/>
          <w:position w:val="0"/>
        </w:rPr>
        <w:t>1.5</w:t>
      </w:r>
      <w:r>
        <w:rPr>
          <w:color w:val="000000"/>
          <w:spacing w:val="0"/>
          <w:w w:val="100"/>
          <w:position w:val="0"/>
        </w:rPr>
        <w:t>亿，注册用户数达</w:t>
      </w:r>
      <w:r>
        <w:rPr>
          <w:rFonts w:ascii="Times New Roman" w:eastAsia="Times New Roman" w:hAnsi="Times New Roman" w:cs="Times New Roman"/>
          <w:color w:val="000000"/>
          <w:spacing w:val="0"/>
          <w:w w:val="100"/>
          <w:position w:val="0"/>
        </w:rPr>
        <w:t>1.23</w:t>
      </w:r>
      <w:r>
        <w:rPr>
          <w:color w:val="000000"/>
          <w:spacing w:val="0"/>
          <w:w w:val="100"/>
          <w:position w:val="0"/>
        </w:rPr>
        <w:t>亿。</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报告期内，该产品实现了由市级、区县、街道和社区灵活采购、独立购买服务。这开辟了全新的业务 商机，在市民云存量城市及意向城市中，有近三成城市陆续跟进试点系统上线，在成都，社会协同平台产 品支撑打造了 “社智在线”智慧治理品牌。“可信生活圈”目前在成都、柳州、扬州、永州等地试点了资 源和信息连接，共吸引</w:t>
      </w:r>
      <w:r>
        <w:rPr>
          <w:rFonts w:ascii="Times New Roman" w:eastAsia="Times New Roman" w:hAnsi="Times New Roman" w:cs="Times New Roman"/>
          <w:color w:val="000000"/>
          <w:spacing w:val="0"/>
          <w:w w:val="100"/>
          <w:position w:val="0"/>
        </w:rPr>
        <w:t>3</w:t>
      </w:r>
      <w:r>
        <w:rPr>
          <w:color w:val="000000"/>
          <w:spacing w:val="0"/>
          <w:w w:val="100"/>
          <w:position w:val="0"/>
        </w:rPr>
        <w:t>万多组织（含政府机关、企事业单位、社会团体及居委会、个体工商户）入驻， 助力政府和商家向公众累计发放优惠券超</w:t>
      </w:r>
      <w:r>
        <w:rPr>
          <w:rFonts w:ascii="Times New Roman" w:eastAsia="Times New Roman" w:hAnsi="Times New Roman" w:cs="Times New Roman"/>
          <w:color w:val="000000"/>
          <w:spacing w:val="0"/>
          <w:w w:val="100"/>
          <w:position w:val="0"/>
        </w:rPr>
        <w:t>6</w:t>
      </w:r>
      <w:r>
        <w:rPr>
          <w:color w:val="000000"/>
          <w:spacing w:val="0"/>
          <w:w w:val="100"/>
          <w:position w:val="0"/>
        </w:rPr>
        <w:t>千万元，累计服务超</w:t>
      </w:r>
      <w:r>
        <w:rPr>
          <w:rFonts w:ascii="Times New Roman" w:eastAsia="Times New Roman" w:hAnsi="Times New Roman" w:cs="Times New Roman"/>
          <w:color w:val="000000"/>
          <w:spacing w:val="0"/>
          <w:w w:val="100"/>
          <w:position w:val="0"/>
        </w:rPr>
        <w:t>2</w:t>
      </w:r>
      <w:r>
        <w:rPr>
          <w:color w:val="000000"/>
          <w:spacing w:val="0"/>
          <w:w w:val="100"/>
          <w:position w:val="0"/>
        </w:rPr>
        <w:t>千万人次。</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智慧城市（市民云）中心还积极进入金融增值业务领域，目前电子钱包及支付功能已成功对接多家银 行，实现在成都、柳州、临沂、景德镇、资阳、眉山等多地落地对客；上海医保个账险惠民保业务“沪惠 保”在随申办市民云实现投保、理赔全流程打通；景德镇市民交通出行场景“扫码乘车”服务在智慧瓷都 </w:t>
      </w:r>
      <w:r>
        <w:rPr>
          <w:rFonts w:ascii="Times New Roman" w:eastAsia="Times New Roman" w:hAnsi="Times New Roman" w:cs="Times New Roman"/>
          <w:color w:val="000000"/>
          <w:spacing w:val="0"/>
          <w:w w:val="100"/>
          <w:position w:val="0"/>
        </w:rPr>
        <w:t>APP</w:t>
      </w:r>
      <w:r>
        <w:rPr>
          <w:color w:val="000000"/>
          <w:spacing w:val="0"/>
          <w:w w:val="100"/>
          <w:position w:val="0"/>
        </w:rPr>
        <w:t>上线使用。</w:t>
      </w:r>
    </w:p>
    <w:p>
      <w:pPr>
        <w:pStyle w:val="Style18"/>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在品牌打造方面，智慧城市（市民云）中心以“激发数据活力，赋能数字化转型升级”为主题，策划 筹办并于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日召开国内顶级规格的《中国智慧城市长效运营研究报告》发布会暨城市数字化 转型研讨会。市民云作为激发数据活力、打造生活数字化转型标杆场景、赋能城市数字化转型升级的智慧 城市运营典范，已成为我国现代化新征程新阶段贯彻新理念、构建新格局的重要助力，将持续为数字中国 的建设贡献坚实力量。</w:t>
      </w:r>
    </w:p>
    <w:p>
      <w:pPr>
        <w:pStyle w:val="Style18"/>
        <w:keepNext w:val="0"/>
        <w:keepLines w:val="0"/>
        <w:widowControl w:val="0"/>
        <w:shd w:val="clear" w:color="auto" w:fill="auto"/>
        <w:bidi w:val="0"/>
        <w:spacing w:before="0" w:after="0" w:line="466" w:lineRule="exact"/>
        <w:ind w:left="0" w:right="0" w:firstLine="440"/>
        <w:jc w:val="both"/>
      </w:pPr>
      <w:r>
        <w:rPr>
          <w:color w:val="000000"/>
          <w:spacing w:val="0"/>
          <w:w w:val="100"/>
          <w:position w:val="0"/>
        </w:rPr>
        <w:t xml:space="preserve">在疫情防控方面，智慧城市（市民云）中心充分发挥城市服务总入口的优势，为市民提供可信、专业、 便捷的疫情防控服务，乌鲁木齐“新疆好地方” </w:t>
      </w:r>
      <w:r>
        <w:rPr>
          <w:rFonts w:ascii="Times New Roman" w:eastAsia="Times New Roman" w:hAnsi="Times New Roman" w:cs="Times New Roman"/>
          <w:color w:val="000000"/>
          <w:spacing w:val="0"/>
          <w:w w:val="100"/>
          <w:position w:val="0"/>
        </w:rPr>
        <w:t>APP</w:t>
      </w:r>
      <w:r>
        <w:rPr>
          <w:color w:val="000000"/>
          <w:spacing w:val="0"/>
          <w:w w:val="100"/>
          <w:position w:val="0"/>
        </w:rPr>
        <w:t>通过健康服务码、入乌申报、场所码实现一码通城、 快速通行；北京</w:t>
      </w:r>
      <w:r>
        <w:rPr>
          <w:rFonts w:ascii="Times New Roman" w:eastAsia="Times New Roman" w:hAnsi="Times New Roman" w:cs="Times New Roman"/>
          <w:color w:val="000000"/>
          <w:spacing w:val="0"/>
          <w:w w:val="100"/>
          <w:position w:val="0"/>
        </w:rPr>
        <w:t>2022</w:t>
      </w:r>
      <w:r>
        <w:rPr>
          <w:color w:val="000000"/>
          <w:spacing w:val="0"/>
          <w:w w:val="100"/>
          <w:position w:val="0"/>
        </w:rPr>
        <w:t xml:space="preserve">年冬奥会和冬残奥会（张家口赛区）核心区疫情防控信息化平台通过平台及“幸福 张家口” </w:t>
      </w:r>
      <w:r>
        <w:rPr>
          <w:rFonts w:ascii="Times New Roman" w:eastAsia="Times New Roman" w:hAnsi="Times New Roman" w:cs="Times New Roman"/>
          <w:color w:val="000000"/>
          <w:spacing w:val="0"/>
          <w:w w:val="100"/>
          <w:position w:val="0"/>
        </w:rPr>
        <w:t>APP</w:t>
      </w:r>
      <w:r>
        <w:rPr>
          <w:color w:val="000000"/>
          <w:spacing w:val="0"/>
          <w:w w:val="100"/>
          <w:position w:val="0"/>
        </w:rPr>
        <w:t xml:space="preserve">保障冬奥会和冬残奥会（张家口赛区）日常及比赛期间疫情防控常态化管理；成都“天府市 </w:t>
      </w:r>
      <w:r>
        <w:rPr>
          <w:color w:val="000000"/>
          <w:spacing w:val="0"/>
          <w:w w:val="100"/>
          <w:position w:val="0"/>
        </w:rPr>
        <w:t xml:space="preserve">民云”通过社区报到码实现社区对来（返）蓉人员的信息摸排；张家界“我的张家界” </w:t>
      </w:r>
      <w:r>
        <w:rPr>
          <w:rFonts w:ascii="Times New Roman" w:eastAsia="Times New Roman" w:hAnsi="Times New Roman" w:cs="Times New Roman"/>
          <w:color w:val="000000"/>
          <w:spacing w:val="0"/>
          <w:w w:val="100"/>
          <w:position w:val="0"/>
        </w:rPr>
        <w:t>APP</w:t>
      </w:r>
      <w:r>
        <w:rPr>
          <w:color w:val="000000"/>
          <w:spacing w:val="0"/>
          <w:w w:val="100"/>
          <w:position w:val="0"/>
        </w:rPr>
        <w:t xml:space="preserve">通过张家界码 实现信息化技术精准防控；武威“天马行市民云” </w:t>
      </w:r>
      <w:r>
        <w:rPr>
          <w:rFonts w:ascii="Times New Roman" w:eastAsia="Times New Roman" w:hAnsi="Times New Roman" w:cs="Times New Roman"/>
          <w:color w:val="000000"/>
          <w:spacing w:val="0"/>
          <w:w w:val="100"/>
          <w:position w:val="0"/>
        </w:rPr>
        <w:t>APP</w:t>
      </w:r>
      <w:r>
        <w:rPr>
          <w:color w:val="000000"/>
          <w:spacing w:val="0"/>
          <w:w w:val="100"/>
          <w:position w:val="0"/>
        </w:rPr>
        <w:t>通过场所登记为流调、溯源提供数据支撑。</w:t>
      </w:r>
    </w:p>
    <w:p>
      <w:pPr>
        <w:pStyle w:val="Style33"/>
        <w:keepNext/>
        <w:keepLines/>
        <w:widowControl w:val="0"/>
        <w:shd w:val="clear" w:color="auto" w:fill="auto"/>
        <w:bidi w:val="0"/>
        <w:spacing w:before="0" w:after="280" w:line="471" w:lineRule="exact"/>
        <w:ind w:left="0" w:right="0"/>
        <w:jc w:val="both"/>
      </w:pPr>
      <w:bookmarkStart w:id="95" w:name="bookmark95"/>
      <w:bookmarkStart w:id="96" w:name="bookmark96"/>
      <w:bookmarkStart w:id="97" w:name="bookmark97"/>
      <w:bookmarkStart w:id="98" w:name="bookmark98"/>
      <w:r>
        <w:rPr>
          <w:color w:val="000000"/>
          <w:spacing w:val="0"/>
          <w:w w:val="100"/>
          <w:position w:val="0"/>
        </w:rPr>
        <w:t>（</w:t>
      </w:r>
      <w:bookmarkEnd w:id="97"/>
      <w:r>
        <w:rPr>
          <w:color w:val="000000"/>
          <w:spacing w:val="0"/>
          <w:w w:val="100"/>
          <w:position w:val="0"/>
        </w:rPr>
        <w:t>五）健康管理业务</w:t>
      </w:r>
      <w:bookmarkEnd w:id="95"/>
      <w:bookmarkEnd w:id="96"/>
      <w:bookmarkEnd w:id="98"/>
    </w:p>
    <w:p>
      <w:pPr>
        <w:pStyle w:val="Style33"/>
        <w:keepNext/>
        <w:keepLines/>
        <w:widowControl w:val="0"/>
        <w:shd w:val="clear" w:color="auto" w:fill="auto"/>
        <w:tabs>
          <w:tab w:pos="778" w:val="left"/>
        </w:tabs>
        <w:bidi w:val="0"/>
        <w:spacing w:before="0" w:after="0" w:line="492" w:lineRule="auto"/>
        <w:ind w:left="0" w:right="0"/>
        <w:jc w:val="both"/>
      </w:pPr>
      <w:bookmarkStart w:id="95" w:name="bookmark95"/>
      <w:bookmarkStart w:id="96" w:name="bookmark96"/>
      <w:bookmarkStart w:id="99" w:name="bookmark99"/>
      <w:r>
        <w:rPr>
          <w:rFonts w:ascii="Times New Roman" w:eastAsia="Times New Roman" w:hAnsi="Times New Roman" w:cs="Times New Roman"/>
          <w:color w:val="000000"/>
          <w:spacing w:val="0"/>
          <w:w w:val="100"/>
          <w:position w:val="0"/>
        </w:rPr>
        <w:t>1</w:t>
      </w:r>
      <w:bookmarkEnd w:id="99"/>
      <w:r>
        <w:rPr>
          <w:color w:val="000000"/>
          <w:spacing w:val="0"/>
          <w:w w:val="100"/>
          <w:position w:val="0"/>
        </w:rPr>
        <w:t>、</w:t>
        <w:tab/>
        <w:t>健康云</w:t>
      </w:r>
      <w:bookmarkEnd w:id="95"/>
      <w:bookmarkEnd w:id="96"/>
    </w:p>
    <w:p>
      <w:pPr>
        <w:pStyle w:val="Style18"/>
        <w:keepNext w:val="0"/>
        <w:keepLines w:val="0"/>
        <w:widowControl w:val="0"/>
        <w:shd w:val="clear" w:color="auto" w:fill="auto"/>
        <w:tabs>
          <w:tab w:pos="904" w:val="left"/>
        </w:tabs>
        <w:bidi w:val="0"/>
        <w:spacing w:before="0" w:after="0" w:line="471" w:lineRule="exact"/>
        <w:ind w:left="0" w:right="0" w:firstLine="440"/>
        <w:jc w:val="both"/>
      </w:pPr>
      <w:bookmarkStart w:id="100" w:name="bookmark100"/>
      <w:r>
        <w:rPr>
          <w:color w:val="000000"/>
          <w:spacing w:val="0"/>
          <w:w w:val="100"/>
          <w:position w:val="0"/>
        </w:rPr>
        <w:t>（</w:t>
      </w:r>
      <w:bookmarkEnd w:id="100"/>
      <w:r>
        <w:rPr>
          <w:rFonts w:ascii="Times New Roman" w:eastAsia="Times New Roman" w:hAnsi="Times New Roman" w:cs="Times New Roman"/>
          <w:color w:val="000000"/>
          <w:spacing w:val="0"/>
          <w:w w:val="100"/>
          <w:position w:val="0"/>
        </w:rPr>
        <w:t>1</w:t>
      </w:r>
      <w:r>
        <w:rPr>
          <w:color w:val="000000"/>
          <w:spacing w:val="0"/>
          <w:w w:val="100"/>
          <w:position w:val="0"/>
        </w:rPr>
        <w:t>）</w:t>
        <w:tab/>
        <w:t>平台护航，云网利器硬核助力抗疫一线</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根据疫情防控形势需要，健康云快速推出智慧防疫“三件通”</w:t>
      </w:r>
      <w:r>
        <w:rPr>
          <w:color w:val="000000"/>
          <w:spacing w:val="0"/>
          <w:w w:val="100"/>
          <w:position w:val="0"/>
        </w:rPr>
        <w:t>一一</w:t>
      </w:r>
      <w:r>
        <w:rPr>
          <w:color w:val="000000"/>
          <w:spacing w:val="0"/>
          <w:w w:val="100"/>
          <w:position w:val="0"/>
        </w:rPr>
        <w:t>核检通、健康通、接种通，健康通 通过“智能识别、精准拦截、一码查验、码上通行”四步法实现对人流量较大且人群身份不固定的场所的 快速健康核验；核检通采用“扫码即用、云上登记、亮码即采、云端调度、实时反馈”五步法保证大规模 人群核酸检测工作有序推进；接种通“一人一档，带码打针”，全链条一体化运作，提供“登记一扫码一 接种” 一条龙服务，实现一千余万人接种的“一人一码一档”全过程可追溯。健康云充分利用大数据和人 工智能技术，创新形成健康通行、智能筛查、快速接种、多级联动、立体管理的互联网</w:t>
      </w:r>
      <w:r>
        <w:rPr>
          <w:rFonts w:ascii="Times New Roman" w:eastAsia="Times New Roman" w:hAnsi="Times New Roman" w:cs="Times New Roman"/>
          <w:color w:val="000000"/>
          <w:spacing w:val="0"/>
          <w:w w:val="100"/>
          <w:position w:val="0"/>
        </w:rPr>
        <w:t>+</w:t>
      </w:r>
      <w:r>
        <w:rPr>
          <w:color w:val="000000"/>
          <w:spacing w:val="0"/>
          <w:w w:val="100"/>
          <w:position w:val="0"/>
        </w:rPr>
        <w:t>智慧疫情主动防 控体系，打通线上线下防疫服务渠道、赋能基层网格化管理、增强在线防疫能力。</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报告期内，互联网</w:t>
      </w:r>
      <w:r>
        <w:rPr>
          <w:rFonts w:ascii="Times New Roman" w:eastAsia="Times New Roman" w:hAnsi="Times New Roman" w:cs="Times New Roman"/>
          <w:color w:val="000000"/>
          <w:spacing w:val="0"/>
          <w:w w:val="100"/>
          <w:position w:val="0"/>
        </w:rPr>
        <w:t>+</w:t>
      </w:r>
      <w:r>
        <w:rPr>
          <w:color w:val="000000"/>
          <w:spacing w:val="0"/>
          <w:w w:val="100"/>
          <w:position w:val="0"/>
        </w:rPr>
        <w:t>接种业务累计服务超千万人次，增值业务拓展初现成效。核酸检测服务全市快速 覆盖，企业团单模式初步成型，第三方检测合作度全面提升。</w:t>
      </w:r>
    </w:p>
    <w:p>
      <w:pPr>
        <w:pStyle w:val="Style18"/>
        <w:keepNext w:val="0"/>
        <w:keepLines w:val="0"/>
        <w:widowControl w:val="0"/>
        <w:shd w:val="clear" w:color="auto" w:fill="auto"/>
        <w:bidi w:val="0"/>
        <w:spacing w:before="0" w:after="0" w:line="471" w:lineRule="exact"/>
        <w:ind w:left="0" w:right="0" w:firstLine="440"/>
        <w:jc w:val="both"/>
      </w:pPr>
      <w:bookmarkStart w:id="101" w:name="bookmark101"/>
      <w:r>
        <w:rPr>
          <w:color w:val="000000"/>
          <w:spacing w:val="0"/>
          <w:w w:val="100"/>
          <w:position w:val="0"/>
        </w:rPr>
        <w:t>（</w:t>
      </w:r>
      <w:bookmarkEnd w:id="101"/>
      <w:r>
        <w:rPr>
          <w:rFonts w:ascii="Times New Roman" w:eastAsia="Times New Roman" w:hAnsi="Times New Roman" w:cs="Times New Roman"/>
          <w:color w:val="000000"/>
          <w:spacing w:val="0"/>
          <w:w w:val="100"/>
          <w:position w:val="0"/>
        </w:rPr>
        <w:t>2</w:t>
      </w:r>
      <w:r>
        <w:rPr>
          <w:color w:val="000000"/>
          <w:spacing w:val="0"/>
          <w:w w:val="100"/>
          <w:position w:val="0"/>
        </w:rPr>
        <w:t>） 探索推进“创新产品</w:t>
      </w:r>
      <w:r>
        <w:rPr>
          <w:rFonts w:ascii="Times New Roman" w:eastAsia="Times New Roman" w:hAnsi="Times New Roman" w:cs="Times New Roman"/>
          <w:color w:val="000000"/>
          <w:spacing w:val="0"/>
          <w:w w:val="100"/>
          <w:position w:val="0"/>
        </w:rPr>
        <w:t>+</w:t>
      </w:r>
      <w:r>
        <w:rPr>
          <w:color w:val="000000"/>
          <w:spacing w:val="0"/>
          <w:w w:val="100"/>
          <w:position w:val="0"/>
        </w:rPr>
        <w:t>技术引擎”体系化建设，提升服务空间与内容</w:t>
      </w:r>
    </w:p>
    <w:p>
      <w:pPr>
        <w:pStyle w:val="Style18"/>
        <w:keepNext w:val="0"/>
        <w:keepLines w:val="0"/>
        <w:widowControl w:val="0"/>
        <w:shd w:val="clear" w:color="auto" w:fill="auto"/>
        <w:bidi w:val="0"/>
        <w:spacing w:before="0" w:after="0" w:line="474" w:lineRule="exact"/>
        <w:ind w:left="0" w:right="0" w:firstLine="440"/>
        <w:jc w:val="both"/>
      </w:pPr>
      <w:r>
        <w:rPr>
          <w:color w:val="000000"/>
          <w:spacing w:val="0"/>
          <w:w w:val="100"/>
          <w:position w:val="0"/>
        </w:rPr>
        <w:t>总体规划清晰分析市场竞品，找准定位实施差异化商业产品建设策略。升级改造全国性预约挂号综合 型服务平台，加快推进在线续方和在线医技的开发，确保远程医疗体验和效果。针对智慧医院、智慧家庭、 智慧社区三大应用场景，开展</w:t>
      </w:r>
      <w:r>
        <w:rPr>
          <w:rFonts w:ascii="Times New Roman" w:eastAsia="Times New Roman" w:hAnsi="Times New Roman" w:cs="Times New Roman"/>
          <w:color w:val="000000"/>
          <w:spacing w:val="0"/>
          <w:w w:val="100"/>
          <w:position w:val="0"/>
        </w:rPr>
        <w:t>5G</w:t>
      </w:r>
      <w:r>
        <w:rPr>
          <w:color w:val="000000"/>
          <w:spacing w:val="0"/>
          <w:w w:val="100"/>
          <w:position w:val="0"/>
        </w:rPr>
        <w:t>智能终端设备研发，智慧机器人研发、智慧健康驿站桌面版设备研拓； 从产品导向到个性满足，升级丰富移动端产品线，构建服务闭环，提升服务能效。</w:t>
      </w:r>
    </w:p>
    <w:p>
      <w:pPr>
        <w:pStyle w:val="Style1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紧抓数字化转型契机，智慧三件通创新产品与数字健康城区商机带来千万用户、上亿销售业绩。</w:t>
      </w:r>
    </w:p>
    <w:p>
      <w:pPr>
        <w:pStyle w:val="Style18"/>
        <w:keepNext w:val="0"/>
        <w:keepLines w:val="0"/>
        <w:widowControl w:val="0"/>
        <w:shd w:val="clear" w:color="auto" w:fill="auto"/>
        <w:bidi w:val="0"/>
        <w:spacing w:before="0" w:after="0" w:line="471" w:lineRule="exact"/>
        <w:ind w:left="0" w:right="0" w:firstLine="440"/>
        <w:jc w:val="both"/>
      </w:pPr>
      <w:bookmarkStart w:id="102" w:name="bookmark102"/>
      <w:r>
        <w:rPr>
          <w:color w:val="000000"/>
          <w:spacing w:val="0"/>
          <w:w w:val="100"/>
          <w:position w:val="0"/>
        </w:rPr>
        <w:t>（</w:t>
      </w:r>
      <w:bookmarkEnd w:id="102"/>
      <w:r>
        <w:rPr>
          <w:rFonts w:ascii="Times New Roman" w:eastAsia="Times New Roman" w:hAnsi="Times New Roman" w:cs="Times New Roman"/>
          <w:color w:val="000000"/>
          <w:spacing w:val="0"/>
          <w:w w:val="100"/>
          <w:position w:val="0"/>
        </w:rPr>
        <w:t>3</w:t>
      </w:r>
      <w:r>
        <w:rPr>
          <w:color w:val="000000"/>
          <w:spacing w:val="0"/>
          <w:w w:val="100"/>
          <w:position w:val="0"/>
        </w:rPr>
        <w:t>） 互联网医疗四大业务板块并线发展，助力扩大市场覆盖面</w:t>
      </w:r>
    </w:p>
    <w:p>
      <w:pPr>
        <w:pStyle w:val="Style18"/>
        <w:keepNext w:val="0"/>
        <w:keepLines w:val="0"/>
        <w:widowControl w:val="0"/>
        <w:shd w:val="clear" w:color="auto" w:fill="auto"/>
        <w:bidi w:val="0"/>
        <w:spacing w:before="0" w:after="280" w:line="471" w:lineRule="exact"/>
        <w:ind w:left="0" w:right="0" w:firstLine="540"/>
        <w:jc w:val="both"/>
      </w:pPr>
      <w:r>
        <w:rPr>
          <w:color w:val="000000"/>
          <w:spacing w:val="0"/>
          <w:w w:val="100"/>
          <w:position w:val="0"/>
        </w:rPr>
        <w:t>报告期内，健康云稳步推进互联网社区医院建设，目前互联网社区接入</w:t>
      </w:r>
      <w:r>
        <w:rPr>
          <w:rFonts w:ascii="Times New Roman" w:eastAsia="Times New Roman" w:hAnsi="Times New Roman" w:cs="Times New Roman"/>
          <w:color w:val="000000"/>
          <w:spacing w:val="0"/>
          <w:w w:val="100"/>
          <w:position w:val="0"/>
        </w:rPr>
        <w:t>72</w:t>
      </w:r>
      <w:r>
        <w:rPr>
          <w:color w:val="000000"/>
          <w:spacing w:val="0"/>
          <w:w w:val="100"/>
          <w:position w:val="0"/>
        </w:rPr>
        <w:t>家。围绕医患两端积极推 广互联网医院建设，基于长三角（上海）智慧互联网医院已建立涵盖</w:t>
      </w:r>
      <w:r>
        <w:rPr>
          <w:rFonts w:ascii="Times New Roman" w:eastAsia="Times New Roman" w:hAnsi="Times New Roman" w:cs="Times New Roman"/>
          <w:color w:val="000000"/>
          <w:spacing w:val="0"/>
          <w:w w:val="100"/>
          <w:position w:val="0"/>
        </w:rPr>
        <w:t>7</w:t>
      </w:r>
      <w:r>
        <w:rPr>
          <w:color w:val="000000"/>
          <w:spacing w:val="0"/>
          <w:w w:val="100"/>
          <w:position w:val="0"/>
        </w:rPr>
        <w:t>家市级三甲医院，向下辐射</w:t>
      </w:r>
      <w:r>
        <w:rPr>
          <w:rFonts w:ascii="Times New Roman" w:eastAsia="Times New Roman" w:hAnsi="Times New Roman" w:cs="Times New Roman"/>
          <w:color w:val="000000"/>
          <w:spacing w:val="0"/>
          <w:w w:val="100"/>
          <w:position w:val="0"/>
        </w:rPr>
        <w:t>12</w:t>
      </w:r>
      <w:r>
        <w:rPr>
          <w:color w:val="000000"/>
          <w:spacing w:val="0"/>
          <w:w w:val="100"/>
          <w:position w:val="0"/>
        </w:rPr>
        <w:t>家 社区卫生服务中心及</w:t>
      </w:r>
      <w:r>
        <w:rPr>
          <w:rFonts w:ascii="Times New Roman" w:eastAsia="Times New Roman" w:hAnsi="Times New Roman" w:cs="Times New Roman"/>
          <w:color w:val="000000"/>
          <w:spacing w:val="0"/>
          <w:w w:val="100"/>
          <w:position w:val="0"/>
        </w:rPr>
        <w:t>12</w:t>
      </w:r>
      <w:r>
        <w:rPr>
          <w:color w:val="000000"/>
          <w:spacing w:val="0"/>
          <w:w w:val="100"/>
          <w:position w:val="0"/>
        </w:rPr>
        <w:t>个村卫生室（站），向长三角区域辐射到浙江嘉善二院、江苏吴江五院、安徽霍邱 一院的平台型医联体网络体系。远程医疗业务持续发力，运营服务方覆盖上海近</w:t>
      </w:r>
      <w:r>
        <w:rPr>
          <w:rFonts w:ascii="Times New Roman" w:eastAsia="Times New Roman" w:hAnsi="Times New Roman" w:cs="Times New Roman"/>
          <w:color w:val="000000"/>
          <w:spacing w:val="0"/>
          <w:w w:val="100"/>
          <w:position w:val="0"/>
        </w:rPr>
        <w:t>20</w:t>
      </w:r>
      <w:r>
        <w:rPr>
          <w:color w:val="000000"/>
          <w:spacing w:val="0"/>
          <w:w w:val="100"/>
          <w:position w:val="0"/>
        </w:rPr>
        <w:t>家重点三甲医院，申 请方覆盖全国</w:t>
      </w:r>
      <w:r>
        <w:rPr>
          <w:rFonts w:ascii="Times New Roman" w:eastAsia="Times New Roman" w:hAnsi="Times New Roman" w:cs="Times New Roman"/>
          <w:color w:val="000000"/>
          <w:spacing w:val="0"/>
          <w:w w:val="100"/>
          <w:position w:val="0"/>
        </w:rPr>
        <w:t>31</w:t>
      </w:r>
      <w:r>
        <w:rPr>
          <w:color w:val="000000"/>
          <w:spacing w:val="0"/>
          <w:w w:val="100"/>
          <w:position w:val="0"/>
        </w:rPr>
        <w:t>个省市的</w:t>
      </w:r>
      <w:r>
        <w:rPr>
          <w:rFonts w:ascii="Times New Roman" w:eastAsia="Times New Roman" w:hAnsi="Times New Roman" w:cs="Times New Roman"/>
          <w:color w:val="000000"/>
          <w:spacing w:val="0"/>
          <w:w w:val="100"/>
          <w:position w:val="0"/>
        </w:rPr>
        <w:t>400</w:t>
      </w:r>
      <w:r>
        <w:rPr>
          <w:color w:val="000000"/>
          <w:spacing w:val="0"/>
          <w:w w:val="100"/>
          <w:position w:val="0"/>
        </w:rPr>
        <w:t>余家医疗机构。初步形成了整建制平台型互联网医院运营模式，探索营造 区域融合的可持续发展市场。</w:t>
      </w:r>
    </w:p>
    <w:p>
      <w:pPr>
        <w:pStyle w:val="Style18"/>
        <w:keepNext w:val="0"/>
        <w:keepLines w:val="0"/>
        <w:widowControl w:val="0"/>
        <w:shd w:val="clear" w:color="auto" w:fill="auto"/>
        <w:tabs>
          <w:tab w:pos="784" w:val="left"/>
        </w:tabs>
        <w:bidi w:val="0"/>
        <w:spacing w:before="0" w:after="0" w:line="492" w:lineRule="auto"/>
        <w:ind w:left="0" w:right="0" w:firstLine="440"/>
        <w:jc w:val="both"/>
      </w:pPr>
      <w:bookmarkStart w:id="103" w:name="bookmark103"/>
      <w:r>
        <w:rPr>
          <w:rFonts w:ascii="Times New Roman" w:eastAsia="Times New Roman" w:hAnsi="Times New Roman" w:cs="Times New Roman"/>
          <w:b/>
          <w:bCs/>
          <w:color w:val="000000"/>
          <w:spacing w:val="0"/>
          <w:w w:val="100"/>
          <w:position w:val="0"/>
        </w:rPr>
        <w:t>2</w:t>
      </w:r>
      <w:bookmarkEnd w:id="103"/>
      <w:r>
        <w:rPr>
          <w:b/>
          <w:bCs/>
          <w:color w:val="000000"/>
          <w:spacing w:val="0"/>
          <w:w w:val="100"/>
          <w:position w:val="0"/>
        </w:rPr>
        <w:t>、</w:t>
        <w:tab/>
        <w:t>蛮牛健康</w:t>
      </w:r>
    </w:p>
    <w:p>
      <w:pPr>
        <w:pStyle w:val="Style18"/>
        <w:keepNext w:val="0"/>
        <w:keepLines w:val="0"/>
        <w:widowControl w:val="0"/>
        <w:shd w:val="clear" w:color="auto" w:fill="auto"/>
        <w:bidi w:val="0"/>
        <w:spacing w:before="0" w:after="0" w:line="471"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年，蛮牛健康聚焦“健康管理+保险科技”双轮驱动战略升级，已打造形成以蛮牛伙伴（</w:t>
      </w:r>
      <w:r>
        <w:rPr>
          <w:rFonts w:ascii="Times New Roman" w:eastAsia="Times New Roman" w:hAnsi="Times New Roman" w:cs="Times New Roman"/>
          <w:color w:val="000000"/>
          <w:spacing w:val="0"/>
          <w:w w:val="100"/>
          <w:position w:val="0"/>
        </w:rPr>
        <w:t>A</w:t>
      </w:r>
      <w:r>
        <w:rPr>
          <w:color w:val="000000"/>
          <w:spacing w:val="0"/>
          <w:w w:val="100"/>
          <w:position w:val="0"/>
        </w:rPr>
        <w:t xml:space="preserve">端）、 </w:t>
      </w:r>
      <w:r>
        <w:rPr>
          <w:color w:val="000000"/>
          <w:spacing w:val="0"/>
          <w:w w:val="100"/>
          <w:position w:val="0"/>
        </w:rPr>
        <w:t>蛮牛员福</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端）为核心的保险科技能力，提升以蛮牛健康</w:t>
      </w:r>
      <w:r>
        <w:rPr>
          <w:color w:val="000000"/>
          <w:spacing w:val="0"/>
          <w:w w:val="100"/>
          <w:position w:val="0"/>
        </w:rPr>
        <w:t>（</w:t>
      </w:r>
      <w:r>
        <w:rPr>
          <w:rFonts w:ascii="Times New Roman" w:eastAsia="Times New Roman" w:hAnsi="Times New Roman" w:cs="Times New Roman"/>
          <w:color w:val="000000"/>
          <w:spacing w:val="0"/>
          <w:w w:val="100"/>
          <w:position w:val="0"/>
        </w:rPr>
        <w:t>C</w:t>
      </w:r>
      <w:r>
        <w:rPr>
          <w:color w:val="000000"/>
          <w:spacing w:val="0"/>
          <w:w w:val="100"/>
          <w:position w:val="0"/>
        </w:rPr>
        <w:t>端）、蛮牛医生</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端）为核心的健康管理 能力，加速业务融合与数字化转型。</w:t>
      </w:r>
    </w:p>
    <w:p>
      <w:pPr>
        <w:pStyle w:val="Style18"/>
        <w:keepNext w:val="0"/>
        <w:keepLines w:val="0"/>
        <w:widowControl w:val="0"/>
        <w:shd w:val="clear" w:color="auto" w:fill="auto"/>
        <w:bidi w:val="0"/>
        <w:spacing w:before="0" w:after="0" w:line="482" w:lineRule="exact"/>
        <w:ind w:left="0" w:right="0" w:firstLine="440"/>
        <w:jc w:val="left"/>
      </w:pPr>
      <w:r>
        <w:rPr>
          <w:color w:val="000000"/>
          <w:spacing w:val="0"/>
          <w:w w:val="100"/>
          <w:position w:val="0"/>
        </w:rPr>
        <w:t>围绕</w:t>
      </w:r>
      <w:r>
        <w:rPr>
          <w:rFonts w:ascii="Times New Roman" w:eastAsia="Times New Roman" w:hAnsi="Times New Roman" w:cs="Times New Roman"/>
          <w:color w:val="000000"/>
          <w:spacing w:val="0"/>
          <w:w w:val="100"/>
          <w:position w:val="0"/>
        </w:rPr>
        <w:t>2.0</w:t>
      </w:r>
      <w:r>
        <w:rPr>
          <w:color w:val="000000"/>
          <w:spacing w:val="0"/>
          <w:w w:val="100"/>
          <w:position w:val="0"/>
        </w:rPr>
        <w:t>战略迭代，公司聚焦健康管理板块核心产品研发。蛮牛健康</w:t>
      </w:r>
      <w:r>
        <w:rPr>
          <w:rFonts w:ascii="Times New Roman" w:eastAsia="Times New Roman" w:hAnsi="Times New Roman" w:cs="Times New Roman"/>
          <w:color w:val="000000"/>
          <w:spacing w:val="0"/>
          <w:w w:val="100"/>
          <w:position w:val="0"/>
        </w:rPr>
        <w:t>APP 2.0</w:t>
      </w:r>
      <w:r>
        <w:rPr>
          <w:color w:val="000000"/>
          <w:spacing w:val="0"/>
          <w:w w:val="100"/>
          <w:position w:val="0"/>
        </w:rPr>
        <w:t>健康照护版于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日正式上线应用市场，全面提升健康管理、智能物联、数据共享、健康顾问等核心功能。报告期内， 蛮牛健康</w:t>
      </w:r>
      <w:r>
        <w:rPr>
          <w:rFonts w:ascii="Times New Roman" w:eastAsia="Times New Roman" w:hAnsi="Times New Roman" w:cs="Times New Roman"/>
          <w:color w:val="000000"/>
          <w:spacing w:val="0"/>
          <w:w w:val="100"/>
          <w:position w:val="0"/>
        </w:rPr>
        <w:t xml:space="preserve">APP </w:t>
      </w:r>
      <w:r>
        <w:rPr>
          <w:rFonts w:ascii="Times New Roman" w:eastAsia="Times New Roman" w:hAnsi="Times New Roman" w:cs="Times New Roman"/>
          <w:color w:val="000000"/>
          <w:spacing w:val="0"/>
          <w:w w:val="100"/>
          <w:position w:val="0"/>
        </w:rPr>
        <w:t>2021</w:t>
      </w:r>
      <w:r>
        <w:rPr>
          <w:color w:val="000000"/>
          <w:spacing w:val="0"/>
          <w:w w:val="100"/>
          <w:position w:val="0"/>
        </w:rPr>
        <w:t>年新增注册用户</w:t>
      </w:r>
      <w:r>
        <w:rPr>
          <w:rFonts w:ascii="Times New Roman" w:eastAsia="Times New Roman" w:hAnsi="Times New Roman" w:cs="Times New Roman"/>
          <w:color w:val="000000"/>
          <w:spacing w:val="0"/>
          <w:w w:val="100"/>
          <w:position w:val="0"/>
        </w:rPr>
        <w:t>113.66</w:t>
      </w:r>
      <w:r>
        <w:rPr>
          <w:color w:val="000000"/>
          <w:spacing w:val="0"/>
          <w:w w:val="100"/>
          <w:position w:val="0"/>
        </w:rPr>
        <w:t>万人，环比增长</w:t>
      </w:r>
      <w:r>
        <w:rPr>
          <w:rFonts w:ascii="Times New Roman" w:eastAsia="Times New Roman" w:hAnsi="Times New Roman" w:cs="Times New Roman"/>
          <w:color w:val="000000"/>
          <w:spacing w:val="0"/>
          <w:w w:val="100"/>
          <w:position w:val="0"/>
        </w:rPr>
        <w:t>168.98%</w:t>
      </w:r>
      <w:r>
        <w:rPr>
          <w:color w:val="000000"/>
          <w:spacing w:val="0"/>
          <w:w w:val="100"/>
          <w:position w:val="0"/>
        </w:rPr>
        <w:t>，累计注册用户数达</w:t>
      </w:r>
      <w:r>
        <w:rPr>
          <w:rFonts w:ascii="Times New Roman" w:eastAsia="Times New Roman" w:hAnsi="Times New Roman" w:cs="Times New Roman"/>
          <w:color w:val="000000"/>
          <w:spacing w:val="0"/>
          <w:w w:val="100"/>
          <w:position w:val="0"/>
        </w:rPr>
        <w:t>154.4</w:t>
      </w:r>
      <w:r>
        <w:rPr>
          <w:color w:val="000000"/>
          <w:spacing w:val="0"/>
          <w:w w:val="100"/>
          <w:position w:val="0"/>
        </w:rPr>
        <w:t>万人。</w:t>
      </w:r>
    </w:p>
    <w:p>
      <w:pPr>
        <w:pStyle w:val="Style18"/>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同时，为满足家庭健康管理场景的养老服务需求，蛮牛健康打造了 “数字化健康养老照护平台”</w:t>
      </w:r>
      <w:r>
        <w:rPr>
          <w:color w:val="000000"/>
          <w:spacing w:val="0"/>
          <w:w w:val="100"/>
          <w:position w:val="0"/>
        </w:rPr>
        <w:t xml:space="preserve">一一 </w:t>
      </w:r>
      <w:r>
        <w:rPr>
          <w:color w:val="000000"/>
          <w:spacing w:val="0"/>
          <w:w w:val="100"/>
          <w:position w:val="0"/>
        </w:rPr>
        <w:t>蛮牛孝镜，并于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日在“中国养老产业数字化高峰论坛”正式发布。作为一站式智慧养老 解决方案的健康管理终端产品，蛮牛孝镜的推出旨在以有温度的科技开启居家智能养老照护新时代。报告 期内，产品入选“报时未来・</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（全球）企业创新实践年度峰会”</w:t>
      </w:r>
      <w:r>
        <w:rPr>
          <w:color w:val="000000"/>
          <w:spacing w:val="0"/>
          <w:w w:val="100"/>
          <w:position w:val="0"/>
        </w:rPr>
        <w:t>一一</w:t>
      </w:r>
      <w:r>
        <w:rPr>
          <w:color w:val="000000"/>
          <w:spacing w:val="0"/>
          <w:w w:val="100"/>
          <w:position w:val="0"/>
        </w:rPr>
        <w:t>技术与产品创新实践获奖案例。</w:t>
      </w:r>
    </w:p>
    <w:p>
      <w:pPr>
        <w:pStyle w:val="Style18"/>
        <w:keepNext w:val="0"/>
        <w:keepLines w:val="0"/>
        <w:widowControl w:val="0"/>
        <w:shd w:val="clear" w:color="auto" w:fill="auto"/>
        <w:bidi w:val="0"/>
        <w:spacing w:before="0" w:after="0" w:line="472" w:lineRule="exact"/>
        <w:ind w:left="0" w:right="0" w:firstLine="440"/>
        <w:jc w:val="left"/>
      </w:pPr>
      <w:r>
        <w:rPr>
          <w:color w:val="000000"/>
          <w:spacing w:val="0"/>
          <w:w w:val="100"/>
          <w:position w:val="0"/>
        </w:rPr>
        <w:t>在保险科技板块，为持续助力保险业数字化转型，旗下蛮牛伙伴</w:t>
      </w:r>
      <w:r>
        <w:rPr>
          <w:rFonts w:ascii="Times New Roman" w:eastAsia="Times New Roman" w:hAnsi="Times New Roman" w:cs="Times New Roman"/>
          <w:color w:val="000000"/>
          <w:spacing w:val="0"/>
          <w:w w:val="100"/>
          <w:position w:val="0"/>
        </w:rPr>
        <w:t>APP</w:t>
      </w:r>
      <w:r>
        <w:rPr>
          <w:color w:val="000000"/>
          <w:spacing w:val="0"/>
          <w:w w:val="100"/>
          <w:position w:val="0"/>
        </w:rPr>
        <w:t>进一步升级，增加了视频模块、 客户管理</w:t>
      </w:r>
      <w:r>
        <w:rPr>
          <w:rFonts w:ascii="Times New Roman" w:eastAsia="Times New Roman" w:hAnsi="Times New Roman" w:cs="Times New Roman"/>
          <w:color w:val="000000"/>
          <w:spacing w:val="0"/>
          <w:w w:val="100"/>
          <w:position w:val="0"/>
        </w:rPr>
        <w:t>3.0</w:t>
      </w:r>
      <w:r>
        <w:rPr>
          <w:color w:val="000000"/>
          <w:spacing w:val="0"/>
          <w:w w:val="100"/>
          <w:position w:val="0"/>
        </w:rPr>
        <w:t>、权益卡报表、碰一碰报表等多项功能，并上线了直播小程序（蛮划算好物联盟）、计划书同 屏共享小程序等实用模块。蛮牛伙伴</w:t>
      </w:r>
      <w:r>
        <w:rPr>
          <w:rFonts w:ascii="Times New Roman" w:eastAsia="Times New Roman" w:hAnsi="Times New Roman" w:cs="Times New Roman"/>
          <w:color w:val="000000"/>
          <w:spacing w:val="0"/>
          <w:w w:val="100"/>
          <w:position w:val="0"/>
        </w:rPr>
        <w:t>APP</w:t>
      </w:r>
      <w:r>
        <w:rPr>
          <w:color w:val="000000"/>
          <w:spacing w:val="0"/>
          <w:w w:val="100"/>
          <w:position w:val="0"/>
        </w:rPr>
        <w:t>累计注册用户</w:t>
      </w:r>
      <w:r>
        <w:rPr>
          <w:rFonts w:ascii="Times New Roman" w:eastAsia="Times New Roman" w:hAnsi="Times New Roman" w:cs="Times New Roman"/>
          <w:color w:val="000000"/>
          <w:spacing w:val="0"/>
          <w:w w:val="100"/>
          <w:position w:val="0"/>
        </w:rPr>
        <w:t>13</w:t>
      </w:r>
      <w:r>
        <w:rPr>
          <w:color w:val="000000"/>
          <w:spacing w:val="0"/>
          <w:w w:val="100"/>
          <w:position w:val="0"/>
        </w:rPr>
        <w:t>万，累计绑定用户</w:t>
      </w:r>
      <w:r>
        <w:rPr>
          <w:rFonts w:ascii="Times New Roman" w:eastAsia="Times New Roman" w:hAnsi="Times New Roman" w:cs="Times New Roman"/>
          <w:color w:val="000000"/>
          <w:spacing w:val="0"/>
          <w:w w:val="100"/>
          <w:position w:val="0"/>
        </w:rPr>
        <w:t>46.2</w:t>
      </w:r>
      <w:r>
        <w:rPr>
          <w:color w:val="000000"/>
          <w:spacing w:val="0"/>
          <w:w w:val="100"/>
          <w:position w:val="0"/>
        </w:rPr>
        <w:t>万，同比</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年新增 </w:t>
      </w:r>
      <w:r>
        <w:rPr>
          <w:rFonts w:ascii="Times New Roman" w:eastAsia="Times New Roman" w:hAnsi="Times New Roman" w:cs="Times New Roman"/>
          <w:color w:val="000000"/>
          <w:spacing w:val="0"/>
          <w:w w:val="100"/>
          <w:position w:val="0"/>
        </w:rPr>
        <w:t>17.59</w:t>
      </w:r>
      <w:r>
        <w:rPr>
          <w:color w:val="000000"/>
          <w:spacing w:val="0"/>
          <w:w w:val="100"/>
          <w:position w:val="0"/>
        </w:rPr>
        <w:t>万。报告期内，公司与中国银联合作开创的一键式“闪垫付”业务形态，有效提高医疗垫付效率、 提升保险客户服务体验；新上线“蛮牛医服”小程序，为保险公司提供专业的健康增值服务和理赔服务。</w:t>
      </w:r>
    </w:p>
    <w:p>
      <w:pPr>
        <w:pStyle w:val="Style18"/>
        <w:keepNext w:val="0"/>
        <w:keepLines w:val="0"/>
        <w:widowControl w:val="0"/>
        <w:shd w:val="clear" w:color="auto" w:fill="auto"/>
        <w:bidi w:val="0"/>
        <w:spacing w:before="0" w:after="0" w:line="472" w:lineRule="exact"/>
        <w:ind w:left="0" w:right="0" w:firstLine="440"/>
        <w:jc w:val="left"/>
      </w:pPr>
      <w:r>
        <w:rPr>
          <w:color w:val="000000"/>
          <w:spacing w:val="0"/>
          <w:w w:val="100"/>
          <w:position w:val="0"/>
        </w:rPr>
        <w:t>为进一步打开健康险增量市场，公司通过创新服务内容，开拓了包括多种类型的健康管理权益、高端 客户肿瘤免疫系统检测</w:t>
      </w:r>
      <w:r>
        <w:rPr>
          <w:color w:val="000000"/>
          <w:spacing w:val="0"/>
          <w:w w:val="100"/>
          <w:position w:val="0"/>
        </w:rPr>
        <w:t>（</w:t>
      </w:r>
      <w:r>
        <w:rPr>
          <w:rFonts w:ascii="Times New Roman" w:eastAsia="Times New Roman" w:hAnsi="Times New Roman" w:cs="Times New Roman"/>
          <w:color w:val="000000"/>
          <w:spacing w:val="0"/>
          <w:w w:val="100"/>
          <w:position w:val="0"/>
        </w:rPr>
        <w:t>IOK</w:t>
      </w:r>
      <w:r>
        <w:rPr>
          <w:color w:val="000000"/>
          <w:spacing w:val="0"/>
          <w:w w:val="100"/>
          <w:position w:val="0"/>
        </w:rPr>
        <w:t>）、</w:t>
      </w:r>
      <w:r>
        <w:rPr>
          <w:color w:val="000000"/>
          <w:spacing w:val="0"/>
          <w:w w:val="100"/>
          <w:position w:val="0"/>
        </w:rPr>
        <w:t>中老年客户心血管健康筛查、保险代理人健康管理师培训等项目。报告期 内，蛮牛健康权益卡业务覆盖中国人寿系统各级分支机构，同时积极开拓市场合作新渠道，与广发银行</w:t>
      </w:r>
      <w:r>
        <w:rPr>
          <w:rFonts w:ascii="Times New Roman" w:eastAsia="Times New Roman" w:hAnsi="Times New Roman" w:cs="Times New Roman"/>
          <w:color w:val="000000"/>
          <w:spacing w:val="0"/>
          <w:w w:val="100"/>
          <w:position w:val="0"/>
        </w:rPr>
        <w:t xml:space="preserve">15 </w:t>
      </w:r>
      <w:r>
        <w:rPr>
          <w:color w:val="000000"/>
          <w:spacing w:val="0"/>
          <w:w w:val="100"/>
          <w:position w:val="0"/>
        </w:rPr>
        <w:t>家分行开展了健康管理试点服务。</w:t>
      </w:r>
    </w:p>
    <w:p>
      <w:pPr>
        <w:pStyle w:val="Style18"/>
        <w:keepNext w:val="0"/>
        <w:keepLines w:val="0"/>
        <w:widowControl w:val="0"/>
        <w:shd w:val="clear" w:color="auto" w:fill="auto"/>
        <w:bidi w:val="0"/>
        <w:spacing w:before="0" w:after="0" w:line="474" w:lineRule="exact"/>
        <w:ind w:left="0" w:right="0" w:firstLine="440"/>
        <w:jc w:val="left"/>
      </w:pPr>
      <w:r>
        <w:rPr>
          <w:color w:val="000000"/>
          <w:spacing w:val="0"/>
          <w:w w:val="100"/>
          <w:position w:val="0"/>
        </w:rPr>
        <w:t>为积极践行蛮牛健康</w:t>
      </w:r>
      <w:r>
        <w:rPr>
          <w:rFonts w:ascii="Times New Roman" w:eastAsia="Times New Roman" w:hAnsi="Times New Roman" w:cs="Times New Roman"/>
          <w:color w:val="000000"/>
          <w:spacing w:val="0"/>
          <w:w w:val="100"/>
          <w:position w:val="0"/>
        </w:rPr>
        <w:t>3.0</w:t>
      </w:r>
      <w:r>
        <w:rPr>
          <w:color w:val="000000"/>
          <w:spacing w:val="0"/>
          <w:w w:val="100"/>
          <w:position w:val="0"/>
        </w:rPr>
        <w:t>战略，公司持续加强医药闭环业务布局，探索落地慢病管理业务模式。</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日，海南蛮牛健康互联网医院、海南蛮牛健康远程医疗中心成功获取医疗机构执业许可证；</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r>
        <w:rPr>
          <w:color w:val="000000"/>
          <w:spacing w:val="0"/>
          <w:w w:val="100"/>
          <w:position w:val="0"/>
        </w:rPr>
        <w:t>日，海南蛮牛健康互联网医院（“蛮牛医生”）小程序正式上线；小程序依托线下实体医院，为国内医生 提供移动在线诊疗的工作站；公司逐步实现“咨询、问诊、处方流转、购药”的医药服务闭环。</w:t>
      </w:r>
    </w:p>
    <w:p>
      <w:pPr>
        <w:pStyle w:val="Style18"/>
        <w:keepNext w:val="0"/>
        <w:keepLines w:val="0"/>
        <w:widowControl w:val="0"/>
        <w:shd w:val="clear" w:color="auto" w:fill="auto"/>
        <w:bidi w:val="0"/>
        <w:spacing w:before="0" w:after="0" w:line="474" w:lineRule="exact"/>
        <w:ind w:left="0" w:right="0" w:firstLine="440"/>
        <w:jc w:val="left"/>
      </w:pPr>
      <w:r>
        <w:rPr>
          <w:color w:val="000000"/>
          <w:spacing w:val="0"/>
          <w:w w:val="100"/>
          <w:position w:val="0"/>
        </w:rPr>
        <w:t>报告期内，蛮牛健康获得包括闪垫付软件</w:t>
      </w:r>
      <w:r>
        <w:rPr>
          <w:rFonts w:ascii="Times New Roman" w:eastAsia="Times New Roman" w:hAnsi="Times New Roman" w:cs="Times New Roman"/>
          <w:color w:val="000000"/>
          <w:spacing w:val="0"/>
          <w:w w:val="100"/>
          <w:position w:val="0"/>
        </w:rPr>
        <w:t>V1.0</w:t>
      </w:r>
      <w:r>
        <w:rPr>
          <w:color w:val="000000"/>
          <w:spacing w:val="0"/>
          <w:w w:val="100"/>
          <w:position w:val="0"/>
        </w:rPr>
        <w:t>软件著作权、蛮牛伙伴计划书同屏共享系统</w:t>
      </w:r>
      <w:r>
        <w:rPr>
          <w:rFonts w:ascii="Times New Roman" w:eastAsia="Times New Roman" w:hAnsi="Times New Roman" w:cs="Times New Roman"/>
          <w:color w:val="000000"/>
          <w:spacing w:val="0"/>
          <w:w w:val="100"/>
          <w:position w:val="0"/>
        </w:rPr>
        <w:t>V1.0</w:t>
      </w:r>
      <w:r>
        <w:rPr>
          <w:color w:val="000000"/>
          <w:spacing w:val="0"/>
          <w:w w:val="100"/>
          <w:position w:val="0"/>
        </w:rPr>
        <w:t>软件 著作权、蛮牛健康（海南）互联网医院系统应用软件</w:t>
      </w:r>
      <w:r>
        <w:rPr>
          <w:rFonts w:ascii="Times New Roman" w:eastAsia="Times New Roman" w:hAnsi="Times New Roman" w:cs="Times New Roman"/>
          <w:color w:val="000000"/>
          <w:spacing w:val="0"/>
          <w:w w:val="100"/>
          <w:position w:val="0"/>
        </w:rPr>
        <w:t>V1.0</w:t>
      </w:r>
      <w:r>
        <w:rPr>
          <w:color w:val="000000"/>
          <w:spacing w:val="0"/>
          <w:w w:val="100"/>
          <w:position w:val="0"/>
        </w:rPr>
        <w:t>软件著作权等数十项软著与专利；获得“健康 医疗产业保险峰会金革奖”、健康界“健康中国行动示范</w:t>
      </w:r>
      <w:r>
        <w:rPr>
          <w:rFonts w:ascii="Times New Roman" w:eastAsia="Times New Roman" w:hAnsi="Times New Roman" w:cs="Times New Roman"/>
          <w:color w:val="000000"/>
          <w:spacing w:val="0"/>
          <w:w w:val="100"/>
          <w:position w:val="0"/>
        </w:rPr>
        <w:t>V</w:t>
      </w:r>
      <w:r>
        <w:rPr>
          <w:color w:val="000000"/>
          <w:spacing w:val="0"/>
          <w:w w:val="100"/>
          <w:position w:val="0"/>
        </w:rPr>
        <w:t>创新”优秀创新奖、中国财经峰会“数字化转 型推动力奖”、分子实验室“保险科技创新大赛”优秀奖，入围“中国保险科技</w:t>
      </w:r>
      <w:r>
        <w:rPr>
          <w:rFonts w:ascii="Times New Roman" w:eastAsia="Times New Roman" w:hAnsi="Times New Roman" w:cs="Times New Roman"/>
          <w:color w:val="000000"/>
          <w:spacing w:val="0"/>
          <w:w w:val="100"/>
          <w:position w:val="0"/>
        </w:rPr>
        <w:t>100</w:t>
      </w:r>
      <w:r>
        <w:rPr>
          <w:color w:val="000000"/>
          <w:spacing w:val="0"/>
          <w:w w:val="100"/>
          <w:position w:val="0"/>
        </w:rPr>
        <w:t>强”榜单并荣获创新 大赛优秀奖，摘得报时未来•（全球）企业创新实践年度行业案例奖等多项行业殊荣。</w:t>
      </w:r>
    </w:p>
    <w:p>
      <w:pPr>
        <w:pStyle w:val="Style24"/>
        <w:keepNext/>
        <w:keepLines/>
        <w:widowControl w:val="0"/>
        <w:shd w:val="clear" w:color="auto" w:fill="auto"/>
        <w:bidi w:val="0"/>
        <w:spacing w:before="0" w:after="180" w:line="240" w:lineRule="auto"/>
        <w:ind w:left="0" w:right="0" w:firstLine="0"/>
        <w:jc w:val="left"/>
      </w:pPr>
      <w:bookmarkStart w:id="104" w:name="bookmark104"/>
      <w:bookmarkStart w:id="105" w:name="bookmark105"/>
      <w:bookmarkStart w:id="106" w:name="bookmark106"/>
      <w:bookmarkStart w:id="107" w:name="bookmark107"/>
      <w:r>
        <w:rPr>
          <w:color w:val="000000"/>
          <w:spacing w:val="0"/>
          <w:w w:val="100"/>
          <w:position w:val="0"/>
        </w:rPr>
        <w:t>三</w:t>
      </w:r>
      <w:bookmarkEnd w:id="106"/>
      <w:r>
        <w:rPr>
          <w:color w:val="000000"/>
          <w:spacing w:val="0"/>
          <w:w w:val="100"/>
          <w:position w:val="0"/>
        </w:rPr>
        <w:t>、核心竞争力分析</w:t>
      </w:r>
      <w:bookmarkEnd w:id="104"/>
      <w:bookmarkEnd w:id="105"/>
      <w:bookmarkEnd w:id="107"/>
    </w:p>
    <w:p>
      <w:pPr>
        <w:pStyle w:val="Style18"/>
        <w:keepNext w:val="0"/>
        <w:keepLines w:val="0"/>
        <w:widowControl w:val="0"/>
        <w:shd w:val="clear" w:color="auto" w:fill="auto"/>
        <w:bidi w:val="0"/>
        <w:spacing w:before="0" w:after="240" w:line="473" w:lineRule="exact"/>
        <w:ind w:left="0" w:right="0" w:firstLine="440"/>
        <w:jc w:val="both"/>
      </w:pPr>
      <w:r>
        <w:rPr>
          <w:color w:val="000000"/>
          <w:spacing w:val="0"/>
          <w:w w:val="100"/>
          <w:position w:val="0"/>
        </w:rPr>
        <w:t>万达信息成立二十多年来，历经信息化时代、互联网时代和当前的数字化转型时代，长期深耕行业软 件产品研发、系统集成服务和城市运营服务领域，积累了大量丰富的行业经验和众多成功的典型项目案例， 对智慧医卫、智慧政务、</w:t>
      </w:r>
      <w:r>
        <w:rPr>
          <w:rFonts w:ascii="Times New Roman" w:eastAsia="Times New Roman" w:hAnsi="Times New Roman" w:cs="Times New Roman"/>
          <w:color w:val="000000"/>
          <w:spacing w:val="0"/>
          <w:w w:val="100"/>
          <w:position w:val="0"/>
        </w:rPr>
        <w:t>ICT</w:t>
      </w:r>
      <w:r>
        <w:rPr>
          <w:color w:val="000000"/>
          <w:spacing w:val="0"/>
          <w:w w:val="100"/>
          <w:position w:val="0"/>
        </w:rPr>
        <w:t>业务、智慧城市、健康管理等行业的业务需求和应用场景具有深刻的洞察力 和理解力。凭借深厚的技术积累和充沛的创新活力，在数字化转型和万物互联的今天，万达信息正不断创 新，探索新的行业技术、落地新的行业应用、升级新的行业服务，为客户持续提供领先的产品、服务与解 决方案。</w:t>
      </w:r>
    </w:p>
    <w:p>
      <w:pPr>
        <w:pStyle w:val="Style33"/>
        <w:keepNext/>
        <w:keepLines/>
        <w:widowControl w:val="0"/>
        <w:shd w:val="clear" w:color="auto" w:fill="auto"/>
        <w:bidi w:val="0"/>
        <w:spacing w:before="0" w:after="0" w:line="494" w:lineRule="auto"/>
        <w:ind w:left="0" w:right="0"/>
        <w:jc w:val="both"/>
      </w:pPr>
      <w:bookmarkStart w:id="108" w:name="bookmark108"/>
      <w:bookmarkStart w:id="109" w:name="bookmark109"/>
      <w:bookmarkStart w:id="110" w:name="bookmark110"/>
      <w:bookmarkStart w:id="111" w:name="bookmark111"/>
      <w:r>
        <w:rPr>
          <w:rFonts w:ascii="Times New Roman" w:eastAsia="Times New Roman" w:hAnsi="Times New Roman" w:cs="Times New Roman"/>
          <w:color w:val="000000"/>
          <w:spacing w:val="0"/>
          <w:w w:val="100"/>
          <w:position w:val="0"/>
        </w:rPr>
        <w:t>1</w:t>
      </w:r>
      <w:bookmarkEnd w:id="110"/>
      <w:r>
        <w:rPr>
          <w:color w:val="000000"/>
          <w:spacing w:val="0"/>
          <w:w w:val="100"/>
          <w:position w:val="0"/>
        </w:rPr>
        <w:t>、丰富的行业经验</w:t>
      </w:r>
      <w:bookmarkEnd w:id="108"/>
      <w:bookmarkEnd w:id="109"/>
      <w:bookmarkEnd w:id="111"/>
    </w:p>
    <w:p>
      <w:pPr>
        <w:pStyle w:val="Style18"/>
        <w:keepNext w:val="0"/>
        <w:keepLines w:val="0"/>
        <w:widowControl w:val="0"/>
        <w:shd w:val="clear" w:color="auto" w:fill="auto"/>
        <w:bidi w:val="0"/>
        <w:spacing w:before="0" w:after="40" w:line="468" w:lineRule="exact"/>
        <w:ind w:left="0" w:right="0" w:firstLine="440"/>
        <w:jc w:val="both"/>
      </w:pPr>
      <w:r>
        <w:rPr>
          <w:color w:val="000000"/>
          <w:spacing w:val="0"/>
          <w:w w:val="100"/>
          <w:position w:val="0"/>
        </w:rPr>
        <w:t>在智慧医卫领域，万达信息行业经验、人才储备、技术实力、服务能力均有显著优势。智慧卫健方面， 公司产品重“建”更重“用”，以全民健康信息平台为核心的区域卫生行业全国市场第一，疾控、卫监、 妇幼、精卫等传统公共卫生业务产品和疫情之后升级推出的疫情防控全套件产品和解决方案越来越得到客 户的认可和市场的信赖，并支撑服务了医院、基层业务的发展和融合，为整个行业赋能；主笔和参与编制 超过</w:t>
      </w:r>
      <w:r>
        <w:rPr>
          <w:rFonts w:ascii="Times New Roman" w:eastAsia="Times New Roman" w:hAnsi="Times New Roman" w:cs="Times New Roman"/>
          <w:color w:val="000000"/>
          <w:spacing w:val="0"/>
          <w:w w:val="100"/>
          <w:position w:val="0"/>
        </w:rPr>
        <w:t>20</w:t>
      </w:r>
      <w:r>
        <w:rPr>
          <w:color w:val="000000"/>
          <w:spacing w:val="0"/>
          <w:w w:val="100"/>
          <w:position w:val="0"/>
        </w:rPr>
        <w:t>项国家级卫生健康信息化相关的标准和指南，承建国家全民健康保障信息化工程核心基础平台， 业务覆盖</w:t>
      </w:r>
      <w:r>
        <w:rPr>
          <w:rFonts w:ascii="Times New Roman" w:eastAsia="Times New Roman" w:hAnsi="Times New Roman" w:cs="Times New Roman"/>
          <w:color w:val="000000"/>
          <w:spacing w:val="0"/>
          <w:w w:val="100"/>
          <w:position w:val="0"/>
        </w:rPr>
        <w:t>26</w:t>
      </w:r>
      <w:r>
        <w:rPr>
          <w:color w:val="000000"/>
          <w:spacing w:val="0"/>
          <w:w w:val="100"/>
          <w:position w:val="0"/>
        </w:rPr>
        <w:t>个省份、</w:t>
      </w:r>
      <w:r>
        <w:rPr>
          <w:rFonts w:ascii="Times New Roman" w:eastAsia="Times New Roman" w:hAnsi="Times New Roman" w:cs="Times New Roman"/>
          <w:color w:val="000000"/>
          <w:spacing w:val="0"/>
          <w:w w:val="100"/>
          <w:position w:val="0"/>
        </w:rPr>
        <w:t>100</w:t>
      </w:r>
      <w:r>
        <w:rPr>
          <w:color w:val="000000"/>
          <w:spacing w:val="0"/>
          <w:w w:val="100"/>
          <w:position w:val="0"/>
        </w:rPr>
        <w:t>多个地市和</w:t>
      </w:r>
      <w:r>
        <w:rPr>
          <w:rFonts w:ascii="Times New Roman" w:eastAsia="Times New Roman" w:hAnsi="Times New Roman" w:cs="Times New Roman"/>
          <w:color w:val="000000"/>
          <w:spacing w:val="0"/>
          <w:w w:val="100"/>
          <w:position w:val="0"/>
        </w:rPr>
        <w:t>1000</w:t>
      </w:r>
      <w:r>
        <w:rPr>
          <w:color w:val="000000"/>
          <w:spacing w:val="0"/>
          <w:w w:val="100"/>
          <w:position w:val="0"/>
        </w:rPr>
        <w:t>多个区县。智慧医保方面，公司在医保支付制度改革、基金监 管、公共服务、政商一体化、长护保险、团体或个人保险等方面拥有产品和业务创新，与中国人寿协同实 现了在</w:t>
      </w:r>
      <w:r>
        <w:rPr>
          <w:rFonts w:ascii="Times New Roman" w:eastAsia="Times New Roman" w:hAnsi="Times New Roman" w:cs="Times New Roman"/>
          <w:color w:val="000000"/>
          <w:spacing w:val="0"/>
          <w:w w:val="100"/>
          <w:position w:val="0"/>
        </w:rPr>
        <w:t>22</w:t>
      </w:r>
      <w:r>
        <w:rPr>
          <w:color w:val="000000"/>
          <w:spacing w:val="0"/>
          <w:w w:val="100"/>
          <w:position w:val="0"/>
        </w:rPr>
        <w:t>个省级公司、</w:t>
      </w:r>
      <w:r>
        <w:rPr>
          <w:rFonts w:ascii="Times New Roman" w:eastAsia="Times New Roman" w:hAnsi="Times New Roman" w:cs="Times New Roman"/>
          <w:color w:val="000000"/>
          <w:spacing w:val="0"/>
          <w:w w:val="100"/>
          <w:position w:val="0"/>
        </w:rPr>
        <w:t>68</w:t>
      </w:r>
      <w:r>
        <w:rPr>
          <w:color w:val="000000"/>
          <w:spacing w:val="0"/>
          <w:w w:val="100"/>
          <w:position w:val="0"/>
        </w:rPr>
        <w:t>个地市的广泛覆盖，服务广州、上海、潍坊、营口等</w:t>
      </w:r>
      <w:r>
        <w:rPr>
          <w:rFonts w:ascii="Times New Roman" w:eastAsia="Times New Roman" w:hAnsi="Times New Roman" w:cs="Times New Roman"/>
          <w:color w:val="000000"/>
          <w:spacing w:val="0"/>
          <w:w w:val="100"/>
          <w:position w:val="0"/>
        </w:rPr>
        <w:t>15</w:t>
      </w:r>
      <w:r>
        <w:rPr>
          <w:color w:val="000000"/>
          <w:spacing w:val="0"/>
          <w:w w:val="100"/>
          <w:position w:val="0"/>
        </w:rPr>
        <w:t>个地市的</w:t>
      </w:r>
      <w:r>
        <w:rPr>
          <w:rFonts w:ascii="Times New Roman" w:eastAsia="Times New Roman" w:hAnsi="Times New Roman" w:cs="Times New Roman"/>
          <w:color w:val="000000"/>
          <w:spacing w:val="0"/>
          <w:w w:val="100"/>
          <w:position w:val="0"/>
        </w:rPr>
        <w:t>DIP</w:t>
      </w:r>
      <w:r>
        <w:rPr>
          <w:color w:val="000000"/>
          <w:spacing w:val="0"/>
          <w:w w:val="100"/>
          <w:position w:val="0"/>
        </w:rPr>
        <w:t>项目。智 慧医疗方面，公司业务和产品覆盖</w:t>
      </w:r>
      <w:r>
        <w:rPr>
          <w:rFonts w:ascii="Times New Roman" w:eastAsia="Times New Roman" w:hAnsi="Times New Roman" w:cs="Times New Roman"/>
          <w:color w:val="000000"/>
          <w:spacing w:val="0"/>
          <w:w w:val="100"/>
          <w:position w:val="0"/>
        </w:rPr>
        <w:t>HIS</w:t>
      </w:r>
      <w:r>
        <w:rPr>
          <w:color w:val="000000"/>
          <w:spacing w:val="0"/>
          <w:w w:val="100"/>
          <w:position w:val="0"/>
        </w:rPr>
        <w:t>、</w:t>
      </w:r>
      <w:r>
        <w:rPr>
          <w:rFonts w:ascii="Times New Roman" w:eastAsia="Times New Roman" w:hAnsi="Times New Roman" w:cs="Times New Roman"/>
          <w:color w:val="000000"/>
          <w:spacing w:val="0"/>
          <w:w w:val="100"/>
          <w:position w:val="0"/>
        </w:rPr>
        <w:t>CIS</w:t>
      </w:r>
      <w:r>
        <w:rPr>
          <w:color w:val="000000"/>
          <w:spacing w:val="0"/>
          <w:w w:val="100"/>
          <w:position w:val="0"/>
        </w:rPr>
        <w:t>、医院信息集成平台、护理管理平台、互联网医院、医疗物 联网集成平台等，基于新信息与通信技术架构研发智慧医院产品线，引领智慧医疗和智慧健康的协同发展： 一方面在国内多家大型三甲医院落地实施，树立示范标杆，同时为近</w:t>
      </w:r>
      <w:r>
        <w:rPr>
          <w:rFonts w:ascii="Times New Roman" w:eastAsia="Times New Roman" w:hAnsi="Times New Roman" w:cs="Times New Roman"/>
          <w:color w:val="000000"/>
          <w:spacing w:val="0"/>
          <w:w w:val="100"/>
          <w:position w:val="0"/>
        </w:rPr>
        <w:t>2000</w:t>
      </w:r>
      <w:r>
        <w:rPr>
          <w:color w:val="000000"/>
          <w:spacing w:val="0"/>
          <w:w w:val="100"/>
          <w:position w:val="0"/>
        </w:rPr>
        <w:t>家各级各类医疗机构提供信息 化服务；另一方面在重点地区深耕打造区域规模效益，宁波金唐的业务在浙江省市场占有率超</w:t>
      </w:r>
      <w:r>
        <w:rPr>
          <w:rFonts w:ascii="Times New Roman" w:eastAsia="Times New Roman" w:hAnsi="Times New Roman" w:cs="Times New Roman"/>
          <w:color w:val="000000"/>
          <w:spacing w:val="0"/>
          <w:w w:val="100"/>
          <w:position w:val="0"/>
        </w:rPr>
        <w:t>30%</w:t>
      </w:r>
      <w:r>
        <w:rPr>
          <w:color w:val="000000"/>
          <w:spacing w:val="0"/>
          <w:w w:val="100"/>
          <w:position w:val="0"/>
        </w:rPr>
        <w:t>、在宁 波市超</w:t>
      </w:r>
      <w:r>
        <w:rPr>
          <w:rFonts w:ascii="Times New Roman" w:eastAsia="Times New Roman" w:hAnsi="Times New Roman" w:cs="Times New Roman"/>
          <w:color w:val="000000"/>
          <w:spacing w:val="0"/>
          <w:w w:val="100"/>
          <w:position w:val="0"/>
        </w:rPr>
        <w:t>95%</w:t>
      </w:r>
      <w:r>
        <w:rPr>
          <w:color w:val="000000"/>
          <w:spacing w:val="0"/>
          <w:w w:val="100"/>
          <w:position w:val="0"/>
        </w:rPr>
        <w:t>，成为国内智慧医疗的重要建设者。</w:t>
      </w:r>
    </w:p>
    <w:p>
      <w:pPr>
        <w:pStyle w:val="Style18"/>
        <w:keepNext w:val="0"/>
        <w:keepLines w:val="0"/>
        <w:widowControl w:val="0"/>
        <w:shd w:val="clear" w:color="auto" w:fill="auto"/>
        <w:bidi w:val="0"/>
        <w:spacing w:before="0" w:after="180" w:line="470" w:lineRule="exact"/>
        <w:ind w:left="0" w:right="0" w:firstLine="440"/>
        <w:jc w:val="both"/>
      </w:pPr>
      <w:r>
        <w:rPr>
          <w:color w:val="000000"/>
          <w:spacing w:val="0"/>
          <w:w w:val="100"/>
          <w:position w:val="0"/>
        </w:rPr>
        <w:t>在智慧政务领域，公司拥有深厚的政务管理与服务、城市安全、民生服务、教育文创行业经验，参与 制定了多项行业标准。政务管理与服务方面，“一网通办”是万达信息智慧政务示范项目，“一网通办”模 式已成为国家主推的一体化政务服务模式。城市安全方面，公司拥有公共安全、大司法、智慧交通、工业 互联等系列平台核心技术，提供社会治理、公检法、应急等行业的核心产品和解决方案，已在上海、浙江、 重庆、湖南、四川等省市形成较大规模业务增长。民生服务方面，公司为人力资源、社会保障、民政等领 域提供技术先进、部署灵活、安全可靠的系列产品和个性化解决方案，业务已覆盖全国</w:t>
      </w:r>
      <w:r>
        <w:rPr>
          <w:rFonts w:ascii="Times New Roman" w:eastAsia="Times New Roman" w:hAnsi="Times New Roman" w:cs="Times New Roman"/>
          <w:color w:val="000000"/>
          <w:spacing w:val="0"/>
          <w:w w:val="100"/>
          <w:position w:val="0"/>
        </w:rPr>
        <w:t>31</w:t>
      </w:r>
      <w:r>
        <w:rPr>
          <w:color w:val="000000"/>
          <w:spacing w:val="0"/>
          <w:w w:val="100"/>
          <w:position w:val="0"/>
        </w:rPr>
        <w:t>省，服务全国 超过</w:t>
      </w:r>
      <w:r>
        <w:rPr>
          <w:rFonts w:ascii="Times New Roman" w:eastAsia="Times New Roman" w:hAnsi="Times New Roman" w:cs="Times New Roman"/>
          <w:color w:val="000000"/>
          <w:spacing w:val="0"/>
          <w:w w:val="100"/>
          <w:position w:val="0"/>
        </w:rPr>
        <w:t>8</w:t>
      </w:r>
      <w:r>
        <w:rPr>
          <w:color w:val="000000"/>
          <w:spacing w:val="0"/>
          <w:w w:val="100"/>
          <w:position w:val="0"/>
        </w:rPr>
        <w:t>亿人群。教育文创方面，依托上海教育的标杆效应和资源优势，公司提供上海大规模智慧学习平台、 学生体育素养大数据平台、智慧校园一体化解决方案等核心产品，有力支撑教育行业数字化转型。</w:t>
      </w:r>
    </w:p>
    <w:p>
      <w:pPr>
        <w:pStyle w:val="Style33"/>
        <w:keepNext/>
        <w:keepLines/>
        <w:widowControl w:val="0"/>
        <w:shd w:val="clear" w:color="auto" w:fill="auto"/>
        <w:tabs>
          <w:tab w:pos="754" w:val="left"/>
        </w:tabs>
        <w:bidi w:val="0"/>
        <w:spacing w:before="0" w:after="0" w:line="471" w:lineRule="exact"/>
        <w:ind w:left="0" w:right="0"/>
        <w:jc w:val="both"/>
      </w:pPr>
      <w:bookmarkStart w:id="112" w:name="bookmark112"/>
      <w:bookmarkStart w:id="113" w:name="bookmark113"/>
      <w:bookmarkStart w:id="114" w:name="bookmark114"/>
      <w:bookmarkStart w:id="115" w:name="bookmark115"/>
      <w:r>
        <w:rPr>
          <w:rFonts w:ascii="Times New Roman" w:eastAsia="Times New Roman" w:hAnsi="Times New Roman" w:cs="Times New Roman"/>
          <w:color w:val="000000"/>
          <w:spacing w:val="0"/>
          <w:w w:val="100"/>
          <w:position w:val="0"/>
        </w:rPr>
        <w:t>2</w:t>
      </w:r>
      <w:bookmarkEnd w:id="114"/>
      <w:r>
        <w:rPr>
          <w:color w:val="000000"/>
          <w:spacing w:val="0"/>
          <w:w w:val="100"/>
          <w:position w:val="0"/>
        </w:rPr>
        <w:t>、</w:t>
        <w:tab/>
        <w:t>深厚的技术积累</w:t>
      </w:r>
      <w:bookmarkEnd w:id="112"/>
      <w:bookmarkEnd w:id="113"/>
      <w:bookmarkEnd w:id="115"/>
    </w:p>
    <w:p>
      <w:pPr>
        <w:pStyle w:val="Style1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万达信息一直努力探索新形势下提高软件企业自主创新能力，以创新驱动发展和转型，具备在专业技 术、创新研发、市场开拓、服务能力等方面的领先实力，是全国首家整体通过</w:t>
      </w:r>
      <w:r>
        <w:rPr>
          <w:rFonts w:ascii="Times New Roman" w:eastAsia="Times New Roman" w:hAnsi="Times New Roman" w:cs="Times New Roman"/>
          <w:color w:val="000000"/>
          <w:spacing w:val="0"/>
          <w:w w:val="100"/>
          <w:position w:val="0"/>
        </w:rPr>
        <w:t>CMMI5 V1.3</w:t>
      </w:r>
      <w:r>
        <w:rPr>
          <w:color w:val="000000"/>
          <w:spacing w:val="0"/>
          <w:w w:val="100"/>
          <w:position w:val="0"/>
        </w:rPr>
        <w:t xml:space="preserve">的企业，具有 </w:t>
      </w:r>
      <w:r>
        <w:rPr>
          <w:rFonts w:ascii="Times New Roman" w:eastAsia="Times New Roman" w:hAnsi="Times New Roman" w:cs="Times New Roman"/>
          <w:color w:val="000000"/>
          <w:spacing w:val="0"/>
          <w:w w:val="100"/>
          <w:position w:val="0"/>
        </w:rPr>
        <w:t>ITSS</w:t>
      </w:r>
      <w:r>
        <w:rPr>
          <w:color w:val="000000"/>
          <w:spacing w:val="0"/>
          <w:w w:val="100"/>
          <w:position w:val="0"/>
        </w:rPr>
        <w:t>信息技术服务运行维护标准一级、电子与智能化工程专业承包一级资质、信息系统建设和服务能力等 级四级、信息系统安全集成服务一级资质</w:t>
      </w:r>
      <w:r>
        <w:rPr>
          <w:rFonts w:ascii="Times New Roman" w:eastAsia="Times New Roman" w:hAnsi="Times New Roman" w:cs="Times New Roman"/>
          <w:color w:val="000000"/>
          <w:spacing w:val="0"/>
          <w:w w:val="100"/>
          <w:position w:val="0"/>
        </w:rPr>
        <w:t>(CCRC)</w:t>
      </w:r>
      <w:r>
        <w:rPr>
          <w:color w:val="000000"/>
          <w:spacing w:val="0"/>
          <w:w w:val="100"/>
          <w:position w:val="0"/>
        </w:rPr>
        <w:t>等多项权威资质。公司拥有多个国家级创新平台，是国家 级企业技术中心、国家技术创新示范企业，在智慧城市、智慧政务、智慧医卫、健康管理等行业领域，人 工智能、区块链、大数据、云计算、物联网等关键技术方向取得了突出的成绩。万达信息累计拥有自主知 识产权</w:t>
      </w:r>
      <w:r>
        <w:rPr>
          <w:rFonts w:ascii="Times New Roman" w:eastAsia="Times New Roman" w:hAnsi="Times New Roman" w:cs="Times New Roman"/>
          <w:color w:val="000000"/>
          <w:spacing w:val="0"/>
          <w:w w:val="100"/>
          <w:position w:val="0"/>
        </w:rPr>
        <w:t>2300</w:t>
      </w:r>
      <w:r>
        <w:rPr>
          <w:color w:val="000000"/>
          <w:spacing w:val="0"/>
          <w:w w:val="100"/>
          <w:position w:val="0"/>
        </w:rPr>
        <w:t>余项，报告期内获得</w:t>
      </w:r>
      <w:r>
        <w:rPr>
          <w:rFonts w:ascii="Times New Roman" w:eastAsia="Times New Roman" w:hAnsi="Times New Roman" w:cs="Times New Roman"/>
          <w:color w:val="000000"/>
          <w:spacing w:val="0"/>
          <w:w w:val="100"/>
          <w:position w:val="0"/>
        </w:rPr>
        <w:t>370</w:t>
      </w:r>
      <w:r>
        <w:rPr>
          <w:color w:val="000000"/>
          <w:spacing w:val="0"/>
          <w:w w:val="100"/>
          <w:position w:val="0"/>
        </w:rPr>
        <w:t xml:space="preserve">项。公司建立了多个行业信息化标杆，共计主持和参与了 </w:t>
      </w:r>
      <w:r>
        <w:rPr>
          <w:rFonts w:ascii="Times New Roman" w:eastAsia="Times New Roman" w:hAnsi="Times New Roman" w:cs="Times New Roman"/>
          <w:color w:val="000000"/>
          <w:spacing w:val="0"/>
          <w:w w:val="100"/>
          <w:position w:val="0"/>
        </w:rPr>
        <w:t>50</w:t>
      </w:r>
      <w:r>
        <w:rPr>
          <w:color w:val="000000"/>
          <w:spacing w:val="0"/>
          <w:w w:val="100"/>
          <w:position w:val="0"/>
        </w:rPr>
        <w:t>余项国 家信息技术服务、数字化转型、企业综合能力评估、软件工程、电子政务、卫生信息、云计算、大数据、 人工智能等国家、行业、团体及地方标准规范的研制。</w:t>
      </w:r>
      <w:r>
        <w:rPr>
          <w:rFonts w:ascii="Times New Roman" w:eastAsia="Times New Roman" w:hAnsi="Times New Roman" w:cs="Times New Roman"/>
          <w:color w:val="000000"/>
          <w:spacing w:val="0"/>
          <w:w w:val="100"/>
          <w:position w:val="0"/>
        </w:rPr>
        <w:t>2021</w:t>
      </w:r>
      <w:r>
        <w:rPr>
          <w:color w:val="000000"/>
          <w:spacing w:val="0"/>
          <w:w w:val="100"/>
          <w:position w:val="0"/>
        </w:rPr>
        <w:t>年，公司参编的</w:t>
      </w:r>
      <w:r>
        <w:rPr>
          <w:rFonts w:ascii="Times New Roman" w:eastAsia="Times New Roman" w:hAnsi="Times New Roman" w:cs="Times New Roman"/>
          <w:color w:val="000000"/>
          <w:spacing w:val="0"/>
          <w:w w:val="100"/>
          <w:position w:val="0"/>
        </w:rPr>
        <w:t>4</w:t>
      </w:r>
      <w:r>
        <w:rPr>
          <w:color w:val="000000"/>
          <w:spacing w:val="0"/>
          <w:w w:val="100"/>
          <w:position w:val="0"/>
        </w:rPr>
        <w:t>项国家标准，</w:t>
      </w:r>
      <w:r>
        <w:rPr>
          <w:rFonts w:ascii="Times New Roman" w:eastAsia="Times New Roman" w:hAnsi="Times New Roman" w:cs="Times New Roman"/>
          <w:color w:val="000000"/>
          <w:spacing w:val="0"/>
          <w:w w:val="100"/>
          <w:position w:val="0"/>
        </w:rPr>
        <w:t>1</w:t>
      </w:r>
      <w:r>
        <w:rPr>
          <w:color w:val="000000"/>
          <w:spacing w:val="0"/>
          <w:w w:val="100"/>
          <w:position w:val="0"/>
        </w:rPr>
        <w:t xml:space="preserve">项团体标准， </w:t>
      </w:r>
      <w:r>
        <w:rPr>
          <w:rFonts w:ascii="Times New Roman" w:eastAsia="Times New Roman" w:hAnsi="Times New Roman" w:cs="Times New Roman"/>
          <w:color w:val="000000"/>
          <w:spacing w:val="0"/>
          <w:w w:val="100"/>
          <w:position w:val="0"/>
        </w:rPr>
        <w:t>1</w:t>
      </w:r>
      <w:r>
        <w:rPr>
          <w:color w:val="000000"/>
          <w:spacing w:val="0"/>
          <w:w w:val="100"/>
          <w:position w:val="0"/>
        </w:rPr>
        <w:t>份标准化行业研究报告已发布，包括国家标准《信息技术服务 数据资产管理要求</w:t>
      </w:r>
      <w:r>
        <w:rPr>
          <w:color w:val="000000"/>
          <w:spacing w:val="0"/>
          <w:w w:val="100"/>
          <w:position w:val="0"/>
        </w:rPr>
        <w:t>(</w:t>
      </w:r>
      <w:r>
        <w:rPr>
          <w:rFonts w:ascii="Times New Roman" w:eastAsia="Times New Roman" w:hAnsi="Times New Roman" w:cs="Times New Roman"/>
          <w:color w:val="000000"/>
          <w:spacing w:val="0"/>
          <w:w w:val="100"/>
          <w:position w:val="0"/>
        </w:rPr>
        <w:t xml:space="preserve">GB/T </w:t>
      </w:r>
      <w:r>
        <w:rPr>
          <w:rFonts w:ascii="Times New Roman" w:eastAsia="Times New Roman" w:hAnsi="Times New Roman" w:cs="Times New Roman"/>
          <w:color w:val="000000"/>
          <w:spacing w:val="0"/>
          <w:w w:val="100"/>
          <w:position w:val="0"/>
        </w:rPr>
        <w:t>40685-2021</w:t>
      </w:r>
      <w:r>
        <w:rPr>
          <w:color w:val="000000"/>
          <w:spacing w:val="0"/>
          <w:w w:val="100"/>
          <w:position w:val="0"/>
        </w:rPr>
        <w:t>)、 团体标准《软件能力成熟度模型》</w:t>
      </w:r>
      <w:r>
        <w:rPr>
          <w:color w:val="000000"/>
          <w:spacing w:val="0"/>
          <w:w w:val="100"/>
          <w:position w:val="0"/>
        </w:rPr>
        <w:t>(</w:t>
      </w:r>
      <w:r>
        <w:rPr>
          <w:rFonts w:ascii="Times New Roman" w:eastAsia="Times New Roman" w:hAnsi="Times New Roman" w:cs="Times New Roman"/>
          <w:color w:val="000000"/>
          <w:spacing w:val="0"/>
          <w:w w:val="100"/>
          <w:position w:val="0"/>
        </w:rPr>
        <w:t>T/CESA 1159-2021</w:t>
      </w:r>
      <w:r>
        <w:rPr>
          <w:color w:val="000000"/>
          <w:spacing w:val="0"/>
          <w:w w:val="100"/>
          <w:position w:val="0"/>
        </w:rPr>
        <w:t>)</w:t>
      </w:r>
      <w:r>
        <w:rPr>
          <w:color w:val="000000"/>
          <w:spacing w:val="0"/>
          <w:w w:val="100"/>
          <w:position w:val="0"/>
        </w:rPr>
        <w:t>以及</w:t>
      </w:r>
      <w:r>
        <w:rPr>
          <w:rFonts w:ascii="Times New Roman" w:eastAsia="Times New Roman" w:hAnsi="Times New Roman" w:cs="Times New Roman"/>
          <w:color w:val="000000"/>
          <w:spacing w:val="0"/>
          <w:w w:val="100"/>
          <w:position w:val="0"/>
        </w:rPr>
        <w:t>3</w:t>
      </w:r>
      <w:r>
        <w:rPr>
          <w:color w:val="000000"/>
          <w:spacing w:val="0"/>
          <w:w w:val="100"/>
          <w:position w:val="0"/>
        </w:rPr>
        <w:t>项基于云计算的电子政务公共平台国家标 准、《信息技术服务标准体系建设报告》等。</w:t>
      </w:r>
    </w:p>
    <w:p>
      <w:pPr>
        <w:pStyle w:val="Style1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 xml:space="preserve">此外，公司共主持和参与了 </w:t>
      </w:r>
      <w:r>
        <w:rPr>
          <w:rFonts w:ascii="Times New Roman" w:eastAsia="Times New Roman" w:hAnsi="Times New Roman" w:cs="Times New Roman"/>
          <w:color w:val="000000"/>
          <w:spacing w:val="0"/>
          <w:w w:val="100"/>
          <w:position w:val="0"/>
        </w:rPr>
        <w:t>3</w:t>
      </w:r>
      <w:r>
        <w:rPr>
          <w:color w:val="000000"/>
          <w:spacing w:val="0"/>
          <w:w w:val="100"/>
          <w:position w:val="0"/>
        </w:rPr>
        <w:t>项国家科技重大专项核高基，</w:t>
      </w:r>
      <w:r>
        <w:rPr>
          <w:rFonts w:ascii="Times New Roman" w:eastAsia="Times New Roman" w:hAnsi="Times New Roman" w:cs="Times New Roman"/>
          <w:color w:val="000000"/>
          <w:spacing w:val="0"/>
          <w:w w:val="100"/>
          <w:position w:val="0"/>
        </w:rPr>
        <w:t>10</w:t>
      </w:r>
      <w:r>
        <w:rPr>
          <w:color w:val="000000"/>
          <w:spacing w:val="0"/>
          <w:w w:val="100"/>
          <w:position w:val="0"/>
        </w:rPr>
        <w:t>余项国家重点研发计划，包括智慧城市、 慢病防控、精准医学、主动健康、云计算和大数据等重点专项，</w:t>
      </w:r>
      <w:r>
        <w:rPr>
          <w:rFonts w:ascii="Times New Roman" w:eastAsia="Times New Roman" w:hAnsi="Times New Roman" w:cs="Times New Roman"/>
          <w:color w:val="000000"/>
          <w:spacing w:val="0"/>
          <w:w w:val="100"/>
          <w:position w:val="0"/>
        </w:rPr>
        <w:t>2</w:t>
      </w:r>
      <w:r>
        <w:rPr>
          <w:color w:val="000000"/>
          <w:spacing w:val="0"/>
          <w:w w:val="100"/>
          <w:position w:val="0"/>
        </w:rPr>
        <w:t>项</w:t>
      </w:r>
      <w:r>
        <w:rPr>
          <w:rFonts w:ascii="Times New Roman" w:eastAsia="Times New Roman" w:hAnsi="Times New Roman" w:cs="Times New Roman"/>
          <w:color w:val="000000"/>
          <w:spacing w:val="0"/>
          <w:w w:val="100"/>
          <w:position w:val="0"/>
        </w:rPr>
        <w:t>863</w:t>
      </w:r>
      <w:r>
        <w:rPr>
          <w:color w:val="000000"/>
          <w:spacing w:val="0"/>
          <w:w w:val="100"/>
          <w:position w:val="0"/>
        </w:rPr>
        <w:t>计划生物医学大数据项目及数十 项省部级疫情防控、医疗大数据、医疗人工智能重点项目的研发及推广工作。通过科研项目的实施，公司 系列产品和服务在功能、性能、兼容性和操作效率等方面得到了全方位提升，数据处理能力、数据建模能 力、服务智能化水平、业务智能化效率等技术指标不断优化。</w:t>
      </w:r>
    </w:p>
    <w:p>
      <w:pPr>
        <w:pStyle w:val="Style18"/>
        <w:keepNext w:val="0"/>
        <w:keepLines w:val="0"/>
        <w:widowControl w:val="0"/>
        <w:shd w:val="clear" w:color="auto" w:fill="auto"/>
        <w:bidi w:val="0"/>
        <w:spacing w:before="0" w:after="0" w:line="474" w:lineRule="exact"/>
        <w:ind w:left="0" w:right="0" w:firstLine="440"/>
        <w:jc w:val="both"/>
      </w:pPr>
      <w:r>
        <w:rPr>
          <w:color w:val="000000"/>
          <w:spacing w:val="0"/>
          <w:w w:val="100"/>
          <w:position w:val="0"/>
        </w:rPr>
        <w:t>公司将云计算、大数据、人工智能、区块链等新兴共性技术与智慧城市各行业深度融合与赋能，始终 坚持方案设计和产品研发创新，研发的产品向国家和地方应用推广成为行业典型成果，累计已获得十多项 国家及省部级科技奖励和百余项行业类成果荣誉。报告期内，公司获得上海市科技进步一等奖</w:t>
      </w:r>
      <w:r>
        <w:rPr>
          <w:rFonts w:ascii="Times New Roman" w:eastAsia="Times New Roman" w:hAnsi="Times New Roman" w:cs="Times New Roman"/>
          <w:color w:val="000000"/>
          <w:spacing w:val="0"/>
          <w:w w:val="100"/>
          <w:position w:val="0"/>
        </w:rPr>
        <w:t>1</w:t>
      </w:r>
      <w:r>
        <w:rPr>
          <w:color w:val="000000"/>
          <w:spacing w:val="0"/>
          <w:w w:val="100"/>
          <w:position w:val="0"/>
        </w:rPr>
        <w:t>项、上海 市科技进步二等奖</w:t>
      </w:r>
      <w:r>
        <w:rPr>
          <w:rFonts w:ascii="Times New Roman" w:eastAsia="Times New Roman" w:hAnsi="Times New Roman" w:cs="Times New Roman"/>
          <w:color w:val="000000"/>
          <w:spacing w:val="0"/>
          <w:w w:val="100"/>
          <w:position w:val="0"/>
        </w:rPr>
        <w:t>1</w:t>
      </w:r>
      <w:r>
        <w:rPr>
          <w:color w:val="000000"/>
          <w:spacing w:val="0"/>
          <w:w w:val="100"/>
          <w:position w:val="0"/>
        </w:rPr>
        <w:t>项、山东省滨州市科技进步二等奖</w:t>
      </w:r>
      <w:r>
        <w:rPr>
          <w:rFonts w:ascii="Times New Roman" w:eastAsia="Times New Roman" w:hAnsi="Times New Roman" w:cs="Times New Roman"/>
          <w:color w:val="000000"/>
          <w:spacing w:val="0"/>
          <w:w w:val="100"/>
          <w:position w:val="0"/>
        </w:rPr>
        <w:t>1</w:t>
      </w:r>
      <w:r>
        <w:rPr>
          <w:color w:val="000000"/>
          <w:spacing w:val="0"/>
          <w:w w:val="100"/>
          <w:position w:val="0"/>
        </w:rPr>
        <w:t>项。</w:t>
      </w:r>
    </w:p>
    <w:p>
      <w:pPr>
        <w:pStyle w:val="Style33"/>
        <w:keepNext/>
        <w:keepLines/>
        <w:widowControl w:val="0"/>
        <w:shd w:val="clear" w:color="auto" w:fill="auto"/>
        <w:tabs>
          <w:tab w:pos="754" w:val="left"/>
        </w:tabs>
        <w:bidi w:val="0"/>
        <w:spacing w:before="0" w:after="0" w:line="474" w:lineRule="exact"/>
        <w:ind w:left="0" w:right="0"/>
        <w:jc w:val="both"/>
      </w:pPr>
      <w:bookmarkStart w:id="116" w:name="bookmark116"/>
      <w:bookmarkStart w:id="117" w:name="bookmark117"/>
      <w:bookmarkStart w:id="118" w:name="bookmark118"/>
      <w:bookmarkStart w:id="119" w:name="bookmark119"/>
      <w:r>
        <w:rPr>
          <w:rFonts w:ascii="Times New Roman" w:eastAsia="Times New Roman" w:hAnsi="Times New Roman" w:cs="Times New Roman"/>
          <w:color w:val="000000"/>
          <w:spacing w:val="0"/>
          <w:w w:val="100"/>
          <w:position w:val="0"/>
        </w:rPr>
        <w:t>3</w:t>
      </w:r>
      <w:bookmarkEnd w:id="118"/>
      <w:r>
        <w:rPr>
          <w:color w:val="000000"/>
          <w:spacing w:val="0"/>
          <w:w w:val="100"/>
          <w:position w:val="0"/>
        </w:rPr>
        <w:t>、</w:t>
        <w:tab/>
        <w:t>持续的创新能力</w:t>
      </w:r>
      <w:bookmarkEnd w:id="116"/>
      <w:bookmarkEnd w:id="117"/>
      <w:bookmarkEnd w:id="119"/>
    </w:p>
    <w:p>
      <w:pPr>
        <w:pStyle w:val="Style18"/>
        <w:keepNext w:val="0"/>
        <w:keepLines w:val="0"/>
        <w:widowControl w:val="0"/>
        <w:shd w:val="clear" w:color="auto" w:fill="auto"/>
        <w:bidi w:val="0"/>
        <w:spacing w:before="0" w:after="0" w:line="473" w:lineRule="exact"/>
        <w:ind w:left="0" w:right="0" w:firstLine="440"/>
        <w:jc w:val="both"/>
      </w:pPr>
      <w:r>
        <w:rPr>
          <w:color w:val="000000"/>
          <w:spacing w:val="0"/>
          <w:w w:val="100"/>
          <w:position w:val="0"/>
        </w:rPr>
        <w:t>万达信息拥有多个国家级创新平台，是国家级企业技术中心、国家卫生信息共享技术及应用工程技术 研究中心依托单位、医疗大数据应用技术国家工程实验室的联合建设单位之一、国家技术创新示范企业。 万达信息在创新投入、创新合作、技术创新产出、技术创新效益等方面均有突出成绩。</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深厚的技术积累为万达信息的可持续创新能力提供了强劲动能。公司一直注重人工智能、大数据、云 计算、移动互联网、物联网、区块链等新一代信息技术与行业的深入融合，并研发形成业务集成平台、</w:t>
      </w:r>
      <w:r>
        <w:rPr>
          <w:rFonts w:ascii="Times New Roman" w:eastAsia="Times New Roman" w:hAnsi="Times New Roman" w:cs="Times New Roman"/>
          <w:color w:val="000000"/>
          <w:spacing w:val="0"/>
          <w:w w:val="100"/>
          <w:position w:val="0"/>
        </w:rPr>
        <w:t xml:space="preserve">AIaaS </w:t>
      </w:r>
      <w:r>
        <w:rPr>
          <w:color w:val="000000"/>
          <w:spacing w:val="0"/>
          <w:w w:val="100"/>
          <w:position w:val="0"/>
        </w:rPr>
        <w:t xml:space="preserve">(人工智能即服务)平台、大数据支撑平台、云计算平台、链支付平台等基础平台，拓展全层级云服务生 </w:t>
      </w:r>
      <w:r>
        <w:rPr>
          <w:color w:val="000000"/>
          <w:spacing w:val="0"/>
          <w:w w:val="100"/>
          <w:position w:val="0"/>
        </w:rPr>
        <w:t>态圈，具备跨地区云牌照、可信云、可信云安全、</w:t>
      </w:r>
      <w:r>
        <w:rPr>
          <w:rFonts w:ascii="Times New Roman" w:eastAsia="Times New Roman" w:hAnsi="Times New Roman" w:cs="Times New Roman"/>
          <w:color w:val="000000"/>
          <w:spacing w:val="0"/>
          <w:w w:val="100"/>
          <w:position w:val="0"/>
        </w:rPr>
        <w:t>ITSS</w:t>
      </w:r>
      <w:r>
        <w:rPr>
          <w:color w:val="000000"/>
          <w:spacing w:val="0"/>
          <w:w w:val="100"/>
          <w:position w:val="0"/>
        </w:rPr>
        <w:t>云计算服务能力标准（私有云贰级</w:t>
      </w:r>
      <w:r>
        <w:rPr>
          <w:rFonts w:ascii="Times New Roman" w:eastAsia="Times New Roman" w:hAnsi="Times New Roman" w:cs="Times New Roman"/>
          <w:color w:val="000000"/>
          <w:spacing w:val="0"/>
          <w:w w:val="100"/>
          <w:position w:val="0"/>
        </w:rPr>
        <w:t>/</w:t>
      </w:r>
      <w:r>
        <w:rPr>
          <w:color w:val="000000"/>
          <w:spacing w:val="0"/>
          <w:w w:val="100"/>
          <w:position w:val="0"/>
        </w:rPr>
        <w:t>公有云贰级）、 等保三级等一系列资质，构建了基于异构多云环境的安全可信云服务，让行业更智能、服务更便捷。</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在人工智能方面，继获得</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年世界人工智能创新大赛医疗赛道冠军及人工智能卓越引领奖年度 </w:t>
      </w:r>
      <w:r>
        <w:rPr>
          <w:rFonts w:ascii="Times New Roman" w:eastAsia="Times New Roman" w:hAnsi="Times New Roman" w:cs="Times New Roman"/>
          <w:color w:val="000000"/>
          <w:spacing w:val="0"/>
          <w:w w:val="100"/>
          <w:position w:val="0"/>
        </w:rPr>
        <w:t>TOP30</w:t>
      </w:r>
      <w:r>
        <w:rPr>
          <w:color w:val="000000"/>
          <w:spacing w:val="0"/>
          <w:w w:val="100"/>
          <w:position w:val="0"/>
        </w:rPr>
        <w:t>榜单后，公司荣膺</w:t>
      </w:r>
      <w:r>
        <w:rPr>
          <w:rFonts w:ascii="Times New Roman" w:eastAsia="Times New Roman" w:hAnsi="Times New Roman" w:cs="Times New Roman"/>
          <w:color w:val="000000"/>
          <w:spacing w:val="0"/>
          <w:w w:val="100"/>
          <w:position w:val="0"/>
        </w:rPr>
        <w:t>2021</w:t>
      </w:r>
      <w:r>
        <w:rPr>
          <w:color w:val="000000"/>
          <w:spacing w:val="0"/>
          <w:w w:val="100"/>
          <w:position w:val="0"/>
        </w:rPr>
        <w:t>年“首届应用算法实践典范</w:t>
      </w:r>
      <w:r>
        <w:rPr>
          <w:rFonts w:ascii="Times New Roman" w:eastAsia="Times New Roman" w:hAnsi="Times New Roman" w:cs="Times New Roman"/>
          <w:color w:val="000000"/>
          <w:spacing w:val="0"/>
          <w:w w:val="100"/>
          <w:position w:val="0"/>
        </w:rPr>
        <w:t>BPAA</w:t>
      </w:r>
      <w:r>
        <w:rPr>
          <w:color w:val="000000"/>
          <w:spacing w:val="0"/>
          <w:w w:val="100"/>
          <w:position w:val="0"/>
        </w:rPr>
        <w:t>”</w:t>
      </w:r>
      <w:r>
        <w:rPr>
          <w:color w:val="000000"/>
          <w:spacing w:val="0"/>
          <w:w w:val="100"/>
          <w:position w:val="0"/>
        </w:rPr>
        <w:t>金融赛道冠军（金奖），并且相关技术 已在医疗健康、政务民生等行业大量应用，体现了公司人工智能方面的硬实力。云计算方面，荣获上海市 科技进步奖三等奖，“万达信息医疗健康云服务平台”获</w:t>
      </w:r>
      <w:r>
        <w:rPr>
          <w:rFonts w:ascii="Times New Roman" w:eastAsia="Times New Roman" w:hAnsi="Times New Roman" w:cs="Times New Roman"/>
          <w:color w:val="000000"/>
          <w:spacing w:val="0"/>
          <w:w w:val="100"/>
          <w:position w:val="0"/>
        </w:rPr>
        <w:t>ITSS</w:t>
      </w:r>
      <w:r>
        <w:rPr>
          <w:color w:val="000000"/>
          <w:spacing w:val="0"/>
          <w:w w:val="100"/>
          <w:position w:val="0"/>
        </w:rPr>
        <w:t>优秀应用案例，参与编制的</w:t>
      </w:r>
      <w:r>
        <w:rPr>
          <w:rFonts w:ascii="Times New Roman" w:eastAsia="Times New Roman" w:hAnsi="Times New Roman" w:cs="Times New Roman"/>
          <w:color w:val="000000"/>
          <w:spacing w:val="0"/>
          <w:w w:val="100"/>
          <w:position w:val="0"/>
        </w:rPr>
        <w:t>3</w:t>
      </w:r>
      <w:r>
        <w:rPr>
          <w:color w:val="000000"/>
          <w:spacing w:val="0"/>
          <w:w w:val="100"/>
          <w:position w:val="0"/>
        </w:rPr>
        <w:t>项基于云计算 的电子政务公共平台国家标准正式获批发布；区块链方面，作为上海区块链技术协会、可信区块链推进计 划成员单位以及区块链服务网络</w:t>
      </w:r>
      <w:r>
        <w:rPr>
          <w:rFonts w:ascii="Times New Roman" w:eastAsia="Times New Roman" w:hAnsi="Times New Roman" w:cs="Times New Roman"/>
          <w:color w:val="000000"/>
          <w:spacing w:val="0"/>
          <w:w w:val="100"/>
          <w:position w:val="0"/>
        </w:rPr>
        <w:t>BSN</w:t>
      </w:r>
      <w:r>
        <w:rPr>
          <w:color w:val="000000"/>
          <w:spacing w:val="0"/>
          <w:w w:val="100"/>
          <w:position w:val="0"/>
        </w:rPr>
        <w:t>官方推荐应用，参与《区块链工程技术人员国家职业技术技能标准》 及第一本国家区块链技术职业培训教材审定，获</w:t>
      </w:r>
      <w:r>
        <w:rPr>
          <w:rFonts w:ascii="Times New Roman" w:eastAsia="Times New Roman" w:hAnsi="Times New Roman" w:cs="Times New Roman"/>
          <w:color w:val="000000"/>
          <w:spacing w:val="0"/>
          <w:w w:val="100"/>
          <w:position w:val="0"/>
        </w:rPr>
        <w:t>2021</w:t>
      </w:r>
      <w:r>
        <w:rPr>
          <w:color w:val="000000"/>
          <w:spacing w:val="0"/>
          <w:w w:val="100"/>
          <w:position w:val="0"/>
        </w:rPr>
        <w:t>年上海市新职业技能大赛区块链应用操作员金牌； 隐私计算方面，获得</w:t>
      </w:r>
      <w:r>
        <w:rPr>
          <w:rFonts w:ascii="Times New Roman" w:eastAsia="Times New Roman" w:hAnsi="Times New Roman" w:cs="Times New Roman"/>
          <w:color w:val="000000"/>
          <w:spacing w:val="0"/>
          <w:w w:val="100"/>
          <w:position w:val="0"/>
        </w:rPr>
        <w:t>2020CCF</w:t>
      </w:r>
      <w:r>
        <w:rPr>
          <w:color w:val="000000"/>
          <w:spacing w:val="0"/>
          <w:w w:val="100"/>
          <w:position w:val="0"/>
        </w:rPr>
        <w:t>大数据与计算智能大赛隐私信息识别赛道冠军，凭借“基于联邦学习的传染 病多区域联防联控智能研判模型”入围</w:t>
      </w:r>
      <w:r>
        <w:rPr>
          <w:rFonts w:ascii="Times New Roman" w:eastAsia="Times New Roman" w:hAnsi="Times New Roman" w:cs="Times New Roman"/>
          <w:color w:val="000000"/>
          <w:spacing w:val="0"/>
          <w:w w:val="100"/>
          <w:position w:val="0"/>
        </w:rPr>
        <w:t>2021</w:t>
      </w:r>
      <w:r>
        <w:rPr>
          <w:color w:val="000000"/>
          <w:spacing w:val="0"/>
          <w:w w:val="100"/>
          <w:position w:val="0"/>
        </w:rPr>
        <w:t>年“首届应用算法实践典范</w:t>
      </w:r>
      <w:r>
        <w:rPr>
          <w:rFonts w:ascii="Times New Roman" w:eastAsia="Times New Roman" w:hAnsi="Times New Roman" w:cs="Times New Roman"/>
          <w:color w:val="000000"/>
          <w:spacing w:val="0"/>
          <w:w w:val="100"/>
          <w:position w:val="0"/>
        </w:rPr>
        <w:t>BPAA</w:t>
      </w:r>
      <w:r>
        <w:rPr>
          <w:color w:val="000000"/>
          <w:spacing w:val="0"/>
          <w:w w:val="100"/>
          <w:position w:val="0"/>
        </w:rPr>
        <w:t>”</w:t>
      </w:r>
      <w:r>
        <w:rPr>
          <w:color w:val="000000"/>
          <w:spacing w:val="0"/>
          <w:w w:val="100"/>
          <w:position w:val="0"/>
        </w:rPr>
        <w:t>医疗算法赛道全球</w:t>
      </w:r>
      <w:r>
        <w:rPr>
          <w:rFonts w:ascii="Times New Roman" w:eastAsia="Times New Roman" w:hAnsi="Times New Roman" w:cs="Times New Roman"/>
          <w:color w:val="000000"/>
          <w:spacing w:val="0"/>
          <w:w w:val="100"/>
          <w:position w:val="0"/>
        </w:rPr>
        <w:t>10</w:t>
      </w:r>
      <w:r>
        <w:rPr>
          <w:color w:val="000000"/>
          <w:spacing w:val="0"/>
          <w:w w:val="100"/>
          <w:position w:val="0"/>
        </w:rPr>
        <w:t>强； 智慧城市及互联网平台方面，通过技术保障大规模城市级高并发系统稳定运行服务，承担“一网通办”服 务总线，保证“随申码</w:t>
      </w:r>
      <w:r>
        <w:rPr>
          <w:color w:val="000000"/>
          <w:spacing w:val="0"/>
          <w:w w:val="100"/>
          <w:position w:val="0"/>
        </w:rPr>
        <w:t>”</w:t>
      </w:r>
      <w:r>
        <w:rPr>
          <w:rFonts w:ascii="Times New Roman" w:eastAsia="Times New Roman" w:hAnsi="Times New Roman" w:cs="Times New Roman"/>
          <w:color w:val="000000"/>
          <w:spacing w:val="0"/>
          <w:w w:val="100"/>
          <w:position w:val="0"/>
        </w:rPr>
        <w:t>7*24</w:t>
      </w:r>
      <w:r>
        <w:rPr>
          <w:color w:val="000000"/>
          <w:spacing w:val="0"/>
          <w:w w:val="100"/>
          <w:position w:val="0"/>
        </w:rPr>
        <w:t>小时稳定性运行，累计调用次数超</w:t>
      </w:r>
      <w:r>
        <w:rPr>
          <w:rFonts w:ascii="Times New Roman" w:eastAsia="Times New Roman" w:hAnsi="Times New Roman" w:cs="Times New Roman"/>
          <w:color w:val="000000"/>
          <w:spacing w:val="0"/>
          <w:w w:val="100"/>
          <w:position w:val="0"/>
        </w:rPr>
        <w:t>100</w:t>
      </w:r>
      <w:r>
        <w:rPr>
          <w:color w:val="000000"/>
          <w:spacing w:val="0"/>
          <w:w w:val="100"/>
          <w:position w:val="0"/>
        </w:rPr>
        <w:t>亿次，获</w:t>
      </w:r>
      <w:r>
        <w:rPr>
          <w:rFonts w:ascii="Times New Roman" w:eastAsia="Times New Roman" w:hAnsi="Times New Roman" w:cs="Times New Roman"/>
          <w:color w:val="000000"/>
          <w:spacing w:val="0"/>
          <w:w w:val="100"/>
          <w:position w:val="0"/>
        </w:rPr>
        <w:t>2021</w:t>
      </w:r>
      <w:r>
        <w:rPr>
          <w:color w:val="000000"/>
          <w:spacing w:val="0"/>
          <w:w w:val="100"/>
          <w:position w:val="0"/>
        </w:rPr>
        <w:t>上海城市数字化转型 智能算法竞赛一等奖，“特大城市服务集成与治理技术研究与应用示范”项目作为上海市在“物联网与智 慧城市关键技术及示范”国家重点专项的唯一代表精彩亮相国家“十三五”科技创新成就展，接受国家领 导人检阅。</w:t>
      </w:r>
    </w:p>
    <w:p>
      <w:pPr>
        <w:pStyle w:val="Style18"/>
        <w:keepNext w:val="0"/>
        <w:keepLines w:val="0"/>
        <w:widowControl w:val="0"/>
        <w:shd w:val="clear" w:color="auto" w:fill="auto"/>
        <w:bidi w:val="0"/>
        <w:spacing w:before="0" w:after="240" w:line="471" w:lineRule="exact"/>
        <w:ind w:left="0" w:right="0" w:firstLine="440"/>
        <w:jc w:val="both"/>
      </w:pPr>
      <w:r>
        <w:rPr>
          <w:color w:val="000000"/>
          <w:spacing w:val="0"/>
          <w:w w:val="100"/>
          <w:position w:val="0"/>
        </w:rPr>
        <w:t>在大数据方面，面向不同细分领域的诉求，公司进行了科学适配和定制优化，创新研发的数据中台、 医学科研、</w:t>
      </w:r>
      <w:r>
        <w:rPr>
          <w:rFonts w:ascii="Times New Roman" w:eastAsia="Times New Roman" w:hAnsi="Times New Roman" w:cs="Times New Roman"/>
          <w:color w:val="000000"/>
          <w:spacing w:val="0"/>
          <w:w w:val="100"/>
          <w:position w:val="0"/>
        </w:rPr>
        <w:t>AI</w:t>
      </w:r>
      <w:r>
        <w:rPr>
          <w:color w:val="000000"/>
          <w:spacing w:val="0"/>
          <w:w w:val="100"/>
          <w:position w:val="0"/>
        </w:rPr>
        <w:t>病理、数字防疫、数字运营等模块可应用于公司产品与解决方案，通过对科研数据的高可用 和合理运营形成了全流程数据支撑云服务平台。目前，围绕大数据</w:t>
      </w:r>
      <w:r>
        <w:rPr>
          <w:rFonts w:ascii="Times New Roman" w:eastAsia="Times New Roman" w:hAnsi="Times New Roman" w:cs="Times New Roman"/>
          <w:color w:val="000000"/>
          <w:spacing w:val="0"/>
          <w:w w:val="100"/>
          <w:position w:val="0"/>
        </w:rPr>
        <w:t>“</w:t>
      </w:r>
      <w:r>
        <w:rPr>
          <w:color w:val="000000"/>
          <w:spacing w:val="0"/>
          <w:w w:val="100"/>
          <w:position w:val="0"/>
        </w:rPr>
        <w:t>聚、存、管、用</w:t>
      </w:r>
      <w:r>
        <w:rPr>
          <w:rFonts w:ascii="Times New Roman" w:eastAsia="Times New Roman" w:hAnsi="Times New Roman" w:cs="Times New Roman"/>
          <w:color w:val="000000"/>
          <w:spacing w:val="0"/>
          <w:w w:val="100"/>
          <w:position w:val="0"/>
        </w:rPr>
        <w:t>”</w:t>
      </w:r>
      <w:r>
        <w:rPr>
          <w:color w:val="000000"/>
          <w:spacing w:val="0"/>
          <w:w w:val="100"/>
          <w:position w:val="0"/>
        </w:rPr>
        <w:t>全生命周期的数字基 建产品及</w:t>
      </w:r>
      <w:r>
        <w:rPr>
          <w:rFonts w:ascii="Times New Roman" w:eastAsia="Times New Roman" w:hAnsi="Times New Roman" w:cs="Times New Roman"/>
          <w:color w:val="000000"/>
          <w:spacing w:val="0"/>
          <w:w w:val="100"/>
          <w:position w:val="0"/>
        </w:rPr>
        <w:t>“AI+</w:t>
      </w:r>
      <w:r>
        <w:rPr>
          <w:color w:val="000000"/>
          <w:spacing w:val="0"/>
          <w:w w:val="100"/>
          <w:position w:val="0"/>
        </w:rPr>
        <w:t>医疗健康</w:t>
      </w:r>
      <w:r>
        <w:rPr>
          <w:rFonts w:ascii="Times New Roman" w:eastAsia="Times New Roman" w:hAnsi="Times New Roman" w:cs="Times New Roman"/>
          <w:color w:val="000000"/>
          <w:spacing w:val="0"/>
          <w:w w:val="100"/>
          <w:position w:val="0"/>
        </w:rPr>
        <w:t>''</w:t>
      </w:r>
      <w:r>
        <w:rPr>
          <w:color w:val="000000"/>
          <w:spacing w:val="0"/>
          <w:w w:val="100"/>
          <w:position w:val="0"/>
        </w:rPr>
        <w:t>行业产品已成为国内领先的医疗健康、数字城市整体解决方案，已形成大数据资 产化、治理管控、价值挖掘与运营增值等产业化服务能力。经过多年的应用实践，公司大数据产品获得了 国内同行的一致认可：“数字化智能病理管理平台”荣获</w:t>
      </w:r>
      <w:r>
        <w:rPr>
          <w:rFonts w:ascii="Times New Roman" w:eastAsia="Times New Roman" w:hAnsi="Times New Roman" w:cs="Times New Roman"/>
          <w:color w:val="000000"/>
          <w:spacing w:val="0"/>
          <w:w w:val="100"/>
          <w:position w:val="0"/>
        </w:rPr>
        <w:t>2021</w:t>
      </w:r>
      <w:r>
        <w:rPr>
          <w:color w:val="000000"/>
          <w:spacing w:val="0"/>
          <w:w w:val="100"/>
          <w:position w:val="0"/>
        </w:rPr>
        <w:t>年首届</w:t>
      </w:r>
      <w:r>
        <w:rPr>
          <w:rFonts w:ascii="Times New Roman" w:eastAsia="Times New Roman" w:hAnsi="Times New Roman" w:cs="Times New Roman"/>
          <w:color w:val="000000"/>
          <w:spacing w:val="0"/>
          <w:w w:val="100"/>
          <w:position w:val="0"/>
        </w:rPr>
        <w:t xml:space="preserve">CHITEC </w:t>
      </w:r>
      <w:r>
        <w:rPr>
          <w:color w:val="000000"/>
          <w:spacing w:val="0"/>
          <w:w w:val="100"/>
          <w:position w:val="0"/>
        </w:rPr>
        <w:t>"英特尔杯</w:t>
      </w:r>
      <w:r>
        <w:rPr>
          <w:rFonts w:ascii="Times New Roman" w:eastAsia="Times New Roman" w:hAnsi="Times New Roman" w:cs="Times New Roman"/>
          <w:color w:val="000000"/>
          <w:spacing w:val="0"/>
          <w:w w:val="100"/>
          <w:position w:val="0"/>
        </w:rPr>
        <w:t>''</w:t>
      </w:r>
      <w:r>
        <w:rPr>
          <w:color w:val="000000"/>
          <w:spacing w:val="0"/>
          <w:w w:val="100"/>
          <w:position w:val="0"/>
        </w:rPr>
        <w:t>数字医疗健康创 新服务优秀案例大赛二等奖；“数字病理智能分析算法”入围</w:t>
      </w:r>
      <w:r>
        <w:rPr>
          <w:rFonts w:ascii="Times New Roman" w:eastAsia="Times New Roman" w:hAnsi="Times New Roman" w:cs="Times New Roman"/>
          <w:color w:val="000000"/>
          <w:spacing w:val="0"/>
          <w:w w:val="100"/>
          <w:position w:val="0"/>
        </w:rPr>
        <w:t>2021</w:t>
      </w:r>
      <w:r>
        <w:rPr>
          <w:color w:val="000000"/>
          <w:spacing w:val="0"/>
          <w:w w:val="100"/>
          <w:position w:val="0"/>
        </w:rPr>
        <w:t>年“首届应用算法实践典范</w:t>
      </w:r>
      <w:r>
        <w:rPr>
          <w:rFonts w:ascii="Times New Roman" w:eastAsia="Times New Roman" w:hAnsi="Times New Roman" w:cs="Times New Roman"/>
          <w:color w:val="000000"/>
          <w:spacing w:val="0"/>
          <w:w w:val="100"/>
          <w:position w:val="0"/>
        </w:rPr>
        <w:t>BPAA</w:t>
      </w:r>
      <w:r>
        <w:rPr>
          <w:color w:val="000000"/>
          <w:spacing w:val="0"/>
          <w:w w:val="100"/>
          <w:position w:val="0"/>
        </w:rPr>
        <w:t>”医 疗算法赛道全球</w:t>
      </w:r>
      <w:r>
        <w:rPr>
          <w:rFonts w:ascii="Times New Roman" w:eastAsia="Times New Roman" w:hAnsi="Times New Roman" w:cs="Times New Roman"/>
          <w:color w:val="000000"/>
          <w:spacing w:val="0"/>
          <w:w w:val="100"/>
          <w:position w:val="0"/>
        </w:rPr>
        <w:t>10</w:t>
      </w:r>
      <w:r>
        <w:rPr>
          <w:color w:val="000000"/>
          <w:spacing w:val="0"/>
          <w:w w:val="100"/>
          <w:position w:val="0"/>
        </w:rPr>
        <w:t>强；“阿尔茨海默病早期精准诊断评价预测关键技术的建立”获得</w:t>
      </w:r>
      <w:r>
        <w:rPr>
          <w:rFonts w:ascii="Times New Roman" w:eastAsia="Times New Roman" w:hAnsi="Times New Roman" w:cs="Times New Roman"/>
          <w:color w:val="000000"/>
          <w:spacing w:val="0"/>
          <w:w w:val="100"/>
          <w:position w:val="0"/>
        </w:rPr>
        <w:t>2021</w:t>
      </w:r>
      <w:r>
        <w:rPr>
          <w:color w:val="000000"/>
          <w:spacing w:val="0"/>
          <w:w w:val="100"/>
          <w:position w:val="0"/>
        </w:rPr>
        <w:t>中国医院协会 医院科技创新奖三等奖；“中医药知识抽取与图谱构建”获</w:t>
      </w:r>
      <w:r>
        <w:rPr>
          <w:rFonts w:ascii="Times New Roman" w:eastAsia="Times New Roman" w:hAnsi="Times New Roman" w:cs="Times New Roman"/>
          <w:color w:val="000000"/>
          <w:spacing w:val="0"/>
          <w:w w:val="100"/>
          <w:position w:val="0"/>
        </w:rPr>
        <w:t>2020</w:t>
      </w:r>
      <w:r>
        <w:rPr>
          <w:color w:val="000000"/>
          <w:spacing w:val="0"/>
          <w:w w:val="100"/>
          <w:position w:val="0"/>
        </w:rPr>
        <w:t>年天池大数据竞赛万创杯季军；“传染病 防控综合管理和服务平台”入选《</w:t>
      </w:r>
      <w:r>
        <w:rPr>
          <w:rFonts w:ascii="Times New Roman" w:eastAsia="Times New Roman" w:hAnsi="Times New Roman" w:cs="Times New Roman"/>
          <w:color w:val="000000"/>
          <w:spacing w:val="0"/>
          <w:w w:val="100"/>
          <w:position w:val="0"/>
        </w:rPr>
        <w:t>2020</w:t>
      </w:r>
      <w:r>
        <w:rPr>
          <w:color w:val="000000"/>
          <w:spacing w:val="0"/>
          <w:w w:val="100"/>
          <w:position w:val="0"/>
        </w:rPr>
        <w:t>年上海市创新产品推荐目录》、工信部</w:t>
      </w:r>
      <w:r>
        <w:rPr>
          <w:rFonts w:ascii="Times New Roman" w:eastAsia="Times New Roman" w:hAnsi="Times New Roman" w:cs="Times New Roman"/>
          <w:color w:val="000000"/>
          <w:spacing w:val="0"/>
          <w:w w:val="100"/>
          <w:position w:val="0"/>
        </w:rPr>
        <w:t>2020</w:t>
      </w:r>
      <w:r>
        <w:rPr>
          <w:color w:val="000000"/>
          <w:spacing w:val="0"/>
          <w:w w:val="100"/>
          <w:position w:val="0"/>
        </w:rPr>
        <w:t>年新型信息消费示范项 目。</w:t>
      </w:r>
    </w:p>
    <w:p>
      <w:pPr>
        <w:pStyle w:val="Style33"/>
        <w:keepNext/>
        <w:keepLines/>
        <w:widowControl w:val="0"/>
        <w:shd w:val="clear" w:color="auto" w:fill="auto"/>
        <w:bidi w:val="0"/>
        <w:spacing w:before="0" w:after="0" w:line="492" w:lineRule="auto"/>
        <w:ind w:left="0" w:right="0"/>
        <w:jc w:val="both"/>
      </w:pPr>
      <w:bookmarkStart w:id="120" w:name="bookmark120"/>
      <w:bookmarkStart w:id="121" w:name="bookmark121"/>
      <w:bookmarkStart w:id="122" w:name="bookmark122"/>
      <w:bookmarkStart w:id="123" w:name="bookmark123"/>
      <w:r>
        <w:rPr>
          <w:rFonts w:ascii="Times New Roman" w:eastAsia="Times New Roman" w:hAnsi="Times New Roman" w:cs="Times New Roman"/>
          <w:color w:val="000000"/>
          <w:spacing w:val="0"/>
          <w:w w:val="100"/>
          <w:position w:val="0"/>
        </w:rPr>
        <w:t>4</w:t>
      </w:r>
      <w:bookmarkEnd w:id="122"/>
      <w:r>
        <w:rPr>
          <w:color w:val="000000"/>
          <w:spacing w:val="0"/>
          <w:w w:val="100"/>
          <w:position w:val="0"/>
        </w:rPr>
        <w:t>、卓越的服务品质</w:t>
      </w:r>
      <w:bookmarkEnd w:id="120"/>
      <w:bookmarkEnd w:id="121"/>
      <w:bookmarkEnd w:id="123"/>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公司已建立、积累并完善梯队配置合理、技术功底扎实、项目经验丰富的专业团队，从产品研发、售 </w:t>
      </w:r>
      <w:r>
        <w:rPr>
          <w:color w:val="000000"/>
          <w:spacing w:val="0"/>
          <w:w w:val="100"/>
          <w:position w:val="0"/>
        </w:rPr>
        <w:t>前咨询、项目交付到运维服务，团队人员都具备良好的业务知识、职业素养和敬业精神，能够为各行各业 的客户提供更优质、更专业、更细致的服务。面向城市数字化转型，公司在大型复杂系统的整体咨询规划、 系统架构设计、性能瓶颈分析、监控运维体系、压力模拟测试、性能优化提升、应急预案设计等方面积累 了面向国内超大规模业务服务系统的技术服务实力和核心竞争优势；同时公司构建了高等级的云数据中心， 具备跨地区云牌照、可信云、可信云安全、等保三级、</w:t>
      </w:r>
      <w:r>
        <w:rPr>
          <w:rFonts w:ascii="Times New Roman" w:eastAsia="Times New Roman" w:hAnsi="Times New Roman" w:cs="Times New Roman"/>
          <w:color w:val="000000"/>
          <w:spacing w:val="0"/>
          <w:w w:val="100"/>
          <w:position w:val="0"/>
        </w:rPr>
        <w:t>ITSS</w:t>
      </w:r>
      <w:r>
        <w:rPr>
          <w:color w:val="000000"/>
          <w:spacing w:val="0"/>
          <w:w w:val="100"/>
          <w:position w:val="0"/>
        </w:rPr>
        <w:t>云计算服务能力标准、</w:t>
      </w:r>
      <w:r>
        <w:rPr>
          <w:rFonts w:ascii="Times New Roman" w:eastAsia="Times New Roman" w:hAnsi="Times New Roman" w:cs="Times New Roman"/>
          <w:color w:val="000000"/>
          <w:spacing w:val="0"/>
          <w:w w:val="100"/>
          <w:position w:val="0"/>
        </w:rPr>
        <w:t>ITSS</w:t>
      </w:r>
      <w:r>
        <w:rPr>
          <w:color w:val="000000"/>
          <w:spacing w:val="0"/>
          <w:w w:val="100"/>
          <w:position w:val="0"/>
        </w:rPr>
        <w:t>优秀应用案例等 一系列安全合规资质，目前能够提供全层级云计算服务，并全面赋能智慧城市各业务的深入云化转型；在 信息安全服务方面，公司经过多年的技术积累，具备了丰富的从事等级保护实施、安全风险评估、渗透测 试、应急响应、信息治理咨询等方面服务经验，团队成员主要由安全专家和具有大型安全服务项目丰富经 验的人员组成，取得</w:t>
      </w:r>
      <w:r>
        <w:rPr>
          <w:rFonts w:ascii="Times New Roman" w:eastAsia="Times New Roman" w:hAnsi="Times New Roman" w:cs="Times New Roman"/>
          <w:color w:val="000000"/>
          <w:spacing w:val="0"/>
          <w:w w:val="100"/>
          <w:position w:val="0"/>
        </w:rPr>
        <w:t>CISSP</w:t>
      </w:r>
      <w:r>
        <w:rPr>
          <w:color w:val="000000"/>
          <w:spacing w:val="0"/>
          <w:w w:val="100"/>
          <w:position w:val="0"/>
        </w:rPr>
        <w:t>、</w:t>
      </w:r>
      <w:r>
        <w:rPr>
          <w:rFonts w:ascii="Times New Roman" w:eastAsia="Times New Roman" w:hAnsi="Times New Roman" w:cs="Times New Roman"/>
          <w:color w:val="000000"/>
          <w:spacing w:val="0"/>
          <w:w w:val="100"/>
          <w:position w:val="0"/>
        </w:rPr>
        <w:t>CISP</w:t>
      </w:r>
      <w:r>
        <w:rPr>
          <w:color w:val="000000"/>
          <w:spacing w:val="0"/>
          <w:w w:val="100"/>
          <w:position w:val="0"/>
        </w:rPr>
        <w:t>、</w:t>
      </w:r>
      <w:r>
        <w:rPr>
          <w:rFonts w:ascii="Times New Roman" w:eastAsia="Times New Roman" w:hAnsi="Times New Roman" w:cs="Times New Roman"/>
          <w:color w:val="000000"/>
          <w:spacing w:val="0"/>
          <w:w w:val="100"/>
          <w:position w:val="0"/>
        </w:rPr>
        <w:t>CISAW</w:t>
      </w:r>
      <w:r>
        <w:rPr>
          <w:color w:val="000000"/>
          <w:spacing w:val="0"/>
          <w:w w:val="100"/>
          <w:position w:val="0"/>
        </w:rPr>
        <w:t>等业界相关权威安全认证，业务服务涵盖等保</w:t>
      </w:r>
      <w:r>
        <w:rPr>
          <w:rFonts w:ascii="Times New Roman" w:eastAsia="Times New Roman" w:hAnsi="Times New Roman" w:cs="Times New Roman"/>
          <w:color w:val="000000"/>
          <w:spacing w:val="0"/>
          <w:w w:val="100"/>
          <w:position w:val="0"/>
        </w:rPr>
        <w:t>2.0</w:t>
      </w:r>
      <w:r>
        <w:rPr>
          <w:color w:val="000000"/>
          <w:spacing w:val="0"/>
          <w:w w:val="100"/>
          <w:position w:val="0"/>
        </w:rPr>
        <w:t>服务能力、 分级保护、网络安全服务能力、密码应用评估能力等，帮助客户准确全面识别安全风险，提出技术解决方 案，从而有效降低客户系统的整体风险。</w:t>
      </w:r>
    </w:p>
    <w:p>
      <w:pPr>
        <w:pStyle w:val="Style18"/>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公司秉承智能化、精细化、前移化、服务化的理念，深挖</w:t>
      </w:r>
      <w:r>
        <w:rPr>
          <w:rFonts w:ascii="Times New Roman" w:eastAsia="Times New Roman" w:hAnsi="Times New Roman" w:cs="Times New Roman"/>
          <w:color w:val="000000"/>
          <w:spacing w:val="0"/>
          <w:w w:val="100"/>
          <w:position w:val="0"/>
        </w:rPr>
        <w:t>CMMI5</w:t>
      </w:r>
      <w:r>
        <w:rPr>
          <w:color w:val="000000"/>
          <w:spacing w:val="0"/>
          <w:w w:val="100"/>
          <w:position w:val="0"/>
        </w:rPr>
        <w:t>级量化、优化项目管理、</w:t>
      </w:r>
      <w:r>
        <w:rPr>
          <w:rFonts w:ascii="Times New Roman" w:eastAsia="Times New Roman" w:hAnsi="Times New Roman" w:cs="Times New Roman"/>
          <w:color w:val="000000"/>
          <w:spacing w:val="0"/>
          <w:w w:val="100"/>
          <w:position w:val="0"/>
        </w:rPr>
        <w:t>ITSS</w:t>
      </w:r>
      <w:r>
        <w:rPr>
          <w:color w:val="000000"/>
          <w:spacing w:val="0"/>
          <w:w w:val="100"/>
          <w:position w:val="0"/>
        </w:rPr>
        <w:t>服务 体系等在企业的应用，持续优化项目绩效指标体系，完善项目全生命周期的运营流程和管理机制；建立分 级预警机制，实现数据智能化获取、运算、发布、跟踪闭环流程，提升运营效率；围绕项目进度、成本、 质量和客户满意度进行全过程跟踪监控，多维度分析项目执行情况，精细化管理项目实施过程，持续提供 高品质的卓越服务，提升满意度，增加客户黏性。</w:t>
      </w:r>
    </w:p>
    <w:p>
      <w:pPr>
        <w:pStyle w:val="Style18"/>
        <w:keepNext w:val="0"/>
        <w:keepLines w:val="0"/>
        <w:widowControl w:val="0"/>
        <w:shd w:val="clear" w:color="auto" w:fill="auto"/>
        <w:bidi w:val="0"/>
        <w:spacing w:before="0" w:after="280" w:line="464" w:lineRule="exact"/>
        <w:ind w:left="0" w:right="0" w:firstLine="440"/>
        <w:jc w:val="both"/>
      </w:pPr>
      <w:r>
        <w:rPr>
          <w:color w:val="000000"/>
          <w:spacing w:val="0"/>
          <w:w w:val="100"/>
          <w:position w:val="0"/>
        </w:rPr>
        <w:t>围绕公司战略业务对新型人才的需求，公司设立人才基地：充分利用公司雄厚的技术和业务资源，通 过与全国示范性软件学院和重点高校合作，全国范围内培养有经验、有技术、掌握标准化软件开发规范和 方法、符合</w:t>
      </w:r>
      <w:r>
        <w:rPr>
          <w:rFonts w:ascii="Times New Roman" w:eastAsia="Times New Roman" w:hAnsi="Times New Roman" w:cs="Times New Roman"/>
          <w:color w:val="000000"/>
          <w:spacing w:val="0"/>
          <w:w w:val="100"/>
          <w:position w:val="0"/>
        </w:rPr>
        <w:t>IT</w:t>
      </w:r>
      <w:r>
        <w:rPr>
          <w:color w:val="000000"/>
          <w:spacing w:val="0"/>
          <w:w w:val="100"/>
          <w:position w:val="0"/>
        </w:rPr>
        <w:t>前沿领域和公司需求的软件人才。人才基地不仅有力加强了万达信息在全国各区域及业务 板块技术支撑和资源调配的保障能力，还积极配合了教育部、工信部关于贯彻落实国家推动软件产业生态 构建、产教融合发展规划，培养特色化软件人才的举措，完善了长效化的人才培养机制和管理，资源的跨 行业线共享和调度，有效满足对项目资源需求的紧急响应，促进运营降本增效，提升公司的服务品质。</w:t>
      </w:r>
    </w:p>
    <w:p>
      <w:pPr>
        <w:pStyle w:val="Style33"/>
        <w:keepNext/>
        <w:keepLines/>
        <w:widowControl w:val="0"/>
        <w:shd w:val="clear" w:color="auto" w:fill="auto"/>
        <w:bidi w:val="0"/>
        <w:spacing w:before="0" w:after="0" w:line="480" w:lineRule="auto"/>
        <w:ind w:left="0" w:right="0"/>
        <w:jc w:val="left"/>
      </w:pPr>
      <w:bookmarkStart w:id="124" w:name="bookmark124"/>
      <w:bookmarkStart w:id="125" w:name="bookmark125"/>
      <w:bookmarkStart w:id="126" w:name="bookmark126"/>
      <w:bookmarkStart w:id="127" w:name="bookmark127"/>
      <w:r>
        <w:rPr>
          <w:rFonts w:ascii="Times New Roman" w:eastAsia="Times New Roman" w:hAnsi="Times New Roman" w:cs="Times New Roman"/>
          <w:color w:val="000000"/>
          <w:spacing w:val="0"/>
          <w:w w:val="100"/>
          <w:position w:val="0"/>
        </w:rPr>
        <w:t>5</w:t>
      </w:r>
      <w:bookmarkEnd w:id="126"/>
      <w:r>
        <w:rPr>
          <w:color w:val="000000"/>
          <w:spacing w:val="0"/>
          <w:w w:val="100"/>
          <w:position w:val="0"/>
        </w:rPr>
        <w:t>、领先的产品与解决方案</w:t>
      </w:r>
      <w:bookmarkEnd w:id="124"/>
      <w:bookmarkEnd w:id="125"/>
      <w:bookmarkEnd w:id="127"/>
    </w:p>
    <w:p>
      <w:pPr>
        <w:pStyle w:val="Style18"/>
        <w:keepNext w:val="0"/>
        <w:keepLines w:val="0"/>
        <w:widowControl w:val="0"/>
        <w:shd w:val="clear" w:color="auto" w:fill="auto"/>
        <w:bidi w:val="0"/>
        <w:spacing w:before="0" w:after="0" w:line="469" w:lineRule="exact"/>
        <w:ind w:left="0" w:right="0" w:firstLine="440"/>
        <w:jc w:val="left"/>
      </w:pPr>
      <w:r>
        <w:rPr>
          <w:color w:val="000000"/>
          <w:spacing w:val="0"/>
          <w:w w:val="100"/>
          <w:position w:val="0"/>
        </w:rPr>
        <w:t>万达信息在智慧医卫、智慧政务、智慧城市等行业的全产品和解决方案都取得显著成果。</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智慧医卫方面，公司产品适应全国多层次应用的需要，已在多领域成功引领智慧医卫的发展：在智慧 医保领域，公司近年来围绕</w:t>
      </w:r>
      <w:r>
        <w:rPr>
          <w:rFonts w:ascii="Times New Roman" w:eastAsia="Times New Roman" w:hAnsi="Times New Roman" w:cs="Times New Roman"/>
          <w:color w:val="000000"/>
          <w:spacing w:val="0"/>
          <w:w w:val="100"/>
          <w:position w:val="0"/>
        </w:rPr>
        <w:t>CHS-DRG</w:t>
      </w:r>
      <w:r>
        <w:rPr>
          <w:color w:val="000000"/>
          <w:spacing w:val="0"/>
          <w:w w:val="100"/>
          <w:position w:val="0"/>
        </w:rPr>
        <w:t>按疾病诊断相关分组和</w:t>
      </w:r>
      <w:r>
        <w:rPr>
          <w:rFonts w:ascii="Times New Roman" w:eastAsia="Times New Roman" w:hAnsi="Times New Roman" w:cs="Times New Roman"/>
          <w:color w:val="000000"/>
          <w:spacing w:val="0"/>
          <w:w w:val="100"/>
          <w:position w:val="0"/>
        </w:rPr>
        <w:t>DIP</w:t>
      </w:r>
      <w:r>
        <w:rPr>
          <w:color w:val="000000"/>
          <w:spacing w:val="0"/>
          <w:w w:val="100"/>
          <w:position w:val="0"/>
        </w:rPr>
        <w:t>按病种分值开展医保基金使用测算，以 客观标化的方式在上海、广州等地开展医保支付改革试点工作，创新引领了新一轮医保支付改革、智能监 管的产品和解决方案。在智慧卫健领域，公司在国内率先完成全民健康信息平台产品及解决方案的探索与 储备，通过国家标准规范的参与及在全国的实施推广，形成了包括三医联动、分级诊疗、互联网</w:t>
      </w:r>
      <w:r>
        <w:rPr>
          <w:rFonts w:ascii="Times New Roman" w:eastAsia="Times New Roman" w:hAnsi="Times New Roman" w:cs="Times New Roman"/>
          <w:color w:val="000000"/>
          <w:spacing w:val="0"/>
          <w:w w:val="100"/>
          <w:position w:val="0"/>
        </w:rPr>
        <w:t>+</w:t>
      </w:r>
      <w:r>
        <w:rPr>
          <w:color w:val="000000"/>
          <w:spacing w:val="0"/>
          <w:w w:val="100"/>
          <w:position w:val="0"/>
        </w:rPr>
        <w:t xml:space="preserve">医疗健 </w:t>
      </w:r>
      <w:r>
        <w:rPr>
          <w:color w:val="000000"/>
          <w:spacing w:val="0"/>
          <w:w w:val="100"/>
          <w:position w:val="0"/>
        </w:rPr>
        <w:t>康、智慧卫监、智慧疾控、疫情防控等在内的完善的产品系列；在智慧医疗领域，公司不断加强力量投入 新一代智慧医院的产品研发，形成了包含智慧医院、基层医卫一体化、医疗大数据集成与服务平台、医共 体</w:t>
      </w:r>
      <w:r>
        <w:rPr>
          <w:rFonts w:ascii="Times New Roman" w:eastAsia="Times New Roman" w:hAnsi="Times New Roman" w:cs="Times New Roman"/>
          <w:color w:val="000000"/>
          <w:spacing w:val="0"/>
          <w:w w:val="100"/>
          <w:position w:val="0"/>
        </w:rPr>
        <w:t>/</w:t>
      </w:r>
      <w:r>
        <w:rPr>
          <w:color w:val="000000"/>
          <w:spacing w:val="0"/>
          <w:w w:val="100"/>
          <w:position w:val="0"/>
        </w:rPr>
        <w:t>县域一体化在内的完整产品及解决方案。公司的“万达信息电子健康卡管理软件</w:t>
      </w:r>
      <w:r>
        <w:rPr>
          <w:rFonts w:ascii="Times New Roman" w:eastAsia="Times New Roman" w:hAnsi="Times New Roman" w:cs="Times New Roman"/>
          <w:color w:val="000000"/>
          <w:spacing w:val="0"/>
          <w:w w:val="100"/>
          <w:position w:val="0"/>
        </w:rPr>
        <w:t>V2.0</w:t>
      </w:r>
      <w:r>
        <w:rPr>
          <w:color w:val="000000"/>
          <w:spacing w:val="0"/>
          <w:w w:val="100"/>
          <w:position w:val="0"/>
        </w:rPr>
        <w:t>”</w:t>
      </w:r>
      <w:r>
        <w:rPr>
          <w:color w:val="000000"/>
          <w:spacing w:val="0"/>
          <w:w w:val="100"/>
          <w:position w:val="0"/>
        </w:rPr>
        <w:t>和“万达信息 互联互通互认软件</w:t>
      </w:r>
      <w:r>
        <w:rPr>
          <w:rFonts w:ascii="Times New Roman" w:eastAsia="Times New Roman" w:hAnsi="Times New Roman" w:cs="Times New Roman"/>
          <w:color w:val="000000"/>
          <w:spacing w:val="0"/>
          <w:w w:val="100"/>
          <w:position w:val="0"/>
        </w:rPr>
        <w:t>V1.0</w:t>
      </w:r>
      <w:r>
        <w:rPr>
          <w:color w:val="000000"/>
          <w:spacing w:val="0"/>
          <w:w w:val="100"/>
          <w:position w:val="0"/>
        </w:rPr>
        <w:t>”</w:t>
      </w:r>
      <w:r>
        <w:rPr>
          <w:color w:val="000000"/>
          <w:spacing w:val="0"/>
          <w:w w:val="100"/>
          <w:position w:val="0"/>
        </w:rPr>
        <w:t>荣获中国软件行业协会</w:t>
      </w:r>
      <w:r>
        <w:rPr>
          <w:rFonts w:ascii="Times New Roman" w:eastAsia="Times New Roman" w:hAnsi="Times New Roman" w:cs="Times New Roman"/>
          <w:color w:val="000000"/>
          <w:spacing w:val="0"/>
          <w:w w:val="100"/>
          <w:position w:val="0"/>
        </w:rPr>
        <w:t>2021</w:t>
      </w:r>
      <w:r>
        <w:rPr>
          <w:color w:val="000000"/>
          <w:spacing w:val="0"/>
          <w:w w:val="100"/>
          <w:position w:val="0"/>
        </w:rPr>
        <w:t>年度优秀软件产品称号，“数字化智能病理管理平台” 获首届</w:t>
      </w:r>
      <w:r>
        <w:rPr>
          <w:rFonts w:ascii="Times New Roman" w:eastAsia="Times New Roman" w:hAnsi="Times New Roman" w:cs="Times New Roman"/>
          <w:color w:val="000000"/>
          <w:spacing w:val="0"/>
          <w:w w:val="100"/>
          <w:position w:val="0"/>
        </w:rPr>
        <w:t xml:space="preserve">CHITEC </w:t>
      </w:r>
      <w:r>
        <w:rPr>
          <w:color w:val="000000"/>
          <w:spacing w:val="0"/>
          <w:w w:val="100"/>
          <w:position w:val="0"/>
        </w:rPr>
        <w:t>“英特尔杯”数字医疗健康创新服务优秀案例二等奖。</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智慧政务方面，公司业务涉及各级各类政府部门，不断创新产品和完善解决方案：“崂山区‘一窗通’ 新型数字化政务服务中心”获首届中国新型智慧城市创新应用大赛优政赛道一等奖；“万达协同电子公文 系统”入选上海市经信委</w:t>
      </w:r>
      <w:r>
        <w:rPr>
          <w:rFonts w:ascii="Times New Roman" w:eastAsia="Times New Roman" w:hAnsi="Times New Roman" w:cs="Times New Roman"/>
          <w:color w:val="000000"/>
          <w:spacing w:val="0"/>
          <w:w w:val="100"/>
          <w:position w:val="0"/>
        </w:rPr>
        <w:t>2021</w:t>
      </w:r>
      <w:r>
        <w:rPr>
          <w:color w:val="000000"/>
          <w:spacing w:val="0"/>
          <w:w w:val="100"/>
          <w:position w:val="0"/>
        </w:rPr>
        <w:t>年上海市优秀信创解决方案；“万达信息公安智慧统计平台软件”获得中国 电子信息行业联合会</w:t>
      </w:r>
      <w:r>
        <w:rPr>
          <w:rFonts w:ascii="Times New Roman" w:eastAsia="Times New Roman" w:hAnsi="Times New Roman" w:cs="Times New Roman"/>
          <w:color w:val="000000"/>
          <w:spacing w:val="0"/>
          <w:w w:val="100"/>
          <w:position w:val="0"/>
        </w:rPr>
        <w:t>2020-2021</w:t>
      </w:r>
      <w:r>
        <w:rPr>
          <w:color w:val="000000"/>
          <w:spacing w:val="0"/>
          <w:w w:val="100"/>
          <w:position w:val="0"/>
        </w:rPr>
        <w:t>年度优秀创新软件产品称号；“区域大规模混合式教学平台”入选中国电子 信息联合会“</w:t>
      </w:r>
      <w:r>
        <w:rPr>
          <w:rFonts w:ascii="Times New Roman" w:eastAsia="Times New Roman" w:hAnsi="Times New Roman" w:cs="Times New Roman"/>
          <w:color w:val="000000"/>
          <w:spacing w:val="0"/>
          <w:w w:val="100"/>
          <w:position w:val="0"/>
        </w:rPr>
        <w:t>2021</w:t>
      </w:r>
      <w:r>
        <w:rPr>
          <w:color w:val="000000"/>
          <w:spacing w:val="0"/>
          <w:w w:val="100"/>
          <w:position w:val="0"/>
        </w:rPr>
        <w:t>数字化转型百项优秀案例”；公司还获得</w:t>
      </w:r>
      <w:r>
        <w:rPr>
          <w:rFonts w:ascii="Times New Roman" w:eastAsia="Times New Roman" w:hAnsi="Times New Roman" w:cs="Times New Roman"/>
          <w:color w:val="000000"/>
          <w:spacing w:val="0"/>
          <w:w w:val="100"/>
          <w:position w:val="0"/>
        </w:rPr>
        <w:t>2021</w:t>
      </w:r>
      <w:r>
        <w:rPr>
          <w:color w:val="000000"/>
          <w:spacing w:val="0"/>
          <w:w w:val="100"/>
          <w:position w:val="0"/>
        </w:rPr>
        <w:t>上海城市数字化转型</w:t>
      </w:r>
      <w:r>
        <w:rPr>
          <w:rFonts w:ascii="Times New Roman" w:eastAsia="Times New Roman" w:hAnsi="Times New Roman" w:cs="Times New Roman"/>
          <w:color w:val="000000"/>
          <w:spacing w:val="0"/>
          <w:w w:val="100"/>
          <w:position w:val="0"/>
        </w:rPr>
        <w:t>“</w:t>
      </w:r>
      <w:r>
        <w:rPr>
          <w:color w:val="000000"/>
          <w:spacing w:val="0"/>
          <w:w w:val="100"/>
          <w:position w:val="0"/>
        </w:rPr>
        <w:t>智慧工匠</w:t>
      </w:r>
      <w:r>
        <w:rPr>
          <w:rFonts w:ascii="Times New Roman" w:eastAsia="Times New Roman" w:hAnsi="Times New Roman" w:cs="Times New Roman"/>
          <w:color w:val="000000"/>
          <w:spacing w:val="0"/>
          <w:w w:val="100"/>
          <w:position w:val="0"/>
        </w:rPr>
        <w:t>''</w:t>
      </w:r>
      <w:r>
        <w:rPr>
          <w:color w:val="000000"/>
          <w:spacing w:val="0"/>
          <w:w w:val="100"/>
          <w:position w:val="0"/>
        </w:rPr>
        <w:t>选树、</w:t>
      </w:r>
      <w:r>
        <w:rPr>
          <w:rFonts w:ascii="Times New Roman" w:eastAsia="Times New Roman" w:hAnsi="Times New Roman" w:cs="Times New Roman"/>
          <w:color w:val="000000"/>
          <w:spacing w:val="0"/>
          <w:w w:val="100"/>
          <w:position w:val="0"/>
        </w:rPr>
        <w:t>“</w:t>
      </w:r>
      <w:r>
        <w:rPr>
          <w:color w:val="000000"/>
          <w:spacing w:val="0"/>
          <w:w w:val="100"/>
          <w:position w:val="0"/>
        </w:rPr>
        <w:t>领 军先锋</w:t>
      </w:r>
      <w:r>
        <w:rPr>
          <w:rFonts w:ascii="Times New Roman" w:eastAsia="Times New Roman" w:hAnsi="Times New Roman" w:cs="Times New Roman"/>
          <w:color w:val="000000"/>
          <w:spacing w:val="0"/>
          <w:w w:val="100"/>
          <w:position w:val="0"/>
        </w:rPr>
        <w:t>”</w:t>
      </w:r>
      <w:r>
        <w:rPr>
          <w:color w:val="000000"/>
          <w:spacing w:val="0"/>
          <w:w w:val="100"/>
          <w:position w:val="0"/>
        </w:rPr>
        <w:t>评选活动</w:t>
      </w:r>
      <w:r>
        <w:rPr>
          <w:color w:val="000000"/>
          <w:spacing w:val="0"/>
          <w:w w:val="100"/>
          <w:position w:val="0"/>
        </w:rPr>
        <w:t>一一</w:t>
      </w:r>
      <w:r>
        <w:rPr>
          <w:color w:val="000000"/>
          <w:spacing w:val="0"/>
          <w:w w:val="100"/>
          <w:position w:val="0"/>
        </w:rPr>
        <w:t>信创应用测试竞赛一等奖。</w:t>
      </w:r>
    </w:p>
    <w:p>
      <w:pPr>
        <w:pStyle w:val="Style18"/>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智慧城市方面，公司市民云产品年度内荣获</w:t>
      </w:r>
      <w:r>
        <w:rPr>
          <w:rFonts w:ascii="Times New Roman" w:eastAsia="Times New Roman" w:hAnsi="Times New Roman" w:cs="Times New Roman"/>
          <w:color w:val="000000"/>
          <w:spacing w:val="0"/>
          <w:w w:val="100"/>
          <w:position w:val="0"/>
        </w:rPr>
        <w:t>27</w:t>
      </w:r>
      <w:r>
        <w:rPr>
          <w:color w:val="000000"/>
          <w:spacing w:val="0"/>
          <w:w w:val="100"/>
          <w:position w:val="0"/>
        </w:rPr>
        <w:t>个全国性重要奖项，包括：首届中国新型智慧城市创 新应用大赛优政特等奖、中国软件评测中心“</w:t>
      </w:r>
      <w:r>
        <w:rPr>
          <w:rFonts w:ascii="Times New Roman" w:eastAsia="Times New Roman" w:hAnsi="Times New Roman" w:cs="Times New Roman"/>
          <w:color w:val="000000"/>
          <w:spacing w:val="0"/>
          <w:w w:val="100"/>
          <w:position w:val="0"/>
        </w:rPr>
        <w:t>2021</w:t>
      </w:r>
      <w:r>
        <w:rPr>
          <w:color w:val="000000"/>
          <w:spacing w:val="0"/>
          <w:w w:val="100"/>
          <w:position w:val="0"/>
        </w:rPr>
        <w:t>数字政府‘二十佳’优秀创新案例”、中国电子信息行 业联合会</w:t>
      </w:r>
      <w:r>
        <w:rPr>
          <w:rFonts w:ascii="Times New Roman" w:eastAsia="Times New Roman" w:hAnsi="Times New Roman" w:cs="Times New Roman"/>
          <w:color w:val="000000"/>
          <w:spacing w:val="0"/>
          <w:w w:val="100"/>
          <w:position w:val="0"/>
        </w:rPr>
        <w:t>2021</w:t>
      </w:r>
      <w:r>
        <w:rPr>
          <w:color w:val="000000"/>
          <w:spacing w:val="0"/>
          <w:w w:val="100"/>
          <w:position w:val="0"/>
        </w:rPr>
        <w:t>年企业数字化转型优秀案例、中国软件行业协会</w:t>
      </w:r>
      <w:r>
        <w:rPr>
          <w:rFonts w:ascii="Times New Roman" w:eastAsia="Times New Roman" w:hAnsi="Times New Roman" w:cs="Times New Roman"/>
          <w:color w:val="000000"/>
          <w:spacing w:val="0"/>
          <w:w w:val="100"/>
          <w:position w:val="0"/>
        </w:rPr>
        <w:t>2021</w:t>
      </w:r>
      <w:r>
        <w:rPr>
          <w:color w:val="000000"/>
          <w:spacing w:val="0"/>
          <w:w w:val="100"/>
          <w:position w:val="0"/>
        </w:rPr>
        <w:t>年度优秀软件产品等。</w:t>
      </w:r>
    </w:p>
    <w:p>
      <w:pPr>
        <w:pStyle w:val="Style24"/>
        <w:keepNext/>
        <w:keepLines/>
        <w:widowControl w:val="0"/>
        <w:shd w:val="clear" w:color="auto" w:fill="auto"/>
        <w:bidi w:val="0"/>
        <w:spacing w:before="0" w:after="380" w:line="240" w:lineRule="auto"/>
        <w:ind w:left="0" w:right="0" w:firstLine="0"/>
        <w:jc w:val="both"/>
      </w:pPr>
      <w:bookmarkStart w:id="128" w:name="bookmark128"/>
      <w:bookmarkStart w:id="129" w:name="bookmark129"/>
      <w:bookmarkStart w:id="130" w:name="bookmark130"/>
      <w:bookmarkStart w:id="131" w:name="bookmark131"/>
      <w:r>
        <w:rPr>
          <w:color w:val="000000"/>
          <w:spacing w:val="0"/>
          <w:w w:val="100"/>
          <w:position w:val="0"/>
        </w:rPr>
        <w:t>四</w:t>
      </w:r>
      <w:bookmarkEnd w:id="130"/>
      <w:r>
        <w:rPr>
          <w:color w:val="000000"/>
          <w:spacing w:val="0"/>
          <w:w w:val="100"/>
          <w:position w:val="0"/>
        </w:rPr>
        <w:t>、主营业务分析</w:t>
      </w:r>
      <w:bookmarkEnd w:id="128"/>
      <w:bookmarkEnd w:id="129"/>
      <w:bookmarkEnd w:id="131"/>
    </w:p>
    <w:p>
      <w:pPr>
        <w:pStyle w:val="Style33"/>
        <w:keepNext/>
        <w:keepLines/>
        <w:widowControl w:val="0"/>
        <w:shd w:val="clear" w:color="auto" w:fill="auto"/>
        <w:bidi w:val="0"/>
        <w:spacing w:before="0" w:after="0" w:line="492" w:lineRule="auto"/>
        <w:ind w:left="0" w:right="0" w:firstLine="0"/>
        <w:jc w:val="both"/>
      </w:pPr>
      <w:bookmarkStart w:id="132" w:name="bookmark132"/>
      <w:bookmarkStart w:id="133" w:name="bookmark133"/>
      <w:bookmarkStart w:id="134" w:name="bookmark134"/>
      <w:bookmarkStart w:id="135" w:name="bookmark135"/>
      <w:r>
        <w:rPr>
          <w:rFonts w:ascii="Times New Roman" w:eastAsia="Times New Roman" w:hAnsi="Times New Roman" w:cs="Times New Roman"/>
          <w:color w:val="000000"/>
          <w:spacing w:val="0"/>
          <w:w w:val="100"/>
          <w:position w:val="0"/>
        </w:rPr>
        <w:t>1</w:t>
      </w:r>
      <w:bookmarkEnd w:id="134"/>
      <w:r>
        <w:rPr>
          <w:color w:val="000000"/>
          <w:spacing w:val="0"/>
          <w:w w:val="100"/>
          <w:position w:val="0"/>
        </w:rPr>
        <w:t>、概述</w:t>
      </w:r>
      <w:bookmarkEnd w:id="132"/>
      <w:bookmarkEnd w:id="133"/>
      <w:bookmarkEnd w:id="135"/>
    </w:p>
    <w:p>
      <w:pPr>
        <w:pStyle w:val="Style18"/>
        <w:keepNext w:val="0"/>
        <w:keepLines w:val="0"/>
        <w:widowControl w:val="0"/>
        <w:shd w:val="clear" w:color="auto" w:fill="auto"/>
        <w:bidi w:val="0"/>
        <w:spacing w:before="0" w:after="0" w:line="477" w:lineRule="exact"/>
        <w:ind w:left="0" w:right="0" w:firstLine="440"/>
        <w:jc w:val="both"/>
      </w:pPr>
      <w:r>
        <w:rPr>
          <w:color w:val="000000"/>
          <w:spacing w:val="0"/>
          <w:w w:val="100"/>
          <w:position w:val="0"/>
        </w:rPr>
        <w:t>报告期内，公司坚持“扩规模、增收入、降成本、提效能”的经营目标，对外积极拓展市场，加速传 统优势业务板块发展，加强战略创新业务板块的拓展。对内优化内部管理体系，加强项目精细化管理，持 续提升整体运营能力，稳步改善利润水平。</w:t>
      </w:r>
    </w:p>
    <w:p>
      <w:pPr>
        <w:pStyle w:val="Style18"/>
        <w:keepNext w:val="0"/>
        <w:keepLines w:val="0"/>
        <w:widowControl w:val="0"/>
        <w:shd w:val="clear" w:color="auto" w:fill="auto"/>
        <w:bidi w:val="0"/>
        <w:spacing w:before="0" w:after="0" w:line="477" w:lineRule="exact"/>
        <w:ind w:left="0" w:right="0" w:firstLine="440"/>
        <w:jc w:val="both"/>
      </w:pPr>
      <w:r>
        <w:rPr>
          <w:color w:val="000000"/>
          <w:spacing w:val="0"/>
          <w:w w:val="100"/>
          <w:position w:val="0"/>
        </w:rPr>
        <w:t>报告期内，公司扭亏为盈，实现营业收入</w:t>
      </w:r>
      <w:r>
        <w:rPr>
          <w:rFonts w:ascii="Times New Roman" w:eastAsia="Times New Roman" w:hAnsi="Times New Roman" w:cs="Times New Roman"/>
          <w:color w:val="000000"/>
          <w:spacing w:val="0"/>
          <w:w w:val="100"/>
          <w:position w:val="0"/>
        </w:rPr>
        <w:t>35.13</w:t>
      </w:r>
      <w:r>
        <w:rPr>
          <w:color w:val="000000"/>
          <w:spacing w:val="0"/>
          <w:w w:val="100"/>
          <w:position w:val="0"/>
        </w:rPr>
        <w:t>亿元，比上年同期增长</w:t>
      </w:r>
      <w:r>
        <w:rPr>
          <w:rFonts w:ascii="Times New Roman" w:eastAsia="Times New Roman" w:hAnsi="Times New Roman" w:cs="Times New Roman"/>
          <w:color w:val="000000"/>
          <w:spacing w:val="0"/>
          <w:w w:val="100"/>
          <w:position w:val="0"/>
        </w:rPr>
        <w:t>16.8%</w:t>
      </w:r>
      <w:r>
        <w:rPr>
          <w:color w:val="000000"/>
          <w:spacing w:val="0"/>
          <w:w w:val="100"/>
          <w:position w:val="0"/>
        </w:rPr>
        <w:t>；实现利润总额</w:t>
      </w:r>
      <w:r>
        <w:rPr>
          <w:rFonts w:ascii="Times New Roman" w:eastAsia="Times New Roman" w:hAnsi="Times New Roman" w:cs="Times New Roman"/>
          <w:color w:val="000000"/>
          <w:spacing w:val="0"/>
          <w:w w:val="100"/>
          <w:position w:val="0"/>
        </w:rPr>
        <w:t>0.58</w:t>
      </w:r>
      <w:r>
        <w:rPr>
          <w:color w:val="000000"/>
          <w:spacing w:val="0"/>
          <w:w w:val="100"/>
          <w:position w:val="0"/>
        </w:rPr>
        <w:t>亿， 比上年同期增长</w:t>
      </w:r>
      <w:r>
        <w:rPr>
          <w:rFonts w:ascii="Times New Roman" w:eastAsia="Times New Roman" w:hAnsi="Times New Roman" w:cs="Times New Roman"/>
          <w:color w:val="000000"/>
          <w:spacing w:val="0"/>
          <w:w w:val="100"/>
          <w:position w:val="0"/>
        </w:rPr>
        <w:t>104.6%</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rPr>
        <w:t>0.69</w:t>
      </w:r>
      <w:r>
        <w:rPr>
          <w:color w:val="000000"/>
          <w:spacing w:val="0"/>
          <w:w w:val="100"/>
          <w:position w:val="0"/>
        </w:rPr>
        <w:t>亿元，比上年同期增长</w:t>
      </w:r>
      <w:r>
        <w:rPr>
          <w:rFonts w:ascii="Times New Roman" w:eastAsia="Times New Roman" w:hAnsi="Times New Roman" w:cs="Times New Roman"/>
          <w:color w:val="000000"/>
          <w:spacing w:val="0"/>
          <w:w w:val="100"/>
          <w:position w:val="0"/>
        </w:rPr>
        <w:t>105.3%</w:t>
      </w:r>
      <w:r>
        <w:rPr>
          <w:color w:val="000000"/>
          <w:spacing w:val="0"/>
          <w:w w:val="100"/>
          <w:position w:val="0"/>
        </w:rPr>
        <w:t>。</w:t>
      </w:r>
    </w:p>
    <w:p>
      <w:pPr>
        <w:pStyle w:val="Style18"/>
        <w:keepNext w:val="0"/>
        <w:keepLines w:val="0"/>
        <w:widowControl w:val="0"/>
        <w:shd w:val="clear" w:color="auto" w:fill="auto"/>
        <w:tabs>
          <w:tab w:pos="883" w:val="left"/>
        </w:tabs>
        <w:bidi w:val="0"/>
        <w:spacing w:before="0" w:after="0" w:line="485" w:lineRule="exact"/>
        <w:ind w:left="0" w:right="0" w:firstLine="440"/>
        <w:jc w:val="both"/>
      </w:pPr>
      <w:bookmarkStart w:id="136" w:name="bookmark136"/>
      <w:r>
        <w:rPr>
          <w:color w:val="000000"/>
          <w:spacing w:val="0"/>
          <w:w w:val="100"/>
          <w:position w:val="0"/>
        </w:rPr>
        <w:t>（</w:t>
      </w:r>
      <w:bookmarkEnd w:id="136"/>
      <w:r>
        <w:rPr>
          <w:rFonts w:ascii="Times New Roman" w:eastAsia="Times New Roman" w:hAnsi="Times New Roman" w:cs="Times New Roman"/>
          <w:color w:val="000000"/>
          <w:spacing w:val="0"/>
          <w:w w:val="100"/>
          <w:position w:val="0"/>
        </w:rPr>
        <w:t>1</w:t>
      </w:r>
      <w:r>
        <w:rPr>
          <w:color w:val="000000"/>
          <w:spacing w:val="0"/>
          <w:w w:val="100"/>
          <w:position w:val="0"/>
        </w:rPr>
        <w:t>）</w:t>
        <w:tab/>
        <w:t>坚持战略导向，提升收入规模</w:t>
      </w:r>
    </w:p>
    <w:p>
      <w:pPr>
        <w:pStyle w:val="Style18"/>
        <w:keepNext w:val="0"/>
        <w:keepLines w:val="0"/>
        <w:widowControl w:val="0"/>
        <w:shd w:val="clear" w:color="auto" w:fill="auto"/>
        <w:bidi w:val="0"/>
        <w:spacing w:before="0" w:after="0" w:line="485" w:lineRule="exact"/>
        <w:ind w:left="0" w:right="0" w:firstLine="440"/>
        <w:jc w:val="both"/>
      </w:pPr>
      <w:r>
        <w:rPr>
          <w:color w:val="000000"/>
          <w:spacing w:val="0"/>
          <w:w w:val="100"/>
          <w:position w:val="0"/>
        </w:rPr>
        <w:t>公司深入推进“</w:t>
      </w:r>
      <w:r>
        <w:rPr>
          <w:rFonts w:ascii="Times New Roman" w:eastAsia="Times New Roman" w:hAnsi="Times New Roman" w:cs="Times New Roman"/>
          <w:color w:val="000000"/>
          <w:spacing w:val="0"/>
          <w:w w:val="100"/>
          <w:position w:val="0"/>
        </w:rPr>
        <w:t>3+2</w:t>
      </w:r>
      <w:r>
        <w:rPr>
          <w:color w:val="000000"/>
          <w:spacing w:val="0"/>
          <w:w w:val="100"/>
          <w:position w:val="0"/>
        </w:rPr>
        <w:t>”发展战略，保持稳定的新签合同规模，传统业务充足的在手合同奠定发展根基， 创新业务持续赋能收入增长。</w:t>
      </w:r>
      <w:r>
        <w:rPr>
          <w:rFonts w:ascii="Times New Roman" w:eastAsia="Times New Roman" w:hAnsi="Times New Roman" w:cs="Times New Roman"/>
          <w:color w:val="000000"/>
          <w:spacing w:val="0"/>
          <w:w w:val="100"/>
          <w:position w:val="0"/>
        </w:rPr>
        <w:t>2021</w:t>
      </w:r>
      <w:r>
        <w:rPr>
          <w:color w:val="000000"/>
          <w:spacing w:val="0"/>
          <w:w w:val="100"/>
          <w:position w:val="0"/>
        </w:rPr>
        <w:t>年，公司营业收入达</w:t>
      </w:r>
      <w:r>
        <w:rPr>
          <w:rFonts w:ascii="Times New Roman" w:eastAsia="Times New Roman" w:hAnsi="Times New Roman" w:cs="Times New Roman"/>
          <w:color w:val="000000"/>
          <w:spacing w:val="0"/>
          <w:w w:val="100"/>
          <w:position w:val="0"/>
        </w:rPr>
        <w:t>35</w:t>
      </w:r>
      <w:r>
        <w:rPr>
          <w:color w:val="000000"/>
          <w:spacing w:val="0"/>
          <w:w w:val="100"/>
          <w:position w:val="0"/>
        </w:rPr>
        <w:t>亿元，较前期</w:t>
      </w:r>
      <w:r>
        <w:rPr>
          <w:rFonts w:ascii="Times New Roman" w:eastAsia="Times New Roman" w:hAnsi="Times New Roman" w:cs="Times New Roman"/>
          <w:color w:val="000000"/>
          <w:spacing w:val="0"/>
          <w:w w:val="100"/>
          <w:position w:val="0"/>
        </w:rPr>
        <w:t>20</w:t>
      </w:r>
      <w:r>
        <w:rPr>
          <w:color w:val="000000"/>
          <w:spacing w:val="0"/>
          <w:w w:val="100"/>
          <w:position w:val="0"/>
        </w:rPr>
        <w:t>亿元左右收入规模迈上新台阶。</w:t>
      </w:r>
    </w:p>
    <w:p>
      <w:pPr>
        <w:pStyle w:val="Style18"/>
        <w:keepNext w:val="0"/>
        <w:keepLines w:val="0"/>
        <w:widowControl w:val="0"/>
        <w:shd w:val="clear" w:color="auto" w:fill="auto"/>
        <w:tabs>
          <w:tab w:pos="883" w:val="left"/>
        </w:tabs>
        <w:bidi w:val="0"/>
        <w:spacing w:before="0" w:after="0" w:line="485" w:lineRule="exact"/>
        <w:ind w:left="0" w:right="0" w:firstLine="440"/>
        <w:jc w:val="both"/>
      </w:pPr>
      <w:bookmarkStart w:id="137" w:name="bookmark137"/>
      <w:r>
        <w:rPr>
          <w:color w:val="000000"/>
          <w:spacing w:val="0"/>
          <w:w w:val="100"/>
          <w:position w:val="0"/>
        </w:rPr>
        <w:t>（</w:t>
      </w:r>
      <w:bookmarkEnd w:id="137"/>
      <w:r>
        <w:rPr>
          <w:rFonts w:ascii="Times New Roman" w:eastAsia="Times New Roman" w:hAnsi="Times New Roman" w:cs="Times New Roman"/>
          <w:color w:val="000000"/>
          <w:spacing w:val="0"/>
          <w:w w:val="100"/>
          <w:position w:val="0"/>
        </w:rPr>
        <w:t>2</w:t>
      </w:r>
      <w:r>
        <w:rPr>
          <w:color w:val="000000"/>
          <w:spacing w:val="0"/>
          <w:w w:val="100"/>
          <w:position w:val="0"/>
        </w:rPr>
        <w:t>）</w:t>
        <w:tab/>
        <w:t>筑实管理基础，提高盈利能力</w:t>
      </w:r>
    </w:p>
    <w:p>
      <w:pPr>
        <w:pStyle w:val="Style18"/>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公司强化精细管理举措，建立项目实施分级管理和项目运营警示监控机制，以优质高效的交付提升项 目效益。提升资源使用效率，支持优质业务稳定发展。报告期内实现毛利率</w:t>
      </w:r>
      <w:r>
        <w:rPr>
          <w:rFonts w:ascii="Times New Roman" w:eastAsia="Times New Roman" w:hAnsi="Times New Roman" w:cs="Times New Roman"/>
          <w:color w:val="000000"/>
          <w:spacing w:val="0"/>
          <w:w w:val="100"/>
          <w:position w:val="0"/>
        </w:rPr>
        <w:t>33.49%</w:t>
      </w:r>
      <w:r>
        <w:rPr>
          <w:color w:val="000000"/>
          <w:spacing w:val="0"/>
          <w:w w:val="100"/>
          <w:position w:val="0"/>
        </w:rPr>
        <w:t>，较上年同期提升</w:t>
      </w:r>
      <w:r>
        <w:rPr>
          <w:rFonts w:ascii="Times New Roman" w:eastAsia="Times New Roman" w:hAnsi="Times New Roman" w:cs="Times New Roman"/>
          <w:color w:val="000000"/>
          <w:spacing w:val="0"/>
          <w:w w:val="100"/>
          <w:position w:val="0"/>
        </w:rPr>
        <w:t xml:space="preserve">17.64 </w:t>
      </w:r>
      <w:r>
        <w:rPr>
          <w:color w:val="000000"/>
          <w:spacing w:val="0"/>
          <w:w w:val="100"/>
          <w:position w:val="0"/>
        </w:rPr>
        <w:t>个百分点。</w:t>
      </w:r>
    </w:p>
    <w:p>
      <w:pPr>
        <w:pStyle w:val="Style18"/>
        <w:keepNext w:val="0"/>
        <w:keepLines w:val="0"/>
        <w:widowControl w:val="0"/>
        <w:shd w:val="clear" w:color="auto" w:fill="auto"/>
        <w:tabs>
          <w:tab w:pos="928" w:val="left"/>
        </w:tabs>
        <w:bidi w:val="0"/>
        <w:spacing w:before="0" w:after="0" w:line="482" w:lineRule="exact"/>
        <w:ind w:left="0" w:right="0" w:firstLine="440"/>
        <w:jc w:val="left"/>
      </w:pPr>
      <w:bookmarkStart w:id="138" w:name="bookmark138"/>
      <w:r>
        <w:rPr>
          <w:color w:val="000000"/>
          <w:spacing w:val="0"/>
          <w:w w:val="100"/>
          <w:position w:val="0"/>
        </w:rPr>
        <w:t>（</w:t>
      </w:r>
      <w:bookmarkEnd w:id="138"/>
      <w:r>
        <w:rPr>
          <w:rFonts w:ascii="Times New Roman" w:eastAsia="Times New Roman" w:hAnsi="Times New Roman" w:cs="Times New Roman"/>
          <w:color w:val="000000"/>
          <w:spacing w:val="0"/>
          <w:w w:val="100"/>
          <w:position w:val="0"/>
        </w:rPr>
        <w:t>3</w:t>
      </w:r>
      <w:r>
        <w:rPr>
          <w:color w:val="000000"/>
          <w:spacing w:val="0"/>
          <w:w w:val="100"/>
          <w:position w:val="0"/>
        </w:rPr>
        <w:t>）</w:t>
        <w:tab/>
        <w:t>深耕优势领域，储备增长动力</w:t>
      </w:r>
    </w:p>
    <w:p>
      <w:pPr>
        <w:pStyle w:val="Style18"/>
        <w:keepNext w:val="0"/>
        <w:keepLines w:val="0"/>
        <w:widowControl w:val="0"/>
        <w:shd w:val="clear" w:color="auto" w:fill="auto"/>
        <w:bidi w:val="0"/>
        <w:spacing w:before="0" w:after="0" w:line="482" w:lineRule="exact"/>
        <w:ind w:left="0" w:right="0" w:firstLine="440"/>
        <w:jc w:val="both"/>
      </w:pPr>
      <w:r>
        <w:rPr>
          <w:color w:val="000000"/>
          <w:spacing w:val="0"/>
          <w:w w:val="100"/>
          <w:position w:val="0"/>
        </w:rPr>
        <w:t>扎根上海市场，深化全国布局，充分发挥智慧医疗和智慧政务行业的多年积累和行业优势，继续深耕 市场。</w:t>
      </w:r>
    </w:p>
    <w:p>
      <w:pPr>
        <w:pStyle w:val="Style18"/>
        <w:keepNext w:val="0"/>
        <w:keepLines w:val="0"/>
        <w:widowControl w:val="0"/>
        <w:shd w:val="clear" w:color="auto" w:fill="auto"/>
        <w:bidi w:val="0"/>
        <w:spacing w:before="0" w:after="0" w:line="482" w:lineRule="exact"/>
        <w:ind w:left="0" w:right="0" w:firstLine="440"/>
        <w:jc w:val="both"/>
      </w:pPr>
      <w:r>
        <w:rPr>
          <w:color w:val="000000"/>
          <w:spacing w:val="0"/>
          <w:w w:val="100"/>
          <w:position w:val="0"/>
        </w:rPr>
        <w:t>坚持高质量发展，签单规模和质量并举。报告期内，实现签单毛利</w:t>
      </w:r>
      <w:r>
        <w:rPr>
          <w:rFonts w:ascii="Times New Roman" w:eastAsia="Times New Roman" w:hAnsi="Times New Roman" w:cs="Times New Roman"/>
          <w:color w:val="000000"/>
          <w:spacing w:val="0"/>
          <w:w w:val="100"/>
          <w:position w:val="0"/>
        </w:rPr>
        <w:t>17.3</w:t>
      </w:r>
      <w:r>
        <w:rPr>
          <w:color w:val="000000"/>
          <w:spacing w:val="0"/>
          <w:w w:val="100"/>
          <w:position w:val="0"/>
        </w:rPr>
        <w:t>亿元，同比上年同期增长</w:t>
      </w:r>
      <w:r>
        <w:rPr>
          <w:rFonts w:ascii="Times New Roman" w:eastAsia="Times New Roman" w:hAnsi="Times New Roman" w:cs="Times New Roman"/>
          <w:color w:val="000000"/>
          <w:spacing w:val="0"/>
          <w:w w:val="100"/>
          <w:position w:val="0"/>
        </w:rPr>
        <w:t>7.4%</w:t>
      </w:r>
      <w:r>
        <w:rPr>
          <w:color w:val="000000"/>
          <w:spacing w:val="0"/>
          <w:w w:val="100"/>
          <w:position w:val="0"/>
        </w:rPr>
        <w:t>， 签单毛利率达到</w:t>
      </w:r>
      <w:r>
        <w:rPr>
          <w:rFonts w:ascii="Times New Roman" w:eastAsia="Times New Roman" w:hAnsi="Times New Roman" w:cs="Times New Roman"/>
          <w:color w:val="000000"/>
          <w:spacing w:val="0"/>
          <w:w w:val="100"/>
          <w:position w:val="0"/>
        </w:rPr>
        <w:t>49%</w:t>
      </w:r>
      <w:r>
        <w:rPr>
          <w:color w:val="000000"/>
          <w:spacing w:val="0"/>
          <w:w w:val="100"/>
          <w:position w:val="0"/>
        </w:rPr>
        <w:t>，同比上年同期提升</w:t>
      </w:r>
      <w:r>
        <w:rPr>
          <w:rFonts w:ascii="Times New Roman" w:eastAsia="Times New Roman" w:hAnsi="Times New Roman" w:cs="Times New Roman"/>
          <w:color w:val="000000"/>
          <w:spacing w:val="0"/>
          <w:w w:val="100"/>
          <w:position w:val="0"/>
        </w:rPr>
        <w:t>6</w:t>
      </w:r>
      <w:r>
        <w:rPr>
          <w:color w:val="000000"/>
          <w:spacing w:val="0"/>
          <w:w w:val="100"/>
          <w:position w:val="0"/>
        </w:rPr>
        <w:t>个百分点，为未来持续发展提供有力保障。</w:t>
      </w:r>
    </w:p>
    <w:p>
      <w:pPr>
        <w:pStyle w:val="Style18"/>
        <w:keepNext w:val="0"/>
        <w:keepLines w:val="0"/>
        <w:widowControl w:val="0"/>
        <w:shd w:val="clear" w:color="auto" w:fill="auto"/>
        <w:tabs>
          <w:tab w:pos="928" w:val="left"/>
        </w:tabs>
        <w:bidi w:val="0"/>
        <w:spacing w:before="0" w:after="0" w:line="482" w:lineRule="exact"/>
        <w:ind w:left="0" w:right="0" w:firstLine="440"/>
        <w:jc w:val="both"/>
      </w:pPr>
      <w:bookmarkStart w:id="139" w:name="bookmark139"/>
      <w:r>
        <w:rPr>
          <w:color w:val="000000"/>
          <w:spacing w:val="0"/>
          <w:w w:val="100"/>
          <w:position w:val="0"/>
        </w:rPr>
        <w:t>（</w:t>
      </w:r>
      <w:bookmarkEnd w:id="139"/>
      <w:r>
        <w:rPr>
          <w:rFonts w:ascii="Times New Roman" w:eastAsia="Times New Roman" w:hAnsi="Times New Roman" w:cs="Times New Roman"/>
          <w:color w:val="000000"/>
          <w:spacing w:val="0"/>
          <w:w w:val="100"/>
          <w:position w:val="0"/>
        </w:rPr>
        <w:t>4</w:t>
      </w:r>
      <w:r>
        <w:rPr>
          <w:color w:val="000000"/>
          <w:spacing w:val="0"/>
          <w:w w:val="100"/>
          <w:position w:val="0"/>
        </w:rPr>
        <w:t>）</w:t>
        <w:tab/>
        <w:t>加快业务转型，促进创新赋能</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依托项目制的丰厚经验，扎实推进产品化、云化、</w:t>
      </w:r>
      <w:r>
        <w:rPr>
          <w:rFonts w:ascii="Times New Roman" w:eastAsia="Times New Roman" w:hAnsi="Times New Roman" w:cs="Times New Roman"/>
          <w:color w:val="000000"/>
          <w:spacing w:val="0"/>
          <w:w w:val="100"/>
          <w:position w:val="0"/>
        </w:rPr>
        <w:t>SAAS</w:t>
      </w:r>
      <w:r>
        <w:rPr>
          <w:color w:val="000000"/>
          <w:spacing w:val="0"/>
          <w:w w:val="100"/>
          <w:position w:val="0"/>
        </w:rPr>
        <w:t>化转型，通过“蚂蚁雄兵”计划、“十四五科 技规划”提炼优势产品，促进公司产品收入结构调整，提升高毛利率的项目占比。报告期内，传统板块收 入比上年同期增长</w:t>
      </w:r>
      <w:r>
        <w:rPr>
          <w:rFonts w:ascii="Times New Roman" w:eastAsia="Times New Roman" w:hAnsi="Times New Roman" w:cs="Times New Roman"/>
          <w:color w:val="000000"/>
          <w:spacing w:val="0"/>
          <w:w w:val="100"/>
          <w:position w:val="0"/>
        </w:rPr>
        <w:t>14.1%</w:t>
      </w:r>
      <w:r>
        <w:rPr>
          <w:color w:val="000000"/>
          <w:spacing w:val="0"/>
          <w:w w:val="100"/>
          <w:position w:val="0"/>
        </w:rPr>
        <w:t>，实现毛利率约</w:t>
      </w:r>
      <w:r>
        <w:rPr>
          <w:rFonts w:ascii="Times New Roman" w:eastAsia="Times New Roman" w:hAnsi="Times New Roman" w:cs="Times New Roman"/>
          <w:color w:val="000000"/>
          <w:spacing w:val="0"/>
          <w:w w:val="100"/>
          <w:position w:val="0"/>
        </w:rPr>
        <w:t>31.9%</w:t>
      </w:r>
      <w:r>
        <w:rPr>
          <w:color w:val="000000"/>
          <w:spacing w:val="0"/>
          <w:w w:val="100"/>
          <w:position w:val="0"/>
        </w:rPr>
        <w:t>，比上年同期提升</w:t>
      </w:r>
      <w:r>
        <w:rPr>
          <w:rFonts w:ascii="Times New Roman" w:eastAsia="Times New Roman" w:hAnsi="Times New Roman" w:cs="Times New Roman"/>
          <w:color w:val="000000"/>
          <w:spacing w:val="0"/>
          <w:w w:val="100"/>
          <w:position w:val="0"/>
        </w:rPr>
        <w:t>16</w:t>
      </w:r>
      <w:r>
        <w:rPr>
          <w:color w:val="000000"/>
          <w:spacing w:val="0"/>
          <w:w w:val="100"/>
          <w:position w:val="0"/>
        </w:rPr>
        <w:t>个百分点。</w:t>
      </w:r>
    </w:p>
    <w:p>
      <w:pPr>
        <w:pStyle w:val="Style18"/>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坚持创新驱动作为公司发展引擎，对健康管理及智慧城市两大战略创新板块靶向精准投入资源。报告 期内，创新业务规模和盈利双增，收入比上年同期增长</w:t>
      </w:r>
      <w:r>
        <w:rPr>
          <w:rFonts w:ascii="Times New Roman" w:eastAsia="Times New Roman" w:hAnsi="Times New Roman" w:cs="Times New Roman"/>
          <w:color w:val="000000"/>
          <w:spacing w:val="0"/>
          <w:w w:val="100"/>
          <w:position w:val="0"/>
        </w:rPr>
        <w:t>41.8%</w:t>
      </w:r>
      <w:r>
        <w:rPr>
          <w:color w:val="000000"/>
          <w:spacing w:val="0"/>
          <w:w w:val="100"/>
          <w:position w:val="0"/>
        </w:rPr>
        <w:t>，占公司业务比重提升至</w:t>
      </w:r>
      <w:r>
        <w:rPr>
          <w:rFonts w:ascii="Times New Roman" w:eastAsia="Times New Roman" w:hAnsi="Times New Roman" w:cs="Times New Roman"/>
          <w:color w:val="000000"/>
          <w:spacing w:val="0"/>
          <w:w w:val="100"/>
          <w:position w:val="0"/>
        </w:rPr>
        <w:t>11.7%</w:t>
      </w:r>
      <w:r>
        <w:rPr>
          <w:color w:val="000000"/>
          <w:spacing w:val="0"/>
          <w:w w:val="100"/>
          <w:position w:val="0"/>
        </w:rPr>
        <w:t>，实现毛利 率约</w:t>
      </w:r>
      <w:r>
        <w:rPr>
          <w:rFonts w:ascii="Times New Roman" w:eastAsia="Times New Roman" w:hAnsi="Times New Roman" w:cs="Times New Roman"/>
          <w:color w:val="000000"/>
          <w:spacing w:val="0"/>
          <w:w w:val="100"/>
          <w:position w:val="0"/>
        </w:rPr>
        <w:t>45.3%</w:t>
      </w:r>
      <w:r>
        <w:rPr>
          <w:color w:val="000000"/>
          <w:spacing w:val="0"/>
          <w:w w:val="100"/>
          <w:position w:val="0"/>
        </w:rPr>
        <w:t>，比上年同期提升</w:t>
      </w:r>
      <w:r>
        <w:rPr>
          <w:rFonts w:ascii="Times New Roman" w:eastAsia="Times New Roman" w:hAnsi="Times New Roman" w:cs="Times New Roman"/>
          <w:color w:val="000000"/>
          <w:spacing w:val="0"/>
          <w:w w:val="100"/>
          <w:position w:val="0"/>
        </w:rPr>
        <w:t>27</w:t>
      </w:r>
      <w:r>
        <w:rPr>
          <w:color w:val="000000"/>
          <w:spacing w:val="0"/>
          <w:w w:val="100"/>
          <w:position w:val="0"/>
        </w:rPr>
        <w:t>个百分点。</w:t>
      </w:r>
    </w:p>
    <w:p>
      <w:pPr>
        <w:pStyle w:val="Style33"/>
        <w:keepNext/>
        <w:keepLines/>
        <w:widowControl w:val="0"/>
        <w:shd w:val="clear" w:color="auto" w:fill="auto"/>
        <w:bidi w:val="0"/>
        <w:spacing w:before="0" w:after="160" w:line="475" w:lineRule="exact"/>
        <w:ind w:left="0" w:right="0" w:firstLine="0"/>
        <w:jc w:val="both"/>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rPr>
        <w:t>2</w:t>
      </w:r>
      <w:bookmarkEnd w:id="142"/>
      <w:r>
        <w:rPr>
          <w:color w:val="000000"/>
          <w:spacing w:val="0"/>
          <w:w w:val="100"/>
          <w:position w:val="0"/>
        </w:rPr>
        <w:t>、收入与成本</w:t>
      </w:r>
      <w:bookmarkEnd w:id="140"/>
      <w:bookmarkEnd w:id="141"/>
      <w:bookmarkEnd w:id="143"/>
    </w:p>
    <w:p>
      <w:pPr>
        <w:pStyle w:val="Style61"/>
        <w:keepNext/>
        <w:keepLines/>
        <w:widowControl w:val="0"/>
        <w:shd w:val="clear" w:color="auto" w:fill="auto"/>
        <w:bidi w:val="0"/>
        <w:spacing w:before="0" w:line="475" w:lineRule="exact"/>
        <w:ind w:left="0" w:right="0" w:firstLine="0"/>
        <w:jc w:val="both"/>
      </w:pPr>
      <w:bookmarkStart w:id="144" w:name="bookmark144"/>
      <w:bookmarkStart w:id="145" w:name="bookmark145"/>
      <w:bookmarkStart w:id="146" w:name="bookmark146"/>
      <w:bookmarkStart w:id="147" w:name="bookmark147"/>
      <w:r>
        <w:rPr>
          <w:color w:val="000000"/>
          <w:spacing w:val="0"/>
          <w:w w:val="100"/>
          <w:position w:val="0"/>
        </w:rPr>
        <w:t>（</w:t>
      </w:r>
      <w:bookmarkEnd w:id="146"/>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44"/>
      <w:bookmarkEnd w:id="145"/>
      <w:bookmarkEnd w:id="147"/>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营业收入整体情况</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8"/>
        <w:gridCol w:w="1598"/>
        <w:gridCol w:w="1594"/>
        <w:gridCol w:w="1589"/>
        <w:gridCol w:w="1603"/>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同比增减</w:t>
            </w:r>
          </w:p>
        </w:tc>
      </w:tr>
      <w:tr>
        <w:trPr>
          <w:trHeight w:val="41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占营业收入比重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占营业收入比重</w:t>
            </w:r>
          </w:p>
        </w:tc>
        <w:tc>
          <w:tcPr>
            <w:vMerge/>
            <w:tcBorders>
              <w:left w:val="single" w:sz="4"/>
              <w:right w:val="single" w:sz="4"/>
            </w:tcBorders>
            <w:shd w:val="clear" w:color="auto" w:fill="D4D4D4"/>
            <w:vAlign w:val="center"/>
          </w:tcPr>
          <w:p>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3,513,114,014.44</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3,008,271,072.45</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w:t>
            </w:r>
          </w:p>
        </w:tc>
      </w:tr>
      <w:tr>
        <w:trPr>
          <w:trHeight w:val="408"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智慧医卫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1,569,653,917.11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1,488,911,248.91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智慧政务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1,531,460236.75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1,228,770,489.29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24.63%</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互联网服务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410,881,243.25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289,834,124.52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1,118,617.33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755,209.73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48.12%</w:t>
            </w:r>
          </w:p>
        </w:tc>
      </w:tr>
      <w:tr>
        <w:trPr>
          <w:trHeight w:val="470"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1,845,205,867.83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1,546,491,251.49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运营服务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613,569,805.44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400,054,977.88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1,054,338,341.17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1,061,724,843.08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r>
      <w:tr>
        <w:trPr>
          <w:trHeight w:val="490"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1,653,434,038.98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1,669,614,262.32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w:t>
            </w:r>
          </w:p>
        </w:tc>
      </w:tr>
    </w:tbl>
    <w:p>
      <w:pPr>
        <w:spacing w:lineRule="exact" w:line="1"/>
        <w:rPr>
          <w:sz w:val="2"/>
          <w:szCs w:val="2"/>
        </w:rPr>
      </w:pPr>
      <w:r>
        <w:br w:type="page"/>
      </w:r>
    </w:p>
    <w:tbl>
      <w:tblPr>
        <w:tblOverlap w:val="never"/>
        <w:jc w:val="center"/>
        <w:tblLayout w:type="fixed"/>
      </w:tblPr>
      <w:tblGrid>
        <w:gridCol w:w="1613"/>
        <w:gridCol w:w="1594"/>
        <w:gridCol w:w="1598"/>
        <w:gridCol w:w="1594"/>
        <w:gridCol w:w="1589"/>
        <w:gridCol w:w="1603"/>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同比增减</w:t>
            </w:r>
          </w:p>
        </w:tc>
      </w:tr>
      <w:tr>
        <w:trPr>
          <w:trHeight w:val="408"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占营业收入比重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占营业收入比重</w:t>
            </w:r>
          </w:p>
        </w:tc>
        <w:tc>
          <w:tcPr>
            <w:vMerge/>
            <w:tcBorders>
              <w:left w:val="single" w:sz="4"/>
              <w:right w:val="single" w:sz="4"/>
            </w:tcBorders>
            <w:shd w:val="clear" w:color="auto" w:fill="D4D4D4"/>
            <w:vAlign w:val="center"/>
          </w:tcPr>
          <w:p>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上海以外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1,859,679,975.46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1,338,656,810.13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38.92%</w:t>
            </w:r>
          </w:p>
        </w:tc>
      </w:tr>
      <w:tr>
        <w:trPr>
          <w:trHeight w:val="480"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分销售模式</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3,513,114,014.44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3,008,271,072.45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w:t>
            </w:r>
          </w:p>
        </w:tc>
      </w:tr>
    </w:tbl>
    <w:p>
      <w:pPr>
        <w:pStyle w:val="Style29"/>
        <w:keepNext w:val="0"/>
        <w:keepLines w:val="0"/>
        <w:widowControl w:val="0"/>
        <w:shd w:val="clear" w:color="auto" w:fill="auto"/>
        <w:bidi w:val="0"/>
        <w:spacing w:before="0" w:after="500" w:line="322" w:lineRule="exact"/>
        <w:ind w:left="0" w:right="0" w:firstLine="0"/>
        <w:jc w:val="both"/>
      </w:pPr>
      <w:r>
        <w:rPr>
          <w:color w:val="000000"/>
          <w:spacing w:val="0"/>
          <w:w w:val="100"/>
          <w:position w:val="0"/>
        </w:rPr>
        <w:t>注：公司行业分类参照《国民经济行业分类》</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GB/T4574-2017</w:t>
      </w:r>
      <w:r>
        <w:rPr>
          <w:color w:val="000000"/>
          <w:spacing w:val="0"/>
          <w:w w:val="100"/>
          <w:position w:val="0"/>
        </w:rPr>
        <w:t>）,</w:t>
      </w:r>
      <w:r>
        <w:rPr>
          <w:color w:val="000000"/>
          <w:spacing w:val="0"/>
          <w:w w:val="100"/>
          <w:position w:val="0"/>
        </w:rPr>
        <w:t>分为智慧医卫、智慧政务、互联网服务及其他。其中，互 联网服务系“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互联网”和“互联网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”服务，包括智慧城市（市民云）、健康云、蛮牛健康业务；其他系房屋租赁收入。</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426"/>
        <w:gridCol w:w="998"/>
        <w:gridCol w:w="984"/>
        <w:gridCol w:w="1008"/>
        <w:gridCol w:w="1013"/>
        <w:gridCol w:w="1008"/>
        <w:gridCol w:w="1008"/>
        <w:gridCol w:w="998"/>
        <w:gridCol w:w="1219"/>
      </w:tblGrid>
      <w:tr>
        <w:trPr>
          <w:trHeight w:val="413" w:hRule="exact"/>
        </w:trPr>
        <w:tc>
          <w:tcPr>
            <w:vMerge w:val="restart"/>
            <w:tcBorders>
              <w:top w:val="single" w:sz="4"/>
              <w:left w:val="single" w:sz="4"/>
            </w:tcBorders>
            <w:shd w:val="clear" w:color="auto" w:fill="D4D4D4"/>
            <w:vAlign w:val="top"/>
          </w:tcPr>
          <w:p>
            <w:pPr>
              <w:widowControl w:val="0"/>
              <w:rPr>
                <w:sz w:val="10"/>
                <w:szCs w:val="10"/>
              </w:rPr>
            </w:pP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398"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第三季度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第一季度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第二季度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第三季度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第四季度</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832,465,882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920,149,999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776,135,352.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984,362,780.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293,534,666.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501,237,684.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842,723,704.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1,370,775,016.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归属于上市公司 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4,260,233.3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22,431,513.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10,094,105.0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32,455,703.3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-136,221,17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-76,970,664.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-31,720,895.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-1,046,639,625.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说明经营季节性（或周期性）发生的原因及波动风险</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61"/>
        <w:keepNext/>
        <w:keepLines/>
        <w:widowControl w:val="0"/>
        <w:shd w:val="clear" w:color="auto" w:fill="auto"/>
        <w:bidi w:val="0"/>
        <w:spacing w:before="0" w:line="240" w:lineRule="auto"/>
        <w:ind w:left="0" w:right="0" w:firstLine="0"/>
        <w:jc w:val="both"/>
      </w:pPr>
      <w:bookmarkStart w:id="148" w:name="bookmark148"/>
      <w:bookmarkStart w:id="149" w:name="bookmark149"/>
      <w:bookmarkStart w:id="150" w:name="bookmark150"/>
      <w:bookmarkStart w:id="151" w:name="bookmark151"/>
      <w:r>
        <w:rPr>
          <w:color w:val="000000"/>
          <w:spacing w:val="0"/>
          <w:w w:val="100"/>
          <w:position w:val="0"/>
        </w:rPr>
        <w:t>（</w:t>
      </w:r>
      <w:bookmarkEnd w:id="150"/>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48"/>
      <w:bookmarkEnd w:id="149"/>
      <w:bookmarkEnd w:id="151"/>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382"/>
        <w:gridCol w:w="1608"/>
        <w:gridCol w:w="1560"/>
        <w:gridCol w:w="994"/>
        <w:gridCol w:w="1421"/>
        <w:gridCol w:w="1416"/>
        <w:gridCol w:w="1224"/>
      </w:tblGrid>
      <w:tr>
        <w:trPr>
          <w:trHeight w:val="72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毛利率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营业收入比上年 同期增减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营业成本比上年 同期增减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毛利率比上年 同期增减</w:t>
            </w:r>
          </w:p>
        </w:tc>
      </w:tr>
      <w:tr>
        <w:trPr>
          <w:trHeight w:val="5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3,513,114,014.44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2,336,425,182.94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w:t>
            </w:r>
          </w:p>
        </w:tc>
      </w:tr>
      <w:tr>
        <w:trPr>
          <w:trHeight w:val="432"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分客户所处行业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智慧医卫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1,569,653,917.11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916,212,305.71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智慧政务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1,531,460236.75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1,194,341,312.43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互联网服务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410,881,243.25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224,804,435.04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1,118,617.33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1,067,129.76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46.20%</w:t>
            </w:r>
          </w:p>
        </w:tc>
      </w:tr>
      <w:tr>
        <w:trPr>
          <w:trHeight w:val="422"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1,845,205,867.83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1,176,638,836.39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18.38%</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运营服务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613,569,805.44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263,273,679.04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集成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1,054,338,341.17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896,512,667.51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14.97%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w:t>
            </w:r>
          </w:p>
        </w:tc>
      </w:tr>
    </w:tbl>
    <w:p>
      <w:pPr>
        <w:spacing w:lineRule="exact" w:line="1"/>
        <w:rPr>
          <w:sz w:val="2"/>
          <w:szCs w:val="2"/>
        </w:rPr>
      </w:pPr>
      <w:r>
        <w:br w:type="page"/>
      </w:r>
    </w:p>
    <w:tbl>
      <w:tblPr>
        <w:tblOverlap w:val="never"/>
        <w:jc w:val="center"/>
        <w:tblLayout w:type="fixed"/>
      </w:tblPr>
      <w:tblGrid>
        <w:gridCol w:w="1382"/>
        <w:gridCol w:w="1608"/>
        <w:gridCol w:w="1560"/>
        <w:gridCol w:w="994"/>
        <w:gridCol w:w="1421"/>
        <w:gridCol w:w="1416"/>
        <w:gridCol w:w="1224"/>
      </w:tblGrid>
      <w:tr>
        <w:trPr>
          <w:trHeight w:val="71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毛利率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营业收入比上年 同期增减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营业成本比上年 同期增减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毛利率比上年 同期增减</w:t>
            </w:r>
          </w:p>
        </w:tc>
      </w:tr>
      <w:tr>
        <w:trPr>
          <w:trHeight w:val="408"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1,653,434,038.98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1,120,465,716.40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上海以外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1,859,679,975.46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1,215,959,466.54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w:t>
            </w:r>
          </w:p>
        </w:tc>
      </w:tr>
    </w:tbl>
    <w:p>
      <w:pPr>
        <w:pStyle w:val="Style29"/>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1"/>
        <w:keepNext/>
        <w:keepLines/>
        <w:widowControl w:val="0"/>
        <w:shd w:val="clear" w:color="auto" w:fill="auto"/>
        <w:tabs>
          <w:tab w:pos="483" w:val="left"/>
        </w:tabs>
        <w:bidi w:val="0"/>
        <w:spacing w:before="0" w:after="260" w:line="240" w:lineRule="auto"/>
        <w:ind w:left="0" w:right="0" w:firstLine="0"/>
        <w:jc w:val="left"/>
      </w:pPr>
      <w:bookmarkStart w:id="152" w:name="bookmark152"/>
      <w:bookmarkStart w:id="153" w:name="bookmark153"/>
      <w:bookmarkStart w:id="154" w:name="bookmark154"/>
      <w:bookmarkStart w:id="155" w:name="bookmark155"/>
      <w:r>
        <w:rPr>
          <w:color w:val="000000"/>
          <w:spacing w:val="0"/>
          <w:w w:val="100"/>
          <w:position w:val="0"/>
        </w:rPr>
        <w:t>（</w:t>
      </w:r>
      <w:bookmarkEnd w:id="154"/>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52"/>
      <w:bookmarkEnd w:id="153"/>
      <w:bookmarkEnd w:id="155"/>
    </w:p>
    <w:p>
      <w:pPr>
        <w:pStyle w:val="Style29"/>
        <w:keepNext w:val="0"/>
        <w:keepLines w:val="0"/>
        <w:widowControl w:val="0"/>
        <w:shd w:val="clear" w:color="auto" w:fill="auto"/>
        <w:bidi w:val="0"/>
        <w:spacing w:before="0" w:after="360" w:line="341"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61"/>
        <w:keepNext/>
        <w:keepLines/>
        <w:widowControl w:val="0"/>
        <w:shd w:val="clear" w:color="auto" w:fill="auto"/>
        <w:tabs>
          <w:tab w:pos="483" w:val="left"/>
        </w:tabs>
        <w:bidi w:val="0"/>
        <w:spacing w:before="0" w:after="260" w:line="240" w:lineRule="auto"/>
        <w:ind w:left="0" w:right="0" w:firstLine="0"/>
        <w:jc w:val="left"/>
      </w:pPr>
      <w:bookmarkStart w:id="156" w:name="bookmark156"/>
      <w:bookmarkStart w:id="157" w:name="bookmark157"/>
      <w:bookmarkStart w:id="158" w:name="bookmark158"/>
      <w:bookmarkStart w:id="159" w:name="bookmark159"/>
      <w:r>
        <w:rPr>
          <w:color w:val="000000"/>
          <w:spacing w:val="0"/>
          <w:w w:val="100"/>
          <w:position w:val="0"/>
        </w:rPr>
        <w:t>（</w:t>
      </w:r>
      <w:bookmarkEnd w:id="158"/>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56"/>
      <w:bookmarkEnd w:id="157"/>
      <w:bookmarkEnd w:id="159"/>
    </w:p>
    <w:p>
      <w:pPr>
        <w:pStyle w:val="Style29"/>
        <w:keepNext w:val="0"/>
        <w:keepLines w:val="0"/>
        <w:widowControl w:val="0"/>
        <w:shd w:val="clear" w:color="auto" w:fill="auto"/>
        <w:bidi w:val="0"/>
        <w:spacing w:before="0" w:after="360" w:line="341"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1"/>
        <w:keepNext/>
        <w:keepLines/>
        <w:widowControl w:val="0"/>
        <w:shd w:val="clear" w:color="auto" w:fill="auto"/>
        <w:tabs>
          <w:tab w:pos="483" w:val="left"/>
        </w:tabs>
        <w:bidi w:val="0"/>
        <w:spacing w:before="0" w:after="420" w:line="240" w:lineRule="auto"/>
        <w:ind w:left="0" w:right="0" w:firstLine="0"/>
        <w:jc w:val="left"/>
      </w:pPr>
      <w:bookmarkStart w:id="160" w:name="bookmark160"/>
      <w:bookmarkStart w:id="161" w:name="bookmark161"/>
      <w:bookmarkStart w:id="162" w:name="bookmark162"/>
      <w:bookmarkStart w:id="163" w:name="bookmark163"/>
      <w:r>
        <w:rPr>
          <w:color w:val="000000"/>
          <w:spacing w:val="0"/>
          <w:w w:val="100"/>
          <w:position w:val="0"/>
        </w:rPr>
        <w:t>（</w:t>
      </w:r>
      <w:bookmarkEnd w:id="162"/>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60"/>
      <w:bookmarkEnd w:id="161"/>
      <w:bookmarkEnd w:id="16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992"/>
        <w:gridCol w:w="1277"/>
        <w:gridCol w:w="1416"/>
        <w:gridCol w:w="1272"/>
        <w:gridCol w:w="1421"/>
        <w:gridCol w:w="931"/>
      </w:tblGrid>
      <w:tr>
        <w:trPr>
          <w:trHeight w:val="41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行业分类</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同比增减</w:t>
            </w:r>
          </w:p>
        </w:tc>
      </w:tr>
      <w:tr>
        <w:trPr>
          <w:trHeight w:val="43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占营业成本比重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占营业成本比重</w:t>
            </w:r>
          </w:p>
        </w:tc>
        <w:tc>
          <w:tcPr>
            <w:vMerge/>
            <w:tcBorders>
              <w:left w:val="single" w:sz="4"/>
              <w:right w:val="single" w:sz="4"/>
            </w:tcBorders>
            <w:shd w:val="clear" w:color="auto" w:fill="D4D4D4"/>
            <w:vAlign w:val="center"/>
          </w:tcPr>
          <w:p>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智慧医卫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424,670,320.99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439,951,798.23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智慧医卫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335,632,382.20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396,354,779.08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智慧医卫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开发费用等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155,909,602.52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279,163,014.09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-44.15%</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智慧政务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838,433,674.65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825,921,180.57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智慧政务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279,035,600.17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299,648,741.39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智慧政务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开发费用等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76,872,037.61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53,569,218.66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43.50%</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互联网服务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87,773,595.70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88245,139.12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互联网服务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108,545,076.87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104,655,863.32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互联网服务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开发费用等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28,485,762.47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42,902,764.77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-33.60%</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开发费用等（折旧）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1,067,129.76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1,069,379.33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主营业务成本构成</w:t>
      </w:r>
    </w:p>
    <w:p>
      <w:pPr>
        <w:pStyle w:val="Style29"/>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613"/>
        <w:gridCol w:w="1594"/>
        <w:gridCol w:w="1598"/>
        <w:gridCol w:w="1594"/>
        <w:gridCol w:w="1589"/>
        <w:gridCol w:w="1603"/>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成本构成</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本报告期</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同比增减</w:t>
            </w:r>
          </w:p>
        </w:tc>
      </w:tr>
      <w:tr>
        <w:trPr>
          <w:trHeight w:val="40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占营业成本比重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占营业成本比重</w:t>
            </w:r>
          </w:p>
        </w:tc>
        <w:tc>
          <w:tcPr>
            <w:vMerge/>
            <w:tcBorders>
              <w:left w:val="single" w:sz="4"/>
              <w:right w:val="single" w:sz="4"/>
            </w:tcBorders>
            <w:shd w:val="clear" w:color="auto" w:fill="D4D4D4"/>
            <w:vAlign w:val="center"/>
          </w:tcPr>
          <w:p>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1,350,877,591.34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1,354,118,117.92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723,213,059.24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800,659,383.79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开发费用等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262,334,532.36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376,704,376.85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-30.36%</w:t>
            </w:r>
          </w:p>
        </w:tc>
      </w:tr>
    </w:tbl>
    <w:p>
      <w:pPr>
        <w:widowControl w:val="0"/>
        <w:spacing w:after="319" w:line="1" w:lineRule="exact"/>
      </w:pPr>
    </w:p>
    <w:p>
      <w:pPr>
        <w:pStyle w:val="Style61"/>
        <w:keepNext/>
        <w:keepLines/>
        <w:widowControl w:val="0"/>
        <w:shd w:val="clear" w:color="auto" w:fill="auto"/>
        <w:tabs>
          <w:tab w:pos="483" w:val="left"/>
        </w:tabs>
        <w:bidi w:val="0"/>
        <w:spacing w:before="0" w:line="240" w:lineRule="auto"/>
        <w:ind w:left="0" w:right="0" w:firstLine="0"/>
        <w:jc w:val="left"/>
      </w:pPr>
      <w:bookmarkStart w:id="164" w:name="bookmark164"/>
      <w:bookmarkStart w:id="165" w:name="bookmark165"/>
      <w:bookmarkStart w:id="166" w:name="bookmark166"/>
      <w:bookmarkStart w:id="167" w:name="bookmark167"/>
      <w:r>
        <w:rPr>
          <w:color w:val="000000"/>
          <w:spacing w:val="0"/>
          <w:w w:val="100"/>
          <w:position w:val="0"/>
        </w:rPr>
        <w:t>（</w:t>
      </w:r>
      <w:bookmarkEnd w:id="166"/>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64"/>
      <w:bookmarkEnd w:id="165"/>
      <w:bookmarkEnd w:id="167"/>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公司本年度处置子公司</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家，为上海慈铭智能网络科技有限责任公司。</w:t>
      </w:r>
    </w:p>
    <w:p>
      <w:pPr>
        <w:pStyle w:val="Style29"/>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公司本年度新设立子公司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家，分别为加数度数字科技有限公司与健康云（上海）数字科技有限公司。</w:t>
      </w:r>
    </w:p>
    <w:p>
      <w:pPr>
        <w:pStyle w:val="Style29"/>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公司本年度注销子公司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家，分别为河南万达软件技术有限公司与上海药荟商务咨询有限公司。</w:t>
      </w:r>
    </w:p>
    <w:p>
      <w:pPr>
        <w:pStyle w:val="Style61"/>
        <w:keepNext/>
        <w:keepLines/>
        <w:widowControl w:val="0"/>
        <w:shd w:val="clear" w:color="auto" w:fill="auto"/>
        <w:tabs>
          <w:tab w:pos="483" w:val="left"/>
        </w:tabs>
        <w:bidi w:val="0"/>
        <w:spacing w:before="0" w:line="240" w:lineRule="auto"/>
        <w:ind w:left="0" w:right="0" w:firstLine="0"/>
        <w:jc w:val="left"/>
      </w:pPr>
      <w:bookmarkStart w:id="168" w:name="bookmark168"/>
      <w:bookmarkStart w:id="169" w:name="bookmark169"/>
      <w:bookmarkStart w:id="170" w:name="bookmark170"/>
      <w:bookmarkStart w:id="171" w:name="bookmark171"/>
      <w:r>
        <w:rPr>
          <w:color w:val="000000"/>
          <w:spacing w:val="0"/>
          <w:w w:val="100"/>
          <w:position w:val="0"/>
        </w:rPr>
        <w:t>（</w:t>
      </w:r>
      <w:bookmarkEnd w:id="170"/>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68"/>
      <w:bookmarkEnd w:id="169"/>
      <w:bookmarkEnd w:id="171"/>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1"/>
        <w:keepNext/>
        <w:keepLines/>
        <w:widowControl w:val="0"/>
        <w:shd w:val="clear" w:color="auto" w:fill="auto"/>
        <w:tabs>
          <w:tab w:pos="483" w:val="left"/>
        </w:tabs>
        <w:bidi w:val="0"/>
        <w:spacing w:before="0" w:line="240" w:lineRule="auto"/>
        <w:ind w:left="0" w:right="0" w:firstLine="0"/>
        <w:jc w:val="left"/>
      </w:pPr>
      <w:bookmarkStart w:id="172" w:name="bookmark172"/>
      <w:bookmarkStart w:id="173" w:name="bookmark173"/>
      <w:bookmarkStart w:id="174" w:name="bookmark174"/>
      <w:bookmarkStart w:id="175" w:name="bookmark175"/>
      <w:r>
        <w:rPr>
          <w:color w:val="000000"/>
          <w:spacing w:val="0"/>
          <w:w w:val="100"/>
          <w:position w:val="0"/>
        </w:rPr>
        <w:t>（</w:t>
      </w:r>
      <w:bookmarkEnd w:id="174"/>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72"/>
      <w:bookmarkEnd w:id="173"/>
      <w:bookmarkEnd w:id="175"/>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7253"/>
        <w:gridCol w:w="233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376,358,932.62</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公司前</w:t>
      </w:r>
      <w:r>
        <w:rPr>
          <w:rFonts w:ascii="Times New Roman" w:eastAsia="Times New Roman" w:hAnsi="Times New Roman" w:cs="Times New Roman"/>
          <w:color w:val="000000"/>
          <w:spacing w:val="0"/>
          <w:w w:val="100"/>
          <w:position w:val="0"/>
          <w:sz w:val="18"/>
          <w:szCs w:val="18"/>
        </w:rPr>
        <w:t>5</w:t>
      </w:r>
      <w:r>
        <w:rPr>
          <w:rFonts w:ascii="SimSun" w:eastAsia="SimSun" w:hAnsi="SimSun" w:cs="SimSun"/>
          <w:color w:val="000000"/>
          <w:spacing w:val="0"/>
          <w:w w:val="100"/>
          <w:position w:val="0"/>
          <w:sz w:val="17"/>
          <w:szCs w:val="17"/>
        </w:rPr>
        <w:t>大客户资料</w:t>
      </w:r>
    </w:p>
    <w:tbl>
      <w:tblPr>
        <w:tblOverlap w:val="never"/>
        <w:jc w:val="center"/>
        <w:tblLayout w:type="fixed"/>
      </w:tblPr>
      <w:tblGrid>
        <w:gridCol w:w="816"/>
        <w:gridCol w:w="3734"/>
        <w:gridCol w:w="2702"/>
        <w:gridCol w:w="233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占年度销售总额比例</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上海市大数据中心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100,566,486.21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办公室</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（应相关要求需保密）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71,999,825.21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中国人寿保险股份有限公司及其分子公司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69,353,629.36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办公室</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（应相关要求需保密）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69,337,415.09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上海市公积金管理中心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65,101,576.75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376,358,932.62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9"/>
        <w:keepNext w:val="0"/>
        <w:keepLines w:val="0"/>
        <w:widowControl w:val="0"/>
        <w:shd w:val="clear" w:color="auto" w:fill="auto"/>
        <w:bidi w:val="0"/>
        <w:spacing w:before="0" w:after="50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公司主要供应商情况</w:t>
      </w:r>
    </w:p>
    <w:tbl>
      <w:tblPr>
        <w:tblOverlap w:val="never"/>
        <w:jc w:val="center"/>
        <w:tblLayout w:type="fixed"/>
      </w:tblPr>
      <w:tblGrid>
        <w:gridCol w:w="7253"/>
        <w:gridCol w:w="233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153,519,176.90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p>
      <w:pPr>
        <w:pStyle w:val="Style2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公司前</w:t>
      </w:r>
      <w:r>
        <w:rPr>
          <w:rFonts w:ascii="Times New Roman" w:eastAsia="Times New Roman" w:hAnsi="Times New Roman" w:cs="Times New Roman"/>
          <w:color w:val="000000"/>
          <w:spacing w:val="0"/>
          <w:w w:val="100"/>
          <w:position w:val="0"/>
          <w:sz w:val="18"/>
          <w:szCs w:val="18"/>
        </w:rPr>
        <w:t>5</w:t>
      </w:r>
      <w:r>
        <w:rPr>
          <w:rFonts w:ascii="SimSun" w:eastAsia="SimSun" w:hAnsi="SimSun" w:cs="SimSun"/>
          <w:color w:val="000000"/>
          <w:spacing w:val="0"/>
          <w:w w:val="100"/>
          <w:position w:val="0"/>
          <w:sz w:val="17"/>
          <w:szCs w:val="17"/>
        </w:rPr>
        <w:t>名供应商资料</w:t>
      </w:r>
    </w:p>
    <w:tbl>
      <w:tblPr>
        <w:tblOverlap w:val="never"/>
        <w:jc w:val="center"/>
        <w:tblLayout w:type="fixed"/>
      </w:tblPr>
      <w:tblGrid>
        <w:gridCol w:w="946"/>
        <w:gridCol w:w="3605"/>
        <w:gridCol w:w="2702"/>
        <w:gridCol w:w="2338"/>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供应商名称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采购额（元）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占年度采购总额比例</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中建材信息技术股份有限公司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64,449,688.45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上海潍正信息技术有限公司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28,128299.35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腾讯云计算（北京）有限责任公司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22,789,481.85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四川惟邦新创科技有限公司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19,706,946.91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卫宁健康科技集团股份有限公司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18,444,760.34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153,519,176.90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主要供应商其他情况说明</w:t>
      </w:r>
    </w:p>
    <w:p>
      <w:pPr>
        <w:pStyle w:val="Style29"/>
        <w:keepNext w:val="0"/>
        <w:keepLines w:val="0"/>
        <w:widowControl w:val="0"/>
        <w:shd w:val="clear" w:color="auto" w:fill="auto"/>
        <w:bidi w:val="0"/>
        <w:spacing w:before="0" w:after="40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400" w:line="240" w:lineRule="auto"/>
        <w:ind w:left="0" w:right="0" w:firstLine="0"/>
        <w:jc w:val="both"/>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3</w:t>
      </w:r>
      <w:bookmarkEnd w:id="178"/>
      <w:r>
        <w:rPr>
          <w:color w:val="000000"/>
          <w:spacing w:val="0"/>
          <w:w w:val="100"/>
          <w:position w:val="0"/>
        </w:rPr>
        <w:t>、费用</w:t>
      </w:r>
      <w:bookmarkEnd w:id="176"/>
      <w:bookmarkEnd w:id="177"/>
      <w:bookmarkEnd w:id="17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2203"/>
        <w:gridCol w:w="1982"/>
        <w:gridCol w:w="1704"/>
        <w:gridCol w:w="1771"/>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146,809,687.54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149,463,314.74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不适用</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428,274,986.70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444,704,364.02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不适用</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115,979,561.04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106,123,184.25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不适用</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471,832,564.80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641,113,753.48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不适用</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4</w:t>
      </w:r>
      <w:bookmarkEnd w:id="182"/>
      <w:r>
        <w:rPr>
          <w:color w:val="000000"/>
          <w:spacing w:val="0"/>
          <w:w w:val="100"/>
          <w:position w:val="0"/>
        </w:rPr>
        <w:t>、研发投入</w:t>
      </w:r>
      <w:bookmarkEnd w:id="180"/>
      <w:bookmarkEnd w:id="181"/>
      <w:bookmarkEnd w:id="183"/>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166"/>
        <w:gridCol w:w="3696"/>
        <w:gridCol w:w="422"/>
        <w:gridCol w:w="3552"/>
        <w:gridCol w:w="888"/>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主要研发项目 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项目目的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项目</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进展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拟达到的目标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预计对公 司未来发 展的影响</w:t>
            </w:r>
          </w:p>
        </w:tc>
      </w:tr>
      <w:tr>
        <w:trPr>
          <w:trHeight w:val="22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新一代智慧医 疗一体化</w:t>
            </w:r>
            <w:r>
              <w:rPr>
                <w:rFonts w:ascii="Times New Roman" w:eastAsia="Times New Roman" w:hAnsi="Times New Roman" w:cs="Times New Roman"/>
                <w:color w:val="000000"/>
                <w:spacing w:val="0"/>
                <w:w w:val="100"/>
                <w:position w:val="0"/>
                <w:sz w:val="18"/>
                <w:szCs w:val="18"/>
              </w:rPr>
              <w:t xml:space="preserve">HIS </w:t>
            </w:r>
            <w:r>
              <w:rPr>
                <w:color w:val="000000"/>
                <w:spacing w:val="0"/>
                <w:w w:val="100"/>
                <w:position w:val="0"/>
                <w:sz w:val="17"/>
                <w:szCs w:val="17"/>
              </w:rPr>
              <w:t>服务平台及应 用系统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借助移动互联网、大数据与云计算等技术，通 过本次募投项目构建一个标准化、智能化、系 统化的立体式医疗信息化生态系统，以实现线 上线下服务一体化以及医前、医中、医后服务 一体化的双闭环以及不同医疗机构的信息互联 互通。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进行 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基于智慧医疗总体解决方案，研发新一代智 慧医疗一体化</w:t>
            </w:r>
            <w:r>
              <w:rPr>
                <w:rFonts w:ascii="Times New Roman" w:eastAsia="Times New Roman" w:hAnsi="Times New Roman" w:cs="Times New Roman"/>
                <w:color w:val="000000"/>
                <w:spacing w:val="0"/>
                <w:w w:val="100"/>
                <w:position w:val="0"/>
                <w:sz w:val="18"/>
                <w:szCs w:val="18"/>
              </w:rPr>
              <w:t>HIS</w:t>
            </w:r>
            <w:r>
              <w:rPr>
                <w:color w:val="000000"/>
                <w:spacing w:val="0"/>
                <w:w w:val="100"/>
                <w:position w:val="0"/>
                <w:sz w:val="17"/>
                <w:szCs w:val="17"/>
              </w:rPr>
              <w:t>服务平台及应用系统，重 点包含智慧医疗云诊所服务平台、智慧医疗 云社区服务平台、智慧医疗云医院信息平台 和智慧医疗云协同服务平台等四个服务平 台。同时，建设一主一辅两个智慧医疗云计 算中心，支撑前述四个服务平台的相关应用。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拓展公司</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市场，提升</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公司竞争</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力</w:t>
            </w:r>
          </w:p>
        </w:tc>
      </w:tr>
      <w:tr>
        <w:trPr>
          <w:trHeight w:val="19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智慧养老综合</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服务平台及其</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智能物联云平 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面向政府、企业、社区、个人等主体，实现对 现有智慧养老信息化需求的全覆盖，建立面向 政府全过程监督的监管平台、面向企业或社区 高效的养老经营平台、面向老年人群的</w:t>
            </w:r>
            <w:r>
              <w:rPr>
                <w:rFonts w:ascii="Times New Roman" w:eastAsia="Times New Roman" w:hAnsi="Times New Roman" w:cs="Times New Roman"/>
                <w:color w:val="000000"/>
                <w:spacing w:val="0"/>
                <w:w w:val="100"/>
                <w:position w:val="0"/>
                <w:sz w:val="18"/>
                <w:szCs w:val="18"/>
              </w:rPr>
              <w:t>O2O</w:t>
            </w:r>
            <w:r>
              <w:rPr>
                <w:color w:val="000000"/>
                <w:spacing w:val="0"/>
                <w:w w:val="100"/>
                <w:position w:val="0"/>
                <w:sz w:val="17"/>
                <w:szCs w:val="17"/>
              </w:rPr>
              <w:t>平 台，为老年人群提供功能丰富的智能监测、安 防和看护等一站式的智慧养老服务，通过平台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进行 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基于智慧养老总体解决方案，研发智慧养老 综合服务平台及其智能物联云平台项目，重 点包括医养结合服务管理云平台、长期护理 保险综合信息管理云平台、社区综合为老服 务云平台、居家护理机构管理云平台、养老 机构管理云平台、养老地产颐养社区管理云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拓展公司</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市场，提升</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公司竞争</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力</w:t>
            </w:r>
          </w:p>
        </w:tc>
      </w:tr>
    </w:tbl>
    <w:p>
      <w:pPr>
        <w:spacing w:lineRule="exact" w:line="1"/>
        <w:rPr>
          <w:sz w:val="2"/>
          <w:szCs w:val="2"/>
        </w:rPr>
      </w:pPr>
      <w:r>
        <w:br w:type="page"/>
      </w:r>
    </w:p>
    <w:tbl>
      <w:tblPr>
        <w:tblOverlap w:val="never"/>
        <w:jc w:val="center"/>
        <w:tblLayout w:type="fixed"/>
      </w:tblPr>
      <w:tblGrid>
        <w:gridCol w:w="1162"/>
        <w:gridCol w:w="3701"/>
        <w:gridCol w:w="418"/>
        <w:gridCol w:w="3557"/>
        <w:gridCol w:w="888"/>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主要研发项目 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项目目的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项目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进展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拟达到的目标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预计对公 司未来发 展的影响</w:t>
            </w:r>
          </w:p>
        </w:tc>
      </w:tr>
      <w:tr>
        <w:trPr>
          <w:trHeight w:val="22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技术使得居家养老、社区养老成为可能，解决 养老服务资源不足、政府全过程监管、老年人 群需求无法精准响应等众多社会问题，强化资 源配置整合，提升机构的服务管理效率，建立 起有效的全程监控及服务网络，形成服务闭环 和完整的服务生态体系，推动和促进整个智慧 养老行业的产业升级和发展。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平台和智能物联云平台及其产品。其中，研 发的智能物联产品涵盖智能监护设备、智能 安防监控设备、智能陪护设备三大产品线。</w:t>
            </w: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未来城市智慧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完善城市的社区治理体系和加强城市的社区治 理能力，解决城镇化进程中政府公共数据处于 “孤岛”状态，应用多，缺乏系统性统筹，社 区内的资源、服务整合，社区建设缺少社会参 与机制，社区服务无法精准触达等社区治理问 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进行 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打造包含社区协同、可信生活圈的市民云开 放服务平台，并且通过引入云计算、大数据、 物联网、移动互联网</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7"/>
                <w:szCs w:val="17"/>
              </w:rPr>
              <w:t>）</w:t>
            </w:r>
            <w:r>
              <w:rPr>
                <w:color w:val="000000"/>
                <w:spacing w:val="0"/>
                <w:w w:val="100"/>
                <w:position w:val="0"/>
                <w:sz w:val="17"/>
                <w:szCs w:val="17"/>
              </w:rPr>
              <w:t>和人工智能等新 型计算机技术，以开放互联为指导思想、以 社区治理与社区服务为核心目标、建立社区 生态体系的未来社区运营服务平台。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拓展公司 市场，提升 公司竞争 力</w:t>
            </w:r>
          </w:p>
        </w:tc>
      </w:tr>
      <w:tr>
        <w:trPr>
          <w:trHeight w:val="258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企业人力资源</w:t>
            </w:r>
          </w:p>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数字化平台项 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 xml:space="preserve">选择人力资源建设领域作为切入点，启动企业 人力资源数字化平台产品体系建设，构建适用 于企业数字化转型的基础平台和高效精准的人 力资源业务产品，通过产品化实施和云化服务 等模式服务各级企业的人力资源数字化转型， 并以人力资源领域为突破口全面进入 </w:t>
            </w:r>
            <w:r>
              <w:rPr>
                <w:rFonts w:ascii="Times New Roman" w:eastAsia="Times New Roman" w:hAnsi="Times New Roman" w:cs="Times New Roman"/>
                <w:color w:val="000000"/>
                <w:spacing w:val="0"/>
                <w:w w:val="100"/>
                <w:position w:val="0"/>
                <w:sz w:val="18"/>
                <w:szCs w:val="18"/>
              </w:rPr>
              <w:t xml:space="preserve">ToB（tobusiness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业务领域，实现自身业务转型升 级，全面助力国家数字化转型。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进行 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 xml:space="preserve">研发完成人力资源数字化平台产品线（含相 关知识产权成果）、人力资源数字化平台 </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sz w:val="17"/>
                <w:szCs w:val="17"/>
              </w:rPr>
              <w:t>服务网站、人力资源数字化解决方案推 介材料及人力资源数字化解决方案实施方 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拓展公司 市场，提升 公司竞争 力</w:t>
            </w:r>
          </w:p>
        </w:tc>
      </w:tr>
    </w:tbl>
    <w:p>
      <w:pPr>
        <w:widowControl w:val="0"/>
        <w:spacing w:after="439" w:line="1" w:lineRule="exact"/>
      </w:pPr>
    </w:p>
    <w:p>
      <w:pPr>
        <w:pStyle w:val="Style2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公司研发人员情况</w:t>
      </w:r>
    </w:p>
    <w:tbl>
      <w:tblPr>
        <w:tblOverlap w:val="never"/>
        <w:jc w:val="center"/>
        <w:tblLayout w:type="fixed"/>
      </w:tblPr>
      <w:tblGrid>
        <w:gridCol w:w="2400"/>
        <w:gridCol w:w="2400"/>
        <w:gridCol w:w="2390"/>
        <w:gridCol w:w="2400"/>
      </w:tblGrid>
      <w:tr>
        <w:trPr>
          <w:trHeight w:val="41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变动比例</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r>
      <w:tr>
        <w:trPr>
          <w:trHeight w:val="394" w:hRule="exact"/>
        </w:trPr>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研发人员学历</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博士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133.33%</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10.27%</w:t>
            </w:r>
          </w:p>
        </w:tc>
      </w:tr>
      <w:tr>
        <w:trPr>
          <w:trHeight w:val="408" w:hRule="exact"/>
        </w:trPr>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研发人员年龄构成</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-13.75%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30 ~40 </w:t>
            </w:r>
            <w:r>
              <w:rPr>
                <w:color w:val="000000"/>
                <w:spacing w:val="0"/>
                <w:w w:val="100"/>
                <w:position w:val="0"/>
                <w:sz w:val="17"/>
                <w:szCs w:val="17"/>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w:t>
            </w: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近三年公司研发投入金额及占营业收入的比例</w:t>
      </w:r>
    </w:p>
    <w:tbl>
      <w:tblPr>
        <w:tblOverlap w:val="never"/>
        <w:jc w:val="center"/>
        <w:tblLayout w:type="fixed"/>
      </w:tblPr>
      <w:tblGrid>
        <w:gridCol w:w="3274"/>
        <w:gridCol w:w="2126"/>
        <w:gridCol w:w="2126"/>
        <w:gridCol w:w="2064"/>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448,219,038.79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473,780,581.15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539,883,207.65</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25.41%</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196,105,417.18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58,819,369.39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389,794,012.17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资本化研发支出占研发投入的比例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72.20%</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资本化研发支出占当期净利润的比重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27.79%</w:t>
            </w: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公司研发人员构成发生重大变化的原因及影响</w:t>
      </w:r>
    </w:p>
    <w:p>
      <w:pPr>
        <w:pStyle w:val="Style29"/>
        <w:keepNext w:val="0"/>
        <w:keepLines w:val="0"/>
        <w:widowControl w:val="0"/>
        <w:shd w:val="clear" w:color="auto" w:fill="auto"/>
        <w:bidi w:val="0"/>
        <w:spacing w:before="0" w:after="0" w:line="316"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16" w:lineRule="exact"/>
        <w:ind w:left="0" w:right="0" w:firstLine="0"/>
        <w:jc w:val="both"/>
      </w:pPr>
      <w:r>
        <w:rPr>
          <w:color w:val="000000"/>
          <w:spacing w:val="0"/>
          <w:w w:val="100"/>
          <w:position w:val="0"/>
        </w:rPr>
        <w:t>研发投入总额占营业收入的比重较上年发生显著变化的原因</w:t>
      </w:r>
    </w:p>
    <w:p>
      <w:pPr>
        <w:pStyle w:val="Style29"/>
        <w:keepNext w:val="0"/>
        <w:keepLines w:val="0"/>
        <w:widowControl w:val="0"/>
        <w:shd w:val="clear" w:color="auto" w:fill="auto"/>
        <w:bidi w:val="0"/>
        <w:spacing w:before="0" w:after="0" w:line="316"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16" w:lineRule="exact"/>
        <w:ind w:left="0" w:right="0" w:firstLine="0"/>
        <w:jc w:val="both"/>
      </w:pPr>
      <w:r>
        <w:rPr>
          <w:color w:val="000000"/>
          <w:spacing w:val="0"/>
          <w:w w:val="100"/>
          <w:position w:val="0"/>
        </w:rPr>
        <w:t>研发投入资本化率大幅变动的原因及其合理性说明</w:t>
      </w:r>
    </w:p>
    <w:p>
      <w:pPr>
        <w:pStyle w:val="Style29"/>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tabs>
          <w:tab w:pos="858" w:val="left"/>
        </w:tabs>
        <w:bidi w:val="0"/>
        <w:spacing w:before="0" w:after="0" w:line="316" w:lineRule="exact"/>
        <w:ind w:left="0" w:right="0" w:firstLine="560"/>
        <w:jc w:val="both"/>
      </w:pPr>
      <w:bookmarkStart w:id="184" w:name="bookmark184"/>
      <w:r>
        <w:rPr>
          <w:rFonts w:ascii="Times New Roman" w:eastAsia="Times New Roman" w:hAnsi="Times New Roman" w:cs="Times New Roman"/>
          <w:color w:val="000000"/>
          <w:spacing w:val="0"/>
          <w:w w:val="100"/>
          <w:position w:val="0"/>
          <w:sz w:val="18"/>
          <w:szCs w:val="18"/>
        </w:rPr>
        <w:t>1</w:t>
      </w:r>
      <w:bookmarkEnd w:id="18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可转债募集资金投资项目在本报告期内持续投入建设。</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年上半年新型冠状病毒肺炎疫情突发，公司凭借 多来年积累的医疗信息化建设及健康管理经验，配合各级政府投入大量技术人员支持疫情防控工作。以上抗疫工作，打乱了 公司整体研发计划，原可转债募集资金投资研发项目“新一代智慧医疗一体化</w:t>
      </w:r>
      <w:r>
        <w:rPr>
          <w:rFonts w:ascii="Times New Roman" w:eastAsia="Times New Roman" w:hAnsi="Times New Roman" w:cs="Times New Roman"/>
          <w:color w:val="000000"/>
          <w:spacing w:val="0"/>
          <w:w w:val="100"/>
          <w:position w:val="0"/>
          <w:sz w:val="18"/>
          <w:szCs w:val="18"/>
        </w:rPr>
        <w:t>HIS</w:t>
      </w:r>
      <w:r>
        <w:rPr>
          <w:color w:val="000000"/>
          <w:spacing w:val="0"/>
          <w:w w:val="100"/>
          <w:position w:val="0"/>
        </w:rPr>
        <w:t>服务平台及应用系统”和“智慧养老综 合服务平台及其智能物联云平台”投入规模有限。</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年，随着疫情防控常态化，公司结合过往抗击疫情中积累的经验及 技术，加大了对上述两项募集资金投资项目的投入，满足资本化投入金额</w:t>
      </w:r>
      <w:r>
        <w:rPr>
          <w:rFonts w:ascii="Times New Roman" w:eastAsia="Times New Roman" w:hAnsi="Times New Roman" w:cs="Times New Roman"/>
          <w:color w:val="000000"/>
          <w:spacing w:val="0"/>
          <w:w w:val="100"/>
          <w:position w:val="0"/>
          <w:sz w:val="18"/>
          <w:szCs w:val="18"/>
        </w:rPr>
        <w:t>12,218.80</w:t>
      </w:r>
      <w:r>
        <w:rPr>
          <w:color w:val="000000"/>
          <w:spacing w:val="0"/>
          <w:w w:val="100"/>
          <w:position w:val="0"/>
        </w:rPr>
        <w:t>万元，同比增加</w:t>
      </w:r>
      <w:r>
        <w:rPr>
          <w:rFonts w:ascii="Times New Roman" w:eastAsia="Times New Roman" w:hAnsi="Times New Roman" w:cs="Times New Roman"/>
          <w:color w:val="000000"/>
          <w:spacing w:val="0"/>
          <w:w w:val="100"/>
          <w:position w:val="0"/>
          <w:sz w:val="18"/>
          <w:szCs w:val="18"/>
        </w:rPr>
        <w:t>8,131.80</w:t>
      </w:r>
      <w:r>
        <w:rPr>
          <w:color w:val="000000"/>
          <w:spacing w:val="0"/>
          <w:w w:val="100"/>
          <w:position w:val="0"/>
        </w:rPr>
        <w:t>万元，占本报 告期研发投入总额的</w:t>
      </w:r>
      <w:r>
        <w:rPr>
          <w:rFonts w:ascii="Times New Roman" w:eastAsia="Times New Roman" w:hAnsi="Times New Roman" w:cs="Times New Roman"/>
          <w:color w:val="000000"/>
          <w:spacing w:val="0"/>
          <w:w w:val="100"/>
          <w:position w:val="0"/>
          <w:sz w:val="18"/>
          <w:szCs w:val="18"/>
        </w:rPr>
        <w:t>27.26%</w:t>
      </w:r>
      <w:r>
        <w:rPr>
          <w:color w:val="000000"/>
          <w:spacing w:val="0"/>
          <w:w w:val="100"/>
          <w:position w:val="0"/>
        </w:rPr>
        <w:t>。</w:t>
      </w:r>
    </w:p>
    <w:p>
      <w:pPr>
        <w:pStyle w:val="Style29"/>
        <w:keepNext w:val="0"/>
        <w:keepLines w:val="0"/>
        <w:widowControl w:val="0"/>
        <w:shd w:val="clear" w:color="auto" w:fill="auto"/>
        <w:tabs>
          <w:tab w:pos="862" w:val="left"/>
        </w:tabs>
        <w:bidi w:val="0"/>
        <w:spacing w:before="0" w:after="0" w:line="316" w:lineRule="exact"/>
        <w:ind w:left="0" w:right="0" w:firstLine="560"/>
        <w:jc w:val="both"/>
      </w:pPr>
      <w:bookmarkStart w:id="185" w:name="bookmark185"/>
      <w:r>
        <w:rPr>
          <w:rFonts w:ascii="Times New Roman" w:eastAsia="Times New Roman" w:hAnsi="Times New Roman" w:cs="Times New Roman"/>
          <w:color w:val="000000"/>
          <w:spacing w:val="0"/>
          <w:w w:val="100"/>
          <w:position w:val="0"/>
          <w:sz w:val="18"/>
          <w:szCs w:val="18"/>
        </w:rPr>
        <w:t>2</w:t>
      </w:r>
      <w:bookmarkEnd w:id="185"/>
      <w:r>
        <w:rPr>
          <w:color w:val="000000"/>
          <w:spacing w:val="0"/>
          <w:w w:val="100"/>
          <w:position w:val="0"/>
        </w:rPr>
        <w:t>）</w:t>
        <w:tab/>
        <w:t>报告期内，公司不断深化互联网化科技型公司定位，充分利用市民云平台及技术积累开展对未来城市智慧服务的 研发投入。报告期内公司立项“未来城市智慧服务平台项目”，打造包含社区协同、可信生活圈的市民云开放服务平台，并 且通过引入云计算、大数据、物联网、移动互联网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）和人工智能等新型计算机技术，以开放互联为指导思想、以社区 治理与社区服务为核心目标、建立社区生态体系的未来社区运营服务平台。“未来城市智慧服务平台项目”预期研发成果明 确，且满足研发支出资本化的条件，本年资本化投入金额</w:t>
      </w:r>
      <w:r>
        <w:rPr>
          <w:rFonts w:ascii="Times New Roman" w:eastAsia="Times New Roman" w:hAnsi="Times New Roman" w:cs="Times New Roman"/>
          <w:color w:val="000000"/>
          <w:spacing w:val="0"/>
          <w:w w:val="100"/>
          <w:position w:val="0"/>
          <w:sz w:val="18"/>
          <w:szCs w:val="18"/>
        </w:rPr>
        <w:t>5,785.75</w:t>
      </w:r>
      <w:r>
        <w:rPr>
          <w:color w:val="000000"/>
          <w:spacing w:val="0"/>
          <w:w w:val="100"/>
          <w:position w:val="0"/>
        </w:rPr>
        <w:t>万元，占本年研发投入总额的</w:t>
      </w:r>
      <w:r>
        <w:rPr>
          <w:rFonts w:ascii="Times New Roman" w:eastAsia="Times New Roman" w:hAnsi="Times New Roman" w:cs="Times New Roman"/>
          <w:color w:val="000000"/>
          <w:spacing w:val="0"/>
          <w:w w:val="100"/>
          <w:position w:val="0"/>
          <w:sz w:val="18"/>
          <w:szCs w:val="18"/>
        </w:rPr>
        <w:t>12.91%</w:t>
      </w:r>
      <w:r>
        <w:rPr>
          <w:color w:val="000000"/>
          <w:spacing w:val="0"/>
          <w:w w:val="100"/>
          <w:position w:val="0"/>
        </w:rPr>
        <w: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rPr>
        <w:t>以上主要原因导致公司研发支出资本化率同比提升，但对比近三年公司综合资本化率，报告期公司资本化率处于相对平均水 平。</w:t>
      </w:r>
    </w:p>
    <w:p>
      <w:pPr>
        <w:pStyle w:val="Style29"/>
        <w:keepNext w:val="0"/>
        <w:keepLines w:val="0"/>
        <w:widowControl w:val="0"/>
        <w:shd w:val="clear" w:color="auto" w:fill="auto"/>
        <w:bidi w:val="0"/>
        <w:spacing w:before="0" w:after="160" w:line="316"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845"/>
        <w:gridCol w:w="2270"/>
        <w:gridCol w:w="2266"/>
        <w:gridCol w:w="121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研发资本化金额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相关项目的基本情况</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实施进度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新一代智慧医疗一体化</w:t>
            </w:r>
            <w:r>
              <w:rPr>
                <w:rFonts w:ascii="Times New Roman" w:eastAsia="Times New Roman" w:hAnsi="Times New Roman" w:cs="Times New Roman"/>
                <w:color w:val="000000"/>
                <w:spacing w:val="0"/>
                <w:w w:val="100"/>
                <w:position w:val="0"/>
                <w:sz w:val="18"/>
                <w:szCs w:val="18"/>
              </w:rPr>
              <w:t>HIS</w:t>
            </w:r>
            <w:r>
              <w:rPr>
                <w:color w:val="000000"/>
                <w:spacing w:val="0"/>
                <w:w w:val="100"/>
                <w:position w:val="0"/>
                <w:sz w:val="17"/>
                <w:szCs w:val="17"/>
              </w:rPr>
              <w:t>服务平台及应用系统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73,846,182.78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项目研发中</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智慧养老综合服务平台及其智能物联云平台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48,341,795.46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项目研发中</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未来城市智慧服务平台项目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57,857,486.59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项目研发中</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企业人力资源数字化平台项目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698,633.94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项目研发中</w:t>
            </w:r>
          </w:p>
        </w:tc>
      </w:tr>
    </w:tbl>
    <w:p>
      <w:pPr>
        <w:pStyle w:val="Style26"/>
        <w:keepNext w:val="0"/>
        <w:keepLines w:val="0"/>
        <w:widowControl w:val="0"/>
        <w:shd w:val="clear" w:color="auto" w:fill="auto"/>
        <w:bidi w:val="0"/>
        <w:spacing w:before="0" w:after="0" w:line="240" w:lineRule="auto"/>
        <w:ind w:left="355" w:right="0" w:firstLine="0"/>
        <w:jc w:val="left"/>
        <w:rPr>
          <w:sz w:val="17"/>
          <w:szCs w:val="17"/>
        </w:rPr>
      </w:pPr>
      <w:r>
        <w:rPr>
          <w:rFonts w:ascii="SimSun" w:eastAsia="SimSun" w:hAnsi="SimSun" w:cs="SimSun"/>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7"/>
          <w:szCs w:val="17"/>
        </w:rPr>
        <w:t>：新一代智慧医疗一体化</w:t>
      </w:r>
      <w:r>
        <w:rPr>
          <w:rFonts w:ascii="Times New Roman" w:eastAsia="Times New Roman" w:hAnsi="Times New Roman" w:cs="Times New Roman"/>
          <w:color w:val="000000"/>
          <w:spacing w:val="0"/>
          <w:w w:val="100"/>
          <w:position w:val="0"/>
          <w:sz w:val="18"/>
          <w:szCs w:val="18"/>
        </w:rPr>
        <w:t>HIS</w:t>
      </w:r>
      <w:r>
        <w:rPr>
          <w:rFonts w:ascii="SimSun" w:eastAsia="SimSun" w:hAnsi="SimSun" w:cs="SimSun"/>
          <w:color w:val="000000"/>
          <w:spacing w:val="0"/>
          <w:w w:val="100"/>
          <w:position w:val="0"/>
          <w:sz w:val="17"/>
          <w:szCs w:val="17"/>
        </w:rPr>
        <w:t>服务平台及应用系统情况说明</w:t>
      </w:r>
    </w:p>
    <w:p>
      <w:pPr>
        <w:pStyle w:val="Style29"/>
        <w:keepNext w:val="0"/>
        <w:keepLines w:val="0"/>
        <w:widowControl w:val="0"/>
        <w:shd w:val="clear" w:color="auto" w:fill="auto"/>
        <w:bidi w:val="0"/>
        <w:spacing w:before="0" w:after="0" w:line="326" w:lineRule="exact"/>
        <w:ind w:left="0" w:right="0" w:firstLine="380"/>
        <w:jc w:val="both"/>
      </w:pPr>
      <w:r>
        <w:rPr>
          <w:color w:val="000000"/>
          <w:spacing w:val="0"/>
          <w:w w:val="100"/>
          <w:position w:val="0"/>
        </w:rPr>
        <w:t>本项目建设内容为：基于智慧医疗总体解决方案，研发新一代智慧医疗一体化</w:t>
      </w:r>
      <w:r>
        <w:rPr>
          <w:rFonts w:ascii="Times New Roman" w:eastAsia="Times New Roman" w:hAnsi="Times New Roman" w:cs="Times New Roman"/>
          <w:color w:val="000000"/>
          <w:spacing w:val="0"/>
          <w:w w:val="100"/>
          <w:position w:val="0"/>
          <w:sz w:val="18"/>
          <w:szCs w:val="18"/>
        </w:rPr>
        <w:t>HIS</w:t>
      </w:r>
      <w:r>
        <w:rPr>
          <w:color w:val="000000"/>
          <w:spacing w:val="0"/>
          <w:w w:val="100"/>
          <w:position w:val="0"/>
        </w:rPr>
        <w:t>服务平台及应用系统，重点包含智慧 医疗云诊所服务平台、智慧医疗云社区服务平台、智慧医疗云医院信息平台和智慧医疗云协同服务平台等四个服务平台。同 时，建设一主一辅两个智慧医疗云计算中心，支撑前述四个服务平台的相关应用。</w:t>
      </w:r>
    </w:p>
    <w:p>
      <w:pPr>
        <w:pStyle w:val="Style29"/>
        <w:keepNext w:val="0"/>
        <w:keepLines w:val="0"/>
        <w:widowControl w:val="0"/>
        <w:shd w:val="clear" w:color="auto" w:fill="auto"/>
        <w:bidi w:val="0"/>
        <w:spacing w:before="0" w:after="0" w:line="326" w:lineRule="exact"/>
        <w:ind w:left="0" w:right="0" w:firstLine="380"/>
        <w:jc w:val="both"/>
      </w:pPr>
      <w:r>
        <w:rPr>
          <w:color w:val="000000"/>
          <w:spacing w:val="0"/>
          <w:w w:val="100"/>
          <w:position w:val="0"/>
        </w:rPr>
        <w:t>公司拟借助移动互联网、大数据与云计算等技术，构建一个标准化、智能化、系统化的立体式医疗信息化生态系统，以 实现线上线下服务一体化以及医前、医中、医后服务一体化的双闭环以及不同医疗机构的信息互联互通。</w:t>
      </w:r>
    </w:p>
    <w:p>
      <w:pPr>
        <w:pStyle w:val="Style29"/>
        <w:keepNext w:val="0"/>
        <w:keepLines w:val="0"/>
        <w:widowControl w:val="0"/>
        <w:shd w:val="clear" w:color="auto" w:fill="auto"/>
        <w:bidi w:val="0"/>
        <w:spacing w:before="0" w:after="380" w:line="326" w:lineRule="exact"/>
        <w:ind w:left="0" w:right="0" w:firstLine="380"/>
        <w:jc w:val="both"/>
      </w:pPr>
      <w:r>
        <w:rPr>
          <w:color w:val="000000"/>
          <w:spacing w:val="0"/>
          <w:w w:val="100"/>
          <w:position w:val="0"/>
        </w:rPr>
        <w:t>公司拟建设的新一代智慧医疗一体化</w:t>
      </w:r>
      <w:r>
        <w:rPr>
          <w:rFonts w:ascii="Times New Roman" w:eastAsia="Times New Roman" w:hAnsi="Times New Roman" w:cs="Times New Roman"/>
          <w:color w:val="000000"/>
          <w:spacing w:val="0"/>
          <w:w w:val="100"/>
          <w:position w:val="0"/>
          <w:sz w:val="18"/>
          <w:szCs w:val="18"/>
        </w:rPr>
        <w:t>HIS</w:t>
      </w:r>
      <w:r>
        <w:rPr>
          <w:color w:val="000000"/>
          <w:spacing w:val="0"/>
          <w:w w:val="100"/>
          <w:position w:val="0"/>
        </w:rPr>
        <w:t xml:space="preserve">服务平台及应用系统项目在系统构架、功能性、信息互联互通等方面有显著的 </w:t>
      </w:r>
      <w:r>
        <w:rPr>
          <w:color w:val="000000"/>
          <w:spacing w:val="0"/>
          <w:w w:val="100"/>
          <w:position w:val="0"/>
        </w:rPr>
        <w:t>优势。在系统构架方面，新一代智慧医疗一体化</w:t>
      </w:r>
      <w:r>
        <w:rPr>
          <w:rFonts w:ascii="Times New Roman" w:eastAsia="Times New Roman" w:hAnsi="Times New Roman" w:cs="Times New Roman"/>
          <w:color w:val="000000"/>
          <w:spacing w:val="0"/>
          <w:w w:val="100"/>
          <w:position w:val="0"/>
          <w:sz w:val="18"/>
          <w:szCs w:val="18"/>
        </w:rPr>
        <w:t>HIS</w:t>
      </w:r>
      <w:r>
        <w:rPr>
          <w:color w:val="000000"/>
          <w:spacing w:val="0"/>
          <w:w w:val="100"/>
          <w:position w:val="0"/>
        </w:rPr>
        <w:t>系统具有更强的兼容开放性，模块扩展性强，能接入基于新语言与新技 术的软件与应用；在功能上，新一代智慧医疗一体化</w:t>
      </w:r>
      <w:r>
        <w:rPr>
          <w:rFonts w:ascii="Times New Roman" w:eastAsia="Times New Roman" w:hAnsi="Times New Roman" w:cs="Times New Roman"/>
          <w:color w:val="000000"/>
          <w:spacing w:val="0"/>
          <w:w w:val="100"/>
          <w:position w:val="0"/>
          <w:sz w:val="18"/>
          <w:szCs w:val="18"/>
        </w:rPr>
        <w:t>HIS</w:t>
      </w:r>
      <w:r>
        <w:rPr>
          <w:color w:val="000000"/>
          <w:spacing w:val="0"/>
          <w:w w:val="100"/>
          <w:position w:val="0"/>
        </w:rPr>
        <w:t>系统功能覆盖广阔，从门诊、急诊、药房等服务管理、重症监护、 手术等医疗管理延伸至临床决策辅助，从家庭医生、远程会诊、一键转诊延伸至疾病预防与管理，实现线上线下服务一体化 以及医前、医中、医后服务一体化的双闭环；在信息互联互通方面，新一代智慧医疗一体化</w:t>
      </w:r>
      <w:r>
        <w:rPr>
          <w:rFonts w:ascii="Times New Roman" w:eastAsia="Times New Roman" w:hAnsi="Times New Roman" w:cs="Times New Roman"/>
          <w:color w:val="000000"/>
          <w:spacing w:val="0"/>
          <w:w w:val="100"/>
          <w:position w:val="0"/>
          <w:sz w:val="18"/>
          <w:szCs w:val="18"/>
        </w:rPr>
        <w:t>HIS</w:t>
      </w:r>
      <w:r>
        <w:rPr>
          <w:color w:val="000000"/>
          <w:spacing w:val="0"/>
          <w:w w:val="100"/>
          <w:position w:val="0"/>
        </w:rPr>
        <w:t>系统实现了各医疗机构内部 的横向整合和跨区域的纵向资源整合。一方面该项目通过云诊所、云社区、云医院三大服务平台横向整合资源，实现医疗机 构内部跨部门、跨学科的数据共享与协作；另一方面，在云计算中心的强大计算能力支持下，通过云协同服务平台纵向整合 区域内医疗资源，形成统一平台，打通各级医疗机构的外部壁垒，实现数据互联互通以及移动化的医疗信息服务。</w:t>
      </w:r>
    </w:p>
    <w:p>
      <w:pPr>
        <w:pStyle w:val="Style29"/>
        <w:keepNext w:val="0"/>
        <w:keepLines w:val="0"/>
        <w:widowControl w:val="0"/>
        <w:shd w:val="clear" w:color="auto" w:fill="auto"/>
        <w:bidi w:val="0"/>
        <w:spacing w:before="0" w:after="0"/>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：智慧养老综合服务平台及其智能物联云平台情况说明</w:t>
      </w:r>
    </w:p>
    <w:p>
      <w:pPr>
        <w:pStyle w:val="Style2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本项目建设内容为：基于智慧养老总体解决方案，研发智慧养老综合服务平台及其智能物联云平台项目，重点包括医养 结合服务管理云平台、长期护理保险综合信息管理云平台、社区综合为老服务云平台、居家护理机构管理云平台、养老机构 管理云平台、养老地产颐养社区管理云平台和智能物联云平台及其产品。其中，研发的智能物联产品涵盖智能监护设备、智 能安防监控设备、智能陪护设备三大产品线。</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智慧养老综合服务平台及其智能物联云平台项目的建设，面向政府、企业、社区、个人等主体，实现对现有智慧养老信 息化需求的全覆盖，建立面向政府全过程监督的监管平台、面向企业或社区高效的养老经营平台、面向老年人群的</w:t>
      </w:r>
      <w:r>
        <w:rPr>
          <w:rFonts w:ascii="Times New Roman" w:eastAsia="Times New Roman" w:hAnsi="Times New Roman" w:cs="Times New Roman"/>
          <w:color w:val="000000"/>
          <w:spacing w:val="0"/>
          <w:w w:val="100"/>
          <w:position w:val="0"/>
          <w:sz w:val="18"/>
          <w:szCs w:val="18"/>
        </w:rPr>
        <w:t>O2O</w:t>
      </w:r>
      <w:r>
        <w:rPr>
          <w:color w:val="000000"/>
          <w:spacing w:val="0"/>
          <w:w w:val="100"/>
          <w:position w:val="0"/>
        </w:rPr>
        <w:t>平台， 为老年人群提供功能丰富的智能监测、安防和看护等一站式的智慧养老服务，通过平台技术使得居家养老、社区养老成为可 能，解决养老服务资源不足、政府全过程监管、老年人群需求无法精准响应等众多社会问题，强化资源配置整合，提升机构 的服务管理效率，建立起有效的全程监控及服务网络，形成服务闭环和完整的服务生态体系，推动和促进整个智慧养老行业 的产业升级和发展。</w:t>
      </w:r>
    </w:p>
    <w:p>
      <w:pPr>
        <w:pStyle w:val="Style29"/>
        <w:keepNext w:val="0"/>
        <w:keepLines w:val="0"/>
        <w:widowControl w:val="0"/>
        <w:shd w:val="clear" w:color="auto" w:fill="auto"/>
        <w:bidi w:val="0"/>
        <w:spacing w:before="0" w:after="0" w:line="318" w:lineRule="exact"/>
        <w:ind w:left="0" w:right="0" w:firstLine="380"/>
        <w:jc w:val="both"/>
      </w:pPr>
      <w:r>
        <w:rPr>
          <w:color w:val="000000"/>
          <w:spacing w:val="0"/>
          <w:w w:val="100"/>
          <w:position w:val="0"/>
        </w:rPr>
        <w:t>智能物联云平台顺应“万物互联”的物联网发展趋势，将不同类型、场景、空间的智能物联设备通过智能物联云平台进 行数据的汇集和整合，对接智慧养老综合服务平台为社区、居家、机构等不同养老服务主体提供智能监测、安防和看护等服 务。</w:t>
      </w:r>
    </w:p>
    <w:p>
      <w:pPr>
        <w:pStyle w:val="Style29"/>
        <w:keepNext w:val="0"/>
        <w:keepLines w:val="0"/>
        <w:widowControl w:val="0"/>
        <w:shd w:val="clear" w:color="auto" w:fill="auto"/>
        <w:bidi w:val="0"/>
        <w:spacing w:before="0" w:after="380" w:line="318" w:lineRule="exact"/>
        <w:ind w:left="0" w:right="0" w:firstLine="380"/>
        <w:jc w:val="both"/>
      </w:pPr>
      <w:r>
        <w:rPr>
          <w:color w:val="000000"/>
          <w:spacing w:val="0"/>
          <w:w w:val="100"/>
          <w:position w:val="0"/>
        </w:rPr>
        <w:t>项目将依托公司目前所拥有的民生保障领域核心技术和成功经验，进行自主研发和集成创新，在行业信息系统的业务基 础上，研发智慧养老综合服务平台及其智能物联云平台，重点包括医养结合服务管理云平台、长期护理保险综合信息管理云 平台、社区综合为老服务云平台、居家护理机构管理云平台、养老机构管理云平台、养老地产颐养社区管理云平台和智能物 联云平台及其产品。</w:t>
      </w:r>
    </w:p>
    <w:tbl>
      <w:tblPr>
        <w:tblOverlap w:val="never"/>
        <w:jc w:val="center"/>
        <w:tblLayout w:type="fixed"/>
      </w:tblPr>
      <w:tblGrid>
        <w:gridCol w:w="3850"/>
        <w:gridCol w:w="1416"/>
        <w:gridCol w:w="3125"/>
        <w:gridCol w:w="1296"/>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资本化开始时点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资本化具体依据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期末研发进度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新一代智慧医疗一体化</w:t>
            </w:r>
            <w:r>
              <w:rPr>
                <w:rFonts w:ascii="Times New Roman" w:eastAsia="Times New Roman" w:hAnsi="Times New Roman" w:cs="Times New Roman"/>
                <w:color w:val="000000"/>
                <w:spacing w:val="0"/>
                <w:w w:val="100"/>
                <w:position w:val="0"/>
                <w:sz w:val="18"/>
                <w:szCs w:val="18"/>
              </w:rPr>
              <w:t>HIS</w:t>
            </w:r>
            <w:r>
              <w:rPr>
                <w:color w:val="000000"/>
                <w:spacing w:val="0"/>
                <w:w w:val="100"/>
                <w:position w:val="0"/>
                <w:sz w:val="17"/>
                <w:szCs w:val="17"/>
              </w:rPr>
              <w:t>服务平台及应用系统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已完成研究阶段工作，通过可行性研究， 并经董事会会议审批对项目进行立项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项目研发中</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智慧养老综合服务平台及其智能物联云平台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项目研发中</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未来城市智慧服务平台项目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日</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项目研发中</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企业人力资源数字化平台项目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日</w:t>
            </w:r>
          </w:p>
        </w:tc>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项目研发中</w:t>
            </w:r>
          </w:p>
        </w:tc>
      </w:tr>
    </w:tbl>
    <w:p>
      <w:pPr>
        <w:widowControl w:val="0"/>
        <w:spacing w:after="619" w:line="1" w:lineRule="exact"/>
      </w:pPr>
    </w:p>
    <w:p>
      <w:pPr>
        <w:pStyle w:val="Style33"/>
        <w:keepNext/>
        <w:keepLines/>
        <w:widowControl w:val="0"/>
        <w:shd w:val="clear" w:color="auto" w:fill="auto"/>
        <w:bidi w:val="0"/>
        <w:spacing w:before="0" w:after="380" w:line="240" w:lineRule="auto"/>
        <w:ind w:left="0" w:right="0" w:firstLine="0"/>
        <w:jc w:val="both"/>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5</w:t>
      </w:r>
      <w:bookmarkEnd w:id="188"/>
      <w:r>
        <w:rPr>
          <w:color w:val="000000"/>
          <w:spacing w:val="0"/>
          <w:w w:val="100"/>
          <w:position w:val="0"/>
        </w:rPr>
        <w:t>、现金流</w:t>
      </w:r>
      <w:bookmarkEnd w:id="186"/>
      <w:bookmarkEnd w:id="187"/>
      <w:bookmarkEnd w:id="18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34"/>
        <w:gridCol w:w="2270"/>
        <w:gridCol w:w="2270"/>
        <w:gridCol w:w="191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3,664,189,610.56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3,471,147,575.87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3,600,202,191.87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3,213,606221.29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63,987,418.69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257,541,354.58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-75.15%</w:t>
            </w:r>
          </w:p>
        </w:tc>
      </w:tr>
    </w:tbl>
    <w:tbl>
      <w:tblPr>
        <w:tblOverlap w:val="never"/>
        <w:jc w:val="center"/>
        <w:tblLayout w:type="fixed"/>
      </w:tblPr>
      <w:tblGrid>
        <w:gridCol w:w="3130"/>
        <w:gridCol w:w="2270"/>
        <w:gridCol w:w="2270"/>
        <w:gridCol w:w="192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29245,643.93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23,685,977.59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23.47%</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246,766,454.37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100,774,113.94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144.87%</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-217,520,810.44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-77,088,136.35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4,277,856,174.62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16.82%</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4,276,637,899.42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4,104,947219.58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1,218,275.20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-442,947,219.58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100.28%</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-152,395,892.22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-262,718,915.67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41.99%</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相关数据同比发生重大变动的主要影响因素说明</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tabs>
          <w:tab w:pos="699" w:val="left"/>
        </w:tabs>
        <w:bidi w:val="0"/>
        <w:spacing w:before="0" w:after="0" w:line="334" w:lineRule="exact"/>
        <w:ind w:left="0" w:right="0" w:firstLine="380"/>
        <w:jc w:val="both"/>
      </w:pPr>
      <w:bookmarkStart w:id="190" w:name="bookmark190"/>
      <w:r>
        <w:rPr>
          <w:rFonts w:ascii="Times New Roman" w:eastAsia="Times New Roman" w:hAnsi="Times New Roman" w:cs="Times New Roman"/>
          <w:color w:val="000000"/>
          <w:spacing w:val="0"/>
          <w:w w:val="100"/>
          <w:position w:val="0"/>
          <w:sz w:val="18"/>
          <w:szCs w:val="18"/>
        </w:rPr>
        <w:t>1</w:t>
      </w:r>
      <w:bookmarkEnd w:id="190"/>
      <w:r>
        <w:rPr>
          <w:color w:val="000000"/>
          <w:spacing w:val="0"/>
          <w:w w:val="100"/>
          <w:position w:val="0"/>
        </w:rPr>
        <w:t>、</w:t>
        <w:tab/>
        <w:t>经营活动产生的现金流量净额同比减少</w:t>
      </w:r>
      <w:r>
        <w:rPr>
          <w:rFonts w:ascii="Times New Roman" w:eastAsia="Times New Roman" w:hAnsi="Times New Roman" w:cs="Times New Roman"/>
          <w:color w:val="000000"/>
          <w:spacing w:val="0"/>
          <w:w w:val="100"/>
          <w:position w:val="0"/>
          <w:sz w:val="18"/>
          <w:szCs w:val="18"/>
        </w:rPr>
        <w:t>75.15%</w:t>
      </w:r>
      <w:r>
        <w:rPr>
          <w:color w:val="000000"/>
          <w:spacing w:val="0"/>
          <w:w w:val="100"/>
          <w:position w:val="0"/>
        </w:rPr>
        <w:t>，主要系购买商品、接受劳务支付的现金与支付给职工以及为职工支 付的现金增加所致。</w:t>
      </w:r>
    </w:p>
    <w:p>
      <w:pPr>
        <w:pStyle w:val="Style29"/>
        <w:keepNext w:val="0"/>
        <w:keepLines w:val="0"/>
        <w:widowControl w:val="0"/>
        <w:shd w:val="clear" w:color="auto" w:fill="auto"/>
        <w:tabs>
          <w:tab w:pos="694" w:val="left"/>
        </w:tabs>
        <w:bidi w:val="0"/>
        <w:spacing w:before="0" w:after="0" w:line="334" w:lineRule="exact"/>
        <w:ind w:left="0" w:right="0" w:firstLine="380"/>
        <w:jc w:val="both"/>
      </w:pPr>
      <w:bookmarkStart w:id="191" w:name="bookmark191"/>
      <w:r>
        <w:rPr>
          <w:rFonts w:ascii="Times New Roman" w:eastAsia="Times New Roman" w:hAnsi="Times New Roman" w:cs="Times New Roman"/>
          <w:color w:val="000000"/>
          <w:spacing w:val="0"/>
          <w:w w:val="100"/>
          <w:position w:val="0"/>
          <w:sz w:val="18"/>
          <w:szCs w:val="18"/>
        </w:rPr>
        <w:t>2</w:t>
      </w:r>
      <w:bookmarkEnd w:id="191"/>
      <w:r>
        <w:rPr>
          <w:color w:val="000000"/>
          <w:spacing w:val="0"/>
          <w:w w:val="100"/>
          <w:position w:val="0"/>
        </w:rPr>
        <w:t>、</w:t>
        <w:tab/>
        <w:t>投资活动产生的现金流量净额同比减少</w:t>
      </w:r>
      <w:r>
        <w:rPr>
          <w:rFonts w:ascii="Times New Roman" w:eastAsia="Times New Roman" w:hAnsi="Times New Roman" w:cs="Times New Roman"/>
          <w:color w:val="000000"/>
          <w:spacing w:val="0"/>
          <w:w w:val="100"/>
          <w:position w:val="0"/>
          <w:sz w:val="18"/>
          <w:szCs w:val="18"/>
        </w:rPr>
        <w:t>182.17%</w:t>
      </w:r>
      <w:r>
        <w:rPr>
          <w:color w:val="000000"/>
          <w:spacing w:val="0"/>
          <w:w w:val="100"/>
          <w:position w:val="0"/>
        </w:rPr>
        <w:t>，主要系公司资本化投入增加使得购建固定资产、无形资产和其他 长期资产支付的现金增加所致。</w:t>
      </w:r>
    </w:p>
    <w:p>
      <w:pPr>
        <w:pStyle w:val="Style29"/>
        <w:keepNext w:val="0"/>
        <w:keepLines w:val="0"/>
        <w:widowControl w:val="0"/>
        <w:shd w:val="clear" w:color="auto" w:fill="auto"/>
        <w:tabs>
          <w:tab w:pos="729" w:val="left"/>
        </w:tabs>
        <w:bidi w:val="0"/>
        <w:spacing w:before="0" w:after="380" w:line="334" w:lineRule="exact"/>
        <w:ind w:left="0" w:right="0" w:firstLine="380"/>
        <w:jc w:val="both"/>
      </w:pPr>
      <w:bookmarkStart w:id="192" w:name="bookmark192"/>
      <w:r>
        <w:rPr>
          <w:rFonts w:ascii="Times New Roman" w:eastAsia="Times New Roman" w:hAnsi="Times New Roman" w:cs="Times New Roman"/>
          <w:color w:val="000000"/>
          <w:spacing w:val="0"/>
          <w:w w:val="100"/>
          <w:position w:val="0"/>
          <w:sz w:val="18"/>
          <w:szCs w:val="18"/>
        </w:rPr>
        <w:t>3</w:t>
      </w:r>
      <w:bookmarkEnd w:id="192"/>
      <w:r>
        <w:rPr>
          <w:color w:val="000000"/>
          <w:spacing w:val="0"/>
          <w:w w:val="100"/>
          <w:position w:val="0"/>
        </w:rPr>
        <w:t>、</w:t>
        <w:tab/>
        <w:t>筹资活动产生的现金流量净额同比增加</w:t>
      </w:r>
      <w:r>
        <w:rPr>
          <w:rFonts w:ascii="Times New Roman" w:eastAsia="Times New Roman" w:hAnsi="Times New Roman" w:cs="Times New Roman"/>
          <w:color w:val="000000"/>
          <w:spacing w:val="0"/>
          <w:w w:val="100"/>
          <w:position w:val="0"/>
          <w:sz w:val="18"/>
          <w:szCs w:val="18"/>
        </w:rPr>
        <w:t>100.28%</w:t>
      </w:r>
      <w:r>
        <w:rPr>
          <w:color w:val="000000"/>
          <w:spacing w:val="0"/>
          <w:w w:val="100"/>
          <w:position w:val="0"/>
        </w:rPr>
        <w:t>，主要系银行贷款额净增加所致。</w:t>
      </w:r>
    </w:p>
    <w:p>
      <w:pPr>
        <w:pStyle w:val="Style29"/>
        <w:keepNext w:val="0"/>
        <w:keepLines w:val="0"/>
        <w:widowControl w:val="0"/>
        <w:shd w:val="clear" w:color="auto" w:fill="auto"/>
        <w:bidi w:val="0"/>
        <w:spacing w:before="0" w:after="0" w:line="323"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29"/>
        <w:keepNext w:val="0"/>
        <w:keepLines w:val="0"/>
        <w:widowControl w:val="0"/>
        <w:shd w:val="clear" w:color="auto" w:fill="auto"/>
        <w:bidi w:val="0"/>
        <w:spacing w:before="0" w:after="80" w:line="323"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报告期内，公司经营活动产生的现金净流量为</w:t>
      </w:r>
      <w:r>
        <w:rPr>
          <w:rFonts w:ascii="Times New Roman" w:eastAsia="Times New Roman" w:hAnsi="Times New Roman" w:cs="Times New Roman"/>
          <w:color w:val="000000"/>
          <w:spacing w:val="0"/>
          <w:w w:val="100"/>
          <w:position w:val="0"/>
          <w:sz w:val="18"/>
          <w:szCs w:val="18"/>
        </w:rPr>
        <w:t>6,398.74</w:t>
      </w:r>
      <w:r>
        <w:rPr>
          <w:color w:val="000000"/>
          <w:spacing w:val="0"/>
          <w:w w:val="100"/>
          <w:position w:val="0"/>
        </w:rPr>
        <w:t>万元，净利润为</w:t>
      </w:r>
      <w:r>
        <w:rPr>
          <w:rFonts w:ascii="Times New Roman" w:eastAsia="Times New Roman" w:hAnsi="Times New Roman" w:cs="Times New Roman"/>
          <w:color w:val="000000"/>
          <w:spacing w:val="0"/>
          <w:w w:val="100"/>
          <w:position w:val="0"/>
          <w:sz w:val="18"/>
          <w:szCs w:val="18"/>
        </w:rPr>
        <w:t>4,335.63</w:t>
      </w:r>
      <w:r>
        <w:rPr>
          <w:color w:val="000000"/>
          <w:spacing w:val="0"/>
          <w:w w:val="100"/>
          <w:position w:val="0"/>
        </w:rPr>
        <w:t>万元，差异金额为</w:t>
      </w:r>
      <w:r>
        <w:rPr>
          <w:rFonts w:ascii="Times New Roman" w:eastAsia="Times New Roman" w:hAnsi="Times New Roman" w:cs="Times New Roman"/>
          <w:color w:val="000000"/>
          <w:spacing w:val="0"/>
          <w:w w:val="100"/>
          <w:position w:val="0"/>
          <w:sz w:val="18"/>
          <w:szCs w:val="18"/>
        </w:rPr>
        <w:t>2,063.11</w:t>
      </w:r>
      <w:r>
        <w:rPr>
          <w:color w:val="000000"/>
          <w:spacing w:val="0"/>
          <w:w w:val="100"/>
          <w:position w:val="0"/>
        </w:rPr>
        <w:t>万元，主要原 因为：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）经营性应收、应付及存货变动等的影响，影响金额合计为人民币</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44,684.01</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）资产减值准备、固定资产折 旧、无形资产摊销、长期待摊费用摊销等非付现费用影响，影响金额合计为人民币</w:t>
      </w:r>
      <w:r>
        <w:rPr>
          <w:rFonts w:ascii="Times New Roman" w:eastAsia="Times New Roman" w:hAnsi="Times New Roman" w:cs="Times New Roman"/>
          <w:color w:val="000000"/>
          <w:spacing w:val="0"/>
          <w:w w:val="100"/>
          <w:position w:val="0"/>
          <w:sz w:val="18"/>
          <w:szCs w:val="18"/>
        </w:rPr>
        <w:t>37,139.83</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）财务费用主要系银行 借款产生的利息支出、对外投资产生的投资收益及公允价值变动损益，在编制现金流量表时不作为经营性活动反映，影响金 额合计为人民币</w:t>
      </w:r>
      <w:r>
        <w:rPr>
          <w:rFonts w:ascii="Times New Roman" w:eastAsia="Times New Roman" w:hAnsi="Times New Roman" w:cs="Times New Roman"/>
          <w:color w:val="000000"/>
          <w:spacing w:val="0"/>
          <w:w w:val="100"/>
          <w:position w:val="0"/>
          <w:sz w:val="18"/>
          <w:szCs w:val="18"/>
        </w:rPr>
        <w:t>9,607.29</w:t>
      </w:r>
      <w:r>
        <w:rPr>
          <w:color w:val="000000"/>
          <w:spacing w:val="0"/>
          <w:w w:val="100"/>
          <w:position w:val="0"/>
        </w:rPr>
        <w:t>万元。</w:t>
      </w:r>
    </w:p>
    <w:p>
      <w:pPr>
        <w:pStyle w:val="Style24"/>
        <w:keepNext/>
        <w:keepLines/>
        <w:widowControl w:val="0"/>
        <w:shd w:val="clear" w:color="auto" w:fill="auto"/>
        <w:tabs>
          <w:tab w:pos="572" w:val="left"/>
        </w:tabs>
        <w:bidi w:val="0"/>
        <w:spacing w:before="0" w:after="260" w:line="240" w:lineRule="auto"/>
        <w:ind w:left="0" w:right="0" w:firstLine="0"/>
        <w:jc w:val="left"/>
      </w:pPr>
      <w:bookmarkStart w:id="193" w:name="bookmark193"/>
      <w:bookmarkStart w:id="194" w:name="bookmark194"/>
      <w:bookmarkStart w:id="195" w:name="bookmark195"/>
      <w:bookmarkStart w:id="196" w:name="bookmark196"/>
      <w:r>
        <w:rPr>
          <w:color w:val="000000"/>
          <w:spacing w:val="0"/>
          <w:w w:val="100"/>
          <w:position w:val="0"/>
        </w:rPr>
        <w:t>五</w:t>
      </w:r>
      <w:bookmarkEnd w:id="195"/>
      <w:r>
        <w:rPr>
          <w:color w:val="000000"/>
          <w:spacing w:val="0"/>
          <w:w w:val="100"/>
          <w:position w:val="0"/>
        </w:rPr>
        <w:t>、</w:t>
        <w:tab/>
        <w:t>非主营业务情况</w:t>
      </w:r>
      <w:bookmarkEnd w:id="193"/>
      <w:bookmarkEnd w:id="194"/>
      <w:bookmarkEnd w:id="196"/>
    </w:p>
    <w:p>
      <w:pPr>
        <w:pStyle w:val="Style29"/>
        <w:keepNext w:val="0"/>
        <w:keepLines w:val="0"/>
        <w:widowControl w:val="0"/>
        <w:shd w:val="clear" w:color="auto" w:fill="auto"/>
        <w:bidi w:val="0"/>
        <w:spacing w:before="0" w:after="380" w:line="323"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72" w:val="left"/>
        </w:tabs>
        <w:bidi w:val="0"/>
        <w:spacing w:before="0" w:after="380" w:line="240" w:lineRule="auto"/>
        <w:ind w:left="0" w:right="0" w:firstLine="0"/>
        <w:jc w:val="left"/>
      </w:pPr>
      <w:bookmarkStart w:id="197" w:name="bookmark197"/>
      <w:bookmarkStart w:id="198" w:name="bookmark198"/>
      <w:bookmarkStart w:id="199" w:name="bookmark199"/>
      <w:bookmarkStart w:id="200" w:name="bookmark200"/>
      <w:r>
        <w:rPr>
          <w:color w:val="000000"/>
          <w:spacing w:val="0"/>
          <w:w w:val="100"/>
          <w:position w:val="0"/>
        </w:rPr>
        <w:t>六</w:t>
      </w:r>
      <w:bookmarkEnd w:id="199"/>
      <w:r>
        <w:rPr>
          <w:color w:val="000000"/>
          <w:spacing w:val="0"/>
          <w:w w:val="100"/>
          <w:position w:val="0"/>
        </w:rPr>
        <w:t>、</w:t>
        <w:tab/>
        <w:t>资产及负债状况分析</w:t>
      </w:r>
      <w:bookmarkEnd w:id="197"/>
      <w:bookmarkEnd w:id="198"/>
      <w:bookmarkEnd w:id="200"/>
    </w:p>
    <w:p>
      <w:pPr>
        <w:pStyle w:val="Style33"/>
        <w:keepNext/>
        <w:keepLines/>
        <w:widowControl w:val="0"/>
        <w:shd w:val="clear" w:color="auto" w:fill="auto"/>
        <w:bidi w:val="0"/>
        <w:spacing w:before="0" w:after="380" w:line="240" w:lineRule="auto"/>
        <w:ind w:left="0" w:right="0" w:firstLine="0"/>
        <w:jc w:val="left"/>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1</w:t>
      </w:r>
      <w:bookmarkEnd w:id="203"/>
      <w:r>
        <w:rPr>
          <w:color w:val="000000"/>
          <w:spacing w:val="0"/>
          <w:w w:val="100"/>
          <w:position w:val="0"/>
        </w:rPr>
        <w:t>、资产构成重大变动情况</w:t>
      </w:r>
      <w:bookmarkEnd w:id="201"/>
      <w:bookmarkEnd w:id="202"/>
      <w:bookmarkEnd w:id="20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848"/>
        <w:gridCol w:w="1282"/>
        <w:gridCol w:w="1699"/>
        <w:gridCol w:w="1272"/>
        <w:gridCol w:w="998"/>
        <w:gridCol w:w="1210"/>
      </w:tblGrid>
      <w:tr>
        <w:trPr>
          <w:trHeight w:val="41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年末</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年初</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比重增减</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重大变动说明</w:t>
            </w:r>
          </w:p>
        </w:tc>
      </w:tr>
      <w:tr>
        <w:trPr>
          <w:trHeight w:val="398"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占总资产比例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占总资产比例</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1,211,325,355.64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1,382,076,975.83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不适用</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632,523,425.79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689,423,679.05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不适用</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865,743,478.65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425,240,739.84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不适用</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854,228,733.94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771,132,165.58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1282"/>
        <w:gridCol w:w="1848"/>
        <w:gridCol w:w="1277"/>
        <w:gridCol w:w="1704"/>
        <w:gridCol w:w="1272"/>
        <w:gridCol w:w="998"/>
        <w:gridCol w:w="1210"/>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年末</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年初</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比重增减</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408"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占总资产比例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占总资产比例</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19,883,534.38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20,950,664.</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不适用</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70 2 30,361.11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57,523,872.73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不适用</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343,929,290.96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388,407,240.93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不适用</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2,828,754.81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3,289,746.12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68,302,420.75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72274288.41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2,916,405,514.88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2,806,755,768.43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不适用</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1,447,523,006.70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1,493,704,048.29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不适用</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219,273,945.84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33,019,832.22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不适用</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59,509,120.32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64,026,495.40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不适用</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境外资产占比较高</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68" w:val="left"/>
        </w:tabs>
        <w:bidi w:val="0"/>
        <w:spacing w:before="0" w:after="360" w:line="240" w:lineRule="auto"/>
        <w:ind w:left="0" w:right="0" w:firstLine="0"/>
        <w:jc w:val="left"/>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2</w:t>
      </w:r>
      <w:bookmarkEnd w:id="207"/>
      <w:r>
        <w:rPr>
          <w:color w:val="000000"/>
          <w:spacing w:val="0"/>
          <w:w w:val="100"/>
          <w:position w:val="0"/>
        </w:rPr>
        <w:t>、</w:t>
        <w:tab/>
        <w:t>以公允价值计量的资产和负债</w:t>
      </w:r>
      <w:bookmarkEnd w:id="205"/>
      <w:bookmarkEnd w:id="206"/>
      <w:bookmarkEnd w:id="208"/>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68" w:val="left"/>
        </w:tabs>
        <w:bidi w:val="0"/>
        <w:spacing w:before="0" w:after="360" w:line="240" w:lineRule="auto"/>
        <w:ind w:left="0" w:right="0" w:firstLine="0"/>
        <w:jc w:val="left"/>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3</w:t>
      </w:r>
      <w:bookmarkEnd w:id="211"/>
      <w:r>
        <w:rPr>
          <w:color w:val="000000"/>
          <w:spacing w:val="0"/>
          <w:w w:val="100"/>
          <w:position w:val="0"/>
        </w:rPr>
        <w:t>、</w:t>
        <w:tab/>
        <w:t>截至报告期末的资产权利受限情况</w:t>
      </w:r>
      <w:bookmarkEnd w:id="209"/>
      <w:bookmarkEnd w:id="210"/>
      <w:bookmarkEnd w:id="212"/>
    </w:p>
    <w:tbl>
      <w:tblPr>
        <w:tblOverlap w:val="never"/>
        <w:jc w:val="center"/>
        <w:tblLayout w:type="fixed"/>
      </w:tblPr>
      <w:tblGrid>
        <w:gridCol w:w="2808"/>
        <w:gridCol w:w="3134"/>
        <w:gridCol w:w="3586"/>
      </w:tblGrid>
      <w:tr>
        <w:trPr>
          <w:trHeight w:val="3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受限原因</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6,227,902.63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详见第十节财务报告七、</w:t>
            </w:r>
            <w:r>
              <w:rPr>
                <w:rFonts w:ascii="Times New Roman" w:eastAsia="Times New Roman" w:hAnsi="Times New Roman" w:cs="Times New Roman"/>
                <w:color w:val="000000"/>
                <w:spacing w:val="0"/>
                <w:w w:val="100"/>
                <w:position w:val="0"/>
                <w:sz w:val="18"/>
                <w:szCs w:val="18"/>
              </w:rPr>
              <w:t>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21,074,099.86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保函保证金</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27,302,002.49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359" w:line="1" w:lineRule="exact"/>
      </w:pPr>
    </w:p>
    <w:p>
      <w:pPr>
        <w:pStyle w:val="Style24"/>
        <w:keepNext/>
        <w:keepLines/>
        <w:widowControl w:val="0"/>
        <w:shd w:val="clear" w:color="auto" w:fill="auto"/>
        <w:bidi w:val="0"/>
        <w:spacing w:before="0" w:after="360" w:line="240" w:lineRule="auto"/>
        <w:ind w:left="0" w:right="0" w:firstLine="0"/>
        <w:jc w:val="left"/>
      </w:pPr>
      <w:bookmarkStart w:id="213" w:name="bookmark213"/>
      <w:bookmarkStart w:id="214" w:name="bookmark214"/>
      <w:bookmarkStart w:id="215" w:name="bookmark215"/>
      <w:bookmarkStart w:id="216" w:name="bookmark216"/>
      <w:r>
        <w:rPr>
          <w:color w:val="000000"/>
          <w:spacing w:val="0"/>
          <w:w w:val="100"/>
          <w:position w:val="0"/>
        </w:rPr>
        <w:t>七</w:t>
      </w:r>
      <w:bookmarkEnd w:id="215"/>
      <w:r>
        <w:rPr>
          <w:color w:val="000000"/>
          <w:spacing w:val="0"/>
          <w:w w:val="100"/>
          <w:position w:val="0"/>
        </w:rPr>
        <w:t>、投资状况分析</w:t>
      </w:r>
      <w:bookmarkEnd w:id="213"/>
      <w:bookmarkEnd w:id="214"/>
      <w:bookmarkEnd w:id="216"/>
    </w:p>
    <w:p>
      <w:pPr>
        <w:pStyle w:val="Style33"/>
        <w:keepNext/>
        <w:keepLines/>
        <w:widowControl w:val="0"/>
        <w:shd w:val="clear" w:color="auto" w:fill="auto"/>
        <w:bidi w:val="0"/>
        <w:spacing w:before="0" w:after="360" w:line="240" w:lineRule="auto"/>
        <w:ind w:left="0" w:right="0" w:firstLine="0"/>
        <w:jc w:val="left"/>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1</w:t>
      </w:r>
      <w:bookmarkEnd w:id="219"/>
      <w:r>
        <w:rPr>
          <w:color w:val="000000"/>
          <w:spacing w:val="0"/>
          <w:w w:val="100"/>
          <w:position w:val="0"/>
        </w:rPr>
        <w:t>、总体情况</w:t>
      </w:r>
      <w:bookmarkEnd w:id="217"/>
      <w:bookmarkEnd w:id="218"/>
      <w:bookmarkEnd w:id="220"/>
    </w:p>
    <w:p>
      <w:pPr>
        <w:pStyle w:val="Style2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rFonts w:ascii="SimSun" w:eastAsia="SimSun" w:hAnsi="SimSun" w:cs="SimSun"/>
          <w:color w:val="000000"/>
          <w:spacing w:val="0"/>
          <w:w w:val="100"/>
          <w:position w:val="0"/>
          <w:sz w:val="17"/>
          <w:szCs w:val="17"/>
        </w:rPr>
        <w:t>适用</w:t>
      </w:r>
      <w:r>
        <w:rPr>
          <w:rFonts w:ascii="SimSun" w:eastAsia="SimSun" w:hAnsi="SimSun" w:cs="SimSun"/>
          <w:color w:val="000000"/>
          <w:spacing w:val="0"/>
          <w:w w:val="100"/>
          <w:position w:val="0"/>
          <w:sz w:val="18"/>
          <w:szCs w:val="18"/>
        </w:rPr>
        <w:t>口</w:t>
      </w:r>
      <w:r>
        <w:rPr>
          <w:rFonts w:ascii="SimSun" w:eastAsia="SimSun" w:hAnsi="SimSun" w:cs="SimSun"/>
          <w:color w:val="000000"/>
          <w:spacing w:val="0"/>
          <w:w w:val="100"/>
          <w:position w:val="0"/>
          <w:sz w:val="17"/>
          <w:szCs w:val="17"/>
        </w:rPr>
        <w:t>不适用</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报告期投资额（元）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上年同期投资额（元）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变动幅度</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33,280,000.00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108,465,000.00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-69.32%</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221" w:name="bookmark221"/>
      <w:bookmarkStart w:id="222" w:name="bookmark222"/>
      <w:bookmarkStart w:id="223" w:name="bookmark223"/>
      <w:bookmarkStart w:id="224" w:name="bookmark224"/>
      <w:r>
        <w:rPr>
          <w:rFonts w:ascii="Times New Roman" w:eastAsia="Times New Roman" w:hAnsi="Times New Roman" w:cs="Times New Roman"/>
          <w:color w:val="000000"/>
          <w:spacing w:val="0"/>
          <w:w w:val="100"/>
          <w:position w:val="0"/>
        </w:rPr>
        <w:t>2</w:t>
      </w:r>
      <w:bookmarkEnd w:id="223"/>
      <w:r>
        <w:rPr>
          <w:color w:val="000000"/>
          <w:spacing w:val="0"/>
          <w:w w:val="100"/>
          <w:position w:val="0"/>
        </w:rPr>
        <w:t>、报告期内获取的重大的股权投资情况</w:t>
      </w:r>
      <w:bookmarkEnd w:id="221"/>
      <w:bookmarkEnd w:id="222"/>
      <w:bookmarkEnd w:id="224"/>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3"/>
        <w:keepNext/>
        <w:keepLines/>
        <w:widowControl w:val="0"/>
        <w:shd w:val="clear" w:color="auto" w:fill="auto"/>
        <w:tabs>
          <w:tab w:pos="368" w:val="left"/>
        </w:tabs>
        <w:bidi w:val="0"/>
        <w:spacing w:before="0" w:after="380" w:line="240" w:lineRule="auto"/>
        <w:ind w:left="0" w:right="0" w:firstLine="0"/>
        <w:jc w:val="both"/>
      </w:pPr>
      <w:bookmarkStart w:id="225" w:name="bookmark225"/>
      <w:bookmarkStart w:id="226" w:name="bookmark226"/>
      <w:bookmarkStart w:id="227" w:name="bookmark227"/>
      <w:bookmarkStart w:id="228" w:name="bookmark228"/>
      <w:r>
        <w:rPr>
          <w:rFonts w:ascii="Times New Roman" w:eastAsia="Times New Roman" w:hAnsi="Times New Roman" w:cs="Times New Roman"/>
          <w:color w:val="000000"/>
          <w:spacing w:val="0"/>
          <w:w w:val="100"/>
          <w:position w:val="0"/>
        </w:rPr>
        <w:t>3</w:t>
      </w:r>
      <w:bookmarkEnd w:id="227"/>
      <w:r>
        <w:rPr>
          <w:color w:val="000000"/>
          <w:spacing w:val="0"/>
          <w:w w:val="100"/>
          <w:position w:val="0"/>
        </w:rPr>
        <w:t>、</w:t>
        <w:tab/>
        <w:t>报告期内正在进行的重大的非股权投资情况</w:t>
      </w:r>
      <w:bookmarkEnd w:id="225"/>
      <w:bookmarkEnd w:id="226"/>
      <w:bookmarkEnd w:id="228"/>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68" w:val="left"/>
        </w:tabs>
        <w:bidi w:val="0"/>
        <w:spacing w:before="0" w:after="380" w:line="240" w:lineRule="auto"/>
        <w:ind w:left="0" w:right="0" w:firstLine="0"/>
        <w:jc w:val="both"/>
      </w:pPr>
      <w:bookmarkStart w:id="229" w:name="bookmark229"/>
      <w:bookmarkStart w:id="230" w:name="bookmark230"/>
      <w:bookmarkStart w:id="231" w:name="bookmark231"/>
      <w:bookmarkStart w:id="232" w:name="bookmark232"/>
      <w:r>
        <w:rPr>
          <w:rFonts w:ascii="Times New Roman" w:eastAsia="Times New Roman" w:hAnsi="Times New Roman" w:cs="Times New Roman"/>
          <w:color w:val="000000"/>
          <w:spacing w:val="0"/>
          <w:w w:val="100"/>
          <w:position w:val="0"/>
        </w:rPr>
        <w:t>4</w:t>
      </w:r>
      <w:bookmarkEnd w:id="231"/>
      <w:r>
        <w:rPr>
          <w:color w:val="000000"/>
          <w:spacing w:val="0"/>
          <w:w w:val="100"/>
          <w:position w:val="0"/>
        </w:rPr>
        <w:t>、</w:t>
        <w:tab/>
        <w:t>以公允价值计量的金融资产</w:t>
      </w:r>
      <w:bookmarkEnd w:id="229"/>
      <w:bookmarkEnd w:id="230"/>
      <w:bookmarkEnd w:id="232"/>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003"/>
        <w:gridCol w:w="1277"/>
        <w:gridCol w:w="1272"/>
        <w:gridCol w:w="1430"/>
        <w:gridCol w:w="706"/>
        <w:gridCol w:w="1277"/>
        <w:gridCol w:w="562"/>
        <w:gridCol w:w="1277"/>
        <w:gridCol w:w="787"/>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资产类别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初始投资成本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本期公允价值 变动损益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计入权益的累计 公允价值变动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 内购入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60" w:line="240" w:lineRule="auto"/>
              <w:ind w:left="0" w:right="0" w:firstLine="0"/>
              <w:jc w:val="center"/>
              <w:rPr>
                <w:sz w:val="17"/>
                <w:szCs w:val="17"/>
              </w:rPr>
            </w:pPr>
            <w:r>
              <w:rPr>
                <w:color w:val="000000"/>
                <w:spacing w:val="0"/>
                <w:w w:val="100"/>
                <w:position w:val="0"/>
                <w:sz w:val="17"/>
                <w:szCs w:val="17"/>
              </w:rPr>
              <w:t>报告期内</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售出金额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累计</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投资</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收益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期末金额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资金来源</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其他非流动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300,716,626.49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34,068,418.04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308,192,745.99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308,192,</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745.99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403,505,386.63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自有资金</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交易性金融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7,476,119.50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78,713.99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78,713.99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2,067,778.56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207,65</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5,487,054.93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自有资金</w:t>
            </w:r>
          </w:p>
        </w:tc>
      </w:tr>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308,192,745.99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34,147,132.03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102,867,474.13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2,067,778.56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207,65</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408,992,441.56</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233" w:name="bookmark233"/>
      <w:bookmarkStart w:id="234" w:name="bookmark234"/>
      <w:bookmarkStart w:id="235" w:name="bookmark235"/>
      <w:bookmarkStart w:id="236" w:name="bookmark236"/>
      <w:r>
        <w:rPr>
          <w:rFonts w:ascii="Times New Roman" w:eastAsia="Times New Roman" w:hAnsi="Times New Roman" w:cs="Times New Roman"/>
          <w:color w:val="000000"/>
          <w:spacing w:val="0"/>
          <w:w w:val="100"/>
          <w:position w:val="0"/>
        </w:rPr>
        <w:t>5</w:t>
      </w:r>
      <w:bookmarkEnd w:id="235"/>
      <w:r>
        <w:rPr>
          <w:color w:val="000000"/>
          <w:spacing w:val="0"/>
          <w:w w:val="100"/>
          <w:position w:val="0"/>
        </w:rPr>
        <w:t>、募集资金使用情况</w:t>
      </w:r>
      <w:bookmarkEnd w:id="233"/>
      <w:bookmarkEnd w:id="234"/>
      <w:bookmarkEnd w:id="236"/>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61"/>
        <w:keepNext/>
        <w:keepLines/>
        <w:widowControl w:val="0"/>
        <w:shd w:val="clear" w:color="auto" w:fill="auto"/>
        <w:bidi w:val="0"/>
        <w:spacing w:before="0" w:line="240" w:lineRule="auto"/>
        <w:ind w:left="0" w:right="0" w:firstLine="0"/>
        <w:jc w:val="both"/>
      </w:pPr>
      <w:bookmarkStart w:id="237" w:name="bookmark237"/>
      <w:bookmarkStart w:id="238" w:name="bookmark238"/>
      <w:bookmarkStart w:id="239" w:name="bookmark239"/>
      <w:bookmarkStart w:id="240" w:name="bookmark240"/>
      <w:r>
        <w:rPr>
          <w:color w:val="000000"/>
          <w:spacing w:val="0"/>
          <w:w w:val="100"/>
          <w:position w:val="0"/>
        </w:rPr>
        <w:t>（</w:t>
      </w:r>
      <w:bookmarkEnd w:id="239"/>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37"/>
      <w:bookmarkEnd w:id="238"/>
      <w:bookmarkEnd w:id="240"/>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8746" w:right="0" w:firstLine="0"/>
        <w:jc w:val="left"/>
        <w:rPr>
          <w:sz w:val="17"/>
          <w:szCs w:val="17"/>
        </w:rPr>
      </w:pPr>
      <w:r>
        <w:rPr>
          <w:rFonts w:ascii="SimSun" w:eastAsia="SimSun" w:hAnsi="SimSun" w:cs="SimSun"/>
          <w:color w:val="000000"/>
          <w:spacing w:val="0"/>
          <w:w w:val="100"/>
          <w:position w:val="0"/>
          <w:sz w:val="17"/>
          <w:szCs w:val="17"/>
        </w:rPr>
        <w:t>单位：万元</w:t>
      </w:r>
    </w:p>
    <w:tbl>
      <w:tblPr>
        <w:tblOverlap w:val="never"/>
        <w:jc w:val="center"/>
        <w:tblLayout w:type="fixed"/>
      </w:tblPr>
      <w:tblGrid>
        <w:gridCol w:w="878"/>
        <w:gridCol w:w="874"/>
        <w:gridCol w:w="874"/>
        <w:gridCol w:w="864"/>
        <w:gridCol w:w="883"/>
        <w:gridCol w:w="859"/>
        <w:gridCol w:w="883"/>
        <w:gridCol w:w="859"/>
        <w:gridCol w:w="869"/>
        <w:gridCol w:w="874"/>
        <w:gridCol w:w="874"/>
      </w:tblGrid>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募集年份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募集资金 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本期已使</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用募集资</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金总额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已累计使</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用募集资</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金总额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变更用途</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的募集资</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金总额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累计变更</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用途的募</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集资金总</w:t>
            </w:r>
          </w:p>
          <w:p>
            <w:pPr>
              <w:pStyle w:val="Style2"/>
              <w:keepNext w:val="0"/>
              <w:keepLines w:val="0"/>
              <w:widowControl w:val="0"/>
              <w:shd w:val="clear" w:color="auto" w:fill="auto"/>
              <w:bidi w:val="0"/>
              <w:spacing w:before="0" w:after="120" w:line="240" w:lineRule="auto"/>
              <w:ind w:left="0" w:right="0" w:firstLine="340"/>
              <w:jc w:val="left"/>
              <w:rPr>
                <w:sz w:val="17"/>
                <w:szCs w:val="17"/>
              </w:rPr>
            </w:pPr>
            <w:r>
              <w:rPr>
                <w:color w:val="000000"/>
                <w:spacing w:val="0"/>
                <w:w w:val="100"/>
                <w:position w:val="0"/>
                <w:sz w:val="17"/>
                <w:szCs w:val="17"/>
              </w:rPr>
              <w:t>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累计变更</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用途的募</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集资金总</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额比例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尚未使用</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募集资金</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5" w:lineRule="exact"/>
              <w:ind w:left="0" w:right="0" w:firstLine="0"/>
              <w:jc w:val="center"/>
              <w:rPr>
                <w:sz w:val="17"/>
                <w:szCs w:val="17"/>
              </w:rPr>
            </w:pPr>
            <w:r>
              <w:rPr>
                <w:color w:val="000000"/>
                <w:spacing w:val="0"/>
                <w:w w:val="100"/>
                <w:position w:val="0"/>
                <w:sz w:val="17"/>
                <w:szCs w:val="17"/>
              </w:rPr>
              <w:t>尚未使用 募集资金 用途及去 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闲置两年 以上募集 资金金额</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公开发行 可转债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12,610.13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69,848.04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专户存储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5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12,610.13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69,848.04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19,775.12</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募集资金总体使用情况说明</w:t>
            </w:r>
          </w:p>
        </w:tc>
      </w:tr>
      <w:tr>
        <w:trPr>
          <w:trHeight w:val="2170"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088" w:val="left"/>
              </w:tabs>
              <w:bidi w:val="0"/>
              <w:spacing w:before="0" w:after="140" w:line="240" w:lineRule="auto"/>
              <w:ind w:left="0" w:right="0" w:firstLine="0"/>
              <w:jc w:val="left"/>
              <w:rPr>
                <w:sz w:val="17"/>
                <w:szCs w:val="17"/>
              </w:rPr>
            </w:pPr>
            <w:r>
              <w:rPr>
                <w:color w:val="000000"/>
                <w:spacing w:val="0"/>
                <w:w w:val="100"/>
                <w:position w:val="0"/>
                <w:sz w:val="17"/>
                <w:szCs w:val="17"/>
              </w:rPr>
              <w:t>序号</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年度使用情况</w:t>
              <w:tab/>
              <w:t>使用金额（元）</w:t>
            </w:r>
          </w:p>
          <w:p>
            <w:pPr>
              <w:pStyle w:val="Style2"/>
              <w:keepNext w:val="0"/>
              <w:keepLines w:val="0"/>
              <w:widowControl w:val="0"/>
              <w:numPr>
                <w:ilvl w:val="0"/>
                <w:numId w:val="3"/>
              </w:numPr>
              <w:shd w:val="clear" w:color="auto" w:fill="auto"/>
              <w:tabs>
                <w:tab w:pos="398" w:val="left"/>
              </w:tabs>
              <w:bidi w:val="0"/>
              <w:spacing w:before="0" w:after="140" w:line="240" w:lineRule="auto"/>
              <w:ind w:left="0" w:right="0" w:firstLine="0"/>
              <w:jc w:val="left"/>
              <w:rPr>
                <w:sz w:val="18"/>
                <w:szCs w:val="18"/>
              </w:rPr>
            </w:pPr>
            <w:r>
              <w:rPr>
                <w:color w:val="000000"/>
                <w:spacing w:val="0"/>
                <w:w w:val="100"/>
                <w:position w:val="0"/>
                <w:sz w:val="17"/>
                <w:szCs w:val="17"/>
              </w:rPr>
              <w:t>募集资金净额</w:t>
            </w:r>
            <w:r>
              <w:rPr>
                <w:rFonts w:ascii="Times New Roman" w:eastAsia="Times New Roman" w:hAnsi="Times New Roman" w:cs="Times New Roman"/>
                <w:color w:val="000000"/>
                <w:spacing w:val="0"/>
                <w:w w:val="100"/>
                <w:position w:val="0"/>
                <w:sz w:val="18"/>
                <w:szCs w:val="18"/>
              </w:rPr>
              <w:t>1,187,030,000.00</w:t>
            </w:r>
          </w:p>
          <w:p>
            <w:pPr>
              <w:pStyle w:val="Style2"/>
              <w:keepNext w:val="0"/>
              <w:keepLines w:val="0"/>
              <w:widowControl w:val="0"/>
              <w:numPr>
                <w:ilvl w:val="0"/>
                <w:numId w:val="3"/>
              </w:numPr>
              <w:shd w:val="clear" w:color="auto" w:fill="auto"/>
              <w:tabs>
                <w:tab w:pos="422" w:val="left"/>
              </w:tabs>
              <w:bidi w:val="0"/>
              <w:spacing w:before="0" w:after="140" w:line="240" w:lineRule="auto"/>
              <w:ind w:left="0" w:right="0" w:firstLine="0"/>
              <w:jc w:val="left"/>
              <w:rPr>
                <w:sz w:val="18"/>
                <w:szCs w:val="18"/>
              </w:rPr>
            </w:pPr>
            <w:r>
              <w:rPr>
                <w:color w:val="000000"/>
                <w:spacing w:val="0"/>
                <w:w w:val="100"/>
                <w:position w:val="0"/>
                <w:sz w:val="17"/>
                <w:szCs w:val="17"/>
              </w:rPr>
              <w:t>减：</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年度置换前期自有资金投入金额</w:t>
            </w:r>
            <w:r>
              <w:rPr>
                <w:rFonts w:ascii="Times New Roman" w:eastAsia="Times New Roman" w:hAnsi="Times New Roman" w:cs="Times New Roman"/>
                <w:color w:val="000000"/>
                <w:spacing w:val="0"/>
                <w:w w:val="100"/>
                <w:position w:val="0"/>
                <w:sz w:val="18"/>
                <w:szCs w:val="18"/>
              </w:rPr>
              <w:t>50,478,705.32</w:t>
            </w:r>
          </w:p>
          <w:p>
            <w:pPr>
              <w:pStyle w:val="Style2"/>
              <w:keepNext w:val="0"/>
              <w:keepLines w:val="0"/>
              <w:widowControl w:val="0"/>
              <w:numPr>
                <w:ilvl w:val="0"/>
                <w:numId w:val="3"/>
              </w:numPr>
              <w:shd w:val="clear" w:color="auto" w:fill="auto"/>
              <w:tabs>
                <w:tab w:pos="413" w:val="left"/>
              </w:tabs>
              <w:bidi w:val="0"/>
              <w:spacing w:before="0" w:after="140" w:line="240" w:lineRule="auto"/>
              <w:ind w:left="0" w:right="0" w:firstLine="0"/>
              <w:jc w:val="left"/>
              <w:rPr>
                <w:sz w:val="18"/>
                <w:szCs w:val="18"/>
              </w:rPr>
            </w:pPr>
            <w:r>
              <w:rPr>
                <w:color w:val="000000"/>
                <w:spacing w:val="0"/>
                <w:w w:val="100"/>
                <w:position w:val="0"/>
                <w:sz w:val="17"/>
                <w:szCs w:val="17"/>
              </w:rPr>
              <w:t>减：</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年度新一代智慧医疗一体化</w:t>
            </w:r>
            <w:r>
              <w:rPr>
                <w:rFonts w:ascii="Times New Roman" w:eastAsia="Times New Roman" w:hAnsi="Times New Roman" w:cs="Times New Roman"/>
                <w:color w:val="000000"/>
                <w:spacing w:val="0"/>
                <w:w w:val="100"/>
                <w:position w:val="0"/>
                <w:sz w:val="18"/>
                <w:szCs w:val="18"/>
              </w:rPr>
              <w:t>HIS</w:t>
            </w:r>
            <w:r>
              <w:rPr>
                <w:color w:val="000000"/>
                <w:spacing w:val="0"/>
                <w:w w:val="100"/>
                <w:position w:val="0"/>
                <w:sz w:val="17"/>
                <w:szCs w:val="17"/>
              </w:rPr>
              <w:t>服务平台及应用系统项目投入</w:t>
            </w:r>
            <w:r>
              <w:rPr>
                <w:rFonts w:ascii="Times New Roman" w:eastAsia="Times New Roman" w:hAnsi="Times New Roman" w:cs="Times New Roman"/>
                <w:color w:val="000000"/>
                <w:spacing w:val="0"/>
                <w:w w:val="100"/>
                <w:position w:val="0"/>
                <w:sz w:val="18"/>
                <w:szCs w:val="18"/>
              </w:rPr>
              <w:t>106,825,262.98</w:t>
            </w:r>
          </w:p>
          <w:p>
            <w:pPr>
              <w:pStyle w:val="Style2"/>
              <w:keepNext w:val="0"/>
              <w:keepLines w:val="0"/>
              <w:widowControl w:val="0"/>
              <w:numPr>
                <w:ilvl w:val="0"/>
                <w:numId w:val="3"/>
              </w:numPr>
              <w:shd w:val="clear" w:color="auto" w:fill="auto"/>
              <w:tabs>
                <w:tab w:pos="422" w:val="left"/>
              </w:tabs>
              <w:bidi w:val="0"/>
              <w:spacing w:before="0" w:after="140" w:line="240" w:lineRule="auto"/>
              <w:ind w:left="0" w:right="0" w:firstLine="0"/>
              <w:jc w:val="left"/>
              <w:rPr>
                <w:sz w:val="18"/>
                <w:szCs w:val="18"/>
              </w:rPr>
            </w:pPr>
            <w:r>
              <w:rPr>
                <w:color w:val="000000"/>
                <w:spacing w:val="0"/>
                <w:w w:val="100"/>
                <w:position w:val="0"/>
                <w:sz w:val="17"/>
                <w:szCs w:val="17"/>
              </w:rPr>
              <w:t>减：</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年度智慧养老综合服务平台及其智能物联云平台项目投入</w:t>
            </w:r>
            <w:r>
              <w:rPr>
                <w:rFonts w:ascii="Times New Roman" w:eastAsia="Times New Roman" w:hAnsi="Times New Roman" w:cs="Times New Roman"/>
                <w:color w:val="000000"/>
                <w:spacing w:val="0"/>
                <w:w w:val="100"/>
                <w:position w:val="0"/>
                <w:sz w:val="18"/>
                <w:szCs w:val="18"/>
              </w:rPr>
              <w:t>75,326,628.79</w:t>
            </w:r>
          </w:p>
          <w:p>
            <w:pPr>
              <w:pStyle w:val="Style2"/>
              <w:keepNext w:val="0"/>
              <w:keepLines w:val="0"/>
              <w:widowControl w:val="0"/>
              <w:numPr>
                <w:ilvl w:val="0"/>
                <w:numId w:val="3"/>
              </w:numPr>
              <w:shd w:val="clear" w:color="auto" w:fill="auto"/>
              <w:tabs>
                <w:tab w:pos="413" w:val="left"/>
                <w:tab w:pos="3322" w:val="left"/>
              </w:tabs>
              <w:bidi w:val="0"/>
              <w:spacing w:before="0" w:after="140" w:line="240" w:lineRule="auto"/>
              <w:ind w:left="0" w:right="0" w:firstLine="0"/>
              <w:jc w:val="left"/>
              <w:rPr>
                <w:sz w:val="18"/>
                <w:szCs w:val="18"/>
              </w:rPr>
            </w:pPr>
            <w:r>
              <w:rPr>
                <w:color w:val="000000"/>
                <w:spacing w:val="0"/>
                <w:w w:val="100"/>
                <w:position w:val="0"/>
                <w:sz w:val="17"/>
                <w:szCs w:val="17"/>
              </w:rPr>
              <w:t>减：</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年度永久补充流动资金</w:t>
              <w:tab/>
            </w:r>
            <w:r>
              <w:rPr>
                <w:rFonts w:ascii="Times New Roman" w:eastAsia="Times New Roman" w:hAnsi="Times New Roman" w:cs="Times New Roman"/>
                <w:color w:val="000000"/>
                <w:spacing w:val="0"/>
                <w:w w:val="100"/>
                <w:position w:val="0"/>
                <w:sz w:val="18"/>
                <w:szCs w:val="18"/>
              </w:rPr>
              <w:t>300,000,000.00</w:t>
            </w:r>
          </w:p>
        </w:tc>
      </w:tr>
    </w:tbl>
    <w:p>
      <w:pPr>
        <w:pStyle w:val="Style29"/>
        <w:keepNext w:val="0"/>
        <w:keepLines w:val="0"/>
        <w:widowControl w:val="0"/>
        <w:numPr>
          <w:ilvl w:val="0"/>
          <w:numId w:val="5"/>
        </w:numPr>
        <w:pBdr>
          <w:top w:val="single" w:sz="4" w:space="0" w:color="auto"/>
          <w:left w:val="single" w:sz="4" w:space="0" w:color="auto"/>
          <w:bottom w:val="single" w:sz="4" w:space="0" w:color="auto"/>
          <w:right w:val="single" w:sz="4" w:space="0" w:color="auto"/>
        </w:pBdr>
        <w:shd w:val="clear" w:color="auto" w:fill="auto"/>
        <w:tabs>
          <w:tab w:pos="413" w:val="left"/>
        </w:tabs>
        <w:bidi w:val="0"/>
        <w:spacing w:before="0" w:after="140" w:line="240" w:lineRule="auto"/>
        <w:ind w:left="0" w:right="0" w:firstLine="0"/>
        <w:jc w:val="left"/>
        <w:rPr>
          <w:sz w:val="18"/>
          <w:szCs w:val="18"/>
        </w:rPr>
      </w:pPr>
      <w:bookmarkStart w:id="241" w:name="bookmark241"/>
      <w:bookmarkEnd w:id="241"/>
      <w:r>
        <w:rPr>
          <w:color w:val="000000"/>
          <w:spacing w:val="0"/>
          <w:w w:val="100"/>
          <w:position w:val="0"/>
          <w:sz w:val="17"/>
          <w:szCs w:val="17"/>
        </w:rPr>
        <w:t>减：</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年度支付银行账户手续费</w:t>
      </w:r>
      <w:r>
        <w:rPr>
          <w:rFonts w:ascii="Times New Roman" w:eastAsia="Times New Roman" w:hAnsi="Times New Roman" w:cs="Times New Roman"/>
          <w:color w:val="000000"/>
          <w:spacing w:val="0"/>
          <w:w w:val="100"/>
          <w:position w:val="0"/>
          <w:sz w:val="18"/>
          <w:szCs w:val="18"/>
        </w:rPr>
        <w:t>621.00</w:t>
      </w:r>
    </w:p>
    <w:p>
      <w:pPr>
        <w:pStyle w:val="Style66"/>
        <w:keepNext w:val="0"/>
        <w:keepLines w:val="0"/>
        <w:widowControl w:val="0"/>
        <w:numPr>
          <w:ilvl w:val="0"/>
          <w:numId w:val="5"/>
        </w:numPr>
        <w:pBdr>
          <w:top w:val="single" w:sz="4" w:space="0" w:color="auto"/>
          <w:left w:val="single" w:sz="4" w:space="0" w:color="auto"/>
          <w:bottom w:val="single" w:sz="4" w:space="0" w:color="auto"/>
          <w:right w:val="single" w:sz="4" w:space="0" w:color="auto"/>
        </w:pBdr>
        <w:shd w:val="clear" w:color="auto" w:fill="auto"/>
        <w:tabs>
          <w:tab w:pos="413" w:val="left"/>
        </w:tabs>
        <w:bidi w:val="0"/>
        <w:spacing w:before="0" w:line="240" w:lineRule="auto"/>
        <w:ind w:left="0" w:right="0" w:firstLine="0"/>
        <w:jc w:val="left"/>
      </w:pPr>
      <w:bookmarkStart w:id="242" w:name="bookmark242"/>
      <w:bookmarkEnd w:id="242"/>
      <w:r>
        <w:rPr>
          <w:rFonts w:ascii="SimSun" w:eastAsia="SimSun" w:hAnsi="SimSun" w:cs="SimSun"/>
          <w:color w:val="000000"/>
          <w:spacing w:val="0"/>
          <w:w w:val="100"/>
          <w:position w:val="0"/>
          <w:sz w:val="17"/>
          <w:szCs w:val="17"/>
        </w:rPr>
        <w:t>加：</w:t>
      </w:r>
      <w:r>
        <w:rPr>
          <w:color w:val="000000"/>
          <w:spacing w:val="0"/>
          <w:w w:val="100"/>
          <w:position w:val="0"/>
        </w:rPr>
        <w:t>2019</w:t>
      </w:r>
      <w:r>
        <w:rPr>
          <w:rFonts w:ascii="SimSun" w:eastAsia="SimSun" w:hAnsi="SimSun" w:cs="SimSun"/>
          <w:color w:val="000000"/>
          <w:spacing w:val="0"/>
          <w:w w:val="100"/>
          <w:position w:val="0"/>
          <w:sz w:val="17"/>
          <w:szCs w:val="17"/>
        </w:rPr>
        <w:t>年度收到募集资金存款利息</w:t>
      </w:r>
      <w:r>
        <w:rPr>
          <w:color w:val="000000"/>
          <w:spacing w:val="0"/>
          <w:w w:val="100"/>
          <w:position w:val="0"/>
        </w:rPr>
        <w:t>2,225,188.48</w:t>
      </w:r>
    </w:p>
    <w:p>
      <w:pPr>
        <w:pStyle w:val="Style66"/>
        <w:keepNext w:val="0"/>
        <w:keepLines w:val="0"/>
        <w:widowControl w:val="0"/>
        <w:numPr>
          <w:ilvl w:val="0"/>
          <w:numId w:val="5"/>
        </w:numPr>
        <w:pBdr>
          <w:top w:val="single" w:sz="4" w:space="0" w:color="auto"/>
          <w:left w:val="single" w:sz="4" w:space="0" w:color="auto"/>
          <w:bottom w:val="single" w:sz="4" w:space="0" w:color="auto"/>
          <w:right w:val="single" w:sz="4" w:space="0" w:color="auto"/>
        </w:pBdr>
        <w:shd w:val="clear" w:color="auto" w:fill="auto"/>
        <w:tabs>
          <w:tab w:pos="413" w:val="left"/>
          <w:tab w:pos="4469" w:val="right"/>
        </w:tabs>
        <w:bidi w:val="0"/>
        <w:spacing w:before="0" w:line="240" w:lineRule="auto"/>
        <w:ind w:left="0" w:right="0" w:firstLine="0"/>
        <w:jc w:val="left"/>
      </w:pPr>
      <w:bookmarkStart w:id="243" w:name="bookmark243"/>
      <w:bookmarkEnd w:id="243"/>
      <w:r>
        <w:rPr>
          <w:rFonts w:ascii="SimSun" w:eastAsia="SimSun" w:hAnsi="SimSun" w:cs="SimSun"/>
          <w:color w:val="000000"/>
          <w:spacing w:val="0"/>
          <w:w w:val="100"/>
          <w:position w:val="0"/>
          <w:sz w:val="17"/>
          <w:szCs w:val="17"/>
        </w:rPr>
        <w:t>减：</w:t>
      </w:r>
      <w:r>
        <w:rPr>
          <w:color w:val="000000"/>
          <w:spacing w:val="0"/>
          <w:w w:val="100"/>
          <w:position w:val="0"/>
        </w:rPr>
        <w:t>2019</w:t>
      </w:r>
      <w:r>
        <w:rPr>
          <w:rFonts w:ascii="SimSun" w:eastAsia="SimSun" w:hAnsi="SimSun" w:cs="SimSun"/>
          <w:color w:val="000000"/>
          <w:spacing w:val="0"/>
          <w:w w:val="100"/>
          <w:position w:val="0"/>
          <w:sz w:val="17"/>
          <w:szCs w:val="17"/>
        </w:rPr>
        <w:t>年度暂时补充流动资金</w:t>
        <w:tab/>
      </w:r>
      <w:r>
        <w:rPr>
          <w:color w:val="000000"/>
          <w:spacing w:val="0"/>
          <w:w w:val="100"/>
          <w:position w:val="0"/>
        </w:rPr>
        <w:t>300,000,000.00</w:t>
      </w:r>
    </w:p>
    <w:p>
      <w:pPr>
        <w:pStyle w:val="Style66"/>
        <w:keepNext w:val="0"/>
        <w:keepLines w:val="0"/>
        <w:widowControl w:val="0"/>
        <w:numPr>
          <w:ilvl w:val="0"/>
          <w:numId w:val="5"/>
        </w:numPr>
        <w:pBdr>
          <w:top w:val="single" w:sz="4" w:space="0" w:color="auto"/>
          <w:left w:val="single" w:sz="4" w:space="0" w:color="auto"/>
          <w:bottom w:val="single" w:sz="4" w:space="0" w:color="auto"/>
          <w:right w:val="single" w:sz="4" w:space="0" w:color="auto"/>
        </w:pBdr>
        <w:shd w:val="clear" w:color="auto" w:fill="auto"/>
        <w:tabs>
          <w:tab w:pos="413" w:val="left"/>
        </w:tabs>
        <w:bidi w:val="0"/>
        <w:spacing w:before="0" w:line="240" w:lineRule="auto"/>
        <w:ind w:left="0" w:right="0" w:firstLine="0"/>
        <w:jc w:val="left"/>
      </w:pPr>
      <w:bookmarkStart w:id="244" w:name="bookmark244"/>
      <w:bookmarkEnd w:id="244"/>
      <w:r>
        <w:rPr>
          <w:color w:val="000000"/>
          <w:spacing w:val="0"/>
          <w:w w:val="100"/>
          <w:position w:val="0"/>
        </w:rPr>
        <w:t>2019</w:t>
      </w:r>
      <w:r>
        <w:rPr>
          <w:rFonts w:ascii="SimSun" w:eastAsia="SimSun" w:hAnsi="SimSun" w:cs="SimSun"/>
          <w:color w:val="000000"/>
          <w:spacing w:val="0"/>
          <w:w w:val="100"/>
          <w:position w:val="0"/>
          <w:sz w:val="17"/>
          <w:szCs w:val="17"/>
        </w:rPr>
        <w:t>年</w:t>
      </w:r>
      <w:r>
        <w:rPr>
          <w:color w:val="000000"/>
          <w:spacing w:val="0"/>
          <w:w w:val="100"/>
          <w:position w:val="0"/>
        </w:rPr>
        <w:t>12</w:t>
      </w:r>
      <w:r>
        <w:rPr>
          <w:rFonts w:ascii="SimSun" w:eastAsia="SimSun" w:hAnsi="SimSun" w:cs="SimSun"/>
          <w:color w:val="000000"/>
          <w:spacing w:val="0"/>
          <w:w w:val="100"/>
          <w:position w:val="0"/>
          <w:sz w:val="17"/>
          <w:szCs w:val="17"/>
        </w:rPr>
        <w:t>月</w:t>
      </w:r>
      <w:r>
        <w:rPr>
          <w:color w:val="000000"/>
          <w:spacing w:val="0"/>
          <w:w w:val="100"/>
          <w:position w:val="0"/>
        </w:rPr>
        <w:t>31</w:t>
      </w:r>
      <w:r>
        <w:rPr>
          <w:rFonts w:ascii="SimSun" w:eastAsia="SimSun" w:hAnsi="SimSun" w:cs="SimSun"/>
          <w:color w:val="000000"/>
          <w:spacing w:val="0"/>
          <w:w w:val="100"/>
          <w:position w:val="0"/>
          <w:sz w:val="17"/>
          <w:szCs w:val="17"/>
        </w:rPr>
        <w:t>日募集资金专户余额</w:t>
      </w:r>
      <w:r>
        <w:rPr>
          <w:color w:val="000000"/>
          <w:spacing w:val="0"/>
          <w:w w:val="100"/>
          <w:position w:val="0"/>
        </w:rPr>
        <w:t>356,623,970.39</w:t>
      </w:r>
    </w:p>
    <w:p>
      <w:pPr>
        <w:pStyle w:val="Style29"/>
        <w:keepNext w:val="0"/>
        <w:keepLines w:val="0"/>
        <w:widowControl w:val="0"/>
        <w:numPr>
          <w:ilvl w:val="0"/>
          <w:numId w:val="5"/>
        </w:numPr>
        <w:pBdr>
          <w:top w:val="single" w:sz="4" w:space="0" w:color="auto"/>
          <w:left w:val="single" w:sz="4" w:space="0" w:color="auto"/>
          <w:bottom w:val="single" w:sz="4" w:space="0" w:color="auto"/>
          <w:right w:val="single" w:sz="4" w:space="0" w:color="auto"/>
        </w:pBdr>
        <w:shd w:val="clear" w:color="auto" w:fill="auto"/>
        <w:tabs>
          <w:tab w:pos="413" w:val="left"/>
        </w:tabs>
        <w:bidi w:val="0"/>
        <w:spacing w:before="0" w:after="140" w:line="240" w:lineRule="auto"/>
        <w:ind w:left="0" w:right="0" w:firstLine="0"/>
        <w:jc w:val="left"/>
        <w:rPr>
          <w:sz w:val="18"/>
          <w:szCs w:val="18"/>
        </w:rPr>
      </w:pPr>
      <w:bookmarkStart w:id="245" w:name="bookmark245"/>
      <w:bookmarkEnd w:id="245"/>
      <w:r>
        <w:rPr>
          <w:color w:val="000000"/>
          <w:spacing w:val="0"/>
          <w:w w:val="100"/>
          <w:position w:val="0"/>
          <w:sz w:val="17"/>
          <w:szCs w:val="17"/>
        </w:rPr>
        <w:t>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年度新一代智慧医疗一体化</w:t>
      </w:r>
      <w:r>
        <w:rPr>
          <w:rFonts w:ascii="Times New Roman" w:eastAsia="Times New Roman" w:hAnsi="Times New Roman" w:cs="Times New Roman"/>
          <w:color w:val="000000"/>
          <w:spacing w:val="0"/>
          <w:w w:val="100"/>
          <w:position w:val="0"/>
          <w:sz w:val="18"/>
          <w:szCs w:val="18"/>
        </w:rPr>
        <w:t>HIS</w:t>
      </w:r>
      <w:r>
        <w:rPr>
          <w:color w:val="000000"/>
          <w:spacing w:val="0"/>
          <w:w w:val="100"/>
          <w:position w:val="0"/>
          <w:sz w:val="17"/>
          <w:szCs w:val="17"/>
        </w:rPr>
        <w:t xml:space="preserve">服务平台及应用系统项目投入 </w:t>
      </w:r>
      <w:r>
        <w:rPr>
          <w:rFonts w:ascii="Times New Roman" w:eastAsia="Times New Roman" w:hAnsi="Times New Roman" w:cs="Times New Roman"/>
          <w:color w:val="000000"/>
          <w:spacing w:val="0"/>
          <w:w w:val="100"/>
          <w:position w:val="0"/>
          <w:sz w:val="18"/>
          <w:szCs w:val="18"/>
        </w:rPr>
        <w:t>35,657,594.47</w:t>
      </w:r>
    </w:p>
    <w:p>
      <w:pPr>
        <w:pStyle w:val="Style29"/>
        <w:keepNext w:val="0"/>
        <w:keepLines w:val="0"/>
        <w:widowControl w:val="0"/>
        <w:numPr>
          <w:ilvl w:val="0"/>
          <w:numId w:val="5"/>
        </w:numPr>
        <w:pBdr>
          <w:top w:val="single" w:sz="4" w:space="0" w:color="auto"/>
          <w:left w:val="single" w:sz="4" w:space="0" w:color="auto"/>
          <w:bottom w:val="single" w:sz="4" w:space="0" w:color="auto"/>
          <w:right w:val="single" w:sz="4" w:space="0" w:color="auto"/>
        </w:pBdr>
        <w:shd w:val="clear" w:color="auto" w:fill="auto"/>
        <w:tabs>
          <w:tab w:pos="413" w:val="left"/>
        </w:tabs>
        <w:bidi w:val="0"/>
        <w:spacing w:before="0" w:after="140" w:line="240" w:lineRule="auto"/>
        <w:ind w:left="0" w:right="0" w:firstLine="0"/>
        <w:jc w:val="left"/>
        <w:rPr>
          <w:sz w:val="18"/>
          <w:szCs w:val="18"/>
        </w:rPr>
      </w:pPr>
      <w:bookmarkStart w:id="246" w:name="bookmark246"/>
      <w:bookmarkEnd w:id="246"/>
      <w:r>
        <w:rPr>
          <w:color w:val="000000"/>
          <w:spacing w:val="0"/>
          <w:w w:val="100"/>
          <w:position w:val="0"/>
          <w:sz w:val="17"/>
          <w:szCs w:val="17"/>
        </w:rPr>
        <w:t>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年度智慧养老综合服务平台及其智能物联云平台项目投入</w:t>
      </w:r>
      <w:r>
        <w:rPr>
          <w:rFonts w:ascii="Times New Roman" w:eastAsia="Times New Roman" w:hAnsi="Times New Roman" w:cs="Times New Roman"/>
          <w:color w:val="000000"/>
          <w:spacing w:val="0"/>
          <w:w w:val="100"/>
          <w:position w:val="0"/>
          <w:sz w:val="18"/>
          <w:szCs w:val="18"/>
        </w:rPr>
        <w:t>4,091,003.84</w:t>
      </w:r>
    </w:p>
    <w:p>
      <w:pPr>
        <w:pStyle w:val="Style66"/>
        <w:keepNext w:val="0"/>
        <w:keepLines w:val="0"/>
        <w:widowControl w:val="0"/>
        <w:numPr>
          <w:ilvl w:val="0"/>
          <w:numId w:val="5"/>
        </w:numPr>
        <w:pBdr>
          <w:top w:val="single" w:sz="4" w:space="0" w:color="auto"/>
          <w:left w:val="single" w:sz="4" w:space="0" w:color="auto"/>
          <w:bottom w:val="single" w:sz="4" w:space="0" w:color="auto"/>
          <w:right w:val="single" w:sz="4" w:space="0" w:color="auto"/>
        </w:pBdr>
        <w:shd w:val="clear" w:color="auto" w:fill="auto"/>
        <w:tabs>
          <w:tab w:pos="413" w:val="left"/>
        </w:tabs>
        <w:bidi w:val="0"/>
        <w:spacing w:before="0" w:line="240" w:lineRule="auto"/>
        <w:ind w:left="0" w:right="0" w:firstLine="0"/>
        <w:jc w:val="left"/>
      </w:pPr>
      <w:bookmarkStart w:id="247" w:name="bookmark247"/>
      <w:bookmarkEnd w:id="247"/>
      <w:r>
        <w:rPr>
          <w:rFonts w:ascii="SimSun" w:eastAsia="SimSun" w:hAnsi="SimSun" w:cs="SimSun"/>
          <w:color w:val="000000"/>
          <w:spacing w:val="0"/>
          <w:w w:val="100"/>
          <w:position w:val="0"/>
          <w:sz w:val="17"/>
          <w:szCs w:val="17"/>
        </w:rPr>
        <w:t>减：</w:t>
      </w:r>
      <w:r>
        <w:rPr>
          <w:color w:val="000000"/>
          <w:spacing w:val="0"/>
          <w:w w:val="100"/>
          <w:position w:val="0"/>
        </w:rPr>
        <w:t>2020</w:t>
      </w:r>
      <w:r>
        <w:rPr>
          <w:rFonts w:ascii="SimSun" w:eastAsia="SimSun" w:hAnsi="SimSun" w:cs="SimSun"/>
          <w:color w:val="000000"/>
          <w:spacing w:val="0"/>
          <w:w w:val="100"/>
          <w:position w:val="0"/>
          <w:sz w:val="17"/>
          <w:szCs w:val="17"/>
        </w:rPr>
        <w:t>年度支付银行账户手续费</w:t>
      </w:r>
      <w:r>
        <w:rPr>
          <w:color w:val="000000"/>
          <w:spacing w:val="0"/>
          <w:w w:val="100"/>
          <w:position w:val="0"/>
        </w:rPr>
        <w:t>668.00</w:t>
      </w:r>
    </w:p>
    <w:p>
      <w:pPr>
        <w:pStyle w:val="Style66"/>
        <w:keepNext w:val="0"/>
        <w:keepLines w:val="0"/>
        <w:widowControl w:val="0"/>
        <w:numPr>
          <w:ilvl w:val="0"/>
          <w:numId w:val="5"/>
        </w:numPr>
        <w:pBdr>
          <w:top w:val="single" w:sz="4" w:space="0" w:color="auto"/>
          <w:left w:val="single" w:sz="4" w:space="0" w:color="auto"/>
          <w:bottom w:val="single" w:sz="4" w:space="0" w:color="auto"/>
          <w:right w:val="single" w:sz="4" w:space="0" w:color="auto"/>
        </w:pBdr>
        <w:shd w:val="clear" w:color="auto" w:fill="auto"/>
        <w:tabs>
          <w:tab w:pos="413" w:val="left"/>
        </w:tabs>
        <w:bidi w:val="0"/>
        <w:spacing w:before="0" w:line="240" w:lineRule="auto"/>
        <w:ind w:left="0" w:right="0" w:firstLine="0"/>
        <w:jc w:val="left"/>
      </w:pPr>
      <w:bookmarkStart w:id="248" w:name="bookmark248"/>
      <w:bookmarkEnd w:id="248"/>
      <w:r>
        <w:rPr>
          <w:rFonts w:ascii="SimSun" w:eastAsia="SimSun" w:hAnsi="SimSun" w:cs="SimSun"/>
          <w:color w:val="000000"/>
          <w:spacing w:val="0"/>
          <w:w w:val="100"/>
          <w:position w:val="0"/>
          <w:sz w:val="17"/>
          <w:szCs w:val="17"/>
        </w:rPr>
        <w:t>加：</w:t>
      </w:r>
      <w:r>
        <w:rPr>
          <w:color w:val="000000"/>
          <w:spacing w:val="0"/>
          <w:w w:val="100"/>
          <w:position w:val="0"/>
        </w:rPr>
        <w:t>2020</w:t>
      </w:r>
      <w:r>
        <w:rPr>
          <w:rFonts w:ascii="SimSun" w:eastAsia="SimSun" w:hAnsi="SimSun" w:cs="SimSun"/>
          <w:color w:val="000000"/>
          <w:spacing w:val="0"/>
          <w:w w:val="100"/>
          <w:position w:val="0"/>
          <w:sz w:val="17"/>
          <w:szCs w:val="17"/>
        </w:rPr>
        <w:t>年度归还暂时补充流动资金</w:t>
      </w:r>
      <w:r>
        <w:rPr>
          <w:color w:val="000000"/>
          <w:spacing w:val="0"/>
          <w:w w:val="100"/>
          <w:position w:val="0"/>
        </w:rPr>
        <w:t>300,000,000.00</w:t>
      </w:r>
    </w:p>
    <w:p>
      <w:pPr>
        <w:pStyle w:val="Style66"/>
        <w:keepNext w:val="0"/>
        <w:keepLines w:val="0"/>
        <w:widowControl w:val="0"/>
        <w:numPr>
          <w:ilvl w:val="0"/>
          <w:numId w:val="5"/>
        </w:numPr>
        <w:pBdr>
          <w:top w:val="single" w:sz="4" w:space="0" w:color="auto"/>
          <w:left w:val="single" w:sz="4" w:space="0" w:color="auto"/>
          <w:bottom w:val="single" w:sz="4" w:space="0" w:color="auto"/>
          <w:right w:val="single" w:sz="4" w:space="0" w:color="auto"/>
        </w:pBdr>
        <w:shd w:val="clear" w:color="auto" w:fill="auto"/>
        <w:tabs>
          <w:tab w:pos="413" w:val="left"/>
          <w:tab w:pos="3331" w:val="left"/>
        </w:tabs>
        <w:bidi w:val="0"/>
        <w:spacing w:before="0" w:line="240" w:lineRule="auto"/>
        <w:ind w:left="0" w:right="0" w:firstLine="0"/>
        <w:jc w:val="left"/>
      </w:pPr>
      <w:bookmarkStart w:id="249" w:name="bookmark249"/>
      <w:bookmarkEnd w:id="249"/>
      <w:r>
        <w:rPr>
          <w:rFonts w:ascii="SimSun" w:eastAsia="SimSun" w:hAnsi="SimSun" w:cs="SimSun"/>
          <w:color w:val="000000"/>
          <w:spacing w:val="0"/>
          <w:w w:val="100"/>
          <w:position w:val="0"/>
          <w:sz w:val="17"/>
          <w:szCs w:val="17"/>
        </w:rPr>
        <w:t>减：</w:t>
      </w:r>
      <w:r>
        <w:rPr>
          <w:color w:val="000000"/>
          <w:spacing w:val="0"/>
          <w:w w:val="100"/>
          <w:position w:val="0"/>
        </w:rPr>
        <w:t>2020</w:t>
      </w:r>
      <w:r>
        <w:rPr>
          <w:rFonts w:ascii="SimSun" w:eastAsia="SimSun" w:hAnsi="SimSun" w:cs="SimSun"/>
          <w:color w:val="000000"/>
          <w:spacing w:val="0"/>
          <w:w w:val="100"/>
          <w:position w:val="0"/>
          <w:sz w:val="17"/>
          <w:szCs w:val="17"/>
        </w:rPr>
        <w:t>年度暂时补充流动资金</w:t>
        <w:tab/>
      </w:r>
      <w:r>
        <w:rPr>
          <w:color w:val="000000"/>
          <w:spacing w:val="0"/>
          <w:w w:val="100"/>
          <w:position w:val="0"/>
        </w:rPr>
        <w:t>300,000,000.00</w:t>
      </w:r>
    </w:p>
    <w:p>
      <w:pPr>
        <w:pStyle w:val="Style66"/>
        <w:keepNext w:val="0"/>
        <w:keepLines w:val="0"/>
        <w:widowControl w:val="0"/>
        <w:numPr>
          <w:ilvl w:val="0"/>
          <w:numId w:val="5"/>
        </w:numPr>
        <w:pBdr>
          <w:top w:val="single" w:sz="4" w:space="0" w:color="auto"/>
          <w:left w:val="single" w:sz="4" w:space="0" w:color="auto"/>
          <w:bottom w:val="single" w:sz="4" w:space="0" w:color="auto"/>
          <w:right w:val="single" w:sz="4" w:space="0" w:color="auto"/>
        </w:pBdr>
        <w:shd w:val="clear" w:color="auto" w:fill="auto"/>
        <w:tabs>
          <w:tab w:pos="413" w:val="left"/>
          <w:tab w:pos="3331" w:val="left"/>
        </w:tabs>
        <w:bidi w:val="0"/>
        <w:spacing w:before="0" w:line="240" w:lineRule="auto"/>
        <w:ind w:left="0" w:right="0" w:firstLine="0"/>
        <w:jc w:val="left"/>
      </w:pPr>
      <w:bookmarkStart w:id="250" w:name="bookmark250"/>
      <w:bookmarkEnd w:id="250"/>
      <w:r>
        <w:rPr>
          <w:rFonts w:ascii="SimSun" w:eastAsia="SimSun" w:hAnsi="SimSun" w:cs="SimSun"/>
          <w:color w:val="000000"/>
          <w:spacing w:val="0"/>
          <w:w w:val="100"/>
          <w:position w:val="0"/>
          <w:sz w:val="17"/>
          <w:szCs w:val="17"/>
        </w:rPr>
        <w:t>减：</w:t>
      </w:r>
      <w:r>
        <w:rPr>
          <w:color w:val="000000"/>
          <w:spacing w:val="0"/>
          <w:w w:val="100"/>
          <w:position w:val="0"/>
        </w:rPr>
        <w:t>2020</w:t>
      </w:r>
      <w:r>
        <w:rPr>
          <w:rFonts w:ascii="SimSun" w:eastAsia="SimSun" w:hAnsi="SimSun" w:cs="SimSun"/>
          <w:color w:val="000000"/>
          <w:spacing w:val="0"/>
          <w:w w:val="100"/>
          <w:position w:val="0"/>
          <w:sz w:val="17"/>
          <w:szCs w:val="17"/>
        </w:rPr>
        <w:t>年度永久补充流动资金</w:t>
        <w:tab/>
      </w:r>
      <w:r>
        <w:rPr>
          <w:color w:val="000000"/>
          <w:spacing w:val="0"/>
          <w:w w:val="100"/>
          <w:position w:val="0"/>
        </w:rPr>
        <w:t>8,727.76</w:t>
      </w:r>
    </w:p>
    <w:p>
      <w:pPr>
        <w:pStyle w:val="Style66"/>
        <w:keepNext w:val="0"/>
        <w:keepLines w:val="0"/>
        <w:widowControl w:val="0"/>
        <w:numPr>
          <w:ilvl w:val="0"/>
          <w:numId w:val="5"/>
        </w:numPr>
        <w:pBdr>
          <w:top w:val="single" w:sz="4" w:space="0" w:color="auto"/>
          <w:left w:val="single" w:sz="4" w:space="0" w:color="auto"/>
          <w:bottom w:val="single" w:sz="4" w:space="0" w:color="auto"/>
          <w:right w:val="single" w:sz="4" w:space="0" w:color="auto"/>
        </w:pBdr>
        <w:shd w:val="clear" w:color="auto" w:fill="auto"/>
        <w:tabs>
          <w:tab w:pos="413" w:val="left"/>
        </w:tabs>
        <w:bidi w:val="0"/>
        <w:spacing w:before="0" w:line="240" w:lineRule="auto"/>
        <w:ind w:left="0" w:right="0" w:firstLine="0"/>
        <w:jc w:val="left"/>
      </w:pPr>
      <w:bookmarkStart w:id="251" w:name="bookmark251"/>
      <w:bookmarkEnd w:id="251"/>
      <w:r>
        <w:rPr>
          <w:rFonts w:ascii="SimSun" w:eastAsia="SimSun" w:hAnsi="SimSun" w:cs="SimSun"/>
          <w:color w:val="000000"/>
          <w:spacing w:val="0"/>
          <w:w w:val="100"/>
          <w:position w:val="0"/>
          <w:sz w:val="17"/>
          <w:szCs w:val="17"/>
        </w:rPr>
        <w:t>加：</w:t>
      </w:r>
      <w:r>
        <w:rPr>
          <w:color w:val="000000"/>
          <w:spacing w:val="0"/>
          <w:w w:val="100"/>
          <w:position w:val="0"/>
        </w:rPr>
        <w:t>2020</w:t>
      </w:r>
      <w:r>
        <w:rPr>
          <w:rFonts w:ascii="SimSun" w:eastAsia="SimSun" w:hAnsi="SimSun" w:cs="SimSun"/>
          <w:color w:val="000000"/>
          <w:spacing w:val="0"/>
          <w:w w:val="100"/>
          <w:position w:val="0"/>
          <w:sz w:val="17"/>
          <w:szCs w:val="17"/>
        </w:rPr>
        <w:t>年度收到募集资金存款利息</w:t>
      </w:r>
      <w:r>
        <w:rPr>
          <w:color w:val="000000"/>
          <w:spacing w:val="0"/>
          <w:w w:val="100"/>
          <w:position w:val="0"/>
        </w:rPr>
        <w:t>3,391,644.08</w:t>
      </w:r>
    </w:p>
    <w:p>
      <w:pPr>
        <w:pStyle w:val="Style66"/>
        <w:keepNext w:val="0"/>
        <w:keepLines w:val="0"/>
        <w:widowControl w:val="0"/>
        <w:numPr>
          <w:ilvl w:val="0"/>
          <w:numId w:val="5"/>
        </w:numPr>
        <w:pBdr>
          <w:top w:val="single" w:sz="4" w:space="0" w:color="auto"/>
          <w:left w:val="single" w:sz="4" w:space="0" w:color="auto"/>
          <w:bottom w:val="single" w:sz="4" w:space="0" w:color="auto"/>
          <w:right w:val="single" w:sz="4" w:space="0" w:color="auto"/>
        </w:pBdr>
        <w:shd w:val="clear" w:color="auto" w:fill="auto"/>
        <w:tabs>
          <w:tab w:pos="413" w:val="left"/>
        </w:tabs>
        <w:bidi w:val="0"/>
        <w:spacing w:before="0" w:line="240" w:lineRule="auto"/>
        <w:ind w:left="0" w:right="0" w:firstLine="0"/>
        <w:jc w:val="left"/>
      </w:pPr>
      <w:bookmarkStart w:id="252" w:name="bookmark252"/>
      <w:bookmarkEnd w:id="252"/>
      <w:r>
        <w:rPr>
          <w:color w:val="000000"/>
          <w:spacing w:val="0"/>
          <w:w w:val="100"/>
          <w:position w:val="0"/>
        </w:rPr>
        <w:t>2020</w:t>
      </w:r>
      <w:r>
        <w:rPr>
          <w:rFonts w:ascii="SimSun" w:eastAsia="SimSun" w:hAnsi="SimSun" w:cs="SimSun"/>
          <w:color w:val="000000"/>
          <w:spacing w:val="0"/>
          <w:w w:val="100"/>
          <w:position w:val="0"/>
          <w:sz w:val="17"/>
          <w:szCs w:val="17"/>
        </w:rPr>
        <w:t>年</w:t>
      </w:r>
      <w:r>
        <w:rPr>
          <w:color w:val="000000"/>
          <w:spacing w:val="0"/>
          <w:w w:val="100"/>
          <w:position w:val="0"/>
        </w:rPr>
        <w:t>12</w:t>
      </w:r>
      <w:r>
        <w:rPr>
          <w:rFonts w:ascii="SimSun" w:eastAsia="SimSun" w:hAnsi="SimSun" w:cs="SimSun"/>
          <w:color w:val="000000"/>
          <w:spacing w:val="0"/>
          <w:w w:val="100"/>
          <w:position w:val="0"/>
          <w:sz w:val="17"/>
          <w:szCs w:val="17"/>
        </w:rPr>
        <w:t>月</w:t>
      </w:r>
      <w:r>
        <w:rPr>
          <w:color w:val="000000"/>
          <w:spacing w:val="0"/>
          <w:w w:val="100"/>
          <w:position w:val="0"/>
        </w:rPr>
        <w:t>31</w:t>
      </w:r>
      <w:r>
        <w:rPr>
          <w:rFonts w:ascii="SimSun" w:eastAsia="SimSun" w:hAnsi="SimSun" w:cs="SimSun"/>
          <w:color w:val="000000"/>
          <w:spacing w:val="0"/>
          <w:w w:val="100"/>
          <w:position w:val="0"/>
          <w:sz w:val="17"/>
          <w:szCs w:val="17"/>
        </w:rPr>
        <w:t xml:space="preserve">日未使用募集资金余额 </w:t>
      </w:r>
      <w:r>
        <w:rPr>
          <w:color w:val="000000"/>
          <w:spacing w:val="0"/>
          <w:w w:val="100"/>
          <w:position w:val="0"/>
        </w:rPr>
        <w:t>320,257,620.40</w:t>
      </w:r>
    </w:p>
    <w:p>
      <w:pPr>
        <w:pStyle w:val="Style66"/>
        <w:keepNext w:val="0"/>
        <w:keepLines w:val="0"/>
        <w:widowControl w:val="0"/>
        <w:numPr>
          <w:ilvl w:val="0"/>
          <w:numId w:val="5"/>
        </w:numPr>
        <w:pBdr>
          <w:top w:val="single" w:sz="4" w:space="0" w:color="auto"/>
          <w:left w:val="single" w:sz="4" w:space="0" w:color="auto"/>
          <w:bottom w:val="single" w:sz="4" w:space="0" w:color="auto"/>
          <w:right w:val="single" w:sz="4" w:space="0" w:color="auto"/>
        </w:pBdr>
        <w:shd w:val="clear" w:color="auto" w:fill="auto"/>
        <w:tabs>
          <w:tab w:pos="413" w:val="left"/>
          <w:tab w:pos="2909" w:val="left"/>
        </w:tabs>
        <w:bidi w:val="0"/>
        <w:spacing w:before="0" w:line="240" w:lineRule="auto"/>
        <w:ind w:left="0" w:right="0" w:firstLine="0"/>
        <w:jc w:val="left"/>
      </w:pPr>
      <w:bookmarkStart w:id="253" w:name="bookmark253"/>
      <w:bookmarkEnd w:id="253"/>
      <w:r>
        <w:rPr>
          <w:rFonts w:ascii="SimSun" w:eastAsia="SimSun" w:hAnsi="SimSun" w:cs="SimSun"/>
          <w:color w:val="000000"/>
          <w:spacing w:val="0"/>
          <w:w w:val="100"/>
          <w:position w:val="0"/>
          <w:sz w:val="17"/>
          <w:szCs w:val="17"/>
        </w:rPr>
        <w:t>加：收到募集资金存款利息</w:t>
        <w:tab/>
      </w:r>
      <w:r>
        <w:rPr>
          <w:color w:val="000000"/>
          <w:spacing w:val="0"/>
          <w:w w:val="100"/>
          <w:position w:val="0"/>
        </w:rPr>
        <w:t>3,595,286.56</w:t>
      </w:r>
    </w:p>
    <w:p>
      <w:pPr>
        <w:pStyle w:val="Style66"/>
        <w:keepNext w:val="0"/>
        <w:keepLines w:val="0"/>
        <w:widowControl w:val="0"/>
        <w:numPr>
          <w:ilvl w:val="0"/>
          <w:numId w:val="5"/>
        </w:numPr>
        <w:pBdr>
          <w:top w:val="single" w:sz="4" w:space="0" w:color="auto"/>
          <w:left w:val="single" w:sz="4" w:space="0" w:color="auto"/>
          <w:bottom w:val="single" w:sz="4" w:space="0" w:color="auto"/>
          <w:right w:val="single" w:sz="4" w:space="0" w:color="auto"/>
        </w:pBdr>
        <w:shd w:val="clear" w:color="auto" w:fill="auto"/>
        <w:tabs>
          <w:tab w:pos="413" w:val="left"/>
        </w:tabs>
        <w:bidi w:val="0"/>
        <w:spacing w:before="0" w:line="240" w:lineRule="auto"/>
        <w:ind w:left="0" w:right="0" w:firstLine="0"/>
        <w:jc w:val="left"/>
      </w:pPr>
      <w:bookmarkStart w:id="254" w:name="bookmark254"/>
      <w:bookmarkEnd w:id="254"/>
      <w:r>
        <w:rPr>
          <w:rFonts w:ascii="SimSun" w:eastAsia="SimSun" w:hAnsi="SimSun" w:cs="SimSun"/>
          <w:color w:val="000000"/>
          <w:spacing w:val="0"/>
          <w:w w:val="100"/>
          <w:position w:val="0"/>
          <w:sz w:val="17"/>
          <w:szCs w:val="17"/>
        </w:rPr>
        <w:t>减：新一代智慧医疗</w:t>
      </w:r>
      <w:r>
        <w:rPr>
          <w:color w:val="000000"/>
          <w:spacing w:val="0"/>
          <w:w w:val="100"/>
          <w:position w:val="0"/>
        </w:rPr>
        <w:t>HIS</w:t>
      </w:r>
      <w:r>
        <w:rPr>
          <w:rFonts w:ascii="SimSun" w:eastAsia="SimSun" w:hAnsi="SimSun" w:cs="SimSun"/>
          <w:color w:val="000000"/>
          <w:spacing w:val="0"/>
          <w:w w:val="100"/>
          <w:position w:val="0"/>
          <w:sz w:val="17"/>
          <w:szCs w:val="17"/>
        </w:rPr>
        <w:t>平台</w:t>
      </w:r>
      <w:r>
        <w:rPr>
          <w:color w:val="000000"/>
          <w:spacing w:val="0"/>
          <w:w w:val="100"/>
          <w:position w:val="0"/>
        </w:rPr>
        <w:t>75,175,268.23</w:t>
      </w:r>
    </w:p>
    <w:p>
      <w:pPr>
        <w:pStyle w:val="Style66"/>
        <w:keepNext w:val="0"/>
        <w:keepLines w:val="0"/>
        <w:widowControl w:val="0"/>
        <w:numPr>
          <w:ilvl w:val="0"/>
          <w:numId w:val="5"/>
        </w:numPr>
        <w:pBdr>
          <w:top w:val="single" w:sz="4" w:space="0" w:color="auto"/>
          <w:left w:val="single" w:sz="4" w:space="0" w:color="auto"/>
          <w:bottom w:val="single" w:sz="4" w:space="0" w:color="auto"/>
          <w:right w:val="single" w:sz="4" w:space="0" w:color="auto"/>
        </w:pBdr>
        <w:shd w:val="clear" w:color="auto" w:fill="auto"/>
        <w:tabs>
          <w:tab w:pos="413" w:val="left"/>
        </w:tabs>
        <w:bidi w:val="0"/>
        <w:spacing w:before="0" w:line="240" w:lineRule="auto"/>
        <w:ind w:left="0" w:right="0" w:firstLine="0"/>
        <w:jc w:val="left"/>
      </w:pPr>
      <w:bookmarkStart w:id="255" w:name="bookmark255"/>
      <w:bookmarkEnd w:id="255"/>
      <w:r>
        <w:rPr>
          <w:rFonts w:ascii="SimSun" w:eastAsia="SimSun" w:hAnsi="SimSun" w:cs="SimSun"/>
          <w:color w:val="000000"/>
          <w:spacing w:val="0"/>
          <w:w w:val="100"/>
          <w:position w:val="0"/>
          <w:sz w:val="17"/>
          <w:szCs w:val="17"/>
        </w:rPr>
        <w:t>减：新一代智慧养老综合服务平台</w:t>
      </w:r>
      <w:r>
        <w:rPr>
          <w:color w:val="000000"/>
          <w:spacing w:val="0"/>
          <w:w w:val="100"/>
          <w:position w:val="0"/>
        </w:rPr>
        <w:t>50,925,986.</w:t>
      </w:r>
      <w:r>
        <w:rPr>
          <w:color w:val="000000"/>
          <w:spacing w:val="0"/>
          <w:w w:val="100"/>
          <w:position w:val="0"/>
        </w:rPr>
        <w:t>12</w:t>
      </w:r>
    </w:p>
    <w:p>
      <w:pPr>
        <w:pStyle w:val="Style29"/>
        <w:keepNext w:val="0"/>
        <w:keepLines w:val="0"/>
        <w:widowControl w:val="0"/>
        <w:numPr>
          <w:ilvl w:val="0"/>
          <w:numId w:val="5"/>
        </w:numPr>
        <w:pBdr>
          <w:top w:val="single" w:sz="4" w:space="0" w:color="auto"/>
          <w:left w:val="single" w:sz="4" w:space="0" w:color="auto"/>
          <w:bottom w:val="single" w:sz="4" w:space="0" w:color="auto"/>
          <w:right w:val="single" w:sz="4" w:space="0" w:color="auto"/>
        </w:pBdr>
        <w:shd w:val="clear" w:color="auto" w:fill="auto"/>
        <w:tabs>
          <w:tab w:pos="413" w:val="left"/>
        </w:tabs>
        <w:bidi w:val="0"/>
        <w:spacing w:before="0" w:after="140" w:line="240" w:lineRule="auto"/>
        <w:ind w:left="0" w:right="0" w:firstLine="0"/>
        <w:jc w:val="left"/>
        <w:rPr>
          <w:sz w:val="18"/>
          <w:szCs w:val="18"/>
        </w:rPr>
      </w:pPr>
      <w:bookmarkStart w:id="256" w:name="bookmark256"/>
      <w:bookmarkEnd w:id="256"/>
      <w:r>
        <w:rPr>
          <w:color w:val="000000"/>
          <w:spacing w:val="0"/>
          <w:w w:val="100"/>
          <w:position w:val="0"/>
          <w:sz w:val="17"/>
          <w:szCs w:val="17"/>
        </w:rPr>
        <w:t>减：支付银行账户手续费</w:t>
      </w:r>
      <w:r>
        <w:rPr>
          <w:rFonts w:ascii="Times New Roman" w:eastAsia="Times New Roman" w:hAnsi="Times New Roman" w:cs="Times New Roman"/>
          <w:color w:val="000000"/>
          <w:spacing w:val="0"/>
          <w:w w:val="100"/>
          <w:position w:val="0"/>
          <w:sz w:val="18"/>
          <w:szCs w:val="18"/>
        </w:rPr>
        <w:t>441.40</w:t>
      </w:r>
    </w:p>
    <w:p>
      <w:pPr>
        <w:pStyle w:val="Style66"/>
        <w:keepNext w:val="0"/>
        <w:keepLines w:val="0"/>
        <w:widowControl w:val="0"/>
        <w:numPr>
          <w:ilvl w:val="0"/>
          <w:numId w:val="5"/>
        </w:numPr>
        <w:pBdr>
          <w:top w:val="single" w:sz="4" w:space="0" w:color="auto"/>
          <w:left w:val="single" w:sz="4" w:space="0" w:color="auto"/>
          <w:bottom w:val="single" w:sz="4" w:space="0" w:color="auto"/>
          <w:right w:val="single" w:sz="4" w:space="0" w:color="auto"/>
        </w:pBdr>
        <w:shd w:val="clear" w:color="auto" w:fill="auto"/>
        <w:tabs>
          <w:tab w:pos="413" w:val="left"/>
        </w:tabs>
        <w:bidi w:val="0"/>
        <w:spacing w:before="0" w:line="240" w:lineRule="auto"/>
        <w:ind w:left="0" w:right="0" w:firstLine="0"/>
        <w:jc w:val="left"/>
      </w:pPr>
      <w:bookmarkStart w:id="257" w:name="bookmark257"/>
      <w:bookmarkEnd w:id="257"/>
      <w:r>
        <w:rPr>
          <w:rFonts w:ascii="SimSun" w:eastAsia="SimSun" w:hAnsi="SimSun" w:cs="SimSun"/>
          <w:color w:val="000000"/>
          <w:spacing w:val="0"/>
          <w:w w:val="100"/>
          <w:position w:val="0"/>
          <w:sz w:val="17"/>
          <w:szCs w:val="17"/>
        </w:rPr>
        <w:t>加：</w:t>
      </w:r>
      <w:r>
        <w:rPr>
          <w:color w:val="000000"/>
          <w:spacing w:val="0"/>
          <w:w w:val="100"/>
          <w:position w:val="0"/>
        </w:rPr>
        <w:t>2021</w:t>
      </w:r>
      <w:r>
        <w:rPr>
          <w:rFonts w:ascii="SimSun" w:eastAsia="SimSun" w:hAnsi="SimSun" w:cs="SimSun"/>
          <w:color w:val="000000"/>
          <w:spacing w:val="0"/>
          <w:w w:val="100"/>
          <w:position w:val="0"/>
          <w:sz w:val="17"/>
          <w:szCs w:val="17"/>
        </w:rPr>
        <w:t>年度归还暂时补充流动资金</w:t>
      </w:r>
      <w:r>
        <w:rPr>
          <w:color w:val="000000"/>
          <w:spacing w:val="0"/>
          <w:w w:val="100"/>
          <w:position w:val="0"/>
        </w:rPr>
        <w:t>300,000,000.00</w:t>
      </w:r>
    </w:p>
    <w:p>
      <w:pPr>
        <w:pStyle w:val="Style66"/>
        <w:keepNext w:val="0"/>
        <w:keepLines w:val="0"/>
        <w:widowControl w:val="0"/>
        <w:numPr>
          <w:ilvl w:val="0"/>
          <w:numId w:val="5"/>
        </w:numPr>
        <w:pBdr>
          <w:top w:val="single" w:sz="4" w:space="0" w:color="auto"/>
          <w:left w:val="single" w:sz="4" w:space="0" w:color="auto"/>
          <w:bottom w:val="single" w:sz="4" w:space="0" w:color="auto"/>
          <w:right w:val="single" w:sz="4" w:space="0" w:color="auto"/>
        </w:pBdr>
        <w:shd w:val="clear" w:color="auto" w:fill="auto"/>
        <w:tabs>
          <w:tab w:pos="413" w:val="left"/>
          <w:tab w:pos="4469" w:val="right"/>
        </w:tabs>
        <w:bidi w:val="0"/>
        <w:spacing w:before="0" w:line="240" w:lineRule="auto"/>
        <w:ind w:left="0" w:right="0" w:firstLine="0"/>
        <w:jc w:val="left"/>
      </w:pPr>
      <w:bookmarkStart w:id="258" w:name="bookmark258"/>
      <w:bookmarkEnd w:id="258"/>
      <w:r>
        <w:rPr>
          <w:rFonts w:ascii="SimSun" w:eastAsia="SimSun" w:hAnsi="SimSun" w:cs="SimSun"/>
          <w:color w:val="000000"/>
          <w:spacing w:val="0"/>
          <w:w w:val="100"/>
          <w:position w:val="0"/>
          <w:sz w:val="17"/>
          <w:szCs w:val="17"/>
        </w:rPr>
        <w:t>减：</w:t>
      </w:r>
      <w:r>
        <w:rPr>
          <w:color w:val="000000"/>
          <w:spacing w:val="0"/>
          <w:w w:val="100"/>
          <w:position w:val="0"/>
        </w:rPr>
        <w:t>2021</w:t>
      </w:r>
      <w:r>
        <w:rPr>
          <w:rFonts w:ascii="SimSun" w:eastAsia="SimSun" w:hAnsi="SimSun" w:cs="SimSun"/>
          <w:color w:val="000000"/>
          <w:spacing w:val="0"/>
          <w:w w:val="100"/>
          <w:position w:val="0"/>
          <w:sz w:val="17"/>
          <w:szCs w:val="17"/>
        </w:rPr>
        <w:t>年度暂时补充流动资金</w:t>
        <w:tab/>
      </w:r>
      <w:r>
        <w:rPr>
          <w:color w:val="000000"/>
          <w:spacing w:val="0"/>
          <w:w w:val="100"/>
          <w:position w:val="0"/>
        </w:rPr>
        <w:t>300,000,000.00</w:t>
      </w:r>
    </w:p>
    <w:p>
      <w:pPr>
        <w:pStyle w:val="Style66"/>
        <w:keepNext w:val="0"/>
        <w:keepLines w:val="0"/>
        <w:widowControl w:val="0"/>
        <w:numPr>
          <w:ilvl w:val="0"/>
          <w:numId w:val="5"/>
        </w:numPr>
        <w:pBdr>
          <w:top w:val="single" w:sz="4" w:space="0" w:color="auto"/>
          <w:left w:val="single" w:sz="4" w:space="0" w:color="auto"/>
          <w:bottom w:val="single" w:sz="4" w:space="0" w:color="auto"/>
          <w:right w:val="single" w:sz="4" w:space="0" w:color="auto"/>
        </w:pBdr>
        <w:shd w:val="clear" w:color="auto" w:fill="auto"/>
        <w:tabs>
          <w:tab w:pos="413" w:val="left"/>
          <w:tab w:pos="3773" w:val="left"/>
        </w:tabs>
        <w:bidi w:val="0"/>
        <w:spacing w:before="0" w:after="400" w:line="240" w:lineRule="auto"/>
        <w:ind w:left="0" w:right="0" w:firstLine="0"/>
        <w:jc w:val="left"/>
      </w:pPr>
      <w:bookmarkStart w:id="259" w:name="bookmark259"/>
      <w:bookmarkEnd w:id="259"/>
      <w:r>
        <w:rPr>
          <w:color w:val="000000"/>
          <w:spacing w:val="0"/>
          <w:w w:val="100"/>
          <w:position w:val="0"/>
        </w:rPr>
        <w:t>2021</w:t>
      </w:r>
      <w:r>
        <w:rPr>
          <w:rFonts w:ascii="SimSun" w:eastAsia="SimSun" w:hAnsi="SimSun" w:cs="SimSun"/>
          <w:color w:val="000000"/>
          <w:spacing w:val="0"/>
          <w:w w:val="100"/>
          <w:position w:val="0"/>
          <w:sz w:val="17"/>
          <w:szCs w:val="17"/>
        </w:rPr>
        <w:t>年</w:t>
      </w:r>
      <w:r>
        <w:rPr>
          <w:color w:val="000000"/>
          <w:spacing w:val="0"/>
          <w:w w:val="100"/>
          <w:position w:val="0"/>
        </w:rPr>
        <w:t>12</w:t>
      </w:r>
      <w:r>
        <w:rPr>
          <w:rFonts w:ascii="SimSun" w:eastAsia="SimSun" w:hAnsi="SimSun" w:cs="SimSun"/>
          <w:color w:val="000000"/>
          <w:spacing w:val="0"/>
          <w:w w:val="100"/>
          <w:position w:val="0"/>
          <w:sz w:val="17"/>
          <w:szCs w:val="17"/>
        </w:rPr>
        <w:t>月</w:t>
      </w:r>
      <w:r>
        <w:rPr>
          <w:color w:val="000000"/>
          <w:spacing w:val="0"/>
          <w:w w:val="100"/>
          <w:position w:val="0"/>
        </w:rPr>
        <w:t>31</w:t>
      </w:r>
      <w:r>
        <w:rPr>
          <w:rFonts w:ascii="SimSun" w:eastAsia="SimSun" w:hAnsi="SimSun" w:cs="SimSun"/>
          <w:color w:val="000000"/>
          <w:spacing w:val="0"/>
          <w:w w:val="100"/>
          <w:position w:val="0"/>
          <w:sz w:val="17"/>
          <w:szCs w:val="17"/>
        </w:rPr>
        <w:t>日未使用募集资金余额</w:t>
        <w:tab/>
      </w:r>
      <w:r>
        <w:rPr>
          <w:color w:val="000000"/>
          <w:spacing w:val="0"/>
          <w:w w:val="100"/>
          <w:position w:val="0"/>
        </w:rPr>
        <w:t>197,751,211.21</w:t>
      </w:r>
    </w:p>
    <w:p>
      <w:pPr>
        <w:pStyle w:val="Style61"/>
        <w:keepNext/>
        <w:keepLines/>
        <w:widowControl w:val="0"/>
        <w:numPr>
          <w:ilvl w:val="0"/>
          <w:numId w:val="7"/>
        </w:numPr>
        <w:shd w:val="clear" w:color="auto" w:fill="auto"/>
        <w:bidi w:val="0"/>
        <w:spacing w:before="0" w:after="400" w:line="240" w:lineRule="auto"/>
        <w:ind w:left="0" w:right="0" w:firstLine="0"/>
        <w:jc w:val="left"/>
      </w:pPr>
      <w:bookmarkStart w:id="260" w:name="bookmark260"/>
      <w:bookmarkStart w:id="261" w:name="bookmark261"/>
      <w:bookmarkStart w:id="262" w:name="bookmark262"/>
      <w:bookmarkStart w:id="263" w:name="bookmark263"/>
      <w:bookmarkEnd w:id="262"/>
      <w:r>
        <w:rPr>
          <w:color w:val="000000"/>
          <w:spacing w:val="0"/>
          <w:w w:val="100"/>
          <w:position w:val="0"/>
        </w:rPr>
        <w:t>募集资金承诺项目情况</w:t>
      </w:r>
      <w:bookmarkEnd w:id="260"/>
      <w:bookmarkEnd w:id="261"/>
      <w:bookmarkEnd w:id="263"/>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8746" w:right="0" w:firstLine="0"/>
        <w:jc w:val="left"/>
        <w:rPr>
          <w:sz w:val="17"/>
          <w:szCs w:val="17"/>
        </w:rPr>
      </w:pPr>
      <w:r>
        <w:rPr>
          <w:rFonts w:ascii="SimSun" w:eastAsia="SimSun" w:hAnsi="SimSun" w:cs="SimSun"/>
          <w:color w:val="000000"/>
          <w:spacing w:val="0"/>
          <w:w w:val="100"/>
          <w:position w:val="0"/>
          <w:sz w:val="17"/>
          <w:szCs w:val="17"/>
        </w:rPr>
        <w:t>单位：万元</w:t>
      </w:r>
    </w:p>
    <w:tbl>
      <w:tblPr>
        <w:tblOverlap w:val="never"/>
        <w:jc w:val="center"/>
        <w:tblLayout w:type="fixed"/>
      </w:tblPr>
      <w:tblGrid>
        <w:gridCol w:w="1992"/>
        <w:gridCol w:w="720"/>
        <w:gridCol w:w="845"/>
        <w:gridCol w:w="854"/>
        <w:gridCol w:w="850"/>
        <w:gridCol w:w="854"/>
        <w:gridCol w:w="850"/>
        <w:gridCol w:w="854"/>
        <w:gridCol w:w="418"/>
        <w:gridCol w:w="437"/>
        <w:gridCol w:w="427"/>
        <w:gridCol w:w="490"/>
      </w:tblGrid>
      <w:tr>
        <w:trPr>
          <w:trHeight w:val="227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承诺投资项目和超募资 金投向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募集资金</w:t>
            </w:r>
          </w:p>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承诺投资 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调整后投</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本报告期</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投入金额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项目达到</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预定可使</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用状态日</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8" w:lineRule="exact"/>
              <w:ind w:left="0" w:right="0" w:firstLine="0"/>
              <w:jc w:val="left"/>
              <w:rPr>
                <w:sz w:val="17"/>
                <w:szCs w:val="17"/>
              </w:rPr>
            </w:pPr>
            <w:r>
              <w:rPr>
                <w:color w:val="000000"/>
                <w:spacing w:val="0"/>
                <w:w w:val="100"/>
                <w:position w:val="0"/>
                <w:sz w:val="17"/>
                <w:szCs w:val="17"/>
              </w:rPr>
              <w:t>本报 告期 实现 的效 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截止 报告 期末 累计 实现 的效 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是否 达到 预计 效益</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项目 可行 性是 否发 生重 大变 化</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承诺投资项目</w:t>
            </w: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right w:val="single" w:sz="4"/>
            </w:tcBorders>
            <w:shd w:val="clear" w:color="auto" w:fill="D4D4D4"/>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新一代智慧医疗一体 化</w:t>
            </w:r>
            <w:r>
              <w:rPr>
                <w:rFonts w:ascii="Times New Roman" w:eastAsia="Times New Roman" w:hAnsi="Times New Roman" w:cs="Times New Roman"/>
                <w:color w:val="000000"/>
                <w:spacing w:val="0"/>
                <w:w w:val="100"/>
                <w:position w:val="0"/>
                <w:sz w:val="18"/>
                <w:szCs w:val="18"/>
              </w:rPr>
              <w:t>HIS</w:t>
            </w:r>
            <w:r>
              <w:rPr>
                <w:color w:val="000000"/>
                <w:spacing w:val="0"/>
                <w:w w:val="100"/>
                <w:position w:val="0"/>
                <w:sz w:val="17"/>
                <w:szCs w:val="17"/>
              </w:rPr>
              <w:t>服务平台及应用 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7,517.53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24,979.45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不适 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智慧养老综合服务平</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台及其智能物联云平台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不适 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补充流动资金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不适 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承诺投资项目小计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12,610.13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69,848.04</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992"/>
        <w:gridCol w:w="720"/>
        <w:gridCol w:w="840"/>
        <w:gridCol w:w="854"/>
        <w:gridCol w:w="850"/>
        <w:gridCol w:w="854"/>
        <w:gridCol w:w="859"/>
        <w:gridCol w:w="845"/>
        <w:gridCol w:w="418"/>
        <w:gridCol w:w="437"/>
        <w:gridCol w:w="427"/>
        <w:gridCol w:w="494"/>
      </w:tblGrid>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超募资金投向</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12,610.13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69,848.04</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9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未达到计划进度或预计</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收益的情况和原因（分具</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体项目）</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新一代智慧医疗一体化</w:t>
            </w:r>
            <w:r>
              <w:rPr>
                <w:rFonts w:ascii="Times New Roman" w:eastAsia="Times New Roman" w:hAnsi="Times New Roman" w:cs="Times New Roman"/>
                <w:color w:val="000000"/>
                <w:spacing w:val="0"/>
                <w:w w:val="100"/>
                <w:position w:val="0"/>
                <w:sz w:val="18"/>
                <w:szCs w:val="18"/>
              </w:rPr>
              <w:t>HIS</w:t>
            </w:r>
            <w:r>
              <w:rPr>
                <w:color w:val="000000"/>
                <w:spacing w:val="0"/>
                <w:w w:val="100"/>
                <w:position w:val="0"/>
                <w:sz w:val="17"/>
                <w:szCs w:val="17"/>
              </w:rPr>
              <w:t>服务平台及应用系统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项目和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智慧养老综合服务平台及其智能物 联云平台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项目的推进过程中，公司根据实际建设的情况，结合最新政策、行业趋势、市场形势、 技术更新、信息安全及国产化适配等多重因素，针对两个项目建设过程中分别出现的新需求和新 变化做出了调整和更新，所以项目整体进度有所延后。在疫情的出现和反复期间，公司配合各级 政府投入大量技术人员支持疫情防控相关工作，在一定程度上也影响了两个项目的进度。同时， 公司在应对疫情中积累的相关成果和经验，也需要一定时间来继续开发、深化并分别运用到两个 项目的技术延伸和管理中，以完成项目建设的不断优化。</w:t>
            </w:r>
          </w:p>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日召开第七届董事会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年第十一次临时会议、第七届监事会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 第九次临时会议，审议通过了《关于部分募集资金投资项目延期的议案》；同意公司根据募集资 金投资项目实际实施的内外部情况，结合最新政策、行业趋势、市场形势、技术更新以及疫情影 响等因素，基于审慎原则，对募集资金投资项目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新一代智慧医疗一体化</w:t>
            </w:r>
            <w:r>
              <w:rPr>
                <w:rFonts w:ascii="Times New Roman" w:eastAsia="Times New Roman" w:hAnsi="Times New Roman" w:cs="Times New Roman"/>
                <w:color w:val="000000"/>
                <w:spacing w:val="0"/>
                <w:w w:val="100"/>
                <w:position w:val="0"/>
                <w:sz w:val="18"/>
                <w:szCs w:val="18"/>
              </w:rPr>
              <w:t>HIS</w:t>
            </w:r>
            <w:r>
              <w:rPr>
                <w:color w:val="000000"/>
                <w:spacing w:val="0"/>
                <w:w w:val="100"/>
                <w:position w:val="0"/>
                <w:sz w:val="17"/>
                <w:szCs w:val="17"/>
              </w:rPr>
              <w:t>服务平台及应用系 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智慧养老综合服务平台及其智能物联云平台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的进度进行调整，预计项目达到可使用状态 日期均延长至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日，项目投资总额和建设规模均不变。</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项目可行性发生重大变 化的情况说明</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r>
        <w:trPr>
          <w:trHeight w:val="80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超募资金的金额、用途及 使用进展情况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r>
        <w:trPr>
          <w:trHeight w:val="120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募集资金投资项目实施 地点变更情况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募集资金投资项目实施 方式调整情况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适用</w:t>
            </w:r>
          </w:p>
        </w:tc>
      </w:tr>
      <w:tr>
        <w:trPr>
          <w:trHeight w:val="398" w:hRule="exact"/>
        </w:trPr>
        <w:tc>
          <w:tcPr>
            <w:vMerge/>
            <w:tcBorders>
              <w:left w:val="single" w:sz="4"/>
            </w:tcBorders>
            <w:shd w:val="clear" w:color="auto" w:fill="D4D4D4"/>
            <w:vAlign w:val="center"/>
          </w:tcPr>
          <w:p>
            <w:pP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报告期内发生</w:t>
            </w:r>
          </w:p>
        </w:tc>
      </w:tr>
      <w:tr>
        <w:trPr>
          <w:trHeight w:val="2904" w:hRule="exact"/>
        </w:trPr>
        <w:tc>
          <w:tcPr>
            <w:vMerge/>
            <w:tcBorders>
              <w:left w:val="single" w:sz="4"/>
            </w:tcBorders>
            <w:shd w:val="clear" w:color="auto" w:fill="D4D4D4"/>
            <w:vAlign w:val="center"/>
          </w:tcPr>
          <w:p>
            <w:pP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日召开第七届董事会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年第十一次临时会议、第七届监事会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 第九次临时会议，审议通过了《关于部分募集资金投资项目延期的议案》，对募集资金投资项目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新 一代智慧医疗一体化</w:t>
            </w:r>
            <w:r>
              <w:rPr>
                <w:rFonts w:ascii="Times New Roman" w:eastAsia="Times New Roman" w:hAnsi="Times New Roman" w:cs="Times New Roman"/>
                <w:color w:val="000000"/>
                <w:spacing w:val="0"/>
                <w:w w:val="100"/>
                <w:position w:val="0"/>
                <w:sz w:val="18"/>
                <w:szCs w:val="18"/>
              </w:rPr>
              <w:t>HIS</w:t>
            </w:r>
            <w:r>
              <w:rPr>
                <w:color w:val="000000"/>
                <w:spacing w:val="0"/>
                <w:w w:val="100"/>
                <w:position w:val="0"/>
                <w:sz w:val="17"/>
                <w:szCs w:val="17"/>
              </w:rPr>
              <w:t>服务平台及应用系统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智慧养老综合服务平台及其智能物联云平台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的进度进行调整，预计项目达到可使用状态日期均延长至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日，项目投资总额和 建设规模均不变。</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日召开的</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年第一次临时股东大会、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日召 开第七届董事会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年第十一次临时会议、第七届监事会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年第九次临时会议，审议通过了 《关于部分募集资金投资项目投资结构调整的议案》，对募集资金投资项目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新一代智慧医疗一体 化</w:t>
            </w:r>
            <w:r>
              <w:rPr>
                <w:rFonts w:ascii="Times New Roman" w:eastAsia="Times New Roman" w:hAnsi="Times New Roman" w:cs="Times New Roman"/>
                <w:color w:val="000000"/>
                <w:spacing w:val="0"/>
                <w:w w:val="100"/>
                <w:position w:val="0"/>
                <w:sz w:val="18"/>
                <w:szCs w:val="18"/>
              </w:rPr>
              <w:t>HIS</w:t>
            </w:r>
            <w:r>
              <w:rPr>
                <w:color w:val="000000"/>
                <w:spacing w:val="0"/>
                <w:w w:val="100"/>
                <w:position w:val="0"/>
                <w:sz w:val="17"/>
                <w:szCs w:val="17"/>
              </w:rPr>
              <w:t>服务平台及应用系统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智慧养老综合服务平台及其智能物联云平台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的投资结构进行部 分调整，项目投资总额和建设规模均不变</w:t>
            </w:r>
            <w:r>
              <w:rPr>
                <w:rFonts w:ascii="Times New Roman" w:eastAsia="Times New Roman" w:hAnsi="Times New Roman" w:cs="Times New Roman"/>
                <w:color w:val="000000"/>
                <w:spacing w:val="0"/>
                <w:w w:val="100"/>
                <w:position w:val="0"/>
                <w:sz w:val="18"/>
                <w:szCs w:val="18"/>
              </w:rPr>
              <w:t>.</w:t>
            </w:r>
          </w:p>
        </w:tc>
      </w:tr>
      <w:tr>
        <w:trPr>
          <w:trHeight w:val="39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募集资金投资项目先期 投入及置换情况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适用</w:t>
            </w:r>
          </w:p>
        </w:tc>
      </w:tr>
      <w:tr>
        <w:trPr>
          <w:trHeight w:val="1618" w:hRule="exact"/>
        </w:trPr>
        <w:tc>
          <w:tcPr>
            <w:vMerge/>
            <w:tcBorders>
              <w:left w:val="single" w:sz="4"/>
              <w:bottom w:val="single" w:sz="4"/>
            </w:tcBorders>
            <w:shd w:val="clear" w:color="auto" w:fill="D4D4D4"/>
            <w:vAlign w:val="center"/>
          </w:tcPr>
          <w:p>
            <w:pP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日分别召开第六届董事会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年第八次临时会议、第六届监事会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 第二次临时会议，审议通过了《关于使用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年度公开发行可转换公司债券募集资金置换已预 先投入募投项目自筹资金的议案》，截至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日，公司以自筹资金预先投入募投项目 的实际金额为人民币</w:t>
            </w:r>
            <w:r>
              <w:rPr>
                <w:rFonts w:ascii="Times New Roman" w:eastAsia="Times New Roman" w:hAnsi="Times New Roman" w:cs="Times New Roman"/>
                <w:color w:val="000000"/>
                <w:spacing w:val="0"/>
                <w:w w:val="100"/>
                <w:position w:val="0"/>
                <w:sz w:val="18"/>
                <w:szCs w:val="18"/>
              </w:rPr>
              <w:t>50,478,705.32</w:t>
            </w:r>
            <w:r>
              <w:rPr>
                <w:color w:val="000000"/>
                <w:spacing w:val="0"/>
                <w:w w:val="100"/>
                <w:position w:val="0"/>
                <w:sz w:val="17"/>
                <w:szCs w:val="17"/>
              </w:rPr>
              <w:t>元，立信会计师事务所（特殊普通合伙）对公司以自筹资金预 先投入募投项目的实际情况进行了专项审核，并出具信会师报字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第</w:t>
            </w:r>
            <w:r>
              <w:rPr>
                <w:rFonts w:ascii="Times New Roman" w:eastAsia="Times New Roman" w:hAnsi="Times New Roman" w:cs="Times New Roman"/>
                <w:color w:val="000000"/>
                <w:spacing w:val="0"/>
                <w:w w:val="100"/>
                <w:position w:val="0"/>
                <w:sz w:val="18"/>
                <w:szCs w:val="18"/>
              </w:rPr>
              <w:t>ZA13393</w:t>
            </w:r>
            <w:r>
              <w:rPr>
                <w:color w:val="000000"/>
                <w:spacing w:val="0"/>
                <w:w w:val="100"/>
                <w:position w:val="0"/>
                <w:sz w:val="17"/>
                <w:szCs w:val="17"/>
              </w:rPr>
              <w:t>号《万达信息</w:t>
            </w:r>
          </w:p>
        </w:tc>
      </w:tr>
    </w:tbl>
    <w:p>
      <w:pPr>
        <w:spacing w:lineRule="exact" w:line="1"/>
        <w:rPr>
          <w:sz w:val="2"/>
          <w:szCs w:val="2"/>
        </w:rPr>
      </w:pPr>
      <w:r>
        <w:br w:type="page"/>
      </w:r>
    </w:p>
    <w:tbl>
      <w:tblPr>
        <w:tblOverlap w:val="never"/>
        <w:jc w:val="center"/>
        <w:tblLayout w:type="fixed"/>
      </w:tblPr>
      <w:tblGrid>
        <w:gridCol w:w="1992"/>
        <w:gridCol w:w="7598"/>
      </w:tblGrid>
      <w:tr>
        <w:trPr>
          <w:trHeight w:val="989"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 xml:space="preserve">股份有限公司募集资金置换专项鉴证报告》，鉴于本次公开发行可转换公司债券募集资金已到位， 为提高募集资金使用效率，公司拟使用本次募集资金置换已预先投入募投项目的自筹资金 </w:t>
            </w:r>
            <w:r>
              <w:rPr>
                <w:rFonts w:ascii="Times New Roman" w:eastAsia="Times New Roman" w:hAnsi="Times New Roman" w:cs="Times New Roman"/>
                <w:color w:val="000000"/>
                <w:spacing w:val="0"/>
                <w:w w:val="100"/>
                <w:position w:val="0"/>
                <w:sz w:val="18"/>
                <w:szCs w:val="18"/>
              </w:rPr>
              <w:t>50,478,705.32</w:t>
            </w:r>
            <w:r>
              <w:rPr>
                <w:color w:val="000000"/>
                <w:spacing w:val="0"/>
                <w:w w:val="100"/>
                <w:position w:val="0"/>
                <w:sz w:val="17"/>
                <w:szCs w:val="17"/>
              </w:rPr>
              <w:t>元。上述事项于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日从募集资金专户中置换完毕。</w:t>
            </w:r>
          </w:p>
        </w:tc>
      </w:tr>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用闲置募集资金暂时补 充流动资金情况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适用</w:t>
            </w:r>
          </w:p>
        </w:tc>
      </w:tr>
      <w:tr>
        <w:trPr>
          <w:trHeight w:val="12355" w:hRule="exact"/>
        </w:trPr>
        <w:tc>
          <w:tcPr>
            <w:vMerge/>
            <w:tcBorders>
              <w:left w:val="single" w:sz="4"/>
              <w:bottom w:val="single" w:sz="4"/>
            </w:tcBorders>
            <w:shd w:val="clear" w:color="auto" w:fill="D4D4D4"/>
            <w:vAlign w:val="center"/>
          </w:tcPr>
          <w:p>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日分别召开第六届董事会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年第九次临时会议、第六届监事会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 第三次临时会议，审议通过了《关于使用部分闲置募集资金暂时补充流动资金的议案》，同意公 司在保证募集资金投资项目建设的资金需求、保证募集资金投资项目正常进行的前提下，将</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年度公开发行可转换公司债券募集资金投资项目中不超过人民币</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sz w:val="17"/>
                <w:szCs w:val="17"/>
              </w:rPr>
              <w:t>万元的闲置募集资金暂 时补充流动资金，使用期限不超过董事会批准之日起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个月，到期将归还至募集资金专户。公 司已于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日从募集资金专户宁波银行上海长宁支行</w:t>
            </w:r>
            <w:r>
              <w:rPr>
                <w:rFonts w:ascii="Times New Roman" w:eastAsia="Times New Roman" w:hAnsi="Times New Roman" w:cs="Times New Roman"/>
                <w:color w:val="000000"/>
                <w:spacing w:val="0"/>
                <w:w w:val="100"/>
                <w:position w:val="0"/>
                <w:sz w:val="18"/>
                <w:szCs w:val="18"/>
              </w:rPr>
              <w:t>70090122000277896</w:t>
            </w:r>
            <w:r>
              <w:rPr>
                <w:color w:val="000000"/>
                <w:spacing w:val="0"/>
                <w:w w:val="100"/>
                <w:position w:val="0"/>
                <w:sz w:val="17"/>
                <w:szCs w:val="17"/>
              </w:rPr>
              <w:t>转出补充流 动资金</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sz w:val="17"/>
                <w:szCs w:val="17"/>
              </w:rPr>
              <w:t>万元，从交通银行上海市分行营业部</w:t>
            </w:r>
            <w:r>
              <w:rPr>
                <w:rFonts w:ascii="Times New Roman" w:eastAsia="Times New Roman" w:hAnsi="Times New Roman" w:cs="Times New Roman"/>
                <w:color w:val="000000"/>
                <w:spacing w:val="0"/>
                <w:w w:val="100"/>
                <w:position w:val="0"/>
                <w:sz w:val="18"/>
                <w:szCs w:val="18"/>
              </w:rPr>
              <w:t>310066661018800248886</w:t>
            </w:r>
            <w:r>
              <w:rPr>
                <w:color w:val="000000"/>
                <w:spacing w:val="0"/>
                <w:w w:val="100"/>
                <w:position w:val="0"/>
                <w:sz w:val="17"/>
                <w:szCs w:val="17"/>
              </w:rPr>
              <w:t xml:space="preserve">转出补充流动资金 </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sz w:val="17"/>
                <w:szCs w:val="17"/>
              </w:rPr>
              <w:t>万元，从广发银行股份有限公司上海虹口支行</w:t>
            </w:r>
            <w:r>
              <w:rPr>
                <w:rFonts w:ascii="Times New Roman" w:eastAsia="Times New Roman" w:hAnsi="Times New Roman" w:cs="Times New Roman"/>
                <w:color w:val="000000"/>
                <w:spacing w:val="0"/>
                <w:w w:val="100"/>
                <w:position w:val="0"/>
                <w:sz w:val="18"/>
                <w:szCs w:val="18"/>
              </w:rPr>
              <w:t>9550880025768800381</w:t>
            </w:r>
            <w:r>
              <w:rPr>
                <w:color w:val="000000"/>
                <w:spacing w:val="0"/>
                <w:w w:val="100"/>
                <w:position w:val="0"/>
                <w:sz w:val="17"/>
                <w:szCs w:val="17"/>
              </w:rPr>
              <w:t xml:space="preserve">转出补充流动资金 </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7"/>
                <w:szCs w:val="17"/>
              </w:rPr>
              <w:t>万元，从中国民生银行股份有限公司上海分行营业部</w:t>
            </w:r>
            <w:r>
              <w:rPr>
                <w:rFonts w:ascii="Times New Roman" w:eastAsia="Times New Roman" w:hAnsi="Times New Roman" w:cs="Times New Roman"/>
                <w:color w:val="000000"/>
                <w:spacing w:val="0"/>
                <w:w w:val="100"/>
                <w:position w:val="0"/>
                <w:sz w:val="18"/>
                <w:szCs w:val="18"/>
              </w:rPr>
              <w:t>630857886</w:t>
            </w:r>
            <w:r>
              <w:rPr>
                <w:color w:val="000000"/>
                <w:spacing w:val="0"/>
                <w:w w:val="100"/>
                <w:position w:val="0"/>
                <w:sz w:val="17"/>
                <w:szCs w:val="17"/>
              </w:rPr>
              <w:t>转出补充流动资金</w:t>
            </w:r>
            <w:r>
              <w:rPr>
                <w:rFonts w:ascii="Times New Roman" w:eastAsia="Times New Roman" w:hAnsi="Times New Roman" w:cs="Times New Roman"/>
                <w:color w:val="000000"/>
                <w:spacing w:val="0"/>
                <w:w w:val="100"/>
                <w:position w:val="0"/>
                <w:sz w:val="18"/>
                <w:szCs w:val="18"/>
              </w:rPr>
              <w:t xml:space="preserve">10,000 </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日，公司已将上述用于暂时补充流动资金全部归还至公司募集资金专户， 并将归还情况通知了保荐机构及保荐代表人。</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日分别召开第七届董事会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年第三次临时会议、第七届监事会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 第二次临时会议，审议通过了《关于使用部分闲置募集资金暂时补充流动资金的议案》，同意公 司在保证募集资金投资项目建设的资金需求、保证募集资金投资项目正常进行的前提下，将</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年度公开发行可转换公司债券募集资金投资项目中不超过人民币 </w:t>
            </w:r>
            <w:r>
              <w:rPr>
                <w:rFonts w:ascii="Times New Roman" w:eastAsia="Times New Roman" w:hAnsi="Times New Roman" w:cs="Times New Roman"/>
                <w:color w:val="000000"/>
                <w:spacing w:val="0"/>
                <w:w w:val="100"/>
                <w:position w:val="0"/>
                <w:sz w:val="18"/>
                <w:szCs w:val="18"/>
              </w:rPr>
              <w:t xml:space="preserve">30,000 </w:t>
            </w:r>
            <w:r>
              <w:rPr>
                <w:color w:val="000000"/>
                <w:spacing w:val="0"/>
                <w:w w:val="100"/>
                <w:position w:val="0"/>
                <w:sz w:val="17"/>
                <w:szCs w:val="17"/>
              </w:rPr>
              <w:t>万元的闲置募集资金暂 时补充流动资金，使用期限不超过董事会批准之日起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个月，到期将归还至募集资金专户。公 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月，从募集资金专户广发银行股份有限公司上海虹口支行 </w:t>
            </w:r>
            <w:r>
              <w:rPr>
                <w:rFonts w:ascii="Times New Roman" w:eastAsia="Times New Roman" w:hAnsi="Times New Roman" w:cs="Times New Roman"/>
                <w:color w:val="000000"/>
                <w:spacing w:val="0"/>
                <w:w w:val="100"/>
                <w:position w:val="0"/>
                <w:sz w:val="18"/>
                <w:szCs w:val="18"/>
              </w:rPr>
              <w:t>9550880025768800381</w:t>
            </w:r>
            <w:r>
              <w:rPr>
                <w:color w:val="000000"/>
                <w:spacing w:val="0"/>
                <w:w w:val="100"/>
                <w:position w:val="0"/>
                <w:sz w:val="17"/>
                <w:szCs w:val="17"/>
              </w:rPr>
              <w:t>转出补充流动资金</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sz w:val="17"/>
                <w:szCs w:val="17"/>
              </w:rPr>
              <w:t>万元</w:t>
            </w:r>
            <w:r>
              <w:rPr>
                <w:color w:val="000000"/>
                <w:spacing w:val="0"/>
                <w:w w:val="100"/>
                <w:position w:val="0"/>
                <w:sz w:val="18"/>
                <w:szCs w:val="18"/>
              </w:rPr>
              <w:t>，</w:t>
            </w:r>
            <w:r>
              <w:rPr>
                <w:color w:val="000000"/>
                <w:spacing w:val="0"/>
                <w:w w:val="100"/>
                <w:position w:val="0"/>
                <w:sz w:val="17"/>
                <w:szCs w:val="17"/>
              </w:rPr>
              <w:t xml:space="preserve">从募集资金专户宁波银行上海长宁支行 </w:t>
            </w:r>
            <w:r>
              <w:rPr>
                <w:rFonts w:ascii="Times New Roman" w:eastAsia="Times New Roman" w:hAnsi="Times New Roman" w:cs="Times New Roman"/>
                <w:color w:val="000000"/>
                <w:spacing w:val="0"/>
                <w:w w:val="100"/>
                <w:position w:val="0"/>
                <w:sz w:val="18"/>
                <w:szCs w:val="18"/>
              </w:rPr>
              <w:t>70090122000277896</w:t>
            </w:r>
            <w:r>
              <w:rPr>
                <w:color w:val="000000"/>
                <w:spacing w:val="0"/>
                <w:w w:val="100"/>
                <w:position w:val="0"/>
                <w:sz w:val="17"/>
                <w:szCs w:val="17"/>
              </w:rPr>
              <w:t>转出补充流动资金</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日，公司已将上述用于暂时 补充流动资金的</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sz w:val="17"/>
                <w:szCs w:val="17"/>
              </w:rPr>
              <w:t xml:space="preserve">万元全部归还至公司募集资金专户（广发银行上海虹口支行，账号 </w:t>
            </w:r>
            <w:r>
              <w:rPr>
                <w:rFonts w:ascii="Times New Roman" w:eastAsia="Times New Roman" w:hAnsi="Times New Roman" w:cs="Times New Roman"/>
                <w:color w:val="000000"/>
                <w:spacing w:val="0"/>
                <w:w w:val="100"/>
                <w:position w:val="0"/>
                <w:sz w:val="18"/>
                <w:szCs w:val="18"/>
              </w:rPr>
              <w:t>9550880025768800381</w:t>
            </w: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sz w:val="17"/>
                <w:szCs w:val="17"/>
              </w:rPr>
              <w:t>万元，宁波银行上海长宁支行账号</w:t>
            </w:r>
            <w:r>
              <w:rPr>
                <w:rFonts w:ascii="Times New Roman" w:eastAsia="Times New Roman" w:hAnsi="Times New Roman" w:cs="Times New Roman"/>
                <w:color w:val="000000"/>
                <w:spacing w:val="0"/>
                <w:w w:val="100"/>
                <w:position w:val="0"/>
                <w:sz w:val="18"/>
                <w:szCs w:val="18"/>
              </w:rPr>
              <w:t>70090122000277896</w:t>
            </w:r>
            <w:r>
              <w:rPr>
                <w:color w:val="000000"/>
                <w:spacing w:val="0"/>
                <w:w w:val="100"/>
                <w:position w:val="0"/>
                <w:sz w:val="17"/>
                <w:szCs w:val="17"/>
              </w:rPr>
              <w:t>，金 额</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7"/>
                <w:szCs w:val="17"/>
              </w:rPr>
              <w:t>万元），并将归还情况通知了保荐机构及保荐代表人。</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日分别召开第七届董事会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年第一次临时会议、第七届监事会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 第一次临时会议，审议通过了《关于使用部分闲置募集资金暂时补充流动资金的议案》，同意公 司在保证募集资金投资项目建设的资金需求、保证募集资金投资项目正常进行的前提下，将</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年度公开发行可转换公司债券募集资金投资项目中不超过人民币 </w:t>
            </w:r>
            <w:r>
              <w:rPr>
                <w:rFonts w:ascii="Times New Roman" w:eastAsia="Times New Roman" w:hAnsi="Times New Roman" w:cs="Times New Roman"/>
                <w:color w:val="000000"/>
                <w:spacing w:val="0"/>
                <w:w w:val="100"/>
                <w:position w:val="0"/>
                <w:sz w:val="18"/>
                <w:szCs w:val="18"/>
              </w:rPr>
              <w:t xml:space="preserve">30,000 </w:t>
            </w:r>
            <w:r>
              <w:rPr>
                <w:color w:val="000000"/>
                <w:spacing w:val="0"/>
                <w:w w:val="100"/>
                <w:position w:val="0"/>
                <w:sz w:val="17"/>
                <w:szCs w:val="17"/>
              </w:rPr>
              <w:t>万元的闲置募集资金暂 时补充流动资金，使用期限不超过董事会批准之日起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个月，到期将归还至募集资金专户。公 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 xml:space="preserve">日从募集资金专户广发银行股份有限公司上海虹口支行 </w:t>
            </w:r>
            <w:r>
              <w:rPr>
                <w:rFonts w:ascii="Times New Roman" w:eastAsia="Times New Roman" w:hAnsi="Times New Roman" w:cs="Times New Roman"/>
                <w:color w:val="000000"/>
                <w:spacing w:val="0"/>
                <w:w w:val="100"/>
                <w:position w:val="0"/>
                <w:sz w:val="18"/>
                <w:szCs w:val="18"/>
              </w:rPr>
              <w:t>9550880025768800381</w:t>
            </w:r>
            <w:r>
              <w:rPr>
                <w:color w:val="000000"/>
                <w:spacing w:val="0"/>
                <w:w w:val="100"/>
                <w:position w:val="0"/>
                <w:sz w:val="17"/>
                <w:szCs w:val="17"/>
              </w:rPr>
              <w:t>转出补充流动资金</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sz w:val="17"/>
                <w:szCs w:val="17"/>
              </w:rPr>
              <w:t xml:space="preserve">万元，募集资金专户宁波银行上海长宁支行 </w:t>
            </w:r>
            <w:r>
              <w:rPr>
                <w:rFonts w:ascii="Times New Roman" w:eastAsia="Times New Roman" w:hAnsi="Times New Roman" w:cs="Times New Roman"/>
                <w:color w:val="000000"/>
                <w:spacing w:val="0"/>
                <w:w w:val="100"/>
                <w:position w:val="0"/>
                <w:sz w:val="18"/>
                <w:szCs w:val="18"/>
              </w:rPr>
              <w:t>70090122000277896</w:t>
            </w:r>
            <w:r>
              <w:rPr>
                <w:color w:val="000000"/>
                <w:spacing w:val="0"/>
                <w:w w:val="100"/>
                <w:position w:val="0"/>
                <w:sz w:val="17"/>
                <w:szCs w:val="17"/>
              </w:rPr>
              <w:t>转出补充流动资金</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日，公司已将上述用于暂时 补充流动资金的</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sz w:val="17"/>
                <w:szCs w:val="17"/>
              </w:rPr>
              <w:t xml:space="preserve">万元全部归还至公司募集资金专户（广发银行上海虹口支行，账号 </w:t>
            </w:r>
            <w:r>
              <w:rPr>
                <w:rFonts w:ascii="Times New Roman" w:eastAsia="Times New Roman" w:hAnsi="Times New Roman" w:cs="Times New Roman"/>
                <w:color w:val="000000"/>
                <w:spacing w:val="0"/>
                <w:w w:val="100"/>
                <w:position w:val="0"/>
                <w:sz w:val="18"/>
                <w:szCs w:val="18"/>
              </w:rPr>
              <w:t>9550880025768800381</w:t>
            </w: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sz w:val="17"/>
                <w:szCs w:val="17"/>
              </w:rPr>
              <w:t>万元；宁波银行上海长宁支行，账号</w:t>
            </w:r>
            <w:r>
              <w:rPr>
                <w:rFonts w:ascii="Times New Roman" w:eastAsia="Times New Roman" w:hAnsi="Times New Roman" w:cs="Times New Roman"/>
                <w:color w:val="000000"/>
                <w:spacing w:val="0"/>
                <w:w w:val="100"/>
                <w:position w:val="0"/>
                <w:sz w:val="18"/>
                <w:szCs w:val="18"/>
              </w:rPr>
              <w:t>70090122000277896</w:t>
            </w:r>
            <w:r>
              <w:rPr>
                <w:color w:val="000000"/>
                <w:spacing w:val="0"/>
                <w:w w:val="100"/>
                <w:position w:val="0"/>
                <w:sz w:val="17"/>
                <w:szCs w:val="17"/>
              </w:rPr>
              <w:t>， 金额</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7"/>
                <w:szCs w:val="17"/>
              </w:rPr>
              <w:t>万元），并将归还情况通知了保荐机构及保荐代表人。</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日分别召开第七届董事会</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年第一次临时会议、第七届监事会</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 第一次临时会议，审议通过《关于使用部分闲置募集资金暂时补充流动资金的议案》，同意公司 在保证募集资金投资项目建设资金需求、保证项目正常进行的前提下，将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年度公开发行可 转换公司债券募集资金投资项目中不超过人民币</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sz w:val="17"/>
                <w:szCs w:val="17"/>
              </w:rPr>
              <w:t>万元的闲置募集资金暂时补充流动资金， 使用期限不超过董事会批准之日起</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个月，到期将归还至公司募集资金专户。公司于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日从募集资金专户广发银行股份有限公司上海虹口支行</w:t>
            </w:r>
            <w:r>
              <w:rPr>
                <w:rFonts w:ascii="Times New Roman" w:eastAsia="Times New Roman" w:hAnsi="Times New Roman" w:cs="Times New Roman"/>
                <w:color w:val="000000"/>
                <w:spacing w:val="0"/>
                <w:w w:val="100"/>
                <w:position w:val="0"/>
                <w:sz w:val="18"/>
                <w:szCs w:val="18"/>
              </w:rPr>
              <w:t>9550880025768800381</w:t>
            </w:r>
            <w:r>
              <w:rPr>
                <w:color w:val="000000"/>
                <w:spacing w:val="0"/>
                <w:w w:val="100"/>
                <w:position w:val="0"/>
                <w:sz w:val="17"/>
                <w:szCs w:val="17"/>
              </w:rPr>
              <w:t>转出补充流</w:t>
            </w:r>
          </w:p>
        </w:tc>
      </w:tr>
    </w:tbl>
    <w:p>
      <w:pPr>
        <w:spacing w:lineRule="exact" w:line="1"/>
        <w:rPr>
          <w:sz w:val="2"/>
          <w:szCs w:val="2"/>
        </w:rPr>
      </w:pPr>
      <w:r>
        <w:br w:type="page"/>
      </w:r>
    </w:p>
    <w:tbl>
      <w:tblPr>
        <w:tblOverlap w:val="never"/>
        <w:jc w:val="center"/>
        <w:tblLayout w:type="fixed"/>
      </w:tblPr>
      <w:tblGrid>
        <w:gridCol w:w="1992"/>
        <w:gridCol w:w="7598"/>
      </w:tblGrid>
      <w:tr>
        <w:trPr>
          <w:trHeight w:val="677"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动资金</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sz w:val="17"/>
                <w:szCs w:val="17"/>
              </w:rPr>
              <w:t>万元，募集资金专户宁波银行上海长宁支行</w:t>
            </w:r>
            <w:r>
              <w:rPr>
                <w:rFonts w:ascii="Times New Roman" w:eastAsia="Times New Roman" w:hAnsi="Times New Roman" w:cs="Times New Roman"/>
                <w:color w:val="000000"/>
                <w:spacing w:val="0"/>
                <w:w w:val="100"/>
                <w:position w:val="0"/>
                <w:sz w:val="18"/>
                <w:szCs w:val="18"/>
              </w:rPr>
              <w:t>70090122000277896</w:t>
            </w:r>
            <w:r>
              <w:rPr>
                <w:color w:val="000000"/>
                <w:spacing w:val="0"/>
                <w:w w:val="100"/>
                <w:position w:val="0"/>
                <w:sz w:val="17"/>
                <w:szCs w:val="17"/>
              </w:rPr>
              <w:t xml:space="preserve">转出补充流动资金 </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7"/>
                <w:szCs w:val="17"/>
              </w:rPr>
              <w:t>万元。截至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日，公司尚未归还上述资金至募集资金专户。</w:t>
            </w:r>
          </w:p>
        </w:tc>
      </w:tr>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项目实施出现募集资金 结余的金额及原因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适用</w:t>
            </w:r>
          </w:p>
        </w:tc>
      </w:tr>
      <w:tr>
        <w:trPr>
          <w:trHeight w:val="710"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日，募集资金节余资金共计</w:t>
            </w:r>
            <w:r>
              <w:rPr>
                <w:rFonts w:ascii="Times New Roman" w:eastAsia="Times New Roman" w:hAnsi="Times New Roman" w:cs="Times New Roman"/>
                <w:color w:val="000000"/>
                <w:spacing w:val="0"/>
                <w:w w:val="100"/>
                <w:position w:val="0"/>
                <w:sz w:val="18"/>
                <w:szCs w:val="18"/>
              </w:rPr>
              <w:t>197,751,211.21</w:t>
            </w:r>
            <w:r>
              <w:rPr>
                <w:color w:val="000000"/>
                <w:spacing w:val="0"/>
                <w:w w:val="100"/>
                <w:position w:val="0"/>
                <w:sz w:val="17"/>
                <w:szCs w:val="17"/>
              </w:rPr>
              <w:t>元(已扣除用于暂时性补充流动 资金的</w:t>
            </w:r>
            <w:r>
              <w:rPr>
                <w:rFonts w:ascii="Times New Roman" w:eastAsia="Times New Roman" w:hAnsi="Times New Roman" w:cs="Times New Roman"/>
                <w:color w:val="000000"/>
                <w:spacing w:val="0"/>
                <w:w w:val="100"/>
                <w:position w:val="0"/>
                <w:sz w:val="18"/>
                <w:szCs w:val="18"/>
              </w:rPr>
              <w:t>300,000,000.00</w:t>
            </w:r>
            <w:r>
              <w:rPr>
                <w:color w:val="000000"/>
                <w:spacing w:val="0"/>
                <w:w w:val="100"/>
                <w:position w:val="0"/>
                <w:sz w:val="17"/>
                <w:szCs w:val="17"/>
              </w:rPr>
              <w:t>元)，将用于项目继续实施。</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尚未使用的募集资金用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存放于募集资金专户</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募集资金使用及披露中</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存在的问题或其他情况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319" w:line="1" w:lineRule="exact"/>
      </w:pPr>
    </w:p>
    <w:p>
      <w:pPr>
        <w:pStyle w:val="Style61"/>
        <w:keepNext/>
        <w:keepLines/>
        <w:widowControl w:val="0"/>
        <w:numPr>
          <w:ilvl w:val="0"/>
          <w:numId w:val="7"/>
        </w:numPr>
        <w:shd w:val="clear" w:color="auto" w:fill="auto"/>
        <w:bidi w:val="0"/>
        <w:spacing w:before="0" w:line="240" w:lineRule="auto"/>
        <w:ind w:left="0" w:right="0" w:firstLine="0"/>
        <w:jc w:val="left"/>
      </w:pPr>
      <w:bookmarkStart w:id="264" w:name="bookmark264"/>
      <w:bookmarkStart w:id="265" w:name="bookmark265"/>
      <w:bookmarkStart w:id="266" w:name="bookmark266"/>
      <w:bookmarkStart w:id="267" w:name="bookmark267"/>
      <w:bookmarkEnd w:id="266"/>
      <w:r>
        <w:rPr>
          <w:color w:val="000000"/>
          <w:spacing w:val="0"/>
          <w:w w:val="100"/>
          <w:position w:val="0"/>
        </w:rPr>
        <w:t>募集资金变更项目情况</w:t>
      </w:r>
      <w:bookmarkEnd w:id="264"/>
      <w:bookmarkEnd w:id="265"/>
      <w:bookmarkEnd w:id="267"/>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8746" w:right="0" w:firstLine="0"/>
        <w:jc w:val="left"/>
        <w:rPr>
          <w:sz w:val="17"/>
          <w:szCs w:val="17"/>
        </w:rPr>
      </w:pPr>
      <w:r>
        <w:rPr>
          <w:rFonts w:ascii="SimSun" w:eastAsia="SimSun" w:hAnsi="SimSun" w:cs="SimSun"/>
          <w:color w:val="000000"/>
          <w:spacing w:val="0"/>
          <w:w w:val="100"/>
          <w:position w:val="0"/>
          <w:sz w:val="17"/>
          <w:szCs w:val="17"/>
        </w:rPr>
        <w:t>单位：万元</w:t>
      </w:r>
    </w:p>
    <w:tbl>
      <w:tblPr>
        <w:tblOverlap w:val="never"/>
        <w:jc w:val="center"/>
        <w:tblLayout w:type="fixed"/>
      </w:tblPr>
      <w:tblGrid>
        <w:gridCol w:w="970"/>
        <w:gridCol w:w="960"/>
        <w:gridCol w:w="950"/>
        <w:gridCol w:w="960"/>
        <w:gridCol w:w="965"/>
        <w:gridCol w:w="955"/>
        <w:gridCol w:w="950"/>
        <w:gridCol w:w="960"/>
        <w:gridCol w:w="965"/>
        <w:gridCol w:w="970"/>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400" w:right="0" w:hanging="400"/>
              <w:jc w:val="both"/>
              <w:rPr>
                <w:sz w:val="17"/>
                <w:szCs w:val="17"/>
              </w:rPr>
            </w:pPr>
            <w:r>
              <w:rPr>
                <w:color w:val="000000"/>
                <w:spacing w:val="0"/>
                <w:w w:val="100"/>
                <w:position w:val="0"/>
                <w:sz w:val="17"/>
                <w:szCs w:val="17"/>
              </w:rPr>
              <w:t>变更后的项 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对应的原承</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诺项目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变更后项目</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拟投入募集</w:t>
            </w:r>
          </w:p>
          <w:p>
            <w:pPr>
              <w:pStyle w:val="Style2"/>
              <w:keepNext w:val="0"/>
              <w:keepLines w:val="0"/>
              <w:widowControl w:val="0"/>
              <w:shd w:val="clear" w:color="auto" w:fill="auto"/>
              <w:bidi w:val="0"/>
              <w:spacing w:before="0" w:after="160" w:line="240" w:lineRule="auto"/>
              <w:ind w:left="0" w:right="0" w:firstLine="0"/>
              <w:jc w:val="center"/>
              <w:rPr>
                <w:sz w:val="17"/>
                <w:szCs w:val="17"/>
              </w:rPr>
            </w:pPr>
            <w:r>
              <w:rPr>
                <w:color w:val="000000"/>
                <w:spacing w:val="0"/>
                <w:w w:val="100"/>
                <w:position w:val="0"/>
                <w:sz w:val="17"/>
                <w:szCs w:val="17"/>
              </w:rPr>
              <w:t>资金总额</w:t>
            </w:r>
          </w:p>
          <w:p>
            <w:pPr>
              <w:pStyle w:val="Style2"/>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本报告期实</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际投入金额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7"/>
                <w:szCs w:val="17"/>
              </w:rPr>
              <w:t>截至期末实 际累计投入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截至期末投</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资进度</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项目达到预</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定可使用状</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态日期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本报告期实 现的效益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是否达到预 计效益</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变更后的项 目可行性是 否发生重大 变化</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 xml:space="preserve">新一代智慧 医疗一体化 </w:t>
            </w:r>
            <w:r>
              <w:rPr>
                <w:rFonts w:ascii="Times New Roman" w:eastAsia="Times New Roman" w:hAnsi="Times New Roman" w:cs="Times New Roman"/>
                <w:color w:val="000000"/>
                <w:spacing w:val="0"/>
                <w:w w:val="100"/>
                <w:position w:val="0"/>
                <w:sz w:val="18"/>
                <w:szCs w:val="18"/>
              </w:rPr>
              <w:t>HIS</w:t>
            </w:r>
            <w:r>
              <w:rPr>
                <w:color w:val="000000"/>
                <w:spacing w:val="0"/>
                <w:w w:val="100"/>
                <w:position w:val="0"/>
                <w:sz w:val="17"/>
                <w:szCs w:val="17"/>
              </w:rPr>
              <w:t>服务平 台及应用系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 xml:space="preserve">新一代智慧 医疗一体化 </w:t>
            </w:r>
            <w:r>
              <w:rPr>
                <w:rFonts w:ascii="Times New Roman" w:eastAsia="Times New Roman" w:hAnsi="Times New Roman" w:cs="Times New Roman"/>
                <w:color w:val="000000"/>
                <w:spacing w:val="0"/>
                <w:w w:val="100"/>
                <w:position w:val="0"/>
                <w:sz w:val="18"/>
                <w:szCs w:val="18"/>
              </w:rPr>
              <w:t>HIS</w:t>
            </w:r>
            <w:r>
              <w:rPr>
                <w:color w:val="000000"/>
                <w:spacing w:val="0"/>
                <w:w w:val="100"/>
                <w:position w:val="0"/>
                <w:sz w:val="17"/>
                <w:szCs w:val="17"/>
              </w:rPr>
              <w:t>服务平 台及应用系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7,517.53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24,979.45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智慧养老综 合服务平台 及其智能物 联云平台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智慧养老综 合服务平台 及其智能物 联云平台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12,610.13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39,848.04</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4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186" w:hRule="exact"/>
        </w:trPr>
        <w:tc>
          <w:tcPr>
            <w:gridSpan w:val="3"/>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7"/>
                <w:szCs w:val="17"/>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在“新一代智慧医疗一体化</w:t>
            </w:r>
            <w:r>
              <w:rPr>
                <w:rFonts w:ascii="Times New Roman" w:eastAsia="Times New Roman" w:hAnsi="Times New Roman" w:cs="Times New Roman"/>
                <w:color w:val="000000"/>
                <w:spacing w:val="0"/>
                <w:w w:val="100"/>
                <w:position w:val="0"/>
                <w:sz w:val="18"/>
                <w:szCs w:val="18"/>
              </w:rPr>
              <w:t>HIS</w:t>
            </w:r>
            <w:r>
              <w:rPr>
                <w:color w:val="000000"/>
                <w:spacing w:val="0"/>
                <w:w w:val="100"/>
                <w:position w:val="0"/>
                <w:sz w:val="17"/>
                <w:szCs w:val="17"/>
              </w:rPr>
              <w:t>服务平台及应用系统”项目和“智慧养老综合服务平 台及其智能物联云平台”项目的推进过程中，公司根据实际建设的情况，结合最新政 策、行业趋势、市场形势、技术更新、信息安全及国产化适配等多重因素，针对两个 项目建设过程中分别出现的新需求和新变化做出了调整和更新，所以项目整体进度有 所延后。在疫情的出现和反复期间，公司配合各级政府投入大量技术人员支持疫情防 控相关工作，在一定程度上也影响了两个项目的进度。同时，公司在应对疫情中积累 的相关成果和经验，也需要一定时间来继续开发、深化并分别运用到两个项目的技术 延伸和管理中，以完成项目建设的不断优化。</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同时两个项目在建设过程中，由于政策调整、监管标准出台、技术更新、信息安全需 求提升以及行业市场趋势变化等因素影响，原先需要购买的硬件设备减少，需要的软 件研发投入增加。为实现资源的优化配置，加大项目建设过程中创新开发的投入，公 司拟调整该项目的投资结构，调减硬件设备费用、软件费用，调增研发支出、项目外 包费、平台设计研发费、产品设计研发费。</w:t>
            </w:r>
          </w:p>
        </w:tc>
      </w:tr>
    </w:tbl>
    <w:p>
      <w:pPr>
        <w:spacing w:lineRule="exact" w:line="1"/>
        <w:rPr>
          <w:sz w:val="2"/>
          <w:szCs w:val="2"/>
        </w:rPr>
      </w:pPr>
      <w:r>
        <w:br w:type="page"/>
      </w:r>
    </w:p>
    <w:tbl>
      <w:tblPr>
        <w:tblOverlap w:val="never"/>
        <w:jc w:val="center"/>
        <w:tblLayout w:type="fixed"/>
      </w:tblPr>
      <w:tblGrid>
        <w:gridCol w:w="2880"/>
        <w:gridCol w:w="6725"/>
      </w:tblGrid>
      <w:tr>
        <w:trPr>
          <w:trHeight w:val="349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日召开第七届董事会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年第十一次临时会议、第七届监事 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年第九次临时会议，审议通过了《关于部分募集资金投资项目延期的议案》； 同意公司根据募集资金投资项目实际实施的内外部情况，结合最新政策、行业趋势、 市场形势、技术更新以及疫情影响等因素，基于审慎原则，对募集资金投资项目“新 一代智慧医疗一体化</w:t>
            </w:r>
            <w:r>
              <w:rPr>
                <w:rFonts w:ascii="Times New Roman" w:eastAsia="Times New Roman" w:hAnsi="Times New Roman" w:cs="Times New Roman"/>
                <w:color w:val="000000"/>
                <w:spacing w:val="0"/>
                <w:w w:val="100"/>
                <w:position w:val="0"/>
                <w:sz w:val="18"/>
                <w:szCs w:val="18"/>
              </w:rPr>
              <w:t>HIS</w:t>
            </w:r>
            <w:r>
              <w:rPr>
                <w:color w:val="000000"/>
                <w:spacing w:val="0"/>
                <w:w w:val="100"/>
                <w:position w:val="0"/>
                <w:sz w:val="17"/>
                <w:szCs w:val="17"/>
              </w:rPr>
              <w:t>服务平台及应用系统”和“智慧养老综合服务平台及其智能 物联云平台”的进度进行调整，预计项目达到可使用状态日期均延长至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日，项目投资总额和建设规模均不变。同次会议审议通过了《关于部分募集资金投 资项目投资结构调整的议案》，同意公司基于审慎原则，在对募集资金投资项目''新 一代智慧医疗一体化</w:t>
            </w:r>
            <w:r>
              <w:rPr>
                <w:rFonts w:ascii="Times New Roman" w:eastAsia="Times New Roman" w:hAnsi="Times New Roman" w:cs="Times New Roman"/>
                <w:color w:val="000000"/>
                <w:spacing w:val="0"/>
                <w:w w:val="100"/>
                <w:position w:val="0"/>
                <w:sz w:val="18"/>
                <w:szCs w:val="18"/>
              </w:rPr>
              <w:t>HIS</w:t>
            </w:r>
            <w:r>
              <w:rPr>
                <w:color w:val="000000"/>
                <w:spacing w:val="0"/>
                <w:w w:val="100"/>
                <w:position w:val="0"/>
                <w:sz w:val="17"/>
                <w:szCs w:val="17"/>
              </w:rPr>
              <w:t>服务平台及应用系统”和“智慧养老综合服务平台及其智能 物联云平台”调整进度的基础上，结合内外部的情况及项目建设需求，对项目的投资 结构进行部分调整，项目投资总额和建设规模均不变。</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未达到计划进度或预计收益的情况 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r>
        <w:trPr>
          <w:trHeight w:val="71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变更后的项目可行性发生重大变化 的情况说明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bl>
    <w:p>
      <w:pPr>
        <w:widowControl w:val="0"/>
        <w:spacing w:after="359" w:line="1" w:lineRule="exact"/>
      </w:pPr>
    </w:p>
    <w:p>
      <w:pPr>
        <w:pStyle w:val="Style24"/>
        <w:keepNext/>
        <w:keepLines/>
        <w:widowControl w:val="0"/>
        <w:shd w:val="clear" w:color="auto" w:fill="auto"/>
        <w:bidi w:val="0"/>
        <w:spacing w:before="0" w:after="360" w:line="240" w:lineRule="auto"/>
        <w:ind w:left="0" w:right="0" w:firstLine="0"/>
        <w:jc w:val="left"/>
      </w:pPr>
      <w:bookmarkStart w:id="268" w:name="bookmark268"/>
      <w:bookmarkStart w:id="269" w:name="bookmark269"/>
      <w:bookmarkStart w:id="270" w:name="bookmark270"/>
      <w:bookmarkStart w:id="271" w:name="bookmark271"/>
      <w:r>
        <w:rPr>
          <w:color w:val="000000"/>
          <w:spacing w:val="0"/>
          <w:w w:val="100"/>
          <w:position w:val="0"/>
        </w:rPr>
        <w:t>八</w:t>
      </w:r>
      <w:bookmarkEnd w:id="270"/>
      <w:r>
        <w:rPr>
          <w:color w:val="000000"/>
          <w:spacing w:val="0"/>
          <w:w w:val="100"/>
          <w:position w:val="0"/>
        </w:rPr>
        <w:t>、重大资产和股权出售</w:t>
      </w:r>
      <w:bookmarkEnd w:id="268"/>
      <w:bookmarkEnd w:id="269"/>
      <w:bookmarkEnd w:id="271"/>
    </w:p>
    <w:p>
      <w:pPr>
        <w:pStyle w:val="Style33"/>
        <w:keepNext/>
        <w:keepLines/>
        <w:widowControl w:val="0"/>
        <w:shd w:val="clear" w:color="auto" w:fill="auto"/>
        <w:tabs>
          <w:tab w:pos="358" w:val="left"/>
        </w:tabs>
        <w:bidi w:val="0"/>
        <w:spacing w:before="0" w:after="360" w:line="240" w:lineRule="auto"/>
        <w:ind w:left="0" w:right="0" w:firstLine="0"/>
        <w:jc w:val="left"/>
      </w:pPr>
      <w:bookmarkStart w:id="272" w:name="bookmark272"/>
      <w:bookmarkStart w:id="273" w:name="bookmark273"/>
      <w:bookmarkStart w:id="274" w:name="bookmark274"/>
      <w:bookmarkStart w:id="275" w:name="bookmark275"/>
      <w:r>
        <w:rPr>
          <w:rFonts w:ascii="Times New Roman" w:eastAsia="Times New Roman" w:hAnsi="Times New Roman" w:cs="Times New Roman"/>
          <w:color w:val="000000"/>
          <w:spacing w:val="0"/>
          <w:w w:val="100"/>
          <w:position w:val="0"/>
        </w:rPr>
        <w:t>1</w:t>
      </w:r>
      <w:bookmarkEnd w:id="274"/>
      <w:r>
        <w:rPr>
          <w:color w:val="000000"/>
          <w:spacing w:val="0"/>
          <w:w w:val="100"/>
          <w:position w:val="0"/>
        </w:rPr>
        <w:t>、</w:t>
        <w:tab/>
        <w:t>出售重大资产情况</w:t>
      </w:r>
      <w:bookmarkEnd w:id="272"/>
      <w:bookmarkEnd w:id="273"/>
      <w:bookmarkEnd w:id="275"/>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3"/>
        <w:keepNext/>
        <w:keepLines/>
        <w:widowControl w:val="0"/>
        <w:shd w:val="clear" w:color="auto" w:fill="auto"/>
        <w:tabs>
          <w:tab w:pos="368" w:val="left"/>
        </w:tabs>
        <w:bidi w:val="0"/>
        <w:spacing w:before="0" w:after="400" w:line="240" w:lineRule="auto"/>
        <w:ind w:left="0" w:right="0" w:firstLine="0"/>
        <w:jc w:val="left"/>
      </w:pPr>
      <w:bookmarkStart w:id="276" w:name="bookmark276"/>
      <w:bookmarkStart w:id="277" w:name="bookmark277"/>
      <w:bookmarkStart w:id="278" w:name="bookmark278"/>
      <w:bookmarkStart w:id="279" w:name="bookmark279"/>
      <w:r>
        <w:rPr>
          <w:rFonts w:ascii="Times New Roman" w:eastAsia="Times New Roman" w:hAnsi="Times New Roman" w:cs="Times New Roman"/>
          <w:color w:val="000000"/>
          <w:spacing w:val="0"/>
          <w:w w:val="100"/>
          <w:position w:val="0"/>
        </w:rPr>
        <w:t>2</w:t>
      </w:r>
      <w:bookmarkEnd w:id="278"/>
      <w:r>
        <w:rPr>
          <w:color w:val="000000"/>
          <w:spacing w:val="0"/>
          <w:w w:val="100"/>
          <w:position w:val="0"/>
        </w:rPr>
        <w:t>、</w:t>
        <w:tab/>
        <w:t>出售重大股权情况</w:t>
      </w:r>
      <w:bookmarkEnd w:id="276"/>
      <w:bookmarkEnd w:id="277"/>
      <w:bookmarkEnd w:id="279"/>
    </w:p>
    <w:p>
      <w:pPr>
        <w:pStyle w:val="Style29"/>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734"/>
        <w:gridCol w:w="1138"/>
        <w:gridCol w:w="576"/>
        <w:gridCol w:w="854"/>
        <w:gridCol w:w="1032"/>
        <w:gridCol w:w="672"/>
        <w:gridCol w:w="1046"/>
        <w:gridCol w:w="792"/>
        <w:gridCol w:w="432"/>
        <w:gridCol w:w="566"/>
        <w:gridCol w:w="715"/>
        <w:gridCol w:w="1166"/>
      </w:tblGrid>
      <w:tr>
        <w:trPr>
          <w:trHeight w:val="52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本期初起至</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股权出售为</w:t>
            </w:r>
          </w:p>
        </w:tc>
        <w:tc>
          <w:tcPr>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是否 为关 联交 易</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与交</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所涉及</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是否按计划如 期实施，如未 按计划实施， 应当说明原因 及公司已采取 的措施</w:t>
            </w:r>
          </w:p>
        </w:tc>
      </w:tr>
      <w:tr>
        <w:trPr>
          <w:trHeight w:val="1440" w:hRule="exact"/>
        </w:trPr>
        <w:tc>
          <w:tcPr>
            <w:tcBorders>
              <w:left w:val="single" w:sz="4"/>
            </w:tcBorders>
            <w:shd w:val="clear" w:color="auto" w:fill="D4D4D4"/>
            <w:vAlign w:val="top"/>
          </w:tcPr>
          <w:p>
            <w:pPr>
              <w:pStyle w:val="Style2"/>
              <w:keepNext w:val="0"/>
              <w:keepLines w:val="0"/>
              <w:widowControl w:val="0"/>
              <w:shd w:val="clear" w:color="auto" w:fill="auto"/>
              <w:bidi w:val="0"/>
              <w:spacing w:before="100" w:after="0" w:line="312" w:lineRule="exact"/>
              <w:ind w:left="0" w:right="0" w:firstLine="0"/>
              <w:jc w:val="center"/>
              <w:rPr>
                <w:sz w:val="17"/>
                <w:szCs w:val="17"/>
              </w:rPr>
            </w:pPr>
            <w:r>
              <w:rPr>
                <w:color w:val="000000"/>
                <w:spacing w:val="0"/>
                <w:w w:val="100"/>
                <w:position w:val="0"/>
                <w:sz w:val="17"/>
                <w:szCs w:val="17"/>
              </w:rPr>
              <w:t>交易对 方</w:t>
            </w:r>
          </w:p>
        </w:tc>
        <w:tc>
          <w:tcPr>
            <w:tcBorders>
              <w:left w:val="single" w:sz="4"/>
            </w:tcBorders>
            <w:shd w:val="clear" w:color="auto" w:fill="D4D4D4"/>
            <w:vAlign w:val="top"/>
          </w:tcPr>
          <w:p>
            <w:pPr>
              <w:pStyle w:val="Style2"/>
              <w:keepNext w:val="0"/>
              <w:keepLines w:val="0"/>
              <w:widowControl w:val="0"/>
              <w:shd w:val="clear" w:color="auto" w:fill="auto"/>
              <w:bidi w:val="0"/>
              <w:spacing w:before="360" w:after="0" w:line="240" w:lineRule="auto"/>
              <w:ind w:left="0" w:right="0" w:firstLine="0"/>
              <w:jc w:val="left"/>
              <w:rPr>
                <w:sz w:val="17"/>
                <w:szCs w:val="17"/>
              </w:rPr>
            </w:pPr>
            <w:r>
              <w:rPr>
                <w:color w:val="000000"/>
                <w:spacing w:val="0"/>
                <w:w w:val="100"/>
                <w:position w:val="0"/>
                <w:sz w:val="17"/>
                <w:szCs w:val="17"/>
              </w:rPr>
              <w:t>被出售股权</w:t>
            </w:r>
          </w:p>
        </w:tc>
        <w:tc>
          <w:tcPr>
            <w:tcBorders>
              <w:left w:val="single" w:sz="4"/>
            </w:tcBorders>
            <w:shd w:val="clear" w:color="auto" w:fill="D4D4D4"/>
            <w:vAlign w:val="top"/>
          </w:tcPr>
          <w:p>
            <w:pPr>
              <w:pStyle w:val="Style2"/>
              <w:keepNext w:val="0"/>
              <w:keepLines w:val="0"/>
              <w:widowControl w:val="0"/>
              <w:shd w:val="clear" w:color="auto" w:fill="auto"/>
              <w:bidi w:val="0"/>
              <w:spacing w:before="100" w:after="0" w:line="312" w:lineRule="exact"/>
              <w:ind w:left="0" w:right="0" w:firstLine="0"/>
              <w:jc w:val="center"/>
              <w:rPr>
                <w:sz w:val="17"/>
                <w:szCs w:val="17"/>
              </w:rPr>
            </w:pPr>
            <w:r>
              <w:rPr>
                <w:color w:val="000000"/>
                <w:spacing w:val="0"/>
                <w:w w:val="100"/>
                <w:position w:val="0"/>
                <w:sz w:val="17"/>
                <w:szCs w:val="17"/>
              </w:rPr>
              <w:t>出售 日</w:t>
            </w:r>
          </w:p>
        </w:tc>
        <w:tc>
          <w:tcPr>
            <w:tcBorders>
              <w:left w:val="single" w:sz="4"/>
            </w:tcBorders>
            <w:shd w:val="clear" w:color="auto" w:fill="D4D4D4"/>
            <w:vAlign w:val="top"/>
          </w:tcPr>
          <w:p>
            <w:pPr>
              <w:pStyle w:val="Style2"/>
              <w:keepNext w:val="0"/>
              <w:keepLines w:val="0"/>
              <w:widowControl w:val="0"/>
              <w:shd w:val="clear" w:color="auto" w:fill="auto"/>
              <w:bidi w:val="0"/>
              <w:spacing w:before="220" w:after="120" w:line="240" w:lineRule="auto"/>
              <w:ind w:left="0" w:right="0" w:firstLine="0"/>
              <w:jc w:val="right"/>
              <w:rPr>
                <w:sz w:val="17"/>
                <w:szCs w:val="17"/>
              </w:rPr>
            </w:pPr>
            <w:r>
              <w:rPr>
                <w:color w:val="000000"/>
                <w:spacing w:val="0"/>
                <w:w w:val="100"/>
                <w:position w:val="0"/>
                <w:sz w:val="17"/>
                <w:szCs w:val="17"/>
              </w:rPr>
              <w:t>交易价格</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（万元）</w:t>
            </w: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出售日该股 权为上市公 司贡献的净 利润（万元）</w:t>
            </w:r>
          </w:p>
        </w:tc>
        <w:tc>
          <w:tcPr>
            <w:tcBorders>
              <w:left w:val="single" w:sz="4"/>
            </w:tcBorders>
            <w:shd w:val="clear" w:color="auto" w:fill="D4D4D4"/>
            <w:vAlign w:val="top"/>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出售对</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公司的</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影响</w:t>
            </w: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315" w:lineRule="exact"/>
              <w:ind w:left="0" w:right="0" w:firstLine="0"/>
              <w:jc w:val="center"/>
              <w:rPr>
                <w:sz w:val="17"/>
                <w:szCs w:val="17"/>
              </w:rPr>
            </w:pPr>
            <w:r>
              <w:rPr>
                <w:color w:val="000000"/>
                <w:spacing w:val="0"/>
                <w:w w:val="100"/>
                <w:position w:val="0"/>
                <w:sz w:val="17"/>
                <w:szCs w:val="17"/>
              </w:rPr>
              <w:t>上市公司贡 献的净利润 占净利润总 额的比例</w:t>
            </w:r>
          </w:p>
        </w:tc>
        <w:tc>
          <w:tcPr>
            <w:tcBorders>
              <w:left w:val="single" w:sz="4"/>
            </w:tcBorders>
            <w:shd w:val="clear" w:color="auto" w:fill="D4D4D4"/>
            <w:vAlign w:val="top"/>
          </w:tcPr>
          <w:p>
            <w:pPr>
              <w:pStyle w:val="Style2"/>
              <w:keepNext w:val="0"/>
              <w:keepLines w:val="0"/>
              <w:widowControl w:val="0"/>
              <w:shd w:val="clear" w:color="auto" w:fill="auto"/>
              <w:bidi w:val="0"/>
              <w:spacing w:before="100" w:after="0" w:line="312" w:lineRule="exact"/>
              <w:ind w:left="0" w:right="0" w:firstLine="0"/>
              <w:jc w:val="both"/>
              <w:rPr>
                <w:sz w:val="17"/>
                <w:szCs w:val="17"/>
              </w:rPr>
            </w:pPr>
            <w:r>
              <w:rPr>
                <w:color w:val="000000"/>
                <w:spacing w:val="0"/>
                <w:w w:val="100"/>
                <w:position w:val="0"/>
                <w:sz w:val="17"/>
                <w:szCs w:val="17"/>
              </w:rPr>
              <w:t>股权出售 定价原则</w:t>
            </w:r>
          </w:p>
        </w:tc>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易对 方的 关联 关系</w:t>
            </w:r>
          </w:p>
        </w:tc>
        <w:tc>
          <w:tcPr>
            <w:tcBorders>
              <w:left w:val="single" w:sz="4"/>
            </w:tcBorders>
            <w:shd w:val="clear" w:color="auto" w:fill="D4D4D4"/>
            <w:vAlign w:val="top"/>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的股权</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是否已</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全部过</w:t>
            </w:r>
          </w:p>
          <w:p>
            <w:pPr>
              <w:pStyle w:val="Style2"/>
              <w:keepNext w:val="0"/>
              <w:keepLines w:val="0"/>
              <w:widowControl w:val="0"/>
              <w:shd w:val="clear" w:color="auto" w:fill="auto"/>
              <w:bidi w:val="0"/>
              <w:spacing w:before="0" w:after="120" w:line="240" w:lineRule="auto"/>
              <w:ind w:left="0" w:right="0" w:firstLine="260"/>
              <w:jc w:val="left"/>
              <w:rPr>
                <w:sz w:val="17"/>
                <w:szCs w:val="17"/>
              </w:rPr>
            </w:pPr>
            <w:r>
              <w:rPr>
                <w:color w:val="000000"/>
                <w:spacing w:val="0"/>
                <w:w w:val="100"/>
                <w:position w:val="0"/>
                <w:sz w:val="17"/>
                <w:szCs w:val="17"/>
              </w:rPr>
              <w:t>户</w:t>
            </w:r>
          </w:p>
        </w:tc>
        <w:tc>
          <w:tcPr>
            <w:vMerge/>
            <w:tcBorders>
              <w:left w:val="single" w:sz="4"/>
              <w:right w:val="single" w:sz="4"/>
            </w:tcBorders>
            <w:shd w:val="clear" w:color="auto" w:fill="D4D4D4"/>
            <w:vAlign w:val="center"/>
          </w:tcPr>
          <w:p>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过丽萍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0" w:lineRule="exact"/>
              <w:ind w:left="0" w:right="0" w:firstLine="0"/>
              <w:jc w:val="left"/>
              <w:rPr>
                <w:sz w:val="17"/>
                <w:szCs w:val="17"/>
              </w:rPr>
            </w:pPr>
            <w:r>
              <w:rPr>
                <w:color w:val="000000"/>
                <w:spacing w:val="0"/>
                <w:w w:val="100"/>
                <w:position w:val="0"/>
                <w:sz w:val="17"/>
                <w:szCs w:val="17"/>
              </w:rPr>
              <w:t>持有上海昕鼎 网络科技有限 公司约</w:t>
            </w:r>
          </w:p>
          <w:p>
            <w:pPr>
              <w:pStyle w:val="Style2"/>
              <w:keepNext w:val="0"/>
              <w:keepLines w:val="0"/>
              <w:widowControl w:val="0"/>
              <w:shd w:val="clear" w:color="auto" w:fill="auto"/>
              <w:bidi w:val="0"/>
              <w:spacing w:before="0" w:after="0" w:line="36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34.23</w:t>
            </w:r>
            <w:r>
              <w:rPr>
                <w:color w:val="000000"/>
                <w:spacing w:val="0"/>
                <w:w w:val="100"/>
                <w:position w:val="0"/>
                <w:sz w:val="17"/>
                <w:szCs w:val="17"/>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以审计净 资产价值 为基准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按计划实施</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持有上海全程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以审计净 资产价值 为基准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4"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熙投资 发展有 限公司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玖玖健康服务 有限公司</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7"/>
                <w:szCs w:val="17"/>
              </w:rPr>
              <w:t>股权</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w:t>
            </w:r>
          </w:p>
        </w:tc>
        <w:tc>
          <w:tcPr>
            <w:tcBorders>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220" w:after="0" w:line="240" w:lineRule="auto"/>
              <w:ind w:left="0" w:right="0" w:firstLine="0"/>
              <w:jc w:val="both"/>
              <w:rPr>
                <w:sz w:val="17"/>
                <w:szCs w:val="17"/>
              </w:rPr>
            </w:pPr>
            <w:r>
              <w:rPr>
                <w:color w:val="000000"/>
                <w:spacing w:val="0"/>
                <w:w w:val="100"/>
                <w:position w:val="0"/>
                <w:sz w:val="17"/>
                <w:szCs w:val="17"/>
              </w:rPr>
              <w:t>否</w:t>
            </w:r>
          </w:p>
        </w:tc>
        <w:tc>
          <w:tcPr>
            <w:tcBorders>
              <w:left w:val="single" w:sz="4"/>
            </w:tcBorders>
            <w:shd w:val="clear" w:color="auto" w:fill="FFFFFF"/>
            <w:vAlign w:val="top"/>
          </w:tcPr>
          <w:p>
            <w:pPr>
              <w:pStyle w:val="Style2"/>
              <w:keepNext w:val="0"/>
              <w:keepLines w:val="0"/>
              <w:widowControl w:val="0"/>
              <w:shd w:val="clear" w:color="auto" w:fill="auto"/>
              <w:bidi w:val="0"/>
              <w:spacing w:before="220" w:after="0" w:line="240" w:lineRule="auto"/>
              <w:ind w:left="0" w:right="0" w:firstLine="0"/>
              <w:jc w:val="left"/>
              <w:rPr>
                <w:sz w:val="17"/>
                <w:szCs w:val="17"/>
              </w:rPr>
            </w:pPr>
            <w:r>
              <w:rPr>
                <w:color w:val="000000"/>
                <w:spacing w:val="0"/>
                <w:w w:val="100"/>
                <w:position w:val="0"/>
                <w:sz w:val="17"/>
                <w:szCs w:val="17"/>
              </w:rPr>
              <w:t>无</w:t>
            </w:r>
          </w:p>
        </w:tc>
        <w:tc>
          <w:tcPr>
            <w:tcBorders>
              <w:left w:val="single" w:sz="4"/>
            </w:tcBorders>
            <w:shd w:val="clear" w:color="auto" w:fill="FFFFFF"/>
            <w:vAlign w:val="top"/>
          </w:tcPr>
          <w:p>
            <w:pPr>
              <w:pStyle w:val="Style2"/>
              <w:keepNext w:val="0"/>
              <w:keepLines w:val="0"/>
              <w:widowControl w:val="0"/>
              <w:shd w:val="clear" w:color="auto" w:fill="auto"/>
              <w:bidi w:val="0"/>
              <w:spacing w:before="220" w:after="0" w:line="240" w:lineRule="auto"/>
              <w:ind w:left="0" w:right="0" w:firstLine="0"/>
              <w:jc w:val="left"/>
              <w:rPr>
                <w:sz w:val="17"/>
                <w:szCs w:val="17"/>
              </w:rPr>
            </w:pPr>
            <w:r>
              <w:rPr>
                <w:color w:val="000000"/>
                <w:spacing w:val="0"/>
                <w:w w:val="100"/>
                <w:position w:val="0"/>
                <w:sz w:val="17"/>
                <w:szCs w:val="17"/>
              </w:rPr>
              <w:t>是</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220" w:after="0" w:line="240" w:lineRule="auto"/>
              <w:ind w:left="0" w:right="0" w:firstLine="0"/>
              <w:jc w:val="both"/>
              <w:rPr>
                <w:sz w:val="17"/>
                <w:szCs w:val="17"/>
              </w:rPr>
            </w:pPr>
            <w:r>
              <w:rPr>
                <w:color w:val="000000"/>
                <w:spacing w:val="0"/>
                <w:w w:val="100"/>
                <w:position w:val="0"/>
                <w:sz w:val="17"/>
                <w:szCs w:val="17"/>
              </w:rPr>
              <w:t>按计划实施</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持有上海慈铭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以审计净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按计划实施，</w:t>
            </w:r>
          </w:p>
        </w:tc>
      </w:tr>
      <w:tr>
        <w:trPr>
          <w:trHeight w:val="317"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曦科技</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智能网络科技</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资产价值</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月完</w:t>
            </w:r>
          </w:p>
        </w:tc>
      </w:tr>
    </w:tbl>
    <w:p>
      <w:pPr>
        <w:spacing w:lineRule="exact" w:line="1"/>
        <w:rPr>
          <w:sz w:val="2"/>
          <w:szCs w:val="2"/>
        </w:rPr>
      </w:pPr>
      <w:r>
        <w:br w:type="page"/>
      </w:r>
    </w:p>
    <w:tbl>
      <w:tblPr>
        <w:tblOverlap w:val="never"/>
        <w:jc w:val="center"/>
        <w:tblLayout w:type="fixed"/>
      </w:tblPr>
      <w:tblGrid>
        <w:gridCol w:w="730"/>
        <w:gridCol w:w="1142"/>
        <w:gridCol w:w="576"/>
        <w:gridCol w:w="850"/>
        <w:gridCol w:w="1037"/>
        <w:gridCol w:w="672"/>
        <w:gridCol w:w="1042"/>
        <w:gridCol w:w="797"/>
        <w:gridCol w:w="432"/>
        <w:gridCol w:w="562"/>
        <w:gridCol w:w="710"/>
        <w:gridCol w:w="1176"/>
      </w:tblGrid>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中心（有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有限责任公司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46.9%</w:t>
            </w:r>
            <w:r>
              <w:rPr>
                <w:color w:val="000000"/>
                <w:spacing w:val="0"/>
                <w:w w:val="100"/>
                <w:position w:val="0"/>
                <w:sz w:val="17"/>
                <w:szCs w:val="17"/>
              </w:rPr>
              <w:t>股权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为基准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成股权转让变</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更登记</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280" w:name="bookmark280"/>
      <w:bookmarkStart w:id="281" w:name="bookmark281"/>
      <w:bookmarkStart w:id="282" w:name="bookmark282"/>
      <w:bookmarkStart w:id="283" w:name="bookmark283"/>
      <w:r>
        <w:rPr>
          <w:color w:val="000000"/>
          <w:spacing w:val="0"/>
          <w:w w:val="100"/>
          <w:position w:val="0"/>
        </w:rPr>
        <w:t>九</w:t>
      </w:r>
      <w:bookmarkEnd w:id="282"/>
      <w:r>
        <w:rPr>
          <w:color w:val="000000"/>
          <w:spacing w:val="0"/>
          <w:w w:val="100"/>
          <w:position w:val="0"/>
        </w:rPr>
        <w:t>、主要控股参股公司分析</w:t>
      </w:r>
      <w:bookmarkEnd w:id="280"/>
      <w:bookmarkEnd w:id="281"/>
      <w:bookmarkEnd w:id="283"/>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152"/>
        <w:gridCol w:w="562"/>
        <w:gridCol w:w="422"/>
        <w:gridCol w:w="1282"/>
        <w:gridCol w:w="1277"/>
        <w:gridCol w:w="1272"/>
        <w:gridCol w:w="1286"/>
        <w:gridCol w:w="1128"/>
        <w:gridCol w:w="1210"/>
      </w:tblGrid>
      <w:tr>
        <w:trPr>
          <w:trHeight w:val="72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公司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主要</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注册资本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60" w:firstLine="0"/>
              <w:jc w:val="right"/>
              <w:rPr>
                <w:sz w:val="17"/>
                <w:szCs w:val="17"/>
              </w:rPr>
            </w:pPr>
            <w:r>
              <w:rPr>
                <w:color w:val="000000"/>
                <w:spacing w:val="0"/>
                <w:w w:val="100"/>
                <w:position w:val="0"/>
                <w:sz w:val="17"/>
                <w:szCs w:val="17"/>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营业利润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净利润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宁波万达信息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软件</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121,124.93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-3,024,160.14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-122,532.94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-124,030.12</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杭州万达信息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软件</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686,317.73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-27,427,045.81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-2,197,292.36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-2,202,301.36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美国万达信息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软件</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455,359.20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7,633,498.09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7,622,710.41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-1,764,713.19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-1,775,051.59</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上海万达信息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软件</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835,286,277.82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114,885,561.39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686,954,260.76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4,413,487.68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4,562,673.17</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深圳市万达信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软件</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1,148,054.53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-23,878,050.34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966,438.67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-4,560,891.84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-4,557,934.77</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上海爱递吉供</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应链管理服务</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商务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523,869.18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-14,553,390.61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392,677.27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-80,471.84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-80,471.84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上海万达信息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9,043,869.75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9,043,869.75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-77,739.93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-179,474.88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-179,474.88</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上海卫生信息</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工程技术研究</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中心有限公司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软件</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28,089,500.64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25,141,859.14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768,910.48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768,910.48</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天津万达信息</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技术有限责任</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软件</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123,371.56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-2,142,295.62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-2,004,479.37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-2,004,522.62</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上海格言管理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商务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210,953.86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210,953.86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-1,182.75</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四川浩特通信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软件</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66,886,471.56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801,532,696.91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32,278,377.32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87,878,861.09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3,043,173.31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1,751,096.43</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上海华奕医疗</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信息技术有限</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软件</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1,932,492.00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10,078,619.60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3,902,789.75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10,149,941.73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1,257,555.50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1,222,002.20</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宁波金唐软件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软件</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348,369,735.63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151,549,018.89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235,586,856.11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54,120,495.96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48,995,395.59</w:t>
            </w:r>
          </w:p>
        </w:tc>
      </w:tr>
    </w:tbl>
    <w:p>
      <w:pPr>
        <w:spacing w:lineRule="exact" w:line="1"/>
        <w:rPr>
          <w:sz w:val="2"/>
          <w:szCs w:val="2"/>
        </w:rPr>
      </w:pPr>
      <w:r>
        <w:br w:type="page"/>
      </w:r>
    </w:p>
    <w:tbl>
      <w:tblPr>
        <w:tblOverlap w:val="never"/>
        <w:jc w:val="center"/>
        <w:tblLayout w:type="fixed"/>
      </w:tblPr>
      <w:tblGrid>
        <w:gridCol w:w="1152"/>
        <w:gridCol w:w="562"/>
        <w:gridCol w:w="422"/>
        <w:gridCol w:w="1282"/>
        <w:gridCol w:w="1277"/>
        <w:gridCol w:w="1272"/>
        <w:gridCol w:w="1286"/>
        <w:gridCol w:w="1128"/>
        <w:gridCol w:w="1210"/>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公司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主要</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注册资本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60" w:firstLine="0"/>
              <w:jc w:val="right"/>
              <w:rPr>
                <w:sz w:val="17"/>
                <w:szCs w:val="17"/>
              </w:rPr>
            </w:pPr>
            <w:r>
              <w:rPr>
                <w:color w:val="000000"/>
                <w:spacing w:val="0"/>
                <w:w w:val="100"/>
                <w:position w:val="0"/>
                <w:sz w:val="17"/>
                <w:szCs w:val="17"/>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营业利润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净利润</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上海复高计算 机科技有限公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408,978229.29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380,844,324.02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51,386,716.42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207,447.31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884,596.14</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湖南凯歌医疗</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信息技术有限</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软件</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13,443,894.18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7,152,620.41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-727,049.26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-727,049.26</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上海市民信箱</w:t>
            </w:r>
          </w:p>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信息服务有限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软件</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46250,000.00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58,850286.44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44,237,735.66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34,533,936.79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4,795,077.33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4,792,673.44</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湖南万达智慧 城市信息技术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软件</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8,848,756.47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4,341,066.57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-966,069.92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-966,069.92</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永州潇湘云技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软件</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-32,163.88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-4,332.82</w:t>
            </w:r>
          </w:p>
        </w:tc>
      </w:tr>
      <w:tr>
        <w:trPr>
          <w:trHeight w:val="13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万达云医疗科</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技健康产业</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（上海）有限</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170,957.81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169,957.81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1,784,765.45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1,784,765.45</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四川万达智城 云数据有限公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软件</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327,588.40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-2,935,501.60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-439,523.65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-439,523.65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四川万达健康</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数据有限公司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软件</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468,620.77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246,267.46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5,908.63</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宁波市万达数</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据应用服务有</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软件</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101,457,319.00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41,161,398.11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33,324,567.52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317,651.60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317,651.60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万达志翔医疗 科技（北京） 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8,816,603.42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7,801,605.82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-3,530,734.52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-3,531,006.38</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上海爱可及医</w:t>
            </w:r>
          </w:p>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疗科技有限公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6,940,535.46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6,606,236.47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3,053,395.57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-795,592.14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-637,529.49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蛮牛健康管理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商务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48,857,063.25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-182,117,443.22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41,907,792.60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-155,417,818.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-155,460,828.5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上海蛮牛健康</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-1,081.95</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上海嘉达信息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3,118,959.65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3,118,734.55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7,613.90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7,253.76</w:t>
            </w:r>
          </w:p>
        </w:tc>
      </w:tr>
    </w:tbl>
    <w:p>
      <w:pPr>
        <w:spacing w:lineRule="exact" w:line="1"/>
        <w:rPr>
          <w:sz w:val="2"/>
          <w:szCs w:val="2"/>
        </w:rPr>
      </w:pPr>
      <w:r>
        <w:br w:type="page"/>
      </w:r>
    </w:p>
    <w:tbl>
      <w:tblPr>
        <w:tblOverlap w:val="never"/>
        <w:jc w:val="center"/>
        <w:tblLayout w:type="fixed"/>
      </w:tblPr>
      <w:tblGrid>
        <w:gridCol w:w="1152"/>
        <w:gridCol w:w="562"/>
        <w:gridCol w:w="422"/>
        <w:gridCol w:w="1282"/>
        <w:gridCol w:w="1277"/>
        <w:gridCol w:w="1272"/>
        <w:gridCol w:w="1286"/>
        <w:gridCol w:w="1128"/>
        <w:gridCol w:w="1210"/>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180" w:right="0" w:hanging="180"/>
              <w:jc w:val="left"/>
              <w:rPr>
                <w:sz w:val="17"/>
                <w:szCs w:val="17"/>
              </w:rPr>
            </w:pPr>
            <w:r>
              <w:rPr>
                <w:color w:val="000000"/>
                <w:spacing w:val="0"/>
                <w:w w:val="100"/>
                <w:position w:val="0"/>
                <w:sz w:val="17"/>
                <w:szCs w:val="17"/>
              </w:rPr>
              <w:t>公司</w:t>
            </w:r>
          </w:p>
          <w:p>
            <w:pPr>
              <w:pStyle w:val="Style2"/>
              <w:keepNext w:val="0"/>
              <w:keepLines w:val="0"/>
              <w:widowControl w:val="0"/>
              <w:shd w:val="clear" w:color="auto" w:fill="auto"/>
              <w:bidi w:val="0"/>
              <w:spacing w:before="0" w:after="0" w:line="240" w:lineRule="auto"/>
              <w:ind w:left="180" w:right="0" w:hanging="180"/>
              <w:jc w:val="left"/>
              <w:rPr>
                <w:sz w:val="17"/>
                <w:szCs w:val="17"/>
              </w:rPr>
            </w:pPr>
            <w:r>
              <w:rPr>
                <w:color w:val="000000"/>
                <w:spacing w:val="0"/>
                <w:w w:val="100"/>
                <w:position w:val="0"/>
                <w:sz w:val="17"/>
                <w:szCs w:val="17"/>
              </w:rPr>
              <w:t>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主要</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净资产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60" w:firstLine="0"/>
              <w:jc w:val="right"/>
              <w:rPr>
                <w:sz w:val="17"/>
                <w:szCs w:val="17"/>
              </w:rPr>
            </w:pPr>
            <w:r>
              <w:rPr>
                <w:color w:val="000000"/>
                <w:spacing w:val="0"/>
                <w:w w:val="100"/>
                <w:position w:val="0"/>
                <w:sz w:val="17"/>
                <w:szCs w:val="17"/>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营业利润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净利润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浙江万信数字</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180" w:right="0" w:hanging="180"/>
              <w:jc w:val="left"/>
              <w:rPr>
                <w:sz w:val="17"/>
                <w:szCs w:val="17"/>
              </w:rPr>
            </w:pPr>
            <w:r>
              <w:rPr>
                <w:color w:val="000000"/>
                <w:spacing w:val="0"/>
                <w:w w:val="100"/>
                <w:position w:val="0"/>
                <w:sz w:val="17"/>
                <w:szCs w:val="17"/>
              </w:rPr>
              <w:t>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18,123,103.35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7,710,150.</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13,643,092.08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-3,445,985.90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-4299,505.46</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四川万信数字</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180" w:right="0" w:hanging="180"/>
              <w:jc w:val="left"/>
              <w:rPr>
                <w:sz w:val="17"/>
                <w:szCs w:val="17"/>
              </w:rPr>
            </w:pPr>
            <w:r>
              <w:rPr>
                <w:color w:val="000000"/>
                <w:spacing w:val="0"/>
                <w:w w:val="100"/>
                <w:position w:val="0"/>
                <w:sz w:val="17"/>
                <w:szCs w:val="17"/>
              </w:rPr>
              <w:t>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180,665,100.54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58,838265.57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198,274,061.20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10255,599.45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7,494,589.78</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上海万达恒安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180" w:right="0" w:hanging="180"/>
              <w:jc w:val="left"/>
              <w:rPr>
                <w:sz w:val="17"/>
                <w:szCs w:val="17"/>
              </w:rPr>
            </w:pPr>
            <w:r>
              <w:rPr>
                <w:color w:val="000000"/>
                <w:spacing w:val="0"/>
                <w:w w:val="100"/>
                <w:position w:val="0"/>
                <w:sz w:val="17"/>
                <w:szCs w:val="17"/>
              </w:rPr>
              <w:t>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5,919,514.47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543,697.92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4,003,497.51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572,313.60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543,697.92</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上海资哲企业</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管理有限责任</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80" w:right="0" w:hanging="180"/>
              <w:jc w:val="left"/>
              <w:rPr>
                <w:sz w:val="17"/>
                <w:szCs w:val="17"/>
              </w:rPr>
            </w:pPr>
            <w:r>
              <w:rPr>
                <w:color w:val="000000"/>
                <w:spacing w:val="0"/>
                <w:w w:val="100"/>
                <w:position w:val="0"/>
                <w:sz w:val="17"/>
                <w:szCs w:val="17"/>
              </w:rPr>
              <w:t>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企业</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1,515,516.30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383.47</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加数度数字科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180" w:right="0" w:hanging="180"/>
              <w:jc w:val="left"/>
              <w:rPr>
                <w:sz w:val="17"/>
                <w:szCs w:val="17"/>
              </w:rPr>
            </w:pPr>
            <w:r>
              <w:rPr>
                <w:color w:val="000000"/>
                <w:spacing w:val="0"/>
                <w:w w:val="100"/>
                <w:position w:val="0"/>
                <w:sz w:val="17"/>
                <w:szCs w:val="17"/>
              </w:rPr>
              <w:t>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软件</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699,558.82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-309,911.95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177,021.70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-309,911.95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-309,911.95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上海浦江科技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参股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实业</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59,540,779.68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59,540,779.68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4,690,118.07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4,678,131.67</w:t>
            </w: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体育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7"/>
                <w:szCs w:val="17"/>
              </w:rPr>
            </w:pPr>
            <w:r>
              <w:rPr>
                <w:color w:val="000000"/>
                <w:spacing w:val="0"/>
                <w:w w:val="100"/>
                <w:position w:val="0"/>
                <w:sz w:val="17"/>
                <w:szCs w:val="17"/>
              </w:rPr>
              <w:t>上海久事智慧</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体育有限公司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参股 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科技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和智</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39,170,000.00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41,464,244.51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4,840,978.07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38,100,019.36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-2,981,882.19</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-2,977,882.19</w:t>
            </w:r>
          </w:p>
        </w:tc>
      </w:tr>
      <w:tr>
        <w:trPr>
          <w:trHeight w:val="34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能化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上海达保贵生 信息科技股份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参股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17,605239.03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4,877,962.32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16,577,660.51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-2,497,544.83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-2,499,486.63</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成都天府市民 云服务有限公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参股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40,126,495.71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32,405,577.75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35,500,044.71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1,581,858.77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1,931,858.77</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长沙市民云信 息服务有限公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参股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4,006,824.68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2,519,557.11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16,159,468.14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1,055,846.53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1,055,846.53</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驻马店天中市 民云服务有限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参股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6,324,914.21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3,171,719.09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9,746,820.38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1,010,735.25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989,053.62</w:t>
            </w:r>
          </w:p>
        </w:tc>
      </w:tr>
      <w:tr>
        <w:trPr>
          <w:trHeight w:val="13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景德镇市国信 瓷都市民云信 息服务有限公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参股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6,930,593.84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5,600,543.64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7,229,821.13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2,824,546.54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2,618,947.63</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临沂容沂办管 理运营有限公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参股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4,293,144.90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4,267,211.12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-619,598.81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-619,593.13</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国菱金达医疗 科技（上海）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参股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医疗</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14,755,917.21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12,554,193.47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13,352,443.84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2,586,541.18</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2,582,828.08</w:t>
            </w:r>
          </w:p>
        </w:tc>
      </w:tr>
    </w:tbl>
    <w:tbl>
      <w:tblPr>
        <w:tblOverlap w:val="never"/>
        <w:jc w:val="center"/>
        <w:tblLayout w:type="fixed"/>
      </w:tblPr>
      <w:tblGrid>
        <w:gridCol w:w="1152"/>
        <w:gridCol w:w="562"/>
        <w:gridCol w:w="427"/>
        <w:gridCol w:w="1277"/>
        <w:gridCol w:w="1282"/>
        <w:gridCol w:w="1272"/>
        <w:gridCol w:w="1282"/>
        <w:gridCol w:w="1128"/>
        <w:gridCol w:w="1210"/>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公司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主要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营业利润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上海牵翼网络</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参股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技术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25,386,305.00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22,176,866.92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30,035,945.71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4,288,177.96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7,051,206.18</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报告期内取得和处置子公司方式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对整体生产经营和业绩的影响</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上海慈铭智能网络科技有限责任公司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无重大影响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加数度数字科技有限公司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无重大影响</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健康云（上海）数字科技有限公司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无重大影响</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河南万达软件技术有限公司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无重大影响</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上海药荟商务咨询有限公司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无重大影响</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主要控股参股公司情况说明</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、控股公司变化情况：</w:t>
      </w:r>
    </w:p>
    <w:p>
      <w:pPr>
        <w:pStyle w:val="Style29"/>
        <w:keepNext w:val="0"/>
        <w:keepLines w:val="0"/>
        <w:widowControl w:val="0"/>
        <w:shd w:val="clear" w:color="auto" w:fill="auto"/>
        <w:tabs>
          <w:tab w:pos="831" w:val="left"/>
        </w:tabs>
        <w:bidi w:val="0"/>
        <w:spacing w:before="0" w:after="0" w:line="317" w:lineRule="exact"/>
        <w:ind w:left="0" w:right="0" w:firstLine="380"/>
        <w:jc w:val="both"/>
      </w:pPr>
      <w:bookmarkStart w:id="284" w:name="bookmark284"/>
      <w:r>
        <w:rPr>
          <w:color w:val="000000"/>
          <w:spacing w:val="0"/>
          <w:w w:val="100"/>
          <w:position w:val="0"/>
        </w:rPr>
        <w:t>（</w:t>
      </w:r>
      <w:bookmarkEnd w:id="28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蛮牛健康管理服务有限公司原注册资本人民币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万元，万达信息持股比例</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月万达信息受让两位 自然人股东各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股权，蛮牛健康管理服务有限公司成为万达信息全资子公司。根据蛮牛健康管理服务有限公司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 股东会决议，同意北京常智企业管理中心（有限合伙）为新股东，公司注册资本由人民币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万元增加到</w:t>
      </w:r>
      <w:r>
        <w:rPr>
          <w:rFonts w:ascii="Times New Roman" w:eastAsia="Times New Roman" w:hAnsi="Times New Roman" w:cs="Times New Roman"/>
          <w:color w:val="000000"/>
          <w:spacing w:val="0"/>
          <w:w w:val="100"/>
          <w:position w:val="0"/>
          <w:sz w:val="18"/>
          <w:szCs w:val="18"/>
        </w:rPr>
        <w:t>6,500</w:t>
      </w:r>
      <w:r>
        <w:rPr>
          <w:color w:val="000000"/>
          <w:spacing w:val="0"/>
          <w:w w:val="100"/>
          <w:position w:val="0"/>
        </w:rPr>
        <w:t>万元。万达 信息持股比例约</w:t>
      </w:r>
      <w:r>
        <w:rPr>
          <w:rFonts w:ascii="Times New Roman" w:eastAsia="Times New Roman" w:hAnsi="Times New Roman" w:cs="Times New Roman"/>
          <w:color w:val="000000"/>
          <w:spacing w:val="0"/>
          <w:w w:val="100"/>
          <w:position w:val="0"/>
          <w:sz w:val="18"/>
          <w:szCs w:val="18"/>
        </w:rPr>
        <w:t>76.92%</w:t>
      </w:r>
      <w:r>
        <w:rPr>
          <w:color w:val="000000"/>
          <w:spacing w:val="0"/>
          <w:w w:val="100"/>
          <w:position w:val="0"/>
        </w:rPr>
        <w:t>，北京常智企业管理中心（有限合伙）持股比例约</w:t>
      </w:r>
      <w:r>
        <w:rPr>
          <w:rFonts w:ascii="Times New Roman" w:eastAsia="Times New Roman" w:hAnsi="Times New Roman" w:cs="Times New Roman"/>
          <w:color w:val="000000"/>
          <w:spacing w:val="0"/>
          <w:w w:val="100"/>
          <w:position w:val="0"/>
          <w:sz w:val="18"/>
          <w:szCs w:val="18"/>
        </w:rPr>
        <w:t>23.08%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日，上述增资工商变更登记 完成。</w:t>
      </w:r>
    </w:p>
    <w:p>
      <w:pPr>
        <w:pStyle w:val="Style2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报告期内，蛮牛健康管理服务有限公司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年实现收入</w:t>
      </w:r>
      <w:r>
        <w:rPr>
          <w:rFonts w:ascii="Times New Roman" w:eastAsia="Times New Roman" w:hAnsi="Times New Roman" w:cs="Times New Roman"/>
          <w:color w:val="000000"/>
          <w:spacing w:val="0"/>
          <w:w w:val="100"/>
          <w:position w:val="0"/>
          <w:sz w:val="18"/>
          <w:szCs w:val="18"/>
        </w:rPr>
        <w:t>4,190.78</w:t>
      </w:r>
      <w:r>
        <w:rPr>
          <w:color w:val="000000"/>
          <w:spacing w:val="0"/>
          <w:w w:val="100"/>
          <w:position w:val="0"/>
        </w:rPr>
        <w:t>万元，同比增加</w:t>
      </w:r>
      <w:r>
        <w:rPr>
          <w:rFonts w:ascii="Times New Roman" w:eastAsia="Times New Roman" w:hAnsi="Times New Roman" w:cs="Times New Roman"/>
          <w:color w:val="000000"/>
          <w:spacing w:val="0"/>
          <w:w w:val="100"/>
          <w:position w:val="0"/>
          <w:sz w:val="18"/>
          <w:szCs w:val="18"/>
        </w:rPr>
        <w:t>3,870.44</w:t>
      </w:r>
      <w:r>
        <w:rPr>
          <w:color w:val="000000"/>
          <w:spacing w:val="0"/>
          <w:w w:val="100"/>
          <w:position w:val="0"/>
        </w:rPr>
        <w:t>万元</w:t>
      </w:r>
      <w:r>
        <w:rPr>
          <w:color w:val="000000"/>
          <w:spacing w:val="0"/>
          <w:w w:val="100"/>
          <w:position w:val="0"/>
          <w:sz w:val="18"/>
          <w:szCs w:val="18"/>
        </w:rPr>
        <w:t>，</w:t>
      </w:r>
      <w:r>
        <w:rPr>
          <w:color w:val="000000"/>
          <w:spacing w:val="0"/>
          <w:w w:val="100"/>
          <w:position w:val="0"/>
        </w:rPr>
        <w:t>归属于上市公司股东净利 润</w:t>
      </w:r>
      <w:r>
        <w:rPr>
          <w:rFonts w:ascii="Times New Roman" w:eastAsia="Times New Roman" w:hAnsi="Times New Roman" w:cs="Times New Roman"/>
          <w:color w:val="000000"/>
          <w:spacing w:val="0"/>
          <w:w w:val="100"/>
          <w:position w:val="0"/>
          <w:sz w:val="18"/>
          <w:szCs w:val="18"/>
        </w:rPr>
        <w:t>-12,729.91</w:t>
      </w:r>
      <w:r>
        <w:rPr>
          <w:color w:val="000000"/>
          <w:spacing w:val="0"/>
          <w:w w:val="100"/>
          <w:position w:val="0"/>
        </w:rPr>
        <w:t>万元，同比增加</w:t>
      </w:r>
      <w:r>
        <w:rPr>
          <w:rFonts w:ascii="Times New Roman" w:eastAsia="Times New Roman" w:hAnsi="Times New Roman" w:cs="Times New Roman"/>
          <w:color w:val="000000"/>
          <w:spacing w:val="0"/>
          <w:w w:val="100"/>
          <w:position w:val="0"/>
          <w:sz w:val="18"/>
          <w:szCs w:val="18"/>
        </w:rPr>
        <w:t>-3,570.58</w:t>
      </w:r>
      <w:r>
        <w:rPr>
          <w:color w:val="000000"/>
          <w:spacing w:val="0"/>
          <w:w w:val="100"/>
          <w:position w:val="0"/>
        </w:rPr>
        <w:t>万元。报告期内蛮牛健康管理服务有限公司业务规模取得突破性进展，开拓了各类健 康增值服务，包括多种类型的健康权益、高端客户肿瘤免疫系统检测服务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IOK</w:t>
      </w:r>
      <w:r>
        <w:rPr>
          <w:color w:val="000000"/>
          <w:spacing w:val="0"/>
          <w:w w:val="100"/>
          <w:position w:val="0"/>
        </w:rPr>
        <w:t>）、</w:t>
      </w:r>
      <w:r>
        <w:rPr>
          <w:color w:val="000000"/>
          <w:spacing w:val="0"/>
          <w:w w:val="100"/>
          <w:position w:val="0"/>
        </w:rPr>
        <w:t>中老年客户心血管健康筛查、保险代理 人健康管理师培训等服务类产品。由于蛮牛健康管理服务有限公司仍处于初创阶段，需要投入大量成本用于产品研发、市场 拓展及日常运维等方面，公司费用率水平较高，</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年销售、管理、研发、财务费用合计</w:t>
      </w:r>
      <w:r>
        <w:rPr>
          <w:rFonts w:ascii="Times New Roman" w:eastAsia="Times New Roman" w:hAnsi="Times New Roman" w:cs="Times New Roman"/>
          <w:color w:val="000000"/>
          <w:spacing w:val="0"/>
          <w:w w:val="100"/>
          <w:position w:val="0"/>
          <w:sz w:val="18"/>
          <w:szCs w:val="18"/>
        </w:rPr>
        <w:t>18,119.36</w:t>
      </w:r>
      <w:r>
        <w:rPr>
          <w:color w:val="000000"/>
          <w:spacing w:val="0"/>
          <w:w w:val="100"/>
          <w:position w:val="0"/>
        </w:rPr>
        <w:t>万元，导致蛮牛健康管理 服务有限公司处于亏损状态。随着公司产品技术的成熟，未来将集中资源突出重点，大力开拓市场，控制费用支出，争取早 日实现扭亏为盈。</w:t>
      </w:r>
    </w:p>
    <w:p>
      <w:pPr>
        <w:pStyle w:val="Style29"/>
        <w:keepNext w:val="0"/>
        <w:keepLines w:val="0"/>
        <w:widowControl w:val="0"/>
        <w:shd w:val="clear" w:color="auto" w:fill="auto"/>
        <w:tabs>
          <w:tab w:pos="831" w:val="left"/>
        </w:tabs>
        <w:bidi w:val="0"/>
        <w:spacing w:before="0" w:after="0" w:line="317" w:lineRule="exact"/>
        <w:ind w:left="0" w:right="0" w:firstLine="380"/>
        <w:jc w:val="both"/>
      </w:pPr>
      <w:bookmarkStart w:id="285" w:name="bookmark285"/>
      <w:r>
        <w:rPr>
          <w:color w:val="000000"/>
          <w:spacing w:val="0"/>
          <w:w w:val="100"/>
          <w:position w:val="0"/>
        </w:rPr>
        <w:t>（</w:t>
      </w:r>
      <w:bookmarkEnd w:id="28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四川万信数字科技有限公司，注册资本人民币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万元，万达信息持股比例</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。报告期内，四川万信数字科 技有限公司实现收入</w:t>
      </w:r>
      <w:r>
        <w:rPr>
          <w:rFonts w:ascii="Times New Roman" w:eastAsia="Times New Roman" w:hAnsi="Times New Roman" w:cs="Times New Roman"/>
          <w:color w:val="000000"/>
          <w:spacing w:val="0"/>
          <w:w w:val="100"/>
          <w:position w:val="0"/>
          <w:sz w:val="18"/>
          <w:szCs w:val="18"/>
        </w:rPr>
        <w:t>19,827.41</w:t>
      </w:r>
      <w:r>
        <w:rPr>
          <w:color w:val="000000"/>
          <w:spacing w:val="0"/>
          <w:w w:val="100"/>
          <w:position w:val="0"/>
        </w:rPr>
        <w:t>万元，同比增加</w:t>
      </w:r>
      <w:r>
        <w:rPr>
          <w:rFonts w:ascii="Times New Roman" w:eastAsia="Times New Roman" w:hAnsi="Times New Roman" w:cs="Times New Roman"/>
          <w:color w:val="000000"/>
          <w:spacing w:val="0"/>
          <w:w w:val="100"/>
          <w:position w:val="0"/>
          <w:sz w:val="18"/>
          <w:szCs w:val="18"/>
        </w:rPr>
        <w:t>7,197.10</w:t>
      </w:r>
      <w:r>
        <w:rPr>
          <w:color w:val="000000"/>
          <w:spacing w:val="0"/>
          <w:w w:val="100"/>
          <w:position w:val="0"/>
        </w:rPr>
        <w:t>万元；实现净利润</w:t>
      </w:r>
      <w:r>
        <w:rPr>
          <w:rFonts w:ascii="Times New Roman" w:eastAsia="Times New Roman" w:hAnsi="Times New Roman" w:cs="Times New Roman"/>
          <w:color w:val="000000"/>
          <w:spacing w:val="0"/>
          <w:w w:val="100"/>
          <w:position w:val="0"/>
          <w:sz w:val="18"/>
          <w:szCs w:val="18"/>
        </w:rPr>
        <w:t>749.46</w:t>
      </w:r>
      <w:r>
        <w:rPr>
          <w:color w:val="000000"/>
          <w:spacing w:val="0"/>
          <w:w w:val="100"/>
          <w:position w:val="0"/>
        </w:rPr>
        <w:t>万元，同比增加</w:t>
      </w:r>
      <w:r>
        <w:rPr>
          <w:rFonts w:ascii="Times New Roman" w:eastAsia="Times New Roman" w:hAnsi="Times New Roman" w:cs="Times New Roman"/>
          <w:color w:val="000000"/>
          <w:spacing w:val="0"/>
          <w:w w:val="100"/>
          <w:position w:val="0"/>
          <w:sz w:val="18"/>
          <w:szCs w:val="18"/>
        </w:rPr>
        <w:t>615.09</w:t>
      </w:r>
      <w:r>
        <w:rPr>
          <w:color w:val="000000"/>
          <w:spacing w:val="0"/>
          <w:w w:val="100"/>
          <w:position w:val="0"/>
        </w:rPr>
        <w:t>万元。报告期内，四川 万信数字科技有限公司充分利用万达信息品牌效应，发挥当地市场资源优势，抓住四川信息化发展的机遇，实现收入规模的 大幅提升；同时，集团内部加强项目管理规范，深化技术人员交流培训，项目毛利也逐步提升。</w:t>
      </w:r>
    </w:p>
    <w:p>
      <w:pPr>
        <w:pStyle w:val="Style2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、参股公司变化情况：</w:t>
      </w:r>
    </w:p>
    <w:p>
      <w:pPr>
        <w:pStyle w:val="Style29"/>
        <w:keepNext w:val="0"/>
        <w:keepLines w:val="0"/>
        <w:widowControl w:val="0"/>
        <w:shd w:val="clear" w:color="auto" w:fill="auto"/>
        <w:tabs>
          <w:tab w:pos="831" w:val="left"/>
        </w:tabs>
        <w:bidi w:val="0"/>
        <w:spacing w:before="0" w:after="0" w:line="316" w:lineRule="exact"/>
        <w:ind w:left="0" w:right="0" w:firstLine="380"/>
        <w:jc w:val="both"/>
      </w:pPr>
      <w:bookmarkStart w:id="286" w:name="bookmark286"/>
      <w:r>
        <w:rPr>
          <w:color w:val="000000"/>
          <w:spacing w:val="0"/>
          <w:w w:val="100"/>
          <w:position w:val="0"/>
        </w:rPr>
        <w:t>（</w:t>
      </w:r>
      <w:bookmarkEnd w:id="28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上海数据交易中心有限公司，原注册资本人民币</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万元，万达信息持股比例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月上海数据交 易中心有限公司股东会决议，该公司注册资本由人民币</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万元增加到人民币</w:t>
      </w:r>
      <w:r>
        <w:rPr>
          <w:rFonts w:ascii="Times New Roman" w:eastAsia="Times New Roman" w:hAnsi="Times New Roman" w:cs="Times New Roman"/>
          <w:color w:val="000000"/>
          <w:spacing w:val="0"/>
          <w:w w:val="100"/>
          <w:position w:val="0"/>
          <w:sz w:val="18"/>
          <w:szCs w:val="18"/>
        </w:rPr>
        <w:t>25,000</w:t>
      </w:r>
      <w:r>
        <w:rPr>
          <w:color w:val="000000"/>
          <w:spacing w:val="0"/>
          <w:w w:val="100"/>
          <w:position w:val="0"/>
        </w:rPr>
        <w:t>万元。万达信息未参加本次增资，持 股比例由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下降到</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日，上述增资工商变更登记完成。根据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日上海数据交易中心有限公司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年临时股东会决议，公司注册资本由</w:t>
      </w:r>
      <w:r>
        <w:rPr>
          <w:rFonts w:ascii="Times New Roman" w:eastAsia="Times New Roman" w:hAnsi="Times New Roman" w:cs="Times New Roman"/>
          <w:color w:val="000000"/>
          <w:spacing w:val="0"/>
          <w:w w:val="100"/>
          <w:position w:val="0"/>
          <w:sz w:val="18"/>
          <w:szCs w:val="18"/>
        </w:rPr>
        <w:t>25,000</w:t>
      </w:r>
      <w:r>
        <w:rPr>
          <w:color w:val="000000"/>
          <w:spacing w:val="0"/>
          <w:w w:val="100"/>
          <w:position w:val="0"/>
        </w:rPr>
        <w:t>万元增加至人民币</w:t>
      </w:r>
      <w:r>
        <w:rPr>
          <w:rFonts w:ascii="Times New Roman" w:eastAsia="Times New Roman" w:hAnsi="Times New Roman" w:cs="Times New Roman"/>
          <w:color w:val="000000"/>
          <w:spacing w:val="0"/>
          <w:w w:val="100"/>
          <w:position w:val="0"/>
          <w:sz w:val="18"/>
          <w:szCs w:val="18"/>
        </w:rPr>
        <w:t>31,250</w:t>
      </w:r>
      <w:r>
        <w:rPr>
          <w:color w:val="000000"/>
          <w:spacing w:val="0"/>
          <w:w w:val="100"/>
          <w:position w:val="0"/>
        </w:rPr>
        <w:t>万元。万达信息未参加本次增资，持股比例由</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下降 到</w:t>
      </w:r>
      <w:r>
        <w:rPr>
          <w:rFonts w:ascii="Times New Roman" w:eastAsia="Times New Roman" w:hAnsi="Times New Roman" w:cs="Times New Roman"/>
          <w:color w:val="000000"/>
          <w:spacing w:val="0"/>
          <w:w w:val="100"/>
          <w:position w:val="0"/>
          <w:sz w:val="18"/>
          <w:szCs w:val="18"/>
        </w:rPr>
        <w:t>1.92%</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日总资产</w:t>
      </w:r>
      <w:r>
        <w:rPr>
          <w:rFonts w:ascii="Times New Roman" w:eastAsia="Times New Roman" w:hAnsi="Times New Roman" w:cs="Times New Roman"/>
          <w:color w:val="000000"/>
          <w:spacing w:val="0"/>
          <w:w w:val="100"/>
          <w:position w:val="0"/>
          <w:sz w:val="18"/>
          <w:szCs w:val="18"/>
        </w:rPr>
        <w:t>403,086,861.4</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元，净资产 </w:t>
      </w:r>
      <w:r>
        <w:rPr>
          <w:rFonts w:ascii="Times New Roman" w:eastAsia="Times New Roman" w:hAnsi="Times New Roman" w:cs="Times New Roman"/>
          <w:color w:val="000000"/>
          <w:spacing w:val="0"/>
          <w:w w:val="100"/>
          <w:position w:val="0"/>
          <w:sz w:val="18"/>
          <w:szCs w:val="18"/>
        </w:rPr>
        <w:t>250,669,423.48</w:t>
      </w:r>
      <w:r>
        <w:rPr>
          <w:color w:val="000000"/>
          <w:spacing w:val="0"/>
          <w:w w:val="100"/>
          <w:position w:val="0"/>
        </w:rPr>
        <w:t>元，净利润</w:t>
      </w:r>
      <w:r>
        <w:rPr>
          <w:rFonts w:ascii="Times New Roman" w:eastAsia="Times New Roman" w:hAnsi="Times New Roman" w:cs="Times New Roman"/>
          <w:color w:val="000000"/>
          <w:spacing w:val="0"/>
          <w:w w:val="100"/>
          <w:position w:val="0"/>
          <w:sz w:val="18"/>
          <w:szCs w:val="18"/>
        </w:rPr>
        <w:t>-34,399 263.70</w:t>
      </w:r>
      <w:r>
        <w:rPr>
          <w:color w:val="000000"/>
          <w:spacing w:val="0"/>
          <w:w w:val="100"/>
          <w:position w:val="0"/>
        </w:rPr>
        <w:t>元。</w:t>
      </w:r>
    </w:p>
    <w:p>
      <w:pPr>
        <w:pStyle w:val="Style29"/>
        <w:keepNext w:val="0"/>
        <w:keepLines w:val="0"/>
        <w:widowControl w:val="0"/>
        <w:shd w:val="clear" w:color="auto" w:fill="auto"/>
        <w:tabs>
          <w:tab w:pos="831" w:val="left"/>
        </w:tabs>
        <w:bidi w:val="0"/>
        <w:spacing w:before="0" w:after="0" w:line="312" w:lineRule="exact"/>
        <w:ind w:left="0" w:right="0" w:firstLine="380"/>
        <w:jc w:val="both"/>
      </w:pPr>
      <w:bookmarkStart w:id="287" w:name="bookmark287"/>
      <w:r>
        <w:rPr>
          <w:color w:val="000000"/>
          <w:spacing w:val="0"/>
          <w:w w:val="100"/>
          <w:position w:val="0"/>
        </w:rPr>
        <w:t>（</w:t>
      </w:r>
      <w:bookmarkEnd w:id="28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上海久事智慧体育有限公司，原注册资本人民币</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万元，万达信息持股比例</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，根据上海久事智慧体育有限 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年度第二次股东会会议决议，公司从注册资本</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万元增加到</w:t>
      </w:r>
      <w:r>
        <w:rPr>
          <w:rFonts w:ascii="Times New Roman" w:eastAsia="Times New Roman" w:hAnsi="Times New Roman" w:cs="Times New Roman"/>
          <w:color w:val="000000"/>
          <w:spacing w:val="0"/>
          <w:w w:val="100"/>
          <w:position w:val="0"/>
          <w:sz w:val="18"/>
          <w:szCs w:val="18"/>
        </w:rPr>
        <w:t>3,917</w:t>
      </w:r>
      <w:r>
        <w:rPr>
          <w:color w:val="000000"/>
          <w:spacing w:val="0"/>
          <w:w w:val="100"/>
          <w:position w:val="0"/>
        </w:rPr>
        <w:t xml:space="preserve">万元，万达信息未参加本次增资，持股比例由 </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下降到</w:t>
      </w:r>
      <w:r>
        <w:rPr>
          <w:rFonts w:ascii="Times New Roman" w:eastAsia="Times New Roman" w:hAnsi="Times New Roman" w:cs="Times New Roman"/>
          <w:color w:val="000000"/>
          <w:spacing w:val="0"/>
          <w:w w:val="100"/>
          <w:position w:val="0"/>
          <w:sz w:val="18"/>
          <w:szCs w:val="18"/>
        </w:rPr>
        <w:t>17.36%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日，上述增资工商变更登记完成。截至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日总资产</w:t>
      </w:r>
      <w:r>
        <w:rPr>
          <w:rFonts w:ascii="Times New Roman" w:eastAsia="Times New Roman" w:hAnsi="Times New Roman" w:cs="Times New Roman"/>
          <w:color w:val="000000"/>
          <w:spacing w:val="0"/>
          <w:w w:val="100"/>
          <w:position w:val="0"/>
          <w:sz w:val="18"/>
          <w:szCs w:val="18"/>
        </w:rPr>
        <w:t>41,464,244.51</w:t>
      </w:r>
      <w:r>
        <w:rPr>
          <w:color w:val="000000"/>
          <w:spacing w:val="0"/>
          <w:w w:val="100"/>
          <w:position w:val="0"/>
        </w:rPr>
        <w:t xml:space="preserve">元，净资产 </w:t>
      </w:r>
      <w:r>
        <w:rPr>
          <w:rStyle w:val="CharStyle67"/>
        </w:rPr>
        <w:t>4,840,978.07</w:t>
      </w:r>
      <w:r>
        <w:rPr>
          <w:rStyle w:val="CharStyle67"/>
          <w:rFonts w:ascii="SimSun" w:eastAsia="SimSun" w:hAnsi="SimSun" w:cs="SimSun"/>
          <w:sz w:val="17"/>
          <w:szCs w:val="17"/>
        </w:rPr>
        <w:t>元，净利润</w:t>
      </w:r>
      <w:r>
        <w:rPr>
          <w:rStyle w:val="CharStyle67"/>
        </w:rPr>
        <w:t>-2,977,882.19</w:t>
      </w:r>
      <w:r>
        <w:rPr>
          <w:rStyle w:val="CharStyle67"/>
          <w:rFonts w:ascii="SimSun" w:eastAsia="SimSun" w:hAnsi="SimSun" w:cs="SimSun"/>
          <w:sz w:val="17"/>
          <w:szCs w:val="17"/>
        </w:rPr>
        <w:t>元。</w:t>
      </w:r>
    </w:p>
    <w:p>
      <w:pPr>
        <w:pStyle w:val="Style29"/>
        <w:keepNext w:val="0"/>
        <w:keepLines w:val="0"/>
        <w:widowControl w:val="0"/>
        <w:shd w:val="clear" w:color="auto" w:fill="auto"/>
        <w:tabs>
          <w:tab w:pos="740" w:val="left"/>
        </w:tabs>
        <w:bidi w:val="0"/>
        <w:spacing w:before="0" w:after="0" w:line="316" w:lineRule="exact"/>
        <w:ind w:left="0" w:right="0" w:firstLine="380"/>
        <w:jc w:val="both"/>
      </w:pPr>
      <w:bookmarkStart w:id="288" w:name="bookmark288"/>
      <w:r>
        <w:rPr>
          <w:rFonts w:ascii="Times New Roman" w:eastAsia="Times New Roman" w:hAnsi="Times New Roman" w:cs="Times New Roman"/>
          <w:color w:val="000000"/>
          <w:spacing w:val="0"/>
          <w:w w:val="100"/>
          <w:position w:val="0"/>
          <w:sz w:val="18"/>
          <w:szCs w:val="18"/>
          <w:shd w:val="clear" w:color="auto" w:fill="FFFFFF"/>
        </w:rPr>
        <w:t>（</w:t>
      </w:r>
      <w:bookmarkEnd w:id="288"/>
      <w:r>
        <w:rPr>
          <w:rFonts w:ascii="Times New Roman" w:eastAsia="Times New Roman" w:hAnsi="Times New Roman" w:cs="Times New Roman"/>
          <w:color w:val="000000"/>
          <w:spacing w:val="0"/>
          <w:w w:val="100"/>
          <w:position w:val="0"/>
          <w:sz w:val="18"/>
          <w:szCs w:val="18"/>
          <w:shd w:val="clear" w:color="auto" w:fill="FFFFFF"/>
        </w:rPr>
        <w:t>3）</w:t>
      </w:r>
      <w:r>
        <w:rPr>
          <w:rFonts w:ascii="Times New Roman" w:eastAsia="Times New Roman" w:hAnsi="Times New Roman" w:cs="Times New Roman"/>
          <w:color w:val="000000"/>
          <w:spacing w:val="0"/>
          <w:w w:val="100"/>
          <w:position w:val="0"/>
          <w:sz w:val="18"/>
          <w:szCs w:val="18"/>
        </w:rPr>
        <w:tab/>
      </w:r>
      <w:r>
        <w:rPr>
          <w:rFonts w:ascii="Times New Roman" w:eastAsia="Times New Roman" w:hAnsi="Times New Roman" w:cs="Times New Roman"/>
          <w:color w:val="000000"/>
          <w:spacing w:val="0"/>
          <w:w w:val="100"/>
          <w:position w:val="0"/>
          <w:sz w:val="18"/>
          <w:szCs w:val="18"/>
        </w:rPr>
        <w:t>mProbe Ltd.</w:t>
      </w:r>
      <w:r>
        <w:rPr>
          <w:color w:val="000000"/>
          <w:spacing w:val="0"/>
          <w:w w:val="100"/>
          <w:position w:val="0"/>
        </w:rPr>
        <w:t>注册在英属维尔京群岛，是一家精准医疗领域的创新型科技公司，专注于多组学、人工智能、医疗大数 据的研究和应用。目前已经在上海、天津、杭州、成都等地建立重点医学实验室及运营中心，产品线覆盖癌症精准医疗、重 大慢病早筛、生育健康等多个领域，正积极助力精准医学及智慧医疗的产业化发展。万达信息原持有</w:t>
      </w:r>
      <w:r>
        <w:rPr>
          <w:rFonts w:ascii="Times New Roman" w:eastAsia="Times New Roman" w:hAnsi="Times New Roman" w:cs="Times New Roman"/>
          <w:color w:val="000000"/>
          <w:spacing w:val="0"/>
          <w:w w:val="100"/>
          <w:position w:val="0"/>
          <w:sz w:val="18"/>
          <w:szCs w:val="18"/>
        </w:rPr>
        <w:t xml:space="preserve">mProbe Ltd. </w:t>
      </w:r>
      <w:r>
        <w:rPr>
          <w:rFonts w:ascii="Times New Roman" w:eastAsia="Times New Roman" w:hAnsi="Times New Roman" w:cs="Times New Roman"/>
          <w:color w:val="000000"/>
          <w:spacing w:val="0"/>
          <w:w w:val="100"/>
          <w:position w:val="0"/>
          <w:sz w:val="18"/>
          <w:szCs w:val="18"/>
        </w:rPr>
        <w:t xml:space="preserve">5,743,607 </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rPr>
        <w:t>优先股，持股比例</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日增持</w:t>
      </w:r>
      <w:r>
        <w:rPr>
          <w:rFonts w:ascii="Times New Roman" w:eastAsia="Times New Roman" w:hAnsi="Times New Roman" w:cs="Times New Roman"/>
          <w:color w:val="000000"/>
          <w:spacing w:val="0"/>
          <w:w w:val="100"/>
          <w:position w:val="0"/>
          <w:sz w:val="18"/>
          <w:szCs w:val="18"/>
        </w:rPr>
        <w:t>mProbe Ltd. 5,120,270 A+</w:t>
      </w:r>
      <w:r>
        <w:rPr>
          <w:color w:val="000000"/>
          <w:spacing w:val="0"/>
          <w:w w:val="100"/>
          <w:position w:val="0"/>
        </w:rPr>
        <w:t>优先股。目前共计持有</w:t>
      </w:r>
      <w:r>
        <w:rPr>
          <w:rFonts w:ascii="Times New Roman" w:eastAsia="Times New Roman" w:hAnsi="Times New Roman" w:cs="Times New Roman"/>
          <w:color w:val="000000"/>
          <w:spacing w:val="0"/>
          <w:w w:val="100"/>
          <w:position w:val="0"/>
          <w:sz w:val="18"/>
          <w:szCs w:val="18"/>
        </w:rPr>
        <w:t xml:space="preserve">10,863,877 </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优先股，持股比 例</w:t>
      </w:r>
      <w:r>
        <w:rPr>
          <w:rFonts w:ascii="Times New Roman" w:eastAsia="Times New Roman" w:hAnsi="Times New Roman" w:cs="Times New Roman"/>
          <w:color w:val="000000"/>
          <w:spacing w:val="0"/>
          <w:w w:val="100"/>
          <w:position w:val="0"/>
          <w:sz w:val="18"/>
          <w:szCs w:val="18"/>
        </w:rPr>
        <w:t>5.01%</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日总资产</w:t>
      </w:r>
      <w:r>
        <w:rPr>
          <w:rFonts w:ascii="Times New Roman" w:eastAsia="Times New Roman" w:hAnsi="Times New Roman" w:cs="Times New Roman"/>
          <w:color w:val="000000"/>
          <w:spacing w:val="0"/>
          <w:w w:val="100"/>
          <w:position w:val="0"/>
          <w:sz w:val="18"/>
          <w:szCs w:val="18"/>
        </w:rPr>
        <w:t>36,412,507</w:t>
      </w:r>
      <w:r>
        <w:rPr>
          <w:color w:val="000000"/>
          <w:spacing w:val="0"/>
          <w:w w:val="100"/>
          <w:position w:val="0"/>
        </w:rPr>
        <w:t>美元，净资产</w:t>
      </w:r>
      <w:r>
        <w:rPr>
          <w:rFonts w:ascii="Times New Roman" w:eastAsia="Times New Roman" w:hAnsi="Times New Roman" w:cs="Times New Roman"/>
          <w:color w:val="000000"/>
          <w:spacing w:val="0"/>
          <w:w w:val="100"/>
          <w:position w:val="0"/>
          <w:sz w:val="18"/>
          <w:szCs w:val="18"/>
        </w:rPr>
        <w:t>32,735,169</w:t>
      </w:r>
      <w:r>
        <w:rPr>
          <w:color w:val="000000"/>
          <w:spacing w:val="0"/>
          <w:w w:val="100"/>
          <w:position w:val="0"/>
        </w:rPr>
        <w:t>美元，净利润</w:t>
      </w:r>
      <w:r>
        <w:rPr>
          <w:rFonts w:ascii="Times New Roman" w:eastAsia="Times New Roman" w:hAnsi="Times New Roman" w:cs="Times New Roman"/>
          <w:color w:val="000000"/>
          <w:spacing w:val="0"/>
          <w:w w:val="100"/>
          <w:position w:val="0"/>
          <w:sz w:val="18"/>
          <w:szCs w:val="18"/>
        </w:rPr>
        <w:t>-6,971,796</w:t>
      </w:r>
      <w:r>
        <w:rPr>
          <w:color w:val="000000"/>
          <w:spacing w:val="0"/>
          <w:w w:val="100"/>
          <w:position w:val="0"/>
        </w:rPr>
        <w:t>美元。</w:t>
      </w:r>
    </w:p>
    <w:p>
      <w:pPr>
        <w:pStyle w:val="Style29"/>
        <w:keepNext w:val="0"/>
        <w:keepLines w:val="0"/>
        <w:widowControl w:val="0"/>
        <w:shd w:val="clear" w:color="auto" w:fill="auto"/>
        <w:bidi w:val="0"/>
        <w:spacing w:before="0" w:after="0" w:line="317" w:lineRule="exact"/>
        <w:ind w:left="0" w:right="0" w:firstLine="380"/>
        <w:jc w:val="both"/>
      </w:pPr>
      <w:bookmarkStart w:id="289" w:name="bookmark289"/>
      <w:r>
        <w:rPr>
          <w:color w:val="000000"/>
          <w:spacing w:val="0"/>
          <w:w w:val="100"/>
          <w:position w:val="0"/>
        </w:rPr>
        <w:t>（</w:t>
      </w:r>
      <w:bookmarkEnd w:id="289"/>
      <w:r>
        <w:rPr>
          <w:rFonts w:ascii="Times New Roman" w:eastAsia="Times New Roman" w:hAnsi="Times New Roman" w:cs="Times New Roman"/>
          <w:color w:val="000000"/>
          <w:spacing w:val="0"/>
          <w:w w:val="100"/>
          <w:position w:val="0"/>
          <w:sz w:val="18"/>
          <w:szCs w:val="18"/>
        </w:rPr>
        <w:t>4</w:t>
      </w:r>
      <w:r>
        <w:rPr>
          <w:color w:val="000000"/>
          <w:spacing w:val="0"/>
          <w:w w:val="100"/>
          <w:position w:val="0"/>
        </w:rPr>
        <w:t>） 武威市天马行大数据运营有限公司为万达信息新投资的参股公司，成立于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日，注册资本人民币</w:t>
      </w:r>
      <w:r>
        <w:rPr>
          <w:rFonts w:ascii="Times New Roman" w:eastAsia="Times New Roman" w:hAnsi="Times New Roman" w:cs="Times New Roman"/>
          <w:color w:val="000000"/>
          <w:spacing w:val="0"/>
          <w:w w:val="100"/>
          <w:position w:val="0"/>
          <w:sz w:val="18"/>
          <w:szCs w:val="18"/>
        </w:rPr>
        <w:t xml:space="preserve">5,000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月武威市人民政府国有资产监督管理委员会和万达信息签署股权转让协议，将武威市天马行大数据运营有限 公司</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股权转让给万达信息。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日上述股权转让工商变更登记完成，万达信息持股比例</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 xml:space="preserve">日总资产 </w:t>
      </w:r>
      <w:r>
        <w:rPr>
          <w:rFonts w:ascii="Times New Roman" w:eastAsia="Times New Roman" w:hAnsi="Times New Roman" w:cs="Times New Roman"/>
          <w:color w:val="000000"/>
          <w:spacing w:val="0"/>
          <w:w w:val="100"/>
          <w:position w:val="0"/>
          <w:sz w:val="18"/>
          <w:szCs w:val="18"/>
        </w:rPr>
        <w:t>19,375,064.54</w:t>
      </w:r>
      <w:r>
        <w:rPr>
          <w:color w:val="000000"/>
          <w:spacing w:val="0"/>
          <w:w w:val="100"/>
          <w:position w:val="0"/>
        </w:rPr>
        <w:t xml:space="preserve">元，净资产 </w:t>
      </w:r>
      <w:r>
        <w:rPr>
          <w:rFonts w:ascii="Times New Roman" w:eastAsia="Times New Roman" w:hAnsi="Times New Roman" w:cs="Times New Roman"/>
          <w:color w:val="000000"/>
          <w:spacing w:val="0"/>
          <w:w w:val="100"/>
          <w:position w:val="0"/>
          <w:sz w:val="18"/>
          <w:szCs w:val="18"/>
        </w:rPr>
        <w:t>19,045,214.56</w:t>
      </w:r>
      <w:r>
        <w:rPr>
          <w:color w:val="000000"/>
          <w:spacing w:val="0"/>
          <w:w w:val="100"/>
          <w:position w:val="0"/>
        </w:rPr>
        <w:t>元，净利润</w:t>
      </w:r>
      <w:r>
        <w:rPr>
          <w:rFonts w:ascii="Times New Roman" w:eastAsia="Times New Roman" w:hAnsi="Times New Roman" w:cs="Times New Roman"/>
          <w:color w:val="000000"/>
          <w:spacing w:val="0"/>
          <w:w w:val="100"/>
          <w:position w:val="0"/>
          <w:sz w:val="18"/>
          <w:szCs w:val="18"/>
        </w:rPr>
        <w:t>-959,605.28</w:t>
      </w:r>
      <w:r>
        <w:rPr>
          <w:color w:val="000000"/>
          <w:spacing w:val="0"/>
          <w:w w:val="100"/>
          <w:position w:val="0"/>
        </w:rPr>
        <w:t>元。</w:t>
      </w:r>
    </w:p>
    <w:p>
      <w:pPr>
        <w:pStyle w:val="Style29"/>
        <w:keepNext w:val="0"/>
        <w:keepLines w:val="0"/>
        <w:widowControl w:val="0"/>
        <w:shd w:val="clear" w:color="auto" w:fill="auto"/>
        <w:tabs>
          <w:tab w:pos="847" w:val="left"/>
        </w:tabs>
        <w:bidi w:val="0"/>
        <w:spacing w:before="0" w:after="0" w:line="317" w:lineRule="exact"/>
        <w:ind w:left="0" w:right="0" w:firstLine="380"/>
        <w:jc w:val="both"/>
      </w:pPr>
      <w:bookmarkStart w:id="290" w:name="bookmark290"/>
      <w:r>
        <w:rPr>
          <w:color w:val="000000"/>
          <w:spacing w:val="0"/>
          <w:w w:val="100"/>
          <w:position w:val="0"/>
        </w:rPr>
        <w:t>（</w:t>
      </w:r>
      <w:bookmarkEnd w:id="290"/>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张家口万达中合大数据有限公司为万达信息投资新设的参股公司，成立于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日，注册资本人民币</w:t>
      </w: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万元，万达信息持股比例</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，张家口中合新能源集团有限公司持股比例</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日总资产</w:t>
      </w:r>
      <w:r>
        <w:rPr>
          <w:rFonts w:ascii="Times New Roman" w:eastAsia="Times New Roman" w:hAnsi="Times New Roman" w:cs="Times New Roman"/>
          <w:color w:val="000000"/>
          <w:spacing w:val="0"/>
          <w:w w:val="100"/>
          <w:position w:val="0"/>
          <w:sz w:val="18"/>
          <w:szCs w:val="18"/>
        </w:rPr>
        <w:t>4,895,100.56</w:t>
      </w:r>
      <w:r>
        <w:rPr>
          <w:color w:val="000000"/>
          <w:spacing w:val="0"/>
          <w:w w:val="100"/>
          <w:position w:val="0"/>
        </w:rPr>
        <w:t>元， 净资产</w:t>
      </w:r>
      <w:r>
        <w:rPr>
          <w:rFonts w:ascii="Times New Roman" w:eastAsia="Times New Roman" w:hAnsi="Times New Roman" w:cs="Times New Roman"/>
          <w:color w:val="000000"/>
          <w:spacing w:val="0"/>
          <w:w w:val="100"/>
          <w:position w:val="0"/>
          <w:sz w:val="18"/>
          <w:szCs w:val="18"/>
        </w:rPr>
        <w:t>4,890,924.48</w:t>
      </w:r>
      <w:r>
        <w:rPr>
          <w:color w:val="000000"/>
          <w:spacing w:val="0"/>
          <w:w w:val="100"/>
          <w:position w:val="0"/>
        </w:rPr>
        <w:t>元，净利润</w:t>
      </w:r>
      <w:r>
        <w:rPr>
          <w:rFonts w:ascii="Times New Roman" w:eastAsia="Times New Roman" w:hAnsi="Times New Roman" w:cs="Times New Roman"/>
          <w:color w:val="000000"/>
          <w:spacing w:val="0"/>
          <w:w w:val="100"/>
          <w:position w:val="0"/>
          <w:sz w:val="18"/>
          <w:szCs w:val="18"/>
        </w:rPr>
        <w:t>-109,075.52</w:t>
      </w:r>
      <w:r>
        <w:rPr>
          <w:color w:val="000000"/>
          <w:spacing w:val="0"/>
          <w:w w:val="100"/>
          <w:position w:val="0"/>
        </w:rPr>
        <w:t>元。</w:t>
      </w:r>
    </w:p>
    <w:p>
      <w:pPr>
        <w:pStyle w:val="Style29"/>
        <w:keepNext w:val="0"/>
        <w:keepLines w:val="0"/>
        <w:widowControl w:val="0"/>
        <w:shd w:val="clear" w:color="auto" w:fill="auto"/>
        <w:bidi w:val="0"/>
        <w:spacing w:before="0" w:after="0" w:line="317" w:lineRule="exact"/>
        <w:ind w:left="0" w:right="0" w:firstLine="380"/>
        <w:jc w:val="both"/>
      </w:pPr>
      <w:bookmarkStart w:id="291" w:name="bookmark291"/>
      <w:r>
        <w:rPr>
          <w:color w:val="000000"/>
          <w:spacing w:val="0"/>
          <w:w w:val="100"/>
          <w:position w:val="0"/>
        </w:rPr>
        <w:t>（</w:t>
      </w:r>
      <w:bookmarkEnd w:id="291"/>
      <w:r>
        <w:rPr>
          <w:rFonts w:ascii="Times New Roman" w:eastAsia="Times New Roman" w:hAnsi="Times New Roman" w:cs="Times New Roman"/>
          <w:color w:val="000000"/>
          <w:spacing w:val="0"/>
          <w:w w:val="100"/>
          <w:position w:val="0"/>
          <w:sz w:val="18"/>
          <w:szCs w:val="18"/>
        </w:rPr>
        <w:t>6</w:t>
      </w:r>
      <w:r>
        <w:rPr>
          <w:color w:val="000000"/>
          <w:spacing w:val="0"/>
          <w:w w:val="100"/>
          <w:position w:val="0"/>
        </w:rPr>
        <w:t>） 上海诺豆信息科技有限公司为万达信息新投资的参股公司，成立于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日，公司注册资本人民币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日万达信息和黄川昆签署股权转让协议，受让黄川昆</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日，上述股权转让工商变更登 记完成，万达信息持股比例</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日总资产</w:t>
      </w:r>
      <w:r>
        <w:rPr>
          <w:rFonts w:ascii="Times New Roman" w:eastAsia="Times New Roman" w:hAnsi="Times New Roman" w:cs="Times New Roman"/>
          <w:color w:val="000000"/>
          <w:spacing w:val="0"/>
          <w:w w:val="100"/>
          <w:position w:val="0"/>
          <w:sz w:val="18"/>
          <w:szCs w:val="18"/>
        </w:rPr>
        <w:t>17,251,609.77</w:t>
      </w:r>
      <w:r>
        <w:rPr>
          <w:color w:val="000000"/>
          <w:spacing w:val="0"/>
          <w:w w:val="100"/>
          <w:position w:val="0"/>
        </w:rPr>
        <w:t>元，净资产</w:t>
      </w:r>
      <w:r>
        <w:rPr>
          <w:rFonts w:ascii="Times New Roman" w:eastAsia="Times New Roman" w:hAnsi="Times New Roman" w:cs="Times New Roman"/>
          <w:color w:val="000000"/>
          <w:spacing w:val="0"/>
          <w:w w:val="100"/>
          <w:position w:val="0"/>
          <w:sz w:val="18"/>
          <w:szCs w:val="18"/>
        </w:rPr>
        <w:t>2,778,094.88</w:t>
      </w:r>
      <w:r>
        <w:rPr>
          <w:color w:val="000000"/>
          <w:spacing w:val="0"/>
          <w:w w:val="100"/>
          <w:position w:val="0"/>
        </w:rPr>
        <w:t>元，净利润</w:t>
      </w:r>
      <w:r>
        <w:rPr>
          <w:rFonts w:ascii="Times New Roman" w:eastAsia="Times New Roman" w:hAnsi="Times New Roman" w:cs="Times New Roman"/>
          <w:color w:val="000000"/>
          <w:spacing w:val="0"/>
          <w:w w:val="100"/>
          <w:position w:val="0"/>
          <w:sz w:val="18"/>
          <w:szCs w:val="18"/>
        </w:rPr>
        <w:t>339,940.54</w:t>
      </w:r>
      <w:r>
        <w:rPr>
          <w:color w:val="000000"/>
          <w:spacing w:val="0"/>
          <w:w w:val="100"/>
          <w:position w:val="0"/>
        </w:rPr>
        <w:t>元。</w:t>
      </w:r>
    </w:p>
    <w:p>
      <w:pPr>
        <w:pStyle w:val="Style29"/>
        <w:keepNext w:val="0"/>
        <w:keepLines w:val="0"/>
        <w:widowControl w:val="0"/>
        <w:shd w:val="clear" w:color="auto" w:fill="auto"/>
        <w:tabs>
          <w:tab w:pos="842" w:val="left"/>
        </w:tabs>
        <w:bidi w:val="0"/>
        <w:spacing w:before="0" w:after="0" w:line="319" w:lineRule="exact"/>
        <w:ind w:left="0" w:right="0" w:firstLine="380"/>
        <w:jc w:val="both"/>
      </w:pPr>
      <w:bookmarkStart w:id="292" w:name="bookmark292"/>
      <w:r>
        <w:rPr>
          <w:color w:val="000000"/>
          <w:spacing w:val="0"/>
          <w:w w:val="100"/>
          <w:position w:val="0"/>
        </w:rPr>
        <w:t>（</w:t>
      </w:r>
      <w:bookmarkEnd w:id="292"/>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海南万景信息技术有限公司为万达信息投资新设的参股公司，成立于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日，注册资本人民币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 万达信息持股比例</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，其他股东为景成新能源投资有限公司持股比例</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 xml:space="preserve">，海南榄泽投资合伙企业（有限合伙）持股比例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。公司尚未投入运营，截至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日总资产</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元，净资产</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元，净利润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847" w:val="left"/>
        </w:tabs>
        <w:bidi w:val="0"/>
        <w:spacing w:before="0" w:after="0" w:line="319" w:lineRule="exact"/>
        <w:ind w:left="0" w:right="0" w:firstLine="380"/>
        <w:jc w:val="both"/>
      </w:pPr>
      <w:bookmarkStart w:id="293" w:name="bookmark293"/>
      <w:r>
        <w:rPr>
          <w:color w:val="000000"/>
          <w:spacing w:val="0"/>
          <w:w w:val="100"/>
          <w:position w:val="0"/>
        </w:rPr>
        <w:t>（</w:t>
      </w:r>
      <w:bookmarkEnd w:id="293"/>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上海昕鼎网络科技有限公司，注册资本人民币</w:t>
      </w:r>
      <w:r>
        <w:rPr>
          <w:rFonts w:ascii="Times New Roman" w:eastAsia="Times New Roman" w:hAnsi="Times New Roman" w:cs="Times New Roman"/>
          <w:color w:val="000000"/>
          <w:spacing w:val="0"/>
          <w:w w:val="100"/>
          <w:position w:val="0"/>
          <w:sz w:val="18"/>
          <w:szCs w:val="18"/>
        </w:rPr>
        <w:t>3,462.1243</w:t>
      </w:r>
      <w:r>
        <w:rPr>
          <w:color w:val="000000"/>
          <w:spacing w:val="0"/>
          <w:w w:val="100"/>
          <w:position w:val="0"/>
        </w:rPr>
        <w:t>万元，万达信息持股比例</w:t>
      </w:r>
      <w:r>
        <w:rPr>
          <w:rFonts w:ascii="Times New Roman" w:eastAsia="Times New Roman" w:hAnsi="Times New Roman" w:cs="Times New Roman"/>
          <w:color w:val="000000"/>
          <w:spacing w:val="0"/>
          <w:w w:val="100"/>
          <w:position w:val="0"/>
          <w:sz w:val="18"/>
          <w:szCs w:val="18"/>
        </w:rPr>
        <w:t>34.23%</w:t>
      </w:r>
      <w:r>
        <w:rPr>
          <w:color w:val="000000"/>
          <w:spacing w:val="0"/>
          <w:w w:val="100"/>
          <w:position w:val="0"/>
        </w:rPr>
        <w:t>。鉴于上海昕鼎网络科 技有限公司财务状况及持续经营等风险，</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月万达信息和上海昕鼎网络科技有限公司大股东过丽萍签署股权转让协议， 万达信息将所持有上海昕鼎网络科技有限公司的约</w:t>
      </w:r>
      <w:r>
        <w:rPr>
          <w:rFonts w:ascii="Times New Roman" w:eastAsia="Times New Roman" w:hAnsi="Times New Roman" w:cs="Times New Roman"/>
          <w:color w:val="000000"/>
          <w:spacing w:val="0"/>
          <w:w w:val="100"/>
          <w:position w:val="0"/>
          <w:sz w:val="18"/>
          <w:szCs w:val="18"/>
        </w:rPr>
        <w:t>34.23</w:t>
      </w:r>
      <w:r>
        <w:rPr>
          <w:color w:val="000000"/>
          <w:spacing w:val="0"/>
          <w:w w:val="100"/>
          <w:position w:val="0"/>
        </w:rPr>
        <w:t>%公司股权转让给过丽萍。</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日，上述股权转让工商变更 登记完成，万达信息退出上海昕鼎网络科技有限公司。</w:t>
      </w:r>
    </w:p>
    <w:p>
      <w:pPr>
        <w:pStyle w:val="Style29"/>
        <w:keepNext w:val="0"/>
        <w:keepLines w:val="0"/>
        <w:widowControl w:val="0"/>
        <w:shd w:val="clear" w:color="auto" w:fill="auto"/>
        <w:tabs>
          <w:tab w:pos="847" w:val="left"/>
        </w:tabs>
        <w:bidi w:val="0"/>
        <w:spacing w:before="0" w:after="0" w:line="319" w:lineRule="exact"/>
        <w:ind w:left="0" w:right="0" w:firstLine="380"/>
        <w:jc w:val="both"/>
      </w:pPr>
      <w:bookmarkStart w:id="294" w:name="bookmark294"/>
      <w:r>
        <w:rPr>
          <w:color w:val="000000"/>
          <w:spacing w:val="0"/>
          <w:w w:val="100"/>
          <w:position w:val="0"/>
        </w:rPr>
        <w:t>（</w:t>
      </w:r>
      <w:bookmarkEnd w:id="294"/>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上海全程玖玖健康服务有限公司，注册资本人民币</w:t>
      </w:r>
      <w:r>
        <w:rPr>
          <w:rFonts w:ascii="Times New Roman" w:eastAsia="Times New Roman" w:hAnsi="Times New Roman" w:cs="Times New Roman"/>
          <w:color w:val="000000"/>
          <w:spacing w:val="0"/>
          <w:w w:val="100"/>
          <w:position w:val="0"/>
          <w:sz w:val="18"/>
          <w:szCs w:val="18"/>
        </w:rPr>
        <w:t>4,027.5</w:t>
      </w:r>
      <w:r>
        <w:rPr>
          <w:color w:val="000000"/>
          <w:spacing w:val="0"/>
          <w:w w:val="100"/>
          <w:position w:val="0"/>
        </w:rPr>
        <w:t>万元，万达信息持股比例</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月万达信息和上 海东熙投资发展有限公司签署股权转让协议，上海东熙投资发展有限公司受让万达信息所持有的上海全程玖玖健康服务有限 公司</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日，上述股权转让工商变更登记完成，万达信息退出上海全程玖玖健康服务有限公司。</w:t>
      </w:r>
    </w:p>
    <w:p>
      <w:pPr>
        <w:pStyle w:val="Style29"/>
        <w:keepNext w:val="0"/>
        <w:keepLines w:val="0"/>
        <w:widowControl w:val="0"/>
        <w:shd w:val="clear" w:color="auto" w:fill="auto"/>
        <w:tabs>
          <w:tab w:pos="919" w:val="left"/>
        </w:tabs>
        <w:bidi w:val="0"/>
        <w:spacing w:before="0" w:after="360" w:line="322" w:lineRule="exact"/>
        <w:ind w:left="0" w:right="0" w:firstLine="380"/>
        <w:jc w:val="both"/>
      </w:pPr>
      <w:bookmarkStart w:id="295" w:name="bookmark295"/>
      <w:r>
        <w:rPr>
          <w:color w:val="000000"/>
          <w:spacing w:val="0"/>
          <w:w w:val="100"/>
          <w:position w:val="0"/>
        </w:rPr>
        <w:t>（</w:t>
      </w:r>
      <w:bookmarkEnd w:id="295"/>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t>宁夏智慧医疗科技股份有限公司，注册资本人民币</w:t>
      </w:r>
      <w:r>
        <w:rPr>
          <w:rFonts w:ascii="Times New Roman" w:eastAsia="Times New Roman" w:hAnsi="Times New Roman" w:cs="Times New Roman"/>
          <w:color w:val="000000"/>
          <w:spacing w:val="0"/>
          <w:w w:val="100"/>
          <w:position w:val="0"/>
          <w:sz w:val="18"/>
          <w:szCs w:val="18"/>
        </w:rPr>
        <w:t>1,859.55</w:t>
      </w:r>
      <w:r>
        <w:rPr>
          <w:color w:val="000000"/>
          <w:spacing w:val="0"/>
          <w:w w:val="100"/>
          <w:position w:val="0"/>
        </w:rPr>
        <w:t>万元，万达信息持股比例</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日宁 夏智慧医疗科技股份有限公司股东会决议注销公司。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日，上述注销工商登记完成。</w:t>
      </w:r>
    </w:p>
    <w:p>
      <w:pPr>
        <w:pStyle w:val="Style24"/>
        <w:keepNext/>
        <w:keepLines/>
        <w:widowControl w:val="0"/>
        <w:shd w:val="clear" w:color="auto" w:fill="auto"/>
        <w:bidi w:val="0"/>
        <w:spacing w:before="0" w:after="280" w:line="240" w:lineRule="auto"/>
        <w:ind w:left="0" w:right="0" w:firstLine="0"/>
        <w:jc w:val="left"/>
      </w:pPr>
      <w:bookmarkStart w:id="296" w:name="bookmark296"/>
      <w:bookmarkStart w:id="297" w:name="bookmark297"/>
      <w:bookmarkStart w:id="298" w:name="bookmark298"/>
      <w:r>
        <w:rPr>
          <w:color w:val="000000"/>
          <w:spacing w:val="0"/>
          <w:w w:val="100"/>
          <w:position w:val="0"/>
        </w:rPr>
        <w:t>十、公司控制的结构化主体情况</w:t>
      </w:r>
      <w:bookmarkEnd w:id="296"/>
      <w:bookmarkEnd w:id="297"/>
      <w:bookmarkEnd w:id="298"/>
    </w:p>
    <w:p>
      <w:pPr>
        <w:pStyle w:val="Style29"/>
        <w:keepNext w:val="0"/>
        <w:keepLines w:val="0"/>
        <w:widowControl w:val="0"/>
        <w:shd w:val="clear" w:color="auto" w:fill="auto"/>
        <w:bidi w:val="0"/>
        <w:spacing w:before="0" w:after="360" w:line="317"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140" w:line="240" w:lineRule="auto"/>
        <w:ind w:left="0" w:right="0" w:firstLine="0"/>
        <w:jc w:val="left"/>
      </w:pPr>
      <w:bookmarkStart w:id="299" w:name="bookmark299"/>
      <w:bookmarkStart w:id="300" w:name="bookmark300"/>
      <w:bookmarkStart w:id="301" w:name="bookmark301"/>
      <w:r>
        <w:rPr>
          <w:color w:val="000000"/>
          <w:spacing w:val="0"/>
          <w:w w:val="100"/>
          <w:position w:val="0"/>
        </w:rPr>
        <w:t>十一、公司未来发展的展望</w:t>
      </w:r>
      <w:bookmarkEnd w:id="299"/>
      <w:bookmarkEnd w:id="300"/>
      <w:bookmarkEnd w:id="301"/>
    </w:p>
    <w:p>
      <w:pPr>
        <w:pStyle w:val="Style33"/>
        <w:keepNext/>
        <w:keepLines/>
        <w:widowControl w:val="0"/>
        <w:shd w:val="clear" w:color="auto" w:fill="auto"/>
        <w:bidi w:val="0"/>
        <w:spacing w:before="0" w:after="280" w:line="467" w:lineRule="exact"/>
        <w:ind w:left="0" w:right="0"/>
        <w:jc w:val="both"/>
      </w:pPr>
      <w:bookmarkStart w:id="302" w:name="bookmark302"/>
      <w:bookmarkStart w:id="303" w:name="bookmark303"/>
      <w:bookmarkStart w:id="304" w:name="bookmark304"/>
      <w:bookmarkStart w:id="305" w:name="bookmark305"/>
      <w:r>
        <w:rPr>
          <w:color w:val="000000"/>
          <w:spacing w:val="0"/>
          <w:w w:val="100"/>
          <w:position w:val="0"/>
        </w:rPr>
        <w:t>（</w:t>
      </w:r>
      <w:bookmarkEnd w:id="304"/>
      <w:r>
        <w:rPr>
          <w:color w:val="000000"/>
          <w:spacing w:val="0"/>
          <w:w w:val="100"/>
          <w:position w:val="0"/>
        </w:rPr>
        <w:t>一）行业格局和趋势</w:t>
      </w:r>
      <w:bookmarkEnd w:id="302"/>
      <w:bookmarkEnd w:id="303"/>
      <w:bookmarkEnd w:id="305"/>
    </w:p>
    <w:p>
      <w:pPr>
        <w:pStyle w:val="Style33"/>
        <w:keepNext/>
        <w:keepLines/>
        <w:widowControl w:val="0"/>
        <w:shd w:val="clear" w:color="auto" w:fill="auto"/>
        <w:bidi w:val="0"/>
        <w:spacing w:before="0" w:after="0" w:line="480" w:lineRule="auto"/>
        <w:ind w:left="0" w:right="0"/>
        <w:jc w:val="both"/>
      </w:pPr>
      <w:bookmarkStart w:id="302" w:name="bookmark302"/>
      <w:bookmarkStart w:id="303" w:name="bookmark303"/>
      <w:bookmarkStart w:id="306" w:name="bookmark306"/>
      <w:r>
        <w:rPr>
          <w:rFonts w:ascii="Times New Roman" w:eastAsia="Times New Roman" w:hAnsi="Times New Roman" w:cs="Times New Roman"/>
          <w:color w:val="000000"/>
          <w:spacing w:val="0"/>
          <w:w w:val="100"/>
          <w:position w:val="0"/>
        </w:rPr>
        <w:t>1</w:t>
      </w:r>
      <w:bookmarkEnd w:id="306"/>
      <w:r>
        <w:rPr>
          <w:color w:val="000000"/>
          <w:spacing w:val="0"/>
          <w:w w:val="100"/>
          <w:position w:val="0"/>
        </w:rPr>
        <w:t>、医疗信息化行业</w:t>
      </w:r>
      <w:bookmarkEnd w:id="302"/>
      <w:bookmarkEnd w:id="303"/>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我国医疗信息化经过近二十年的发展，已从以医院管理流程信息化为出发点的</w:t>
      </w:r>
      <w:r>
        <w:rPr>
          <w:rFonts w:ascii="Times New Roman" w:eastAsia="Times New Roman" w:hAnsi="Times New Roman" w:cs="Times New Roman"/>
          <w:color w:val="000000"/>
          <w:spacing w:val="0"/>
          <w:w w:val="100"/>
          <w:position w:val="0"/>
        </w:rPr>
        <w:t>HIS</w:t>
      </w:r>
      <w:r>
        <w:rPr>
          <w:color w:val="000000"/>
          <w:spacing w:val="0"/>
          <w:w w:val="100"/>
          <w:position w:val="0"/>
        </w:rPr>
        <w:t>，跨越到以围绕患 者诊疗流程信息化的</w:t>
      </w:r>
      <w:r>
        <w:rPr>
          <w:rFonts w:ascii="Times New Roman" w:eastAsia="Times New Roman" w:hAnsi="Times New Roman" w:cs="Times New Roman"/>
          <w:color w:val="000000"/>
          <w:spacing w:val="0"/>
          <w:w w:val="100"/>
          <w:position w:val="0"/>
        </w:rPr>
        <w:t>CIS</w:t>
      </w:r>
      <w:r>
        <w:rPr>
          <w:color w:val="000000"/>
          <w:spacing w:val="0"/>
          <w:w w:val="100"/>
          <w:position w:val="0"/>
        </w:rPr>
        <w:t>，再到与区域性卫生医疗的互联互通，医疗信息化建设实现了从个体到整体、从 局部到广域的发展，内涵与功能得到强化，服务范围不断延伸。受政策驱动，近年我国医疗信息化行业快 速发展：</w:t>
      </w:r>
      <w:r>
        <w:rPr>
          <w:rFonts w:ascii="Times New Roman" w:eastAsia="Times New Roman" w:hAnsi="Times New Roman" w:cs="Times New Roman"/>
          <w:color w:val="000000"/>
          <w:spacing w:val="0"/>
          <w:w w:val="100"/>
          <w:position w:val="0"/>
        </w:rPr>
        <w:t>2011-2019</w:t>
      </w:r>
      <w:r>
        <w:rPr>
          <w:color w:val="000000"/>
          <w:spacing w:val="0"/>
          <w:w w:val="100"/>
          <w:position w:val="0"/>
        </w:rPr>
        <w:t>年行业市场规模的增速保持在</w:t>
      </w:r>
      <w:r>
        <w:rPr>
          <w:rFonts w:ascii="Times New Roman" w:eastAsia="Times New Roman" w:hAnsi="Times New Roman" w:cs="Times New Roman"/>
          <w:color w:val="000000"/>
          <w:spacing w:val="0"/>
          <w:w w:val="100"/>
          <w:position w:val="0"/>
        </w:rPr>
        <w:t>10%</w:t>
      </w:r>
      <w:r>
        <w:rPr>
          <w:color w:val="000000"/>
          <w:spacing w:val="0"/>
          <w:w w:val="100"/>
          <w:position w:val="0"/>
        </w:rPr>
        <w:t>以上的较高水平。此外，据</w:t>
      </w:r>
      <w:r>
        <w:rPr>
          <w:rFonts w:ascii="Times New Roman" w:eastAsia="Times New Roman" w:hAnsi="Times New Roman" w:cs="Times New Roman"/>
          <w:color w:val="000000"/>
          <w:spacing w:val="0"/>
          <w:w w:val="100"/>
          <w:position w:val="0"/>
        </w:rPr>
        <w:t>IDC</w:t>
      </w:r>
      <w:r>
        <w:rPr>
          <w:color w:val="000000"/>
          <w:spacing w:val="0"/>
          <w:w w:val="100"/>
          <w:position w:val="0"/>
        </w:rPr>
        <w:t>发布的数据显示，</w:t>
      </w:r>
    </w:p>
    <w:p>
      <w:pPr>
        <w:pStyle w:val="Style18"/>
        <w:keepNext w:val="0"/>
        <w:keepLines w:val="0"/>
        <w:widowControl w:val="0"/>
        <w:shd w:val="clear" w:color="auto" w:fill="auto"/>
        <w:bidi w:val="0"/>
        <w:spacing w:before="0" w:after="0" w:line="468"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年我国医疗信息化市场规模已突破</w:t>
      </w:r>
      <w:r>
        <w:rPr>
          <w:rFonts w:ascii="Times New Roman" w:eastAsia="Times New Roman" w:hAnsi="Times New Roman" w:cs="Times New Roman"/>
          <w:color w:val="000000"/>
          <w:spacing w:val="0"/>
          <w:w w:val="100"/>
          <w:position w:val="0"/>
        </w:rPr>
        <w:t>650</w:t>
      </w:r>
      <w:r>
        <w:rPr>
          <w:color w:val="000000"/>
          <w:spacing w:val="0"/>
          <w:w w:val="100"/>
          <w:position w:val="0"/>
        </w:rPr>
        <w:t>亿元。</w:t>
      </w:r>
    </w:p>
    <w:p>
      <w:pPr>
        <w:pStyle w:val="Style18"/>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国内医疗信息化市场活跃着为数众多、规模不等的系统供应商。其中，软件系统供应商仍比较分散。 未来，面对持续释放的医疗信息化建设需求和政策支持，具有较强的综合服务能力和研发能力的行业头部 公司有望进一步发展壮大，行业集中度有望提升。</w:t>
      </w:r>
    </w:p>
    <w:p>
      <w:pPr>
        <w:pStyle w:val="Style18"/>
        <w:keepNext w:val="0"/>
        <w:keepLines w:val="0"/>
        <w:widowControl w:val="0"/>
        <w:shd w:val="clear" w:color="auto" w:fill="auto"/>
        <w:tabs>
          <w:tab w:pos="754" w:val="left"/>
        </w:tabs>
        <w:bidi w:val="0"/>
        <w:spacing w:before="0" w:after="0" w:line="468" w:lineRule="exact"/>
        <w:ind w:left="0" w:right="0" w:firstLine="440"/>
        <w:jc w:val="both"/>
      </w:pPr>
      <w:bookmarkStart w:id="307" w:name="bookmark307"/>
      <w:r>
        <w:rPr>
          <w:rFonts w:ascii="Times New Roman" w:eastAsia="Times New Roman" w:hAnsi="Times New Roman" w:cs="Times New Roman"/>
          <w:b/>
          <w:bCs/>
          <w:color w:val="000000"/>
          <w:spacing w:val="0"/>
          <w:w w:val="100"/>
          <w:position w:val="0"/>
        </w:rPr>
        <w:t>2</w:t>
      </w:r>
      <w:bookmarkEnd w:id="307"/>
      <w:r>
        <w:rPr>
          <w:b/>
          <w:bCs/>
          <w:color w:val="000000"/>
          <w:spacing w:val="0"/>
          <w:w w:val="100"/>
          <w:position w:val="0"/>
        </w:rPr>
        <w:t>、</w:t>
        <w:tab/>
        <w:t>政务信息化行业</w:t>
      </w:r>
    </w:p>
    <w:p>
      <w:pPr>
        <w:pStyle w:val="Style18"/>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月，十三届全国人大四次会议表决通过了《中华人民共和国国民经济和社会发展第十四个五 年规划和</w:t>
      </w:r>
      <w:r>
        <w:rPr>
          <w:rFonts w:ascii="Times New Roman" w:eastAsia="Times New Roman" w:hAnsi="Times New Roman" w:cs="Times New Roman"/>
          <w:color w:val="000000"/>
          <w:spacing w:val="0"/>
          <w:w w:val="100"/>
          <w:position w:val="0"/>
        </w:rPr>
        <w:t>2035</w:t>
      </w:r>
      <w:r>
        <w:rPr>
          <w:color w:val="000000"/>
          <w:spacing w:val="0"/>
          <w:w w:val="100"/>
          <w:position w:val="0"/>
        </w:rPr>
        <w:t>年远景目标纲要》，纲要强调要建设数字政府，加强公共数据开放共享、推动政务信息化共 建共用、提高数字化政务服务效能。并且，随着人工智能、区块链、云计算、大数据等新兴技术在政务领 域的广泛应用，基础信息资源库、电子政务信息系统等多个重大工程项目建设的不断深入，我国电子政务 市场规模处于不断增长趋势。根据中研普华出版的《</w:t>
      </w:r>
      <w:r>
        <w:rPr>
          <w:rFonts w:ascii="Times New Roman" w:eastAsia="Times New Roman" w:hAnsi="Times New Roman" w:cs="Times New Roman"/>
          <w:color w:val="000000"/>
          <w:spacing w:val="0"/>
          <w:w w:val="100"/>
          <w:position w:val="0"/>
        </w:rPr>
        <w:t>2021-2025</w:t>
      </w:r>
      <w:r>
        <w:rPr>
          <w:color w:val="000000"/>
          <w:spacing w:val="0"/>
          <w:w w:val="100"/>
          <w:position w:val="0"/>
        </w:rPr>
        <w:t>年中国智慧政务行业发展分析与前景展望 研究报告》，在国家的大力支持和推动下，</w:t>
      </w:r>
      <w:r>
        <w:rPr>
          <w:rFonts w:ascii="Times New Roman" w:eastAsia="Times New Roman" w:hAnsi="Times New Roman" w:cs="Times New Roman"/>
          <w:color w:val="000000"/>
          <w:spacing w:val="0"/>
          <w:w w:val="100"/>
          <w:position w:val="0"/>
        </w:rPr>
        <w:t>2020</w:t>
      </w:r>
      <w:r>
        <w:rPr>
          <w:color w:val="000000"/>
          <w:spacing w:val="0"/>
          <w:w w:val="100"/>
          <w:position w:val="0"/>
        </w:rPr>
        <w:t>年我国智慧政务市场规模达到</w:t>
      </w:r>
      <w:r>
        <w:rPr>
          <w:rFonts w:ascii="Times New Roman" w:eastAsia="Times New Roman" w:hAnsi="Times New Roman" w:cs="Times New Roman"/>
          <w:color w:val="000000"/>
          <w:spacing w:val="0"/>
          <w:w w:val="100"/>
          <w:position w:val="0"/>
        </w:rPr>
        <w:t>3326</w:t>
      </w:r>
      <w:r>
        <w:rPr>
          <w:color w:val="000000"/>
          <w:spacing w:val="0"/>
          <w:w w:val="100"/>
          <w:position w:val="0"/>
        </w:rPr>
        <w:t>亿元，同比增长</w:t>
      </w:r>
      <w:r>
        <w:rPr>
          <w:rFonts w:ascii="Times New Roman" w:eastAsia="Times New Roman" w:hAnsi="Times New Roman" w:cs="Times New Roman"/>
          <w:color w:val="000000"/>
          <w:spacing w:val="0"/>
          <w:w w:val="100"/>
          <w:position w:val="0"/>
        </w:rPr>
        <w:t>5.86%</w:t>
      </w:r>
      <w:r>
        <w:rPr>
          <w:color w:val="000000"/>
          <w:spacing w:val="0"/>
          <w:w w:val="100"/>
          <w:position w:val="0"/>
        </w:rPr>
        <w:t>。 预计未来</w:t>
      </w:r>
      <w:r>
        <w:rPr>
          <w:rFonts w:ascii="Times New Roman" w:eastAsia="Times New Roman" w:hAnsi="Times New Roman" w:cs="Times New Roman"/>
          <w:color w:val="000000"/>
          <w:spacing w:val="0"/>
          <w:w w:val="100"/>
          <w:position w:val="0"/>
        </w:rPr>
        <w:t>5</w:t>
      </w:r>
      <w:r>
        <w:rPr>
          <w:color w:val="000000"/>
          <w:spacing w:val="0"/>
          <w:w w:val="100"/>
          <w:position w:val="0"/>
        </w:rPr>
        <w:t>年，智慧政务仍将保持</w:t>
      </w:r>
      <w:r>
        <w:rPr>
          <w:rFonts w:ascii="Times New Roman" w:eastAsia="Times New Roman" w:hAnsi="Times New Roman" w:cs="Times New Roman"/>
          <w:color w:val="000000"/>
          <w:spacing w:val="0"/>
          <w:w w:val="100"/>
          <w:position w:val="0"/>
        </w:rPr>
        <w:t>6%</w:t>
      </w:r>
      <w:r>
        <w:rPr>
          <w:color w:val="000000"/>
          <w:spacing w:val="0"/>
          <w:w w:val="100"/>
          <w:position w:val="0"/>
        </w:rPr>
        <w:t>左右的稳定增长。</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在政务信息化需求持续增长的背景下，行业对软件及服务需求将不断增长。在行业规模增长过程中， 拥有深厚政务信息化行业经验和标杆案例的行业龙头有望展现其显著优势，获得更多的市场份额。</w:t>
      </w:r>
    </w:p>
    <w:p>
      <w:pPr>
        <w:pStyle w:val="Style18"/>
        <w:keepNext w:val="0"/>
        <w:keepLines w:val="0"/>
        <w:widowControl w:val="0"/>
        <w:shd w:val="clear" w:color="auto" w:fill="auto"/>
        <w:tabs>
          <w:tab w:pos="754" w:val="left"/>
        </w:tabs>
        <w:bidi w:val="0"/>
        <w:spacing w:before="0" w:after="0" w:line="468" w:lineRule="exact"/>
        <w:ind w:left="0" w:right="0" w:firstLine="440"/>
        <w:jc w:val="both"/>
      </w:pPr>
      <w:bookmarkStart w:id="308" w:name="bookmark308"/>
      <w:r>
        <w:rPr>
          <w:rFonts w:ascii="Times New Roman" w:eastAsia="Times New Roman" w:hAnsi="Times New Roman" w:cs="Times New Roman"/>
          <w:b/>
          <w:bCs/>
          <w:color w:val="000000"/>
          <w:spacing w:val="0"/>
          <w:w w:val="100"/>
          <w:position w:val="0"/>
        </w:rPr>
        <w:t>3</w:t>
      </w:r>
      <w:bookmarkEnd w:id="308"/>
      <w:r>
        <w:rPr>
          <w:b/>
          <w:bCs/>
          <w:color w:val="000000"/>
          <w:spacing w:val="0"/>
          <w:w w:val="100"/>
          <w:position w:val="0"/>
        </w:rPr>
        <w:t>、</w:t>
        <w:tab/>
        <w:t>健康管理行业</w:t>
      </w:r>
    </w:p>
    <w:p>
      <w:pPr>
        <w:pStyle w:val="Style18"/>
        <w:keepNext w:val="0"/>
        <w:keepLines w:val="0"/>
        <w:widowControl w:val="0"/>
        <w:shd w:val="clear" w:color="auto" w:fill="auto"/>
        <w:bidi w:val="0"/>
        <w:spacing w:before="0" w:after="0" w:line="451" w:lineRule="exact"/>
        <w:ind w:left="0" w:right="0" w:firstLine="440"/>
        <w:jc w:val="both"/>
      </w:pPr>
      <w:r>
        <w:rPr>
          <w:color w:val="000000"/>
          <w:spacing w:val="0"/>
          <w:w w:val="100"/>
          <w:position w:val="0"/>
        </w:rPr>
        <w:t>近年来，我国健康管理行业受到诸多政策支持：《关于促进</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医疗健康</w:t>
      </w:r>
      <w:r>
        <w:rPr>
          <w:rFonts w:ascii="Times New Roman" w:eastAsia="Times New Roman" w:hAnsi="Times New Roman" w:cs="Times New Roman"/>
          <w:color w:val="000000"/>
          <w:spacing w:val="0"/>
          <w:w w:val="100"/>
          <w:position w:val="0"/>
        </w:rPr>
        <w:t>”</w:t>
      </w:r>
      <w:r>
        <w:rPr>
          <w:color w:val="000000"/>
          <w:spacing w:val="0"/>
          <w:w w:val="100"/>
          <w:position w:val="0"/>
        </w:rPr>
        <w:t>发展的意见》、“健康 中国</w:t>
      </w:r>
      <w:r>
        <w:rPr>
          <w:rFonts w:ascii="Times New Roman" w:eastAsia="Times New Roman" w:hAnsi="Times New Roman" w:cs="Times New Roman"/>
          <w:color w:val="000000"/>
          <w:spacing w:val="0"/>
          <w:w w:val="100"/>
          <w:position w:val="0"/>
        </w:rPr>
        <w:t>2030</w:t>
      </w:r>
      <w:r>
        <w:rPr>
          <w:color w:val="000000"/>
          <w:spacing w:val="0"/>
          <w:w w:val="100"/>
          <w:position w:val="0"/>
        </w:rPr>
        <w:t>”规划纲要》等政策文件都要求落实分级诊疗制度，健全“互联网</w:t>
      </w:r>
      <w:r>
        <w:rPr>
          <w:rFonts w:ascii="Times New Roman" w:eastAsia="Times New Roman" w:hAnsi="Times New Roman" w:cs="Times New Roman"/>
          <w:color w:val="000000"/>
          <w:spacing w:val="0"/>
          <w:w w:val="100"/>
          <w:position w:val="0"/>
        </w:rPr>
        <w:t>+</w:t>
      </w:r>
      <w:r>
        <w:rPr>
          <w:color w:val="000000"/>
          <w:spacing w:val="0"/>
          <w:w w:val="100"/>
          <w:position w:val="0"/>
        </w:rPr>
        <w:t>医疗健康”连续服务体系， 建立信息共享、互联互通机制，实现全人群、全生命周期健康管理。</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从需求侧出发，我国健康管理行业规模呈现稳步增长的态势。根据弗若斯特沙利文《</w:t>
      </w:r>
      <w:r>
        <w:rPr>
          <w:rFonts w:ascii="Times New Roman" w:eastAsia="Times New Roman" w:hAnsi="Times New Roman" w:cs="Times New Roman"/>
          <w:color w:val="000000"/>
          <w:spacing w:val="0"/>
          <w:w w:val="100"/>
          <w:position w:val="0"/>
        </w:rPr>
        <w:t>2021</w:t>
      </w:r>
      <w:r>
        <w:rPr>
          <w:color w:val="000000"/>
          <w:spacing w:val="0"/>
          <w:w w:val="100"/>
          <w:position w:val="0"/>
        </w:rPr>
        <w:t>年中国健康 保险促进健康管理发展白皮书》：我国</w:t>
      </w:r>
      <w:r>
        <w:rPr>
          <w:rFonts w:ascii="Times New Roman" w:eastAsia="Times New Roman" w:hAnsi="Times New Roman" w:cs="Times New Roman"/>
          <w:color w:val="000000"/>
          <w:spacing w:val="0"/>
          <w:w w:val="100"/>
          <w:position w:val="0"/>
        </w:rPr>
        <w:t>2020</w:t>
      </w:r>
      <w:r>
        <w:rPr>
          <w:color w:val="000000"/>
          <w:spacing w:val="0"/>
          <w:w w:val="100"/>
          <w:position w:val="0"/>
        </w:rPr>
        <w:t>年健康管理衍生业务市场规模为</w:t>
      </w:r>
      <w:r>
        <w:rPr>
          <w:rFonts w:ascii="Times New Roman" w:eastAsia="Times New Roman" w:hAnsi="Times New Roman" w:cs="Times New Roman"/>
          <w:color w:val="000000"/>
          <w:spacing w:val="0"/>
          <w:w w:val="100"/>
          <w:position w:val="0"/>
        </w:rPr>
        <w:t>330</w:t>
      </w:r>
      <w:r>
        <w:rPr>
          <w:color w:val="000000"/>
          <w:spacing w:val="0"/>
          <w:w w:val="100"/>
          <w:position w:val="0"/>
        </w:rPr>
        <w:t>亿元，到</w:t>
      </w:r>
      <w:r>
        <w:rPr>
          <w:rFonts w:ascii="Times New Roman" w:eastAsia="Times New Roman" w:hAnsi="Times New Roman" w:cs="Times New Roman"/>
          <w:color w:val="000000"/>
          <w:spacing w:val="0"/>
          <w:w w:val="100"/>
          <w:position w:val="0"/>
        </w:rPr>
        <w:t>2025</w:t>
      </w:r>
      <w:r>
        <w:rPr>
          <w:color w:val="000000"/>
          <w:spacing w:val="0"/>
          <w:w w:val="100"/>
          <w:position w:val="0"/>
        </w:rPr>
        <w:t>年市场规 模预计可达</w:t>
      </w:r>
      <w:r>
        <w:rPr>
          <w:rFonts w:ascii="Times New Roman" w:eastAsia="Times New Roman" w:hAnsi="Times New Roman" w:cs="Times New Roman"/>
          <w:color w:val="000000"/>
          <w:spacing w:val="0"/>
          <w:w w:val="100"/>
          <w:position w:val="0"/>
        </w:rPr>
        <w:t>1360</w:t>
      </w:r>
      <w:r>
        <w:rPr>
          <w:color w:val="000000"/>
          <w:spacing w:val="0"/>
          <w:w w:val="100"/>
          <w:position w:val="0"/>
        </w:rPr>
        <w:t>亿元，</w:t>
      </w:r>
      <w:r>
        <w:rPr>
          <w:rFonts w:ascii="Times New Roman" w:eastAsia="Times New Roman" w:hAnsi="Times New Roman" w:cs="Times New Roman"/>
          <w:color w:val="000000"/>
          <w:spacing w:val="0"/>
          <w:w w:val="100"/>
          <w:position w:val="0"/>
        </w:rPr>
        <w:t>2015</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年市场规模复合年均增长率超过</w:t>
      </w:r>
      <w:r>
        <w:rPr>
          <w:rFonts w:ascii="Times New Roman" w:eastAsia="Times New Roman" w:hAnsi="Times New Roman" w:cs="Times New Roman"/>
          <w:color w:val="000000"/>
          <w:spacing w:val="0"/>
          <w:w w:val="100"/>
          <w:position w:val="0"/>
        </w:rPr>
        <w:t>35%</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年至</w:t>
      </w:r>
      <w:r>
        <w:rPr>
          <w:rFonts w:ascii="Times New Roman" w:eastAsia="Times New Roman" w:hAnsi="Times New Roman" w:cs="Times New Roman"/>
          <w:color w:val="000000"/>
          <w:spacing w:val="0"/>
          <w:w w:val="100"/>
          <w:position w:val="0"/>
        </w:rPr>
        <w:t>2025</w:t>
      </w:r>
      <w:r>
        <w:rPr>
          <w:color w:val="000000"/>
          <w:spacing w:val="0"/>
          <w:w w:val="100"/>
          <w:position w:val="0"/>
        </w:rPr>
        <w:t>年市场规模 复合年均增长率预计超过</w:t>
      </w:r>
      <w:r>
        <w:rPr>
          <w:rFonts w:ascii="Times New Roman" w:eastAsia="Times New Roman" w:hAnsi="Times New Roman" w:cs="Times New Roman"/>
          <w:color w:val="000000"/>
          <w:spacing w:val="0"/>
          <w:w w:val="100"/>
          <w:position w:val="0"/>
        </w:rPr>
        <w:t>30%</w:t>
      </w:r>
      <w:r>
        <w:rPr>
          <w:color w:val="000000"/>
          <w:spacing w:val="0"/>
          <w:w w:val="100"/>
          <w:position w:val="0"/>
        </w:rPr>
        <w:t>。在明确政策推动及需求增加的背景下，健康</w:t>
      </w:r>
      <w:r>
        <w:rPr>
          <w:rFonts w:ascii="Times New Roman" w:eastAsia="Times New Roman" w:hAnsi="Times New Roman" w:cs="Times New Roman"/>
          <w:color w:val="000000"/>
          <w:spacing w:val="0"/>
          <w:w w:val="100"/>
          <w:position w:val="0"/>
        </w:rPr>
        <w:t>IoT</w:t>
      </w:r>
      <w:r>
        <w:rPr>
          <w:color w:val="000000"/>
          <w:spacing w:val="0"/>
          <w:w w:val="100"/>
          <w:position w:val="0"/>
        </w:rPr>
        <w:t>和远程健康管理行业市场 规模和容量将不断扩大，为企业提供了良好的发展机遇和外部市场环境。</w:t>
      </w:r>
    </w:p>
    <w:p>
      <w:pPr>
        <w:pStyle w:val="Style18"/>
        <w:keepNext w:val="0"/>
        <w:keepLines w:val="0"/>
        <w:widowControl w:val="0"/>
        <w:shd w:val="clear" w:color="auto" w:fill="auto"/>
        <w:tabs>
          <w:tab w:pos="754" w:val="left"/>
        </w:tabs>
        <w:bidi w:val="0"/>
        <w:spacing w:before="0" w:after="0" w:line="468" w:lineRule="exact"/>
        <w:ind w:left="0" w:right="0" w:firstLine="440"/>
        <w:jc w:val="both"/>
      </w:pPr>
      <w:bookmarkStart w:id="309" w:name="bookmark309"/>
      <w:r>
        <w:rPr>
          <w:rFonts w:ascii="Times New Roman" w:eastAsia="Times New Roman" w:hAnsi="Times New Roman" w:cs="Times New Roman"/>
          <w:b/>
          <w:bCs/>
          <w:color w:val="000000"/>
          <w:spacing w:val="0"/>
          <w:w w:val="100"/>
          <w:position w:val="0"/>
        </w:rPr>
        <w:t>4</w:t>
      </w:r>
      <w:bookmarkEnd w:id="309"/>
      <w:r>
        <w:rPr>
          <w:b/>
          <w:bCs/>
          <w:color w:val="000000"/>
          <w:spacing w:val="0"/>
          <w:w w:val="100"/>
          <w:position w:val="0"/>
        </w:rPr>
        <w:t>、</w:t>
        <w:tab/>
        <w:t>智慧城市行业</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根据中国软件行业协会的《</w:t>
      </w:r>
      <w:r>
        <w:rPr>
          <w:rFonts w:ascii="Times New Roman" w:eastAsia="Times New Roman" w:hAnsi="Times New Roman" w:cs="Times New Roman"/>
          <w:color w:val="000000"/>
          <w:spacing w:val="0"/>
          <w:w w:val="100"/>
          <w:position w:val="0"/>
        </w:rPr>
        <w:t>2021</w:t>
      </w:r>
      <w:r>
        <w:rPr>
          <w:color w:val="000000"/>
          <w:spacing w:val="0"/>
          <w:w w:val="100"/>
          <w:position w:val="0"/>
        </w:rPr>
        <w:t>年中国软件和信息服务业年鉴》，预计到</w:t>
      </w:r>
      <w:r>
        <w:rPr>
          <w:rFonts w:ascii="Times New Roman" w:eastAsia="Times New Roman" w:hAnsi="Times New Roman" w:cs="Times New Roman"/>
          <w:color w:val="000000"/>
          <w:spacing w:val="0"/>
          <w:w w:val="100"/>
          <w:position w:val="0"/>
        </w:rPr>
        <w:t>2050</w:t>
      </w:r>
      <w:r>
        <w:rPr>
          <w:color w:val="000000"/>
          <w:spacing w:val="0"/>
          <w:w w:val="100"/>
          <w:position w:val="0"/>
        </w:rPr>
        <w:t>年，我国城市化率将超 过</w:t>
      </w:r>
      <w:r>
        <w:rPr>
          <w:rFonts w:ascii="Times New Roman" w:eastAsia="Times New Roman" w:hAnsi="Times New Roman" w:cs="Times New Roman"/>
          <w:color w:val="000000"/>
          <w:spacing w:val="0"/>
          <w:w w:val="100"/>
          <w:position w:val="0"/>
        </w:rPr>
        <w:t>80%</w:t>
      </w:r>
      <w:r>
        <w:rPr>
          <w:color w:val="000000"/>
          <w:spacing w:val="0"/>
          <w:w w:val="100"/>
          <w:position w:val="0"/>
        </w:rPr>
        <w:t>，智慧城市建设已经成为各地经济建设的重要抓手。随着城市信息基础设施的建设完善，智慧城市 的发展重点逐渐由数字基建转向城市的数字化治理。</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此外，中国信通院《新型智慧城市产业图谱研究报告》数据显示，随着智慧城市建设的转型升级，我 国对城市的投资规模也在不断扩大，</w:t>
      </w:r>
      <w:r>
        <w:rPr>
          <w:rFonts w:ascii="Times New Roman" w:eastAsia="Times New Roman" w:hAnsi="Times New Roman" w:cs="Times New Roman"/>
          <w:color w:val="000000"/>
          <w:spacing w:val="0"/>
          <w:w w:val="100"/>
          <w:position w:val="0"/>
        </w:rPr>
        <w:t>2020</w:t>
      </w:r>
      <w:r>
        <w:rPr>
          <w:color w:val="000000"/>
          <w:spacing w:val="0"/>
          <w:w w:val="100"/>
          <w:position w:val="0"/>
        </w:rPr>
        <w:t>年智慧城市相关项目总投资约</w:t>
      </w:r>
      <w:r>
        <w:rPr>
          <w:rFonts w:ascii="Times New Roman" w:eastAsia="Times New Roman" w:hAnsi="Times New Roman" w:cs="Times New Roman"/>
          <w:color w:val="000000"/>
          <w:spacing w:val="0"/>
          <w:w w:val="100"/>
          <w:position w:val="0"/>
        </w:rPr>
        <w:t>2.4</w:t>
      </w:r>
      <w:r>
        <w:rPr>
          <w:color w:val="000000"/>
          <w:spacing w:val="0"/>
          <w:w w:val="100"/>
          <w:position w:val="0"/>
        </w:rPr>
        <w:t xml:space="preserve">万亿元。目前，中国智慧城市 </w:t>
      </w:r>
      <w:r>
        <w:rPr>
          <w:color w:val="000000"/>
          <w:spacing w:val="0"/>
          <w:w w:val="100"/>
          <w:position w:val="0"/>
        </w:rPr>
        <w:t>市场的三大热点投资项目依次为可持续基础设施、数据驱动治理以及数字化管理。其中，在数字中国战略 的背景下，数字化转型（含数据驱动治理以及数字化管理）项目相关需求的比重会越来越大，以人民为中 心、数据驱动的城市服务平台整体新型智慧城市解决方案也会成为智慧城市建设的最大热点，行业龙头公 司有望充分受益。</w:t>
      </w:r>
    </w:p>
    <w:p>
      <w:pPr>
        <w:pStyle w:val="Style33"/>
        <w:keepNext/>
        <w:keepLines/>
        <w:widowControl w:val="0"/>
        <w:shd w:val="clear" w:color="auto" w:fill="auto"/>
        <w:bidi w:val="0"/>
        <w:spacing w:before="0" w:after="280" w:line="469" w:lineRule="exact"/>
        <w:ind w:left="0" w:right="0"/>
        <w:jc w:val="left"/>
      </w:pPr>
      <w:bookmarkStart w:id="310" w:name="bookmark310"/>
      <w:bookmarkStart w:id="311" w:name="bookmark311"/>
      <w:bookmarkStart w:id="312" w:name="bookmark312"/>
      <w:bookmarkStart w:id="313" w:name="bookmark313"/>
      <w:r>
        <w:rPr>
          <w:color w:val="000000"/>
          <w:spacing w:val="0"/>
          <w:w w:val="100"/>
          <w:position w:val="0"/>
        </w:rPr>
        <w:t>（</w:t>
      </w:r>
      <w:bookmarkEnd w:id="312"/>
      <w:r>
        <w:rPr>
          <w:color w:val="000000"/>
          <w:spacing w:val="0"/>
          <w:w w:val="100"/>
          <w:position w:val="0"/>
        </w:rPr>
        <w:t>二）公司发展战略</w:t>
      </w:r>
      <w:bookmarkEnd w:id="310"/>
      <w:bookmarkEnd w:id="311"/>
      <w:bookmarkEnd w:id="313"/>
    </w:p>
    <w:p>
      <w:pPr>
        <w:pStyle w:val="Style33"/>
        <w:keepNext/>
        <w:keepLines/>
        <w:widowControl w:val="0"/>
        <w:shd w:val="clear" w:color="auto" w:fill="auto"/>
        <w:tabs>
          <w:tab w:pos="748" w:val="left"/>
        </w:tabs>
        <w:bidi w:val="0"/>
        <w:spacing w:before="0" w:after="0" w:line="480" w:lineRule="auto"/>
        <w:ind w:left="0" w:right="0"/>
        <w:jc w:val="left"/>
      </w:pPr>
      <w:bookmarkStart w:id="310" w:name="bookmark310"/>
      <w:bookmarkStart w:id="311" w:name="bookmark311"/>
      <w:bookmarkStart w:id="314" w:name="bookmark314"/>
      <w:r>
        <w:rPr>
          <w:rFonts w:ascii="Times New Roman" w:eastAsia="Times New Roman" w:hAnsi="Times New Roman" w:cs="Times New Roman"/>
          <w:color w:val="000000"/>
          <w:spacing w:val="0"/>
          <w:w w:val="100"/>
          <w:position w:val="0"/>
        </w:rPr>
        <w:t>1</w:t>
      </w:r>
      <w:bookmarkEnd w:id="314"/>
      <w:r>
        <w:rPr>
          <w:color w:val="000000"/>
          <w:spacing w:val="0"/>
          <w:w w:val="100"/>
          <w:position w:val="0"/>
        </w:rPr>
        <w:t>、</w:t>
        <w:tab/>
        <w:t>坚持公司定位，提升科技硬实力</w:t>
      </w:r>
      <w:bookmarkEnd w:id="310"/>
      <w:bookmarkEnd w:id="311"/>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公司将继续按照“互联网化科技型公司”定位，坚持科技驱动发展原则，以数字化转型为核心，以“互 联网</w:t>
      </w:r>
      <w:r>
        <w:rPr>
          <w:rFonts w:ascii="Times New Roman" w:eastAsia="Times New Roman" w:hAnsi="Times New Roman" w:cs="Times New Roman"/>
          <w:color w:val="000000"/>
          <w:spacing w:val="0"/>
          <w:w w:val="100"/>
          <w:position w:val="0"/>
        </w:rPr>
        <w:t>+</w:t>
      </w:r>
      <w:r>
        <w:rPr>
          <w:color w:val="000000"/>
          <w:spacing w:val="0"/>
          <w:w w:val="100"/>
          <w:position w:val="0"/>
        </w:rPr>
        <w:t>物联网”为两翼，积极抢占高地，开拓科技驱动型、产品驱动型互联网科技商业模式，深耕蓝海市 场。公司科技战略以市场需求为导向，以服务具体业务为重点，以硬核科技能力研发及行业产品输出为先 导，以打好科技攻坚战，加快构建顺畅、高效的技术创新和转移转化体系为目标，通过不断创新体制机制、 优化资源建设进一步夯实整体科技工作基础，提升整体科技价值以更好服务用户。</w:t>
      </w:r>
    </w:p>
    <w:p>
      <w:pPr>
        <w:pStyle w:val="Style18"/>
        <w:keepNext w:val="0"/>
        <w:keepLines w:val="0"/>
        <w:widowControl w:val="0"/>
        <w:shd w:val="clear" w:color="auto" w:fill="auto"/>
        <w:bidi w:val="0"/>
        <w:spacing w:before="0" w:after="280" w:line="467" w:lineRule="exact"/>
        <w:ind w:left="0" w:right="0" w:firstLine="440"/>
        <w:jc w:val="both"/>
      </w:pPr>
      <w:r>
        <w:rPr>
          <w:color w:val="000000"/>
          <w:spacing w:val="0"/>
          <w:w w:val="100"/>
          <w:position w:val="0"/>
        </w:rPr>
        <w:t>传统业务方面，智慧政务、智慧医卫以“业务</w:t>
      </w:r>
      <w:r>
        <w:rPr>
          <w:rFonts w:ascii="Times New Roman" w:eastAsia="Times New Roman" w:hAnsi="Times New Roman" w:cs="Times New Roman"/>
          <w:color w:val="000000"/>
          <w:spacing w:val="0"/>
          <w:w w:val="100"/>
          <w:position w:val="0"/>
        </w:rPr>
        <w:t>+</w:t>
      </w:r>
      <w:r>
        <w:rPr>
          <w:color w:val="000000"/>
          <w:spacing w:val="0"/>
          <w:w w:val="100"/>
          <w:position w:val="0"/>
        </w:rPr>
        <w:t>服务能力输出”为双核心，强化产品标准化，重点研 发核心业务领域的通用化、一体化解决方案，满足业务能力输出需求；</w:t>
      </w:r>
      <w:r>
        <w:rPr>
          <w:rFonts w:ascii="Times New Roman" w:eastAsia="Times New Roman" w:hAnsi="Times New Roman" w:cs="Times New Roman"/>
          <w:color w:val="000000"/>
          <w:spacing w:val="0"/>
          <w:w w:val="100"/>
          <w:position w:val="0"/>
        </w:rPr>
        <w:t>ICT</w:t>
      </w:r>
      <w:r>
        <w:rPr>
          <w:color w:val="000000"/>
          <w:spacing w:val="0"/>
          <w:w w:val="100"/>
          <w:position w:val="0"/>
        </w:rPr>
        <w:t>业务将继续以创新前沿技术为 驱动力，创新优化传统产业结构，应用生物识别、大数据、区块链、人工智能、云计算等技术手段，前移 并提升产业价值链，多技术、多模式促进产融有机结合，充分发挥产业价值。创新业务方面，公司按照“互 联网</w:t>
      </w:r>
      <w:r>
        <w:rPr>
          <w:rFonts w:ascii="Times New Roman" w:eastAsia="Times New Roman" w:hAnsi="Times New Roman" w:cs="Times New Roman"/>
          <w:color w:val="000000"/>
          <w:spacing w:val="0"/>
          <w:w w:val="100"/>
          <w:position w:val="0"/>
        </w:rPr>
        <w:t>+</w:t>
      </w:r>
      <w:r>
        <w:rPr>
          <w:color w:val="000000"/>
          <w:spacing w:val="0"/>
          <w:w w:val="100"/>
          <w:position w:val="0"/>
        </w:rPr>
        <w:t>”思维，依托大数据、人工智能等先进技术手段，全力推进新产品研发及成熟产品深化运营。</w:t>
      </w:r>
    </w:p>
    <w:p>
      <w:pPr>
        <w:pStyle w:val="Style18"/>
        <w:keepNext w:val="0"/>
        <w:keepLines w:val="0"/>
        <w:widowControl w:val="0"/>
        <w:shd w:val="clear" w:color="auto" w:fill="auto"/>
        <w:tabs>
          <w:tab w:pos="758" w:val="left"/>
        </w:tabs>
        <w:bidi w:val="0"/>
        <w:spacing w:before="0" w:after="0"/>
        <w:ind w:left="0" w:right="0" w:firstLine="440"/>
        <w:jc w:val="both"/>
      </w:pPr>
      <w:bookmarkStart w:id="315" w:name="bookmark315"/>
      <w:r>
        <w:rPr>
          <w:rFonts w:ascii="Times New Roman" w:eastAsia="Times New Roman" w:hAnsi="Times New Roman" w:cs="Times New Roman"/>
          <w:b/>
          <w:bCs/>
          <w:color w:val="000000"/>
          <w:spacing w:val="0"/>
          <w:w w:val="100"/>
          <w:position w:val="0"/>
        </w:rPr>
        <w:t>2</w:t>
      </w:r>
      <w:bookmarkEnd w:id="315"/>
      <w:r>
        <w:rPr>
          <w:b/>
          <w:bCs/>
          <w:color w:val="000000"/>
          <w:spacing w:val="0"/>
          <w:w w:val="100"/>
          <w:position w:val="0"/>
        </w:rPr>
        <w:t>、</w:t>
        <w:tab/>
        <w:t>夯实核心产品，稳固业务基本盘</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公司深耕智慧政务、智慧医卫市场</w:t>
      </w:r>
      <w:r>
        <w:rPr>
          <w:rFonts w:ascii="Times New Roman" w:eastAsia="Times New Roman" w:hAnsi="Times New Roman" w:cs="Times New Roman"/>
          <w:color w:val="000000"/>
          <w:spacing w:val="0"/>
          <w:w w:val="100"/>
          <w:position w:val="0"/>
        </w:rPr>
        <w:t>20</w:t>
      </w:r>
      <w:r>
        <w:rPr>
          <w:color w:val="000000"/>
          <w:spacing w:val="0"/>
          <w:w w:val="100"/>
          <w:position w:val="0"/>
        </w:rPr>
        <w:t>余年，积累了丰富的经验和项目案例，建立了产品、技术、服 务优势和壁垒。未来，公司将继续依托已有经验和优势，继续发力智慧政务、智慧医卫市场，围绕公司已 有业务场景提升</w:t>
      </w:r>
      <w:r>
        <w:rPr>
          <w:rFonts w:ascii="Times New Roman" w:eastAsia="Times New Roman" w:hAnsi="Times New Roman" w:cs="Times New Roman"/>
          <w:color w:val="000000"/>
          <w:spacing w:val="0"/>
          <w:w w:val="100"/>
          <w:position w:val="0"/>
        </w:rPr>
        <w:t>ICT</w:t>
      </w:r>
      <w:r>
        <w:rPr>
          <w:color w:val="000000"/>
          <w:spacing w:val="0"/>
          <w:w w:val="100"/>
          <w:position w:val="0"/>
        </w:rPr>
        <w:t>业务核心竞争力，重点提升产品标准化水平，逐步提高经营效率。</w:t>
      </w:r>
    </w:p>
    <w:p>
      <w:pPr>
        <w:pStyle w:val="Style18"/>
        <w:keepNext w:val="0"/>
        <w:keepLines w:val="0"/>
        <w:widowControl w:val="0"/>
        <w:shd w:val="clear" w:color="auto" w:fill="auto"/>
        <w:bidi w:val="0"/>
        <w:spacing w:before="0" w:after="280" w:line="469" w:lineRule="exact"/>
        <w:ind w:left="0" w:right="0" w:firstLine="440"/>
        <w:jc w:val="both"/>
      </w:pPr>
      <w:r>
        <w:rPr>
          <w:color w:val="000000"/>
          <w:spacing w:val="0"/>
          <w:w w:val="100"/>
          <w:position w:val="0"/>
        </w:rPr>
        <w:t>智慧医卫业务方面，公司将继续巩固市场地位和品牌优势，稳步扩大市场覆盖面、提高市场占有率； 智慧政务业务方面，政府数字化转型已然成为趋势，公司将继续围绕政府数字化转型，扎根智慧政务市场， 大力发展核心业务，在智慧化、数字化上发力；</w:t>
      </w:r>
      <w:r>
        <w:rPr>
          <w:rFonts w:ascii="Times New Roman" w:eastAsia="Times New Roman" w:hAnsi="Times New Roman" w:cs="Times New Roman"/>
          <w:color w:val="000000"/>
          <w:spacing w:val="0"/>
          <w:w w:val="100"/>
          <w:position w:val="0"/>
        </w:rPr>
        <w:t>ICT</w:t>
      </w:r>
      <w:r>
        <w:rPr>
          <w:color w:val="000000"/>
          <w:spacing w:val="0"/>
          <w:w w:val="100"/>
          <w:position w:val="0"/>
        </w:rPr>
        <w:t>业务方面，公司将继续拓展业务场景，加强业务融合， 强化</w:t>
      </w:r>
      <w:r>
        <w:rPr>
          <w:rFonts w:ascii="Times New Roman" w:eastAsia="Times New Roman" w:hAnsi="Times New Roman" w:cs="Times New Roman"/>
          <w:color w:val="000000"/>
          <w:spacing w:val="0"/>
          <w:w w:val="100"/>
          <w:position w:val="0"/>
        </w:rPr>
        <w:t>ICT</w:t>
      </w:r>
      <w:r>
        <w:rPr>
          <w:color w:val="000000"/>
          <w:spacing w:val="0"/>
          <w:w w:val="100"/>
          <w:position w:val="0"/>
        </w:rPr>
        <w:t>综合解决方案提供商角色定位，集中资源突破金融、能源、医卫、央企等重点行业。</w:t>
      </w:r>
    </w:p>
    <w:p>
      <w:pPr>
        <w:pStyle w:val="Style18"/>
        <w:keepNext w:val="0"/>
        <w:keepLines w:val="0"/>
        <w:widowControl w:val="0"/>
        <w:shd w:val="clear" w:color="auto" w:fill="auto"/>
        <w:tabs>
          <w:tab w:pos="758" w:val="left"/>
        </w:tabs>
        <w:bidi w:val="0"/>
        <w:spacing w:before="0" w:after="0"/>
        <w:ind w:left="0" w:right="0" w:firstLine="440"/>
        <w:jc w:val="both"/>
      </w:pPr>
      <w:bookmarkStart w:id="316" w:name="bookmark316"/>
      <w:r>
        <w:rPr>
          <w:rFonts w:ascii="Times New Roman" w:eastAsia="Times New Roman" w:hAnsi="Times New Roman" w:cs="Times New Roman"/>
          <w:b/>
          <w:bCs/>
          <w:color w:val="000000"/>
          <w:spacing w:val="0"/>
          <w:w w:val="100"/>
          <w:position w:val="0"/>
        </w:rPr>
        <w:t>3</w:t>
      </w:r>
      <w:bookmarkEnd w:id="316"/>
      <w:r>
        <w:rPr>
          <w:b/>
          <w:bCs/>
          <w:color w:val="000000"/>
          <w:spacing w:val="0"/>
          <w:w w:val="100"/>
          <w:position w:val="0"/>
        </w:rPr>
        <w:t>、</w:t>
        <w:tab/>
        <w:t>践行创新业务，开拓蓝海新市场</w:t>
      </w:r>
    </w:p>
    <w:p>
      <w:pPr>
        <w:pStyle w:val="Style18"/>
        <w:keepNext w:val="0"/>
        <w:keepLines w:val="0"/>
        <w:widowControl w:val="0"/>
        <w:shd w:val="clear" w:color="auto" w:fill="auto"/>
        <w:bidi w:val="0"/>
        <w:spacing w:before="0" w:after="0" w:line="473" w:lineRule="exact"/>
        <w:ind w:left="0" w:right="0" w:firstLine="440"/>
        <w:jc w:val="both"/>
      </w:pPr>
      <w:r>
        <w:rPr>
          <w:color w:val="000000"/>
          <w:spacing w:val="0"/>
          <w:w w:val="100"/>
          <w:position w:val="0"/>
        </w:rPr>
        <w:t>目前，公司已在健康管理和智慧城市的创新领域完成业务布局。未来，公司将进一步加强创新领域精 准定位，形成清晰的盈利模式，着力践行创新业务，着眼未来发展，开拓健康管理和智慧城市的蓝海新市 场。</w:t>
      </w:r>
    </w:p>
    <w:p>
      <w:pPr>
        <w:pStyle w:val="Style18"/>
        <w:keepNext w:val="0"/>
        <w:keepLines w:val="0"/>
        <w:widowControl w:val="0"/>
        <w:shd w:val="clear" w:color="auto" w:fill="auto"/>
        <w:bidi w:val="0"/>
        <w:spacing w:before="0" w:after="0" w:line="473" w:lineRule="exact"/>
        <w:ind w:left="0" w:right="0" w:firstLine="440"/>
        <w:jc w:val="both"/>
      </w:pPr>
      <w:r>
        <w:rPr>
          <w:color w:val="000000"/>
          <w:spacing w:val="0"/>
          <w:w w:val="100"/>
          <w:position w:val="0"/>
        </w:rPr>
        <w:t xml:space="preserve">蛮牛健康将继续立足整合公司在互联网、物联网、硬科技、健康保险、综合金融方面的资源和能力， </w:t>
      </w:r>
      <w:r>
        <w:rPr>
          <w:color w:val="000000"/>
          <w:spacing w:val="0"/>
          <w:w w:val="100"/>
          <w:position w:val="0"/>
        </w:rPr>
        <w:t>以“线上</w:t>
      </w:r>
      <w:r>
        <w:rPr>
          <w:rFonts w:ascii="Times New Roman" w:eastAsia="Times New Roman" w:hAnsi="Times New Roman" w:cs="Times New Roman"/>
          <w:color w:val="000000"/>
          <w:spacing w:val="0"/>
          <w:w w:val="100"/>
          <w:position w:val="0"/>
        </w:rPr>
        <w:t>+</w:t>
      </w:r>
      <w:r>
        <w:rPr>
          <w:color w:val="000000"/>
          <w:spacing w:val="0"/>
          <w:w w:val="100"/>
          <w:position w:val="0"/>
        </w:rPr>
        <w:t>线下” 一体化为实现方式，聚焦健康管理业务，开发多种应用场景落地，以聚合的模式实现联 动效应；健康云业务将继续践行政府主导、市场参与、共同建设、受托运营的模式，以居民电子健康档案 和电子病历数据为核心，统筹卫生健康信息惠民资源，打造城市级医疗健康服务的一站式互联网总入口， 提供“互联网</w:t>
      </w:r>
      <w:r>
        <w:rPr>
          <w:rFonts w:ascii="Times New Roman" w:eastAsia="Times New Roman" w:hAnsi="Times New Roman" w:cs="Times New Roman"/>
          <w:color w:val="000000"/>
          <w:spacing w:val="0"/>
          <w:w w:val="100"/>
          <w:position w:val="0"/>
        </w:rPr>
        <w:t>+</w:t>
      </w:r>
      <w:r>
        <w:rPr>
          <w:color w:val="000000"/>
          <w:spacing w:val="0"/>
          <w:w w:val="100"/>
          <w:position w:val="0"/>
        </w:rPr>
        <w:t>医疗”、“互联网</w:t>
      </w:r>
      <w:r>
        <w:rPr>
          <w:rFonts w:ascii="Times New Roman" w:eastAsia="Times New Roman" w:hAnsi="Times New Roman" w:cs="Times New Roman"/>
          <w:color w:val="000000"/>
          <w:spacing w:val="0"/>
          <w:w w:val="100"/>
          <w:position w:val="0"/>
        </w:rPr>
        <w:t>+</w:t>
      </w:r>
      <w:r>
        <w:rPr>
          <w:color w:val="000000"/>
          <w:spacing w:val="0"/>
          <w:w w:val="100"/>
          <w:position w:val="0"/>
        </w:rPr>
        <w:t>健康”的数字健康服务一站式解决方案；智慧城市业务以城市市民云为主 要载体，将继续立足于搭建和运营全方位、一体化、本地化、可信赖的“互联网</w:t>
      </w:r>
      <w:r>
        <w:rPr>
          <w:rFonts w:ascii="Times New Roman" w:eastAsia="Times New Roman" w:hAnsi="Times New Roman" w:cs="Times New Roman"/>
          <w:color w:val="000000"/>
          <w:spacing w:val="0"/>
          <w:w w:val="100"/>
          <w:position w:val="0"/>
        </w:rPr>
        <w:t>+</w:t>
      </w:r>
      <w:r>
        <w:rPr>
          <w:color w:val="000000"/>
          <w:spacing w:val="0"/>
          <w:w w:val="100"/>
          <w:position w:val="0"/>
        </w:rPr>
        <w:t>城市服务”平台，集成 面向本地市民的全生命周期服务的超级平台，提升居民享受城市服务的便利性和对智慧城市服务的获得感。</w:t>
      </w:r>
    </w:p>
    <w:p>
      <w:pPr>
        <w:pStyle w:val="Style33"/>
        <w:keepNext/>
        <w:keepLines/>
        <w:widowControl w:val="0"/>
        <w:shd w:val="clear" w:color="auto" w:fill="auto"/>
        <w:bidi w:val="0"/>
        <w:spacing w:before="0" w:after="0" w:line="472" w:lineRule="exact"/>
        <w:ind w:left="0" w:right="0"/>
        <w:jc w:val="both"/>
      </w:pPr>
      <w:bookmarkStart w:id="317" w:name="bookmark317"/>
      <w:bookmarkStart w:id="318" w:name="bookmark318"/>
      <w:bookmarkStart w:id="319" w:name="bookmark319"/>
      <w:bookmarkStart w:id="320" w:name="bookmark320"/>
      <w:r>
        <w:rPr>
          <w:color w:val="000000"/>
          <w:spacing w:val="0"/>
          <w:w w:val="100"/>
          <w:position w:val="0"/>
        </w:rPr>
        <w:t>（</w:t>
      </w:r>
      <w:bookmarkEnd w:id="319"/>
      <w:r>
        <w:rPr>
          <w:color w:val="000000"/>
          <w:spacing w:val="0"/>
          <w:w w:val="100"/>
          <w:position w:val="0"/>
        </w:rPr>
        <w:t>三）经营计划</w:t>
      </w:r>
      <w:bookmarkEnd w:id="317"/>
      <w:bookmarkEnd w:id="318"/>
      <w:bookmarkEnd w:id="320"/>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报告期内，公司践行发展战略和经营计划，保持较为平稳的经营态势，并实现扭亏为盈。为进一步实 现公司整体发展战略，结合公司实际情况，制定</w:t>
      </w:r>
      <w:r>
        <w:rPr>
          <w:rFonts w:ascii="Times New Roman" w:eastAsia="Times New Roman" w:hAnsi="Times New Roman" w:cs="Times New Roman"/>
          <w:color w:val="000000"/>
          <w:spacing w:val="0"/>
          <w:w w:val="100"/>
          <w:position w:val="0"/>
        </w:rPr>
        <w:t>2022</w:t>
      </w:r>
      <w:r>
        <w:rPr>
          <w:color w:val="000000"/>
          <w:spacing w:val="0"/>
          <w:w w:val="100"/>
          <w:position w:val="0"/>
        </w:rPr>
        <w:t>年度经营计划，具体如下：</w:t>
      </w:r>
    </w:p>
    <w:p>
      <w:pPr>
        <w:pStyle w:val="Style18"/>
        <w:keepNext w:val="0"/>
        <w:keepLines w:val="0"/>
        <w:widowControl w:val="0"/>
        <w:shd w:val="clear" w:color="auto" w:fill="auto"/>
        <w:tabs>
          <w:tab w:pos="758" w:val="left"/>
        </w:tabs>
        <w:bidi w:val="0"/>
        <w:spacing w:before="0" w:after="0" w:line="472" w:lineRule="exact"/>
        <w:ind w:left="0" w:right="0" w:firstLine="440"/>
        <w:jc w:val="both"/>
      </w:pPr>
      <w:bookmarkStart w:id="321" w:name="bookmark321"/>
      <w:r>
        <w:rPr>
          <w:rFonts w:ascii="Times New Roman" w:eastAsia="Times New Roman" w:hAnsi="Times New Roman" w:cs="Times New Roman"/>
          <w:b/>
          <w:bCs/>
          <w:color w:val="000000"/>
          <w:spacing w:val="0"/>
          <w:w w:val="100"/>
          <w:position w:val="0"/>
        </w:rPr>
        <w:t>1</w:t>
      </w:r>
      <w:bookmarkEnd w:id="321"/>
      <w:r>
        <w:rPr>
          <w:b/>
          <w:bCs/>
          <w:color w:val="000000"/>
          <w:spacing w:val="0"/>
          <w:w w:val="100"/>
          <w:position w:val="0"/>
        </w:rPr>
        <w:t>、</w:t>
        <w:tab/>
        <w:t>围绕总体战略目标，持续拓展市场</w:t>
      </w:r>
    </w:p>
    <w:p>
      <w:pPr>
        <w:pStyle w:val="Style18"/>
        <w:keepNext w:val="0"/>
        <w:keepLines w:val="0"/>
        <w:widowControl w:val="0"/>
        <w:shd w:val="clear" w:color="auto" w:fill="auto"/>
        <w:bidi w:val="0"/>
        <w:spacing w:before="0" w:after="0" w:line="472"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年，公司将围绕“健康中国，智慧中国，安全中国”的总体战略目标，坚持“</w:t>
      </w:r>
      <w:r>
        <w:rPr>
          <w:rFonts w:ascii="Times New Roman" w:eastAsia="Times New Roman" w:hAnsi="Times New Roman" w:cs="Times New Roman"/>
          <w:color w:val="000000"/>
          <w:spacing w:val="0"/>
          <w:w w:val="100"/>
          <w:position w:val="0"/>
        </w:rPr>
        <w:t>3+2</w:t>
      </w:r>
      <w:r>
        <w:rPr>
          <w:color w:val="000000"/>
          <w:spacing w:val="0"/>
          <w:w w:val="100"/>
          <w:position w:val="0"/>
        </w:rPr>
        <w:t>”业务架构， 深化推进战略转型方向，以深耕多年的智慧医卫、智慧政务、</w:t>
      </w:r>
      <w:r>
        <w:rPr>
          <w:rFonts w:ascii="Times New Roman" w:eastAsia="Times New Roman" w:hAnsi="Times New Roman" w:cs="Times New Roman"/>
          <w:color w:val="000000"/>
          <w:spacing w:val="0"/>
          <w:w w:val="100"/>
          <w:position w:val="0"/>
        </w:rPr>
        <w:t>ICT</w:t>
      </w:r>
      <w:r>
        <w:rPr>
          <w:color w:val="000000"/>
          <w:spacing w:val="0"/>
          <w:w w:val="100"/>
          <w:position w:val="0"/>
        </w:rPr>
        <w:t>业务为发展引擎，通过“数字化、产品 化、云化”的一体化解决方案，加速在健康管理、智慧城市两大赛道的高速发展，深耕健康管理蓝海市场， 积极抢占智慧城市高地，持续探索科技驱动型、产品驱动型的互联网商业模式。公司将继续以核心产品为 抓手，以未来公卫和医疗创新管理服务项目、未来城市智慧服务平台项目等重点一体化解决方案为核心， 加强推广力度，扩大核心产品的销售额和市场份额。当前智慧政务、智慧医卫方面信息化建设需求旺盛， 公司将紧抓市场契机，加强优质项目建设，推进市场覆盖力度。</w:t>
      </w:r>
    </w:p>
    <w:p>
      <w:pPr>
        <w:pStyle w:val="Style18"/>
        <w:keepNext w:val="0"/>
        <w:keepLines w:val="0"/>
        <w:widowControl w:val="0"/>
        <w:shd w:val="clear" w:color="auto" w:fill="auto"/>
        <w:tabs>
          <w:tab w:pos="758" w:val="left"/>
        </w:tabs>
        <w:bidi w:val="0"/>
        <w:spacing w:before="0" w:after="0" w:line="472" w:lineRule="exact"/>
        <w:ind w:left="0" w:right="0" w:firstLine="440"/>
        <w:jc w:val="both"/>
      </w:pPr>
      <w:bookmarkStart w:id="322" w:name="bookmark322"/>
      <w:r>
        <w:rPr>
          <w:rFonts w:ascii="Times New Roman" w:eastAsia="Times New Roman" w:hAnsi="Times New Roman" w:cs="Times New Roman"/>
          <w:b/>
          <w:bCs/>
          <w:color w:val="000000"/>
          <w:spacing w:val="0"/>
          <w:w w:val="100"/>
          <w:position w:val="0"/>
        </w:rPr>
        <w:t>2</w:t>
      </w:r>
      <w:bookmarkEnd w:id="322"/>
      <w:r>
        <w:rPr>
          <w:b/>
          <w:bCs/>
          <w:color w:val="000000"/>
          <w:spacing w:val="0"/>
          <w:w w:val="100"/>
          <w:position w:val="0"/>
        </w:rPr>
        <w:t>、</w:t>
        <w:tab/>
        <w:t>落实技术赋能，提升公司核心竞争力</w:t>
      </w:r>
    </w:p>
    <w:p>
      <w:pPr>
        <w:pStyle w:val="Style18"/>
        <w:keepNext w:val="0"/>
        <w:keepLines w:val="0"/>
        <w:widowControl w:val="0"/>
        <w:shd w:val="clear" w:color="auto" w:fill="auto"/>
        <w:bidi w:val="0"/>
        <w:spacing w:before="0" w:after="0" w:line="472"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年，公司将跟进行业及业界前沿技术，进行关键技术攻关，继续保持研发投入以持续提升产品竞 争力和标准化水平，降低项目成本，进一步实现集约化经营，为公司持续健康经营打下坚实基础。在数据 分析、区块链技术、隐私计算技术、数据安全产品、数据共享交换等方面深度赋能公司业务，围绕智慧城 市建设、创新的重点行业领域与关键业务场景，聚焦智慧城市数据底座、医学</w:t>
      </w:r>
      <w:r>
        <w:rPr>
          <w:rFonts w:ascii="Times New Roman" w:eastAsia="Times New Roman" w:hAnsi="Times New Roman" w:cs="Times New Roman"/>
          <w:color w:val="000000"/>
          <w:spacing w:val="0"/>
          <w:w w:val="100"/>
          <w:position w:val="0"/>
        </w:rPr>
        <w:t>AI</w:t>
      </w:r>
      <w:r>
        <w:rPr>
          <w:color w:val="000000"/>
          <w:spacing w:val="0"/>
          <w:w w:val="100"/>
          <w:position w:val="0"/>
        </w:rPr>
        <w:t>训练设施、数字化临床 研究等方向开展技术探索研发、产品转化推广、项目落地实施，从而在数字化转型浪潮中持续增强公司技 术实力，提升业务竞争力，巩固行业领跑地位。</w:t>
      </w:r>
    </w:p>
    <w:p>
      <w:pPr>
        <w:pStyle w:val="Style18"/>
        <w:keepNext w:val="0"/>
        <w:keepLines w:val="0"/>
        <w:widowControl w:val="0"/>
        <w:shd w:val="clear" w:color="auto" w:fill="auto"/>
        <w:tabs>
          <w:tab w:pos="758" w:val="left"/>
        </w:tabs>
        <w:bidi w:val="0"/>
        <w:spacing w:before="0" w:after="0" w:line="472" w:lineRule="exact"/>
        <w:ind w:left="0" w:right="0" w:firstLine="440"/>
        <w:jc w:val="both"/>
      </w:pPr>
      <w:bookmarkStart w:id="323" w:name="bookmark323"/>
      <w:r>
        <w:rPr>
          <w:rFonts w:ascii="Times New Roman" w:eastAsia="Times New Roman" w:hAnsi="Times New Roman" w:cs="Times New Roman"/>
          <w:b/>
          <w:bCs/>
          <w:color w:val="000000"/>
          <w:spacing w:val="0"/>
          <w:w w:val="100"/>
          <w:position w:val="0"/>
        </w:rPr>
        <w:t>3</w:t>
      </w:r>
      <w:bookmarkEnd w:id="323"/>
      <w:r>
        <w:rPr>
          <w:b/>
          <w:bCs/>
          <w:color w:val="000000"/>
          <w:spacing w:val="0"/>
          <w:w w:val="100"/>
          <w:position w:val="0"/>
        </w:rPr>
        <w:t>、</w:t>
        <w:tab/>
        <w:t>聚焦行业发展趋势，提升创新业务“造血”能力</w:t>
      </w:r>
    </w:p>
    <w:p>
      <w:pPr>
        <w:pStyle w:val="Style18"/>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 xml:space="preserve">年，公司将积极响应国家数字化转型战略，加快公司数字转型步伐，抓住细分领域机遇，完善资 源布局，通过未来公卫和医疗创新管理服务项目、未来城市智慧服务平台项目等重点研发项目，着力打造 引领行业未来发展的一体化解决方案。此外，公司将在已完成业务布局的健康管理、智慧城市两个创新领 域继续发力，将以进一步形成清晰的经营模式，大力开拓销售市场为主要目标，力争形成一定规模的经营 </w:t>
      </w:r>
      <w:r>
        <w:rPr>
          <w:color w:val="000000"/>
          <w:spacing w:val="0"/>
          <w:w w:val="100"/>
          <w:position w:val="0"/>
        </w:rPr>
        <w:t>成效。</w:t>
      </w:r>
    </w:p>
    <w:p>
      <w:pPr>
        <w:pStyle w:val="Style33"/>
        <w:keepNext/>
        <w:keepLines/>
        <w:widowControl w:val="0"/>
        <w:shd w:val="clear" w:color="auto" w:fill="auto"/>
        <w:bidi w:val="0"/>
        <w:spacing w:before="0" w:after="0" w:line="472" w:lineRule="exact"/>
        <w:ind w:left="0" w:right="0"/>
        <w:jc w:val="left"/>
      </w:pPr>
      <w:bookmarkStart w:id="324" w:name="bookmark324"/>
      <w:bookmarkStart w:id="325" w:name="bookmark325"/>
      <w:bookmarkStart w:id="326" w:name="bookmark326"/>
      <w:bookmarkStart w:id="327" w:name="bookmark327"/>
      <w:r>
        <w:rPr>
          <w:color w:val="000000"/>
          <w:spacing w:val="0"/>
          <w:w w:val="100"/>
          <w:position w:val="0"/>
        </w:rPr>
        <w:t>（</w:t>
      </w:r>
      <w:bookmarkEnd w:id="326"/>
      <w:r>
        <w:rPr>
          <w:color w:val="000000"/>
          <w:spacing w:val="0"/>
          <w:w w:val="100"/>
          <w:position w:val="0"/>
        </w:rPr>
        <w:t>四）可能面对的风险</w:t>
      </w:r>
      <w:bookmarkEnd w:id="324"/>
      <w:bookmarkEnd w:id="325"/>
      <w:bookmarkEnd w:id="327"/>
    </w:p>
    <w:p>
      <w:pPr>
        <w:pStyle w:val="Style18"/>
        <w:keepNext w:val="0"/>
        <w:keepLines w:val="0"/>
        <w:widowControl w:val="0"/>
        <w:shd w:val="clear" w:color="auto" w:fill="auto"/>
        <w:bidi w:val="0"/>
        <w:spacing w:before="0" w:after="0" w:line="472" w:lineRule="exact"/>
        <w:ind w:left="0" w:right="0" w:firstLine="440"/>
        <w:jc w:val="left"/>
      </w:pPr>
      <w:r>
        <w:rPr>
          <w:color w:val="000000"/>
          <w:spacing w:val="0"/>
          <w:w w:val="100"/>
          <w:position w:val="0"/>
        </w:rPr>
        <w:t>虽然公司已有所准备，但不排除受到各种不利因素影响。具体风险如下：</w:t>
      </w:r>
    </w:p>
    <w:p>
      <w:pPr>
        <w:pStyle w:val="Style18"/>
        <w:keepNext w:val="0"/>
        <w:keepLines w:val="0"/>
        <w:widowControl w:val="0"/>
        <w:shd w:val="clear" w:color="auto" w:fill="auto"/>
        <w:tabs>
          <w:tab w:pos="798" w:val="left"/>
        </w:tabs>
        <w:bidi w:val="0"/>
        <w:spacing w:before="0" w:after="0" w:line="472" w:lineRule="exact"/>
        <w:ind w:left="0" w:right="0" w:firstLine="440"/>
        <w:jc w:val="both"/>
      </w:pPr>
      <w:bookmarkStart w:id="328" w:name="bookmark328"/>
      <w:r>
        <w:rPr>
          <w:rFonts w:ascii="Times New Roman" w:eastAsia="Times New Roman" w:hAnsi="Times New Roman" w:cs="Times New Roman"/>
          <w:b/>
          <w:bCs/>
          <w:color w:val="000000"/>
          <w:spacing w:val="0"/>
          <w:w w:val="100"/>
          <w:position w:val="0"/>
        </w:rPr>
        <w:t>1</w:t>
      </w:r>
      <w:bookmarkEnd w:id="328"/>
      <w:r>
        <w:rPr>
          <w:b/>
          <w:bCs/>
          <w:color w:val="000000"/>
          <w:spacing w:val="0"/>
          <w:w w:val="100"/>
          <w:position w:val="0"/>
        </w:rPr>
        <w:t>、</w:t>
        <w:tab/>
        <w:t>行业竞争加剧风险</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公司主营业务目前保持稳定发展的势头，继续保持着国内市场的领先地位。随着云计算、大数据、人 工智能以及物联网等技术的快速发展，催生出大量新技术、新应用和新商业模式，给市场带来了诸多不确 定因素。市场参与者将面临更多挑战，需要在新产品或技术的研发、运营服务等方面不断适应市场的变化， 保证技术和市场优势。</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应对措施：公司将持续加大研发投入力度，确保关键技术行业领先和产品的核心竞争力。在巩固原有 优势行业及覆盖区域的同时，通过公司</w:t>
      </w:r>
      <w:r>
        <w:rPr>
          <w:rFonts w:ascii="Times New Roman" w:eastAsia="Times New Roman" w:hAnsi="Times New Roman" w:cs="Times New Roman"/>
          <w:color w:val="000000"/>
          <w:spacing w:val="0"/>
          <w:w w:val="100"/>
          <w:position w:val="0"/>
        </w:rPr>
        <w:t>“3+2”</w:t>
      </w:r>
      <w:r>
        <w:rPr>
          <w:color w:val="000000"/>
          <w:spacing w:val="0"/>
          <w:w w:val="100"/>
          <w:position w:val="0"/>
        </w:rPr>
        <w:t>业务板块的优势产品与优质服务，适时适度扩大业务范围和 覆盖区域，在全国范围拓展建立深度合作生态圈。</w:t>
      </w:r>
    </w:p>
    <w:p>
      <w:pPr>
        <w:pStyle w:val="Style18"/>
        <w:keepNext w:val="0"/>
        <w:keepLines w:val="0"/>
        <w:widowControl w:val="0"/>
        <w:shd w:val="clear" w:color="auto" w:fill="auto"/>
        <w:tabs>
          <w:tab w:pos="808" w:val="left"/>
        </w:tabs>
        <w:bidi w:val="0"/>
        <w:spacing w:before="0" w:after="0" w:line="472" w:lineRule="exact"/>
        <w:ind w:left="0" w:right="0" w:firstLine="440"/>
        <w:jc w:val="both"/>
      </w:pPr>
      <w:bookmarkStart w:id="329" w:name="bookmark329"/>
      <w:r>
        <w:rPr>
          <w:rFonts w:ascii="Times New Roman" w:eastAsia="Times New Roman" w:hAnsi="Times New Roman" w:cs="Times New Roman"/>
          <w:b/>
          <w:bCs/>
          <w:color w:val="000000"/>
          <w:spacing w:val="0"/>
          <w:w w:val="100"/>
          <w:position w:val="0"/>
        </w:rPr>
        <w:t>2</w:t>
      </w:r>
      <w:bookmarkEnd w:id="329"/>
      <w:r>
        <w:rPr>
          <w:b/>
          <w:bCs/>
          <w:color w:val="000000"/>
          <w:spacing w:val="0"/>
          <w:w w:val="100"/>
          <w:position w:val="0"/>
        </w:rPr>
        <w:t>、</w:t>
        <w:tab/>
        <w:t>疫情影响风险</w:t>
      </w:r>
    </w:p>
    <w:p>
      <w:pPr>
        <w:pStyle w:val="Style18"/>
        <w:keepNext w:val="0"/>
        <w:keepLines w:val="0"/>
        <w:widowControl w:val="0"/>
        <w:shd w:val="clear" w:color="auto" w:fill="auto"/>
        <w:bidi w:val="0"/>
        <w:spacing w:before="0" w:after="0" w:line="472" w:lineRule="exact"/>
        <w:ind w:left="0" w:right="0" w:firstLine="440"/>
        <w:jc w:val="both"/>
      </w:pPr>
      <w:r>
        <w:rPr>
          <w:color w:val="000000"/>
          <w:spacing w:val="0"/>
          <w:w w:val="100"/>
          <w:position w:val="0"/>
        </w:rPr>
        <w:t>目前，国内新型冠状病毒肺炎疫情防控形势依然严峻，如果未来国内疫情出现反复或加剧，将影响公 司业务的实施和交付进度，对公司正常生产经营可能会造成一定影响。公司受疫情影响程度将取决于疫情 防控的情况、持续时间等。</w:t>
      </w:r>
    </w:p>
    <w:p>
      <w:pPr>
        <w:pStyle w:val="Style18"/>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应对措施：公司已经并将持续关注疫情的发展情况，及时评估和积极应对，并在公司内部做好宣导和 防控，以降低疫情常态化防控期间偶发事件带来的负面影响。</w:t>
      </w:r>
    </w:p>
    <w:p>
      <w:pPr>
        <w:pStyle w:val="Style18"/>
        <w:keepNext w:val="0"/>
        <w:keepLines w:val="0"/>
        <w:widowControl w:val="0"/>
        <w:shd w:val="clear" w:color="auto" w:fill="auto"/>
        <w:tabs>
          <w:tab w:pos="808" w:val="left"/>
        </w:tabs>
        <w:bidi w:val="0"/>
        <w:spacing w:before="0" w:after="0" w:line="472" w:lineRule="exact"/>
        <w:ind w:left="0" w:right="0" w:firstLine="440"/>
        <w:jc w:val="both"/>
      </w:pPr>
      <w:bookmarkStart w:id="330" w:name="bookmark330"/>
      <w:r>
        <w:rPr>
          <w:rFonts w:ascii="Times New Roman" w:eastAsia="Times New Roman" w:hAnsi="Times New Roman" w:cs="Times New Roman"/>
          <w:b/>
          <w:bCs/>
          <w:color w:val="000000"/>
          <w:spacing w:val="0"/>
          <w:w w:val="100"/>
          <w:position w:val="0"/>
        </w:rPr>
        <w:t>3</w:t>
      </w:r>
      <w:bookmarkEnd w:id="330"/>
      <w:r>
        <w:rPr>
          <w:b/>
          <w:bCs/>
          <w:color w:val="000000"/>
          <w:spacing w:val="0"/>
          <w:w w:val="100"/>
          <w:position w:val="0"/>
        </w:rPr>
        <w:t>、</w:t>
        <w:tab/>
        <w:t>技术研发风险</w:t>
      </w:r>
    </w:p>
    <w:p>
      <w:pPr>
        <w:pStyle w:val="Style18"/>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公司在研项目需要大数据、人工智能、物联网等新兴技术的支撑，需要对相关领域的技术成果加以应 用，但存在项目实施过程中出现新的技术更替和迭代，其间涉及的不确定因素较多。如果公司不能迅速适 应市场变化，提供适应最新技术路线的产品和解决方案，将对公司的盈利与市场份额产生一定程度的影响。</w:t>
      </w:r>
    </w:p>
    <w:p>
      <w:pPr>
        <w:pStyle w:val="Style18"/>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应对措施：公司将高度关注行业最新动态，始终保持积极研发布局，持续把握最新的市场需求，加强 研发可行性和合理性评估，以降低技术研发风险。</w:t>
      </w:r>
    </w:p>
    <w:p>
      <w:pPr>
        <w:pStyle w:val="Style18"/>
        <w:keepNext w:val="0"/>
        <w:keepLines w:val="0"/>
        <w:widowControl w:val="0"/>
        <w:shd w:val="clear" w:color="auto" w:fill="auto"/>
        <w:tabs>
          <w:tab w:pos="808" w:val="left"/>
        </w:tabs>
        <w:bidi w:val="0"/>
        <w:spacing w:before="0" w:after="0" w:line="473" w:lineRule="exact"/>
        <w:ind w:left="0" w:right="0" w:firstLine="440"/>
        <w:jc w:val="both"/>
      </w:pPr>
      <w:bookmarkStart w:id="331" w:name="bookmark331"/>
      <w:r>
        <w:rPr>
          <w:rFonts w:ascii="Times New Roman" w:eastAsia="Times New Roman" w:hAnsi="Times New Roman" w:cs="Times New Roman"/>
          <w:b/>
          <w:bCs/>
          <w:color w:val="000000"/>
          <w:spacing w:val="0"/>
          <w:w w:val="100"/>
          <w:position w:val="0"/>
        </w:rPr>
        <w:t>4</w:t>
      </w:r>
      <w:bookmarkEnd w:id="331"/>
      <w:r>
        <w:rPr>
          <w:b/>
          <w:bCs/>
          <w:color w:val="000000"/>
          <w:spacing w:val="0"/>
          <w:w w:val="100"/>
          <w:position w:val="0"/>
        </w:rPr>
        <w:t>、</w:t>
        <w:tab/>
        <w:t>人才流失风险</w:t>
      </w:r>
    </w:p>
    <w:p>
      <w:pPr>
        <w:pStyle w:val="Style18"/>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公司是技术密集型企业，技术研发和创新不可避免地依赖核心技术人员和关键管理人员，他们在公司 各个层面均起着重要作用。如果人才出现大量流失，将对公司的生产经营造成一定的负面影响。</w:t>
      </w:r>
    </w:p>
    <w:p>
      <w:pPr>
        <w:pStyle w:val="Style18"/>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应对措施：公司将持续改善员工的薪酬和福利待遇，进一步重视和关注员工的发展诉求，健全培训机 制，提供广阔的发展通道，为员工创造学习、锻炼和成长的机会。</w:t>
      </w:r>
      <w:r>
        <w:br w:type="page"/>
      </w:r>
    </w:p>
    <w:p>
      <w:pPr>
        <w:pStyle w:val="Style24"/>
        <w:keepNext/>
        <w:keepLines/>
        <w:widowControl w:val="0"/>
        <w:shd w:val="clear" w:color="auto" w:fill="auto"/>
        <w:bidi w:val="0"/>
        <w:spacing w:before="0" w:after="360" w:line="240" w:lineRule="auto"/>
        <w:ind w:left="0" w:right="0" w:firstLine="0"/>
        <w:jc w:val="left"/>
      </w:pPr>
      <w:bookmarkStart w:id="332" w:name="bookmark332"/>
      <w:bookmarkStart w:id="333" w:name="bookmark333"/>
      <w:bookmarkStart w:id="334" w:name="bookmark334"/>
      <w:r>
        <w:rPr>
          <w:color w:val="000000"/>
          <w:spacing w:val="0"/>
          <w:w w:val="100"/>
          <w:position w:val="0"/>
        </w:rPr>
        <w:t>十二、报告期内接待调研、沟通、采访等活动登记表</w:t>
      </w:r>
      <w:bookmarkEnd w:id="332"/>
      <w:bookmarkEnd w:id="333"/>
      <w:bookmarkEnd w:id="334"/>
    </w:p>
    <w:p>
      <w:pPr>
        <w:pStyle w:val="Style2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rFonts w:ascii="SimSun" w:eastAsia="SimSun" w:hAnsi="SimSun" w:cs="SimSun"/>
          <w:color w:val="000000"/>
          <w:spacing w:val="0"/>
          <w:w w:val="100"/>
          <w:position w:val="0"/>
          <w:sz w:val="17"/>
          <w:szCs w:val="17"/>
        </w:rPr>
        <w:t>适用</w:t>
      </w:r>
      <w:r>
        <w:rPr>
          <w:rFonts w:ascii="SimSun" w:eastAsia="SimSun" w:hAnsi="SimSun" w:cs="SimSun"/>
          <w:color w:val="000000"/>
          <w:spacing w:val="0"/>
          <w:w w:val="100"/>
          <w:position w:val="0"/>
          <w:sz w:val="18"/>
          <w:szCs w:val="18"/>
        </w:rPr>
        <w:t>口</w:t>
      </w:r>
      <w:r>
        <w:rPr>
          <w:rFonts w:ascii="SimSun" w:eastAsia="SimSun" w:hAnsi="SimSun" w:cs="SimSun"/>
          <w:color w:val="000000"/>
          <w:spacing w:val="0"/>
          <w:w w:val="100"/>
          <w:position w:val="0"/>
          <w:sz w:val="17"/>
          <w:szCs w:val="17"/>
        </w:rPr>
        <w:t>不适用</w:t>
      </w:r>
    </w:p>
    <w:tbl>
      <w:tblPr>
        <w:tblOverlap w:val="never"/>
        <w:jc w:val="center"/>
        <w:tblLayout w:type="fixed"/>
      </w:tblPr>
      <w:tblGrid>
        <w:gridCol w:w="1570"/>
        <w:gridCol w:w="854"/>
        <w:gridCol w:w="1128"/>
        <w:gridCol w:w="1286"/>
        <w:gridCol w:w="1272"/>
        <w:gridCol w:w="2126"/>
        <w:gridCol w:w="1354"/>
      </w:tblGrid>
      <w:tr>
        <w:trPr>
          <w:trHeight w:val="72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接待地点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接待方式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接待对象类型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接待对象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谈论的主要内容及提供的 资料</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调研的基本情况 索引</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线上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年度业绩预告解读； 详见投资者关系管理档案。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巨潮资讯网</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公司经营情况介绍；详见投 资者关系管理档案。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巨潮资讯网</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线上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公司经营情况介绍；详见投 资者关系管理档案。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巨潮资讯网</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线上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关于终止定增的情况说明；</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详见投资者关系管理档案。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巨潮资讯网</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线上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年度业绩说明和 问题解答;详见投资者关系 管理档案。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巨潮资讯网</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线上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电话沟通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机构投资者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公司经营情况介绍；详见投 资者关系管理档案。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巨潮资讯网</w:t>
            </w:r>
          </w:p>
        </w:tc>
      </w:tr>
    </w:tbl>
    <w:p>
      <w:pPr>
        <w:sectPr>
          <w:footnotePr>
            <w:pos w:val="pageBottom"/>
            <w:numFmt w:val="decimal"/>
            <w:numRestart w:val="continuous"/>
          </w:footnotePr>
          <w:pgSz w:w="11900" w:h="16840"/>
          <w:pgMar w:top="1309" w:right="983" w:bottom="1434" w:left="1015" w:header="0" w:footer="3" w:gutter="0"/>
          <w:cols w:space="720"/>
          <w:noEndnote/>
          <w:rtlGutter w:val="0"/>
          <w:docGrid w:linePitch="360"/>
        </w:sectPr>
      </w:pPr>
    </w:p>
    <w:p>
      <w:pPr>
        <w:pStyle w:val="Style9"/>
        <w:keepNext/>
        <w:keepLines/>
        <w:widowControl w:val="0"/>
        <w:shd w:val="clear" w:color="auto" w:fill="auto"/>
        <w:bidi w:val="0"/>
        <w:spacing w:before="540" w:after="480" w:line="240" w:lineRule="auto"/>
        <w:ind w:left="0" w:right="0" w:firstLine="0"/>
        <w:jc w:val="center"/>
      </w:pPr>
      <w:bookmarkStart w:id="335" w:name="bookmark335"/>
      <w:bookmarkStart w:id="336" w:name="bookmark336"/>
      <w:bookmarkStart w:id="337" w:name="bookmark337"/>
      <w:r>
        <w:rPr>
          <w:color w:val="000000"/>
          <w:spacing w:val="0"/>
          <w:w w:val="100"/>
          <w:position w:val="0"/>
        </w:rPr>
        <w:t>第四节公司治理</w:t>
      </w:r>
      <w:bookmarkEnd w:id="335"/>
      <w:bookmarkEnd w:id="336"/>
      <w:bookmarkEnd w:id="337"/>
    </w:p>
    <w:p>
      <w:pPr>
        <w:pStyle w:val="Style24"/>
        <w:keepNext/>
        <w:keepLines/>
        <w:widowControl w:val="0"/>
        <w:shd w:val="clear" w:color="auto" w:fill="auto"/>
        <w:tabs>
          <w:tab w:pos="514" w:val="left"/>
        </w:tabs>
        <w:bidi w:val="0"/>
        <w:spacing w:before="0" w:after="260" w:line="331" w:lineRule="exact"/>
        <w:ind w:left="0" w:right="0" w:firstLine="0"/>
        <w:jc w:val="left"/>
      </w:pPr>
      <w:bookmarkStart w:id="338" w:name="bookmark338"/>
      <w:bookmarkStart w:id="339" w:name="bookmark339"/>
      <w:bookmarkStart w:id="340" w:name="bookmark340"/>
      <w:bookmarkStart w:id="341" w:name="bookmark341"/>
      <w:bookmarkStart w:id="342" w:name="bookmark342"/>
      <w:r>
        <w:rPr>
          <w:color w:val="000000"/>
          <w:spacing w:val="0"/>
          <w:w w:val="100"/>
          <w:position w:val="0"/>
        </w:rPr>
        <w:t>一</w:t>
      </w:r>
      <w:bookmarkEnd w:id="341"/>
      <w:r>
        <w:rPr>
          <w:color w:val="000000"/>
          <w:spacing w:val="0"/>
          <w:w w:val="100"/>
          <w:position w:val="0"/>
        </w:rPr>
        <w:t>、</w:t>
        <w:tab/>
        <w:t>公司治理的基本状况</w:t>
      </w:r>
      <w:bookmarkEnd w:id="339"/>
      <w:bookmarkEnd w:id="340"/>
      <w:bookmarkEnd w:id="342"/>
      <w:bookmarkEnd w:id="338"/>
    </w:p>
    <w:p>
      <w:pPr>
        <w:pStyle w:val="Style29"/>
        <w:keepNext w:val="0"/>
        <w:keepLines w:val="0"/>
        <w:widowControl w:val="0"/>
        <w:shd w:val="clear" w:color="auto" w:fill="auto"/>
        <w:bidi w:val="0"/>
        <w:spacing w:before="0" w:after="0" w:line="318" w:lineRule="exact"/>
        <w:ind w:left="0" w:right="0" w:firstLine="380"/>
        <w:jc w:val="left"/>
      </w:pPr>
      <w:r>
        <w:rPr>
          <w:color w:val="000000"/>
          <w:spacing w:val="0"/>
          <w:w w:val="100"/>
          <w:position w:val="0"/>
        </w:rPr>
        <w:t>报告期内，公司严格按照《公司法》、《证券法》、《上市公司治理准则》、《深圳证券交易所创业板股票上市规则》、 《深圳证券交易所创业板上市公司规范运作指引》和其他的有关法律法规、规范性文件的要求，不断地完善公司治理结构， 建立健全公司内部控制制度，以进一步提高公司治理水平。截至报告期末，公司治理的实际情况符合中国证监会、深圳证券 交易所等发布的法律法规和规范性文件的要求。</w:t>
      </w:r>
    </w:p>
    <w:p>
      <w:pPr>
        <w:pStyle w:val="Style29"/>
        <w:keepNext w:val="0"/>
        <w:keepLines w:val="0"/>
        <w:widowControl w:val="0"/>
        <w:shd w:val="clear" w:color="auto" w:fill="auto"/>
        <w:tabs>
          <w:tab w:pos="909" w:val="left"/>
        </w:tabs>
        <w:bidi w:val="0"/>
        <w:spacing w:before="0" w:after="0" w:line="328" w:lineRule="exact"/>
        <w:ind w:left="0" w:right="0" w:firstLine="380"/>
        <w:jc w:val="both"/>
      </w:pPr>
      <w:bookmarkStart w:id="343" w:name="bookmark343"/>
      <w:r>
        <w:rPr>
          <w:color w:val="000000"/>
          <w:spacing w:val="0"/>
          <w:w w:val="100"/>
          <w:position w:val="0"/>
        </w:rPr>
        <w:t>（</w:t>
      </w:r>
      <w:bookmarkEnd w:id="343"/>
      <w:r>
        <w:rPr>
          <w:color w:val="000000"/>
          <w:spacing w:val="0"/>
          <w:w w:val="100"/>
          <w:position w:val="0"/>
        </w:rPr>
        <w:t>一）</w:t>
        <w:tab/>
        <w:t>关于股东与股东大会</w:t>
      </w:r>
    </w:p>
    <w:p>
      <w:pPr>
        <w:pStyle w:val="Style29"/>
        <w:keepNext w:val="0"/>
        <w:keepLines w:val="0"/>
        <w:widowControl w:val="0"/>
        <w:shd w:val="clear" w:color="auto" w:fill="auto"/>
        <w:bidi w:val="0"/>
        <w:spacing w:before="0" w:after="0" w:line="328" w:lineRule="exact"/>
        <w:ind w:left="0" w:right="0" w:firstLine="380"/>
        <w:jc w:val="both"/>
      </w:pPr>
      <w:r>
        <w:rPr>
          <w:color w:val="000000"/>
          <w:spacing w:val="0"/>
          <w:w w:val="100"/>
          <w:position w:val="0"/>
        </w:rPr>
        <w:t>公司严格按照《上市公司股东大会规则》、《公司章程》、《股东大会议事规则》的相关规定和要求，规范地召集、召 开股东大会，确保全体股东特别是中小股东充分行使自己的权利。相关事项的决策程序规范，决策科学，效果良好。</w:t>
      </w:r>
    </w:p>
    <w:p>
      <w:pPr>
        <w:pStyle w:val="Style29"/>
        <w:keepNext w:val="0"/>
        <w:keepLines w:val="0"/>
        <w:widowControl w:val="0"/>
        <w:shd w:val="clear" w:color="auto" w:fill="auto"/>
        <w:tabs>
          <w:tab w:pos="909" w:val="left"/>
        </w:tabs>
        <w:bidi w:val="0"/>
        <w:spacing w:before="0" w:after="0" w:line="328" w:lineRule="exact"/>
        <w:ind w:left="0" w:right="0" w:firstLine="380"/>
        <w:jc w:val="both"/>
      </w:pPr>
      <w:bookmarkStart w:id="344" w:name="bookmark344"/>
      <w:r>
        <w:rPr>
          <w:color w:val="000000"/>
          <w:spacing w:val="0"/>
          <w:w w:val="100"/>
          <w:position w:val="0"/>
        </w:rPr>
        <w:t>（</w:t>
      </w:r>
      <w:bookmarkEnd w:id="344"/>
      <w:r>
        <w:rPr>
          <w:color w:val="000000"/>
          <w:spacing w:val="0"/>
          <w:w w:val="100"/>
          <w:position w:val="0"/>
        </w:rPr>
        <w:t>二）</w:t>
        <w:tab/>
        <w:t>关于董事和董事会</w:t>
      </w:r>
    </w:p>
    <w:p>
      <w:pPr>
        <w:pStyle w:val="Style29"/>
        <w:keepNext w:val="0"/>
        <w:keepLines w:val="0"/>
        <w:widowControl w:val="0"/>
        <w:shd w:val="clear" w:color="auto" w:fill="auto"/>
        <w:bidi w:val="0"/>
        <w:spacing w:before="0" w:after="0" w:line="328" w:lineRule="exact"/>
        <w:ind w:left="0" w:right="0" w:firstLine="380"/>
        <w:jc w:val="both"/>
      </w:pPr>
      <w:r>
        <w:rPr>
          <w:color w:val="000000"/>
          <w:spacing w:val="0"/>
          <w:w w:val="100"/>
          <w:position w:val="0"/>
        </w:rPr>
        <w:t>公司已制订《董事会议事规则》、《独立董事议事规则》、《董事会秘书工作细则》等制度，并不断加以完善和规范， 确保董事会规范、高效运作和审慎、科学决策。公司董事会由</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名成员组成，其中独立董事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名，人员符合有关法律、法规、 章程等的要求，具有履行职务所必需的知识、技能和素质。</w:t>
      </w:r>
    </w:p>
    <w:p>
      <w:pPr>
        <w:pStyle w:val="Style29"/>
        <w:keepNext w:val="0"/>
        <w:keepLines w:val="0"/>
        <w:widowControl w:val="0"/>
        <w:shd w:val="clear" w:color="auto" w:fill="auto"/>
        <w:bidi w:val="0"/>
        <w:spacing w:before="0" w:after="0" w:line="328" w:lineRule="exact"/>
        <w:ind w:left="0" w:right="0" w:firstLine="380"/>
        <w:jc w:val="both"/>
      </w:pPr>
      <w:r>
        <w:rPr>
          <w:color w:val="000000"/>
          <w:spacing w:val="0"/>
          <w:w w:val="100"/>
          <w:position w:val="0"/>
        </w:rPr>
        <w:t>董事会下设五个专门委员会，其中董事会风险管理委员会于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月设立，旨在推进提高上市公司质量方案的落实， 持续完善公司内控体系建设，提高公司内部控制、合规经营的水平，保障公司运营管理机制的稳健运作。</w:t>
      </w:r>
    </w:p>
    <w:p>
      <w:pPr>
        <w:pStyle w:val="Style29"/>
        <w:keepNext w:val="0"/>
        <w:keepLines w:val="0"/>
        <w:widowControl w:val="0"/>
        <w:shd w:val="clear" w:color="auto" w:fill="auto"/>
        <w:tabs>
          <w:tab w:pos="909" w:val="left"/>
        </w:tabs>
        <w:bidi w:val="0"/>
        <w:spacing w:before="0" w:after="0" w:line="322" w:lineRule="exact"/>
        <w:ind w:left="0" w:right="0" w:firstLine="380"/>
        <w:jc w:val="both"/>
      </w:pPr>
      <w:bookmarkStart w:id="345" w:name="bookmark345"/>
      <w:r>
        <w:rPr>
          <w:color w:val="000000"/>
          <w:spacing w:val="0"/>
          <w:w w:val="100"/>
          <w:position w:val="0"/>
        </w:rPr>
        <w:t>（</w:t>
      </w:r>
      <w:bookmarkEnd w:id="345"/>
      <w:r>
        <w:rPr>
          <w:color w:val="000000"/>
          <w:spacing w:val="0"/>
          <w:w w:val="100"/>
          <w:position w:val="0"/>
        </w:rPr>
        <w:t>三）</w:t>
        <w:tab/>
        <w:t>关于监事和监事会</w:t>
      </w:r>
    </w:p>
    <w:p>
      <w:pPr>
        <w:pStyle w:val="Style29"/>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公司已制订《监事会议事规则》等制度确保监事会向全体股东负责，对公司内部控制以及公司董事、总裁及其他高级管 理人员履行职责的合法合规性进行有效监督，维护公司及股东的合法权益。公司也采取了有效措施保障监事的知情权，能够 独立有效地行使对董事、总裁及其他高级管理人员的监督职责。</w:t>
      </w:r>
    </w:p>
    <w:p>
      <w:pPr>
        <w:pStyle w:val="Style29"/>
        <w:keepNext w:val="0"/>
        <w:keepLines w:val="0"/>
        <w:widowControl w:val="0"/>
        <w:shd w:val="clear" w:color="auto" w:fill="auto"/>
        <w:tabs>
          <w:tab w:pos="909" w:val="left"/>
        </w:tabs>
        <w:bidi w:val="0"/>
        <w:spacing w:before="0" w:after="0" w:line="331" w:lineRule="exact"/>
        <w:ind w:left="0" w:right="0" w:firstLine="380"/>
        <w:jc w:val="both"/>
      </w:pPr>
      <w:bookmarkStart w:id="346" w:name="bookmark346"/>
      <w:r>
        <w:rPr>
          <w:color w:val="000000"/>
          <w:spacing w:val="0"/>
          <w:w w:val="100"/>
          <w:position w:val="0"/>
        </w:rPr>
        <w:t>（</w:t>
      </w:r>
      <w:bookmarkEnd w:id="346"/>
      <w:r>
        <w:rPr>
          <w:color w:val="000000"/>
          <w:spacing w:val="0"/>
          <w:w w:val="100"/>
          <w:position w:val="0"/>
        </w:rPr>
        <w:t>四）</w:t>
        <w:tab/>
        <w:t>关于绩效评价与激励约束机制</w:t>
      </w:r>
    </w:p>
    <w:p>
      <w:pPr>
        <w:pStyle w:val="Style29"/>
        <w:keepNext w:val="0"/>
        <w:keepLines w:val="0"/>
        <w:widowControl w:val="0"/>
        <w:shd w:val="clear" w:color="auto" w:fill="auto"/>
        <w:bidi w:val="0"/>
        <w:spacing w:before="0" w:after="0" w:line="331" w:lineRule="exact"/>
        <w:ind w:left="0" w:right="0" w:firstLine="380"/>
        <w:jc w:val="both"/>
      </w:pPr>
      <w:r>
        <w:rPr>
          <w:color w:val="000000"/>
          <w:spacing w:val="0"/>
          <w:w w:val="100"/>
          <w:position w:val="0"/>
        </w:rPr>
        <w:t>公司已逐步建立并完善公正、透明的高级管理人员的绩效考核标准和激励约束机制。高级管理人员的聘任公开、透明， 符合法律、法规的规定。</w:t>
      </w:r>
    </w:p>
    <w:p>
      <w:pPr>
        <w:pStyle w:val="Style29"/>
        <w:keepNext w:val="0"/>
        <w:keepLines w:val="0"/>
        <w:widowControl w:val="0"/>
        <w:shd w:val="clear" w:color="auto" w:fill="auto"/>
        <w:tabs>
          <w:tab w:pos="909" w:val="left"/>
        </w:tabs>
        <w:bidi w:val="0"/>
        <w:spacing w:before="0" w:after="0" w:line="328" w:lineRule="exact"/>
        <w:ind w:left="0" w:right="0" w:firstLine="380"/>
        <w:jc w:val="both"/>
      </w:pPr>
      <w:bookmarkStart w:id="347" w:name="bookmark347"/>
      <w:r>
        <w:rPr>
          <w:color w:val="000000"/>
          <w:spacing w:val="0"/>
          <w:w w:val="100"/>
          <w:position w:val="0"/>
        </w:rPr>
        <w:t>（</w:t>
      </w:r>
      <w:bookmarkEnd w:id="347"/>
      <w:r>
        <w:rPr>
          <w:color w:val="000000"/>
          <w:spacing w:val="0"/>
          <w:w w:val="100"/>
          <w:position w:val="0"/>
        </w:rPr>
        <w:t>五）</w:t>
        <w:tab/>
        <w:t>关于信息披露与投资者关系</w:t>
      </w:r>
    </w:p>
    <w:p>
      <w:pPr>
        <w:pStyle w:val="Style29"/>
        <w:keepNext w:val="0"/>
        <w:keepLines w:val="0"/>
        <w:widowControl w:val="0"/>
        <w:shd w:val="clear" w:color="auto" w:fill="auto"/>
        <w:bidi w:val="0"/>
        <w:spacing w:before="0" w:after="0"/>
        <w:ind w:left="0" w:right="0" w:firstLine="380"/>
        <w:jc w:val="both"/>
      </w:pPr>
      <w:r>
        <w:rPr>
          <w:color w:val="000000"/>
          <w:spacing w:val="0"/>
          <w:w w:val="100"/>
          <w:position w:val="0"/>
        </w:rPr>
        <w:t>公司严格按照有关法律法规以及《信息披露管理制度》、《投资者关系管理制度》等的要求，真实、准确、及时、公平、 完整地披露有关信息；并指定公司董事会秘书负责信息披露工作，协调公司与投资者的关系，接待投资者来访，回答投资者 咨询，向投资者提供公司已披露的资料；并指定巨潮资讯网为公司信息披露的指定网站，确保公司所有股东能够有平等的机 会获得信息。</w:t>
      </w:r>
    </w:p>
    <w:p>
      <w:pPr>
        <w:pStyle w:val="Style29"/>
        <w:keepNext w:val="0"/>
        <w:keepLines w:val="0"/>
        <w:widowControl w:val="0"/>
        <w:shd w:val="clear" w:color="auto" w:fill="auto"/>
        <w:tabs>
          <w:tab w:pos="909" w:val="left"/>
        </w:tabs>
        <w:bidi w:val="0"/>
        <w:spacing w:before="0" w:after="0" w:line="328" w:lineRule="exact"/>
        <w:ind w:left="0" w:right="0" w:firstLine="380"/>
        <w:jc w:val="both"/>
      </w:pPr>
      <w:bookmarkStart w:id="348" w:name="bookmark348"/>
      <w:r>
        <w:rPr>
          <w:color w:val="000000"/>
          <w:spacing w:val="0"/>
          <w:w w:val="100"/>
          <w:position w:val="0"/>
        </w:rPr>
        <w:t>（</w:t>
      </w:r>
      <w:bookmarkEnd w:id="348"/>
      <w:r>
        <w:rPr>
          <w:color w:val="000000"/>
          <w:spacing w:val="0"/>
          <w:w w:val="100"/>
          <w:position w:val="0"/>
        </w:rPr>
        <w:t>六）</w:t>
        <w:tab/>
        <w:t>关于相关利益方</w:t>
      </w:r>
    </w:p>
    <w:p>
      <w:pPr>
        <w:pStyle w:val="Style29"/>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公司充分尊重和维护各个相关利益方的合法权益，积极与相关利益者合作，加强与各方的沟通和交流，实现股东、员工、 社会等各方利益的协调平衡和共赢，共同推动公司持续、健康发展。</w:t>
      </w:r>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公司治理的实际状况与法律、行政法规和中国证监会发布的关于上市公司治理的规定是否存在重大差异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260" w:line="346"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4"/>
        <w:keepNext/>
        <w:keepLines/>
        <w:widowControl w:val="0"/>
        <w:shd w:val="clear" w:color="auto" w:fill="auto"/>
        <w:tabs>
          <w:tab w:pos="514" w:val="left"/>
        </w:tabs>
        <w:bidi w:val="0"/>
        <w:spacing w:before="0" w:after="400" w:line="331" w:lineRule="exact"/>
        <w:ind w:left="0" w:right="0" w:firstLine="0"/>
        <w:jc w:val="left"/>
      </w:pPr>
      <w:bookmarkStart w:id="349" w:name="bookmark349"/>
      <w:bookmarkStart w:id="350" w:name="bookmark350"/>
      <w:bookmarkStart w:id="351" w:name="bookmark351"/>
      <w:bookmarkStart w:id="352" w:name="bookmark352"/>
      <w:r>
        <w:rPr>
          <w:color w:val="000000"/>
          <w:spacing w:val="0"/>
          <w:w w:val="100"/>
          <w:position w:val="0"/>
        </w:rPr>
        <w:t>二</w:t>
      </w:r>
      <w:bookmarkEnd w:id="351"/>
      <w:r>
        <w:rPr>
          <w:color w:val="000000"/>
          <w:spacing w:val="0"/>
          <w:w w:val="100"/>
          <w:position w:val="0"/>
        </w:rPr>
        <w:t>、</w:t>
        <w:tab/>
        <w:t>公司相对于控股股东、实际控制人在保证公司资产、人员、财务、机构、业务等方面的 独立情况</w:t>
      </w:r>
      <w:bookmarkEnd w:id="349"/>
      <w:bookmarkEnd w:id="350"/>
      <w:bookmarkEnd w:id="352"/>
    </w:p>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公司无控股股东、无实际控制人，在业务、人员、资产、机构、财务等方面完全独立于第一大股东。</w:t>
      </w:r>
    </w:p>
    <w:p>
      <w:pPr>
        <w:pStyle w:val="Style24"/>
        <w:keepNext/>
        <w:keepLines/>
        <w:widowControl w:val="0"/>
        <w:shd w:val="clear" w:color="auto" w:fill="auto"/>
        <w:tabs>
          <w:tab w:pos="517" w:val="left"/>
        </w:tabs>
        <w:bidi w:val="0"/>
        <w:spacing w:before="0" w:after="380" w:line="240" w:lineRule="auto"/>
        <w:ind w:left="0" w:right="0" w:firstLine="0"/>
        <w:jc w:val="left"/>
      </w:pPr>
      <w:bookmarkStart w:id="353" w:name="bookmark353"/>
      <w:bookmarkStart w:id="354" w:name="bookmark354"/>
      <w:bookmarkStart w:id="355" w:name="bookmark355"/>
      <w:bookmarkStart w:id="356" w:name="bookmark356"/>
      <w:r>
        <w:rPr>
          <w:color w:val="000000"/>
          <w:spacing w:val="0"/>
          <w:w w:val="100"/>
          <w:position w:val="0"/>
        </w:rPr>
        <w:t>三</w:t>
      </w:r>
      <w:bookmarkEnd w:id="355"/>
      <w:r>
        <w:rPr>
          <w:color w:val="000000"/>
          <w:spacing w:val="0"/>
          <w:w w:val="100"/>
          <w:position w:val="0"/>
        </w:rPr>
        <w:t>、</w:t>
        <w:tab/>
        <w:t>同业竞争情况</w:t>
      </w:r>
      <w:bookmarkEnd w:id="353"/>
      <w:bookmarkEnd w:id="354"/>
      <w:bookmarkEnd w:id="356"/>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380" w:line="240" w:lineRule="auto"/>
        <w:ind w:left="0" w:right="0" w:firstLine="0"/>
        <w:jc w:val="left"/>
      </w:pPr>
      <w:bookmarkStart w:id="357" w:name="bookmark357"/>
      <w:bookmarkStart w:id="358" w:name="bookmark358"/>
      <w:bookmarkStart w:id="359" w:name="bookmark359"/>
      <w:bookmarkStart w:id="360" w:name="bookmark360"/>
      <w:r>
        <w:rPr>
          <w:color w:val="000000"/>
          <w:spacing w:val="0"/>
          <w:w w:val="100"/>
          <w:position w:val="0"/>
        </w:rPr>
        <w:t>四</w:t>
      </w:r>
      <w:bookmarkEnd w:id="359"/>
      <w:r>
        <w:rPr>
          <w:color w:val="000000"/>
          <w:spacing w:val="0"/>
          <w:w w:val="100"/>
          <w:position w:val="0"/>
        </w:rPr>
        <w:t>、</w:t>
        <w:tab/>
        <w:t>报告期内召开的年度股东大会和临时股东大会的有关情况</w:t>
      </w:r>
      <w:bookmarkEnd w:id="357"/>
      <w:bookmarkEnd w:id="358"/>
      <w:bookmarkEnd w:id="360"/>
    </w:p>
    <w:p>
      <w:pPr>
        <w:pStyle w:val="Style33"/>
        <w:keepNext/>
        <w:keepLines/>
        <w:widowControl w:val="0"/>
        <w:shd w:val="clear" w:color="auto" w:fill="auto"/>
        <w:bidi w:val="0"/>
        <w:spacing w:before="0" w:after="320" w:line="240" w:lineRule="auto"/>
        <w:ind w:left="0" w:right="0" w:firstLine="0"/>
        <w:jc w:val="left"/>
      </w:pP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rPr>
        <w:t>1</w:t>
      </w:r>
      <w:bookmarkEnd w:id="363"/>
      <w:r>
        <w:rPr>
          <w:color w:val="000000"/>
          <w:spacing w:val="0"/>
          <w:w w:val="100"/>
          <w:position w:val="0"/>
        </w:rPr>
        <w:t>、本报告期股东大会情况</w:t>
      </w:r>
      <w:bookmarkEnd w:id="361"/>
      <w:bookmarkEnd w:id="362"/>
      <w:bookmarkEnd w:id="364"/>
    </w:p>
    <w:tbl>
      <w:tblPr>
        <w:tblOverlap w:val="never"/>
        <w:jc w:val="center"/>
        <w:tblLayout w:type="fixed"/>
      </w:tblPr>
      <w:tblGrid>
        <w:gridCol w:w="1608"/>
        <w:gridCol w:w="1234"/>
        <w:gridCol w:w="1003"/>
        <w:gridCol w:w="1560"/>
        <w:gridCol w:w="1560"/>
        <w:gridCol w:w="2626"/>
      </w:tblGrid>
      <w:tr>
        <w:trPr>
          <w:trHeight w:val="73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投资者参与 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会议决议</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年度股东大会决议公告（公 告编号：</w:t>
            </w:r>
            <w:r>
              <w:rPr>
                <w:rFonts w:ascii="Times New Roman" w:eastAsia="Times New Roman" w:hAnsi="Times New Roman" w:cs="Times New Roman"/>
                <w:color w:val="000000"/>
                <w:spacing w:val="0"/>
                <w:w w:val="100"/>
                <w:position w:val="0"/>
                <w:sz w:val="18"/>
                <w:szCs w:val="18"/>
              </w:rPr>
              <w:t>2021-033</w:t>
            </w:r>
            <w:r>
              <w:rPr>
                <w:color w:val="000000"/>
                <w:spacing w:val="0"/>
                <w:w w:val="100"/>
                <w:position w:val="0"/>
                <w:sz w:val="17"/>
                <w:szCs w:val="17"/>
              </w:rPr>
              <w:t>）</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年第一次临时股东大会决议 公告（公告编号：</w:t>
            </w:r>
            <w:r>
              <w:rPr>
                <w:rFonts w:ascii="Times New Roman" w:eastAsia="Times New Roman" w:hAnsi="Times New Roman" w:cs="Times New Roman"/>
                <w:color w:val="000000"/>
                <w:spacing w:val="0"/>
                <w:w w:val="100"/>
                <w:position w:val="0"/>
                <w:sz w:val="18"/>
                <w:szCs w:val="18"/>
              </w:rPr>
              <w:t>2021-041</w:t>
            </w:r>
            <w:r>
              <w:rPr>
                <w:color w:val="000000"/>
                <w:spacing w:val="0"/>
                <w:w w:val="100"/>
                <w:position w:val="0"/>
                <w:sz w:val="17"/>
                <w:szCs w:val="17"/>
              </w:rPr>
              <w:t>）</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年第二次临时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37.13%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年第二次临时股东大会决议 公告（公告编号：</w:t>
            </w:r>
            <w:r>
              <w:rPr>
                <w:rFonts w:ascii="Times New Roman" w:eastAsia="Times New Roman" w:hAnsi="Times New Roman" w:cs="Times New Roman"/>
                <w:color w:val="000000"/>
                <w:spacing w:val="0"/>
                <w:w w:val="100"/>
                <w:position w:val="0"/>
                <w:sz w:val="18"/>
                <w:szCs w:val="18"/>
              </w:rPr>
              <w:t>2021-053</w:t>
            </w:r>
            <w:r>
              <w:rPr>
                <w:color w:val="000000"/>
                <w:spacing w:val="0"/>
                <w:w w:val="100"/>
                <w:position w:val="0"/>
                <w:sz w:val="17"/>
                <w:szCs w:val="17"/>
              </w:rPr>
              <w:t>）</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365" w:name="bookmark365"/>
      <w:bookmarkStart w:id="366" w:name="bookmark366"/>
      <w:bookmarkStart w:id="367" w:name="bookmark367"/>
      <w:bookmarkStart w:id="368" w:name="bookmark368"/>
      <w:r>
        <w:rPr>
          <w:rFonts w:ascii="Times New Roman" w:eastAsia="Times New Roman" w:hAnsi="Times New Roman" w:cs="Times New Roman"/>
          <w:color w:val="000000"/>
          <w:spacing w:val="0"/>
          <w:w w:val="100"/>
          <w:position w:val="0"/>
        </w:rPr>
        <w:t>2</w:t>
      </w:r>
      <w:bookmarkEnd w:id="367"/>
      <w:r>
        <w:rPr>
          <w:color w:val="000000"/>
          <w:spacing w:val="0"/>
          <w:w w:val="100"/>
          <w:position w:val="0"/>
        </w:rPr>
        <w:t>、表决权恢复的优先股股东请求召开临时股东大会</w:t>
      </w:r>
      <w:bookmarkEnd w:id="365"/>
      <w:bookmarkEnd w:id="366"/>
      <w:bookmarkEnd w:id="368"/>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380" w:line="240" w:lineRule="auto"/>
        <w:ind w:left="0" w:right="0" w:firstLine="0"/>
        <w:jc w:val="left"/>
      </w:pPr>
      <w:bookmarkStart w:id="369" w:name="bookmark369"/>
      <w:bookmarkStart w:id="370" w:name="bookmark370"/>
      <w:bookmarkStart w:id="371" w:name="bookmark371"/>
      <w:bookmarkStart w:id="372" w:name="bookmark372"/>
      <w:r>
        <w:rPr>
          <w:color w:val="000000"/>
          <w:spacing w:val="0"/>
          <w:w w:val="100"/>
          <w:position w:val="0"/>
        </w:rPr>
        <w:t>五</w:t>
      </w:r>
      <w:bookmarkEnd w:id="371"/>
      <w:r>
        <w:rPr>
          <w:color w:val="000000"/>
          <w:spacing w:val="0"/>
          <w:w w:val="100"/>
          <w:position w:val="0"/>
        </w:rPr>
        <w:t>、</w:t>
        <w:tab/>
        <w:t>公司具有表决权差异安排</w:t>
      </w:r>
      <w:bookmarkEnd w:id="369"/>
      <w:bookmarkEnd w:id="370"/>
      <w:bookmarkEnd w:id="372"/>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380" w:line="240" w:lineRule="auto"/>
        <w:ind w:left="0" w:right="0" w:firstLine="0"/>
        <w:jc w:val="left"/>
      </w:pPr>
      <w:bookmarkStart w:id="373" w:name="bookmark373"/>
      <w:bookmarkStart w:id="374" w:name="bookmark374"/>
      <w:bookmarkStart w:id="375" w:name="bookmark375"/>
      <w:bookmarkStart w:id="376" w:name="bookmark376"/>
      <w:r>
        <w:rPr>
          <w:color w:val="000000"/>
          <w:spacing w:val="0"/>
          <w:w w:val="100"/>
          <w:position w:val="0"/>
        </w:rPr>
        <w:t>六</w:t>
      </w:r>
      <w:bookmarkEnd w:id="375"/>
      <w:r>
        <w:rPr>
          <w:color w:val="000000"/>
          <w:spacing w:val="0"/>
          <w:w w:val="100"/>
          <w:position w:val="0"/>
        </w:rPr>
        <w:t>、</w:t>
        <w:tab/>
        <w:t>红筹架构公司治理情况</w:t>
      </w:r>
      <w:bookmarkEnd w:id="373"/>
      <w:bookmarkEnd w:id="374"/>
      <w:bookmarkEnd w:id="376"/>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22" w:val="left"/>
        </w:tabs>
        <w:bidi w:val="0"/>
        <w:spacing w:before="0" w:after="380" w:line="240" w:lineRule="auto"/>
        <w:ind w:left="0" w:right="0" w:firstLine="0"/>
        <w:jc w:val="left"/>
      </w:pPr>
      <w:bookmarkStart w:id="377" w:name="bookmark377"/>
      <w:bookmarkStart w:id="378" w:name="bookmark378"/>
      <w:bookmarkStart w:id="379" w:name="bookmark379"/>
      <w:bookmarkStart w:id="380" w:name="bookmark380"/>
      <w:r>
        <w:rPr>
          <w:color w:val="000000"/>
          <w:spacing w:val="0"/>
          <w:w w:val="100"/>
          <w:position w:val="0"/>
        </w:rPr>
        <w:t>七</w:t>
      </w:r>
      <w:bookmarkEnd w:id="379"/>
      <w:r>
        <w:rPr>
          <w:color w:val="000000"/>
          <w:spacing w:val="0"/>
          <w:w w:val="100"/>
          <w:position w:val="0"/>
        </w:rPr>
        <w:t>、</w:t>
        <w:tab/>
        <w:t>董事、监事和高级管理人员情况</w:t>
      </w:r>
      <w:bookmarkEnd w:id="377"/>
      <w:bookmarkEnd w:id="378"/>
      <w:bookmarkEnd w:id="380"/>
    </w:p>
    <w:p>
      <w:pPr>
        <w:pStyle w:val="Style33"/>
        <w:keepNext/>
        <w:keepLines/>
        <w:widowControl w:val="0"/>
        <w:shd w:val="clear" w:color="auto" w:fill="auto"/>
        <w:bidi w:val="0"/>
        <w:spacing w:before="0" w:after="320" w:line="240" w:lineRule="auto"/>
        <w:ind w:left="0" w:right="0" w:firstLine="0"/>
        <w:jc w:val="left"/>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1</w:t>
      </w:r>
      <w:bookmarkEnd w:id="383"/>
      <w:r>
        <w:rPr>
          <w:color w:val="000000"/>
          <w:spacing w:val="0"/>
          <w:w w:val="100"/>
          <w:position w:val="0"/>
        </w:rPr>
        <w:t>、基本情况</w:t>
      </w:r>
      <w:bookmarkEnd w:id="381"/>
      <w:bookmarkEnd w:id="382"/>
      <w:bookmarkEnd w:id="384"/>
    </w:p>
    <w:tbl>
      <w:tblPr>
        <w:tblOverlap w:val="never"/>
        <w:jc w:val="center"/>
        <w:tblLayout w:type="fixed"/>
      </w:tblPr>
      <w:tblGrid>
        <w:gridCol w:w="739"/>
        <w:gridCol w:w="1118"/>
        <w:gridCol w:w="427"/>
        <w:gridCol w:w="427"/>
        <w:gridCol w:w="566"/>
        <w:gridCol w:w="984"/>
        <w:gridCol w:w="898"/>
        <w:gridCol w:w="802"/>
        <w:gridCol w:w="677"/>
        <w:gridCol w:w="734"/>
        <w:gridCol w:w="730"/>
        <w:gridCol w:w="845"/>
        <w:gridCol w:w="643"/>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任职</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状态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性别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任期起始日 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任期终止 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期初持股</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数（股）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本期增 持股份 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本期减</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持股份</w:t>
            </w:r>
          </w:p>
          <w:p>
            <w:pPr>
              <w:pStyle w:val="Style2"/>
              <w:keepNext w:val="0"/>
              <w:keepLines w:val="0"/>
              <w:widowControl w:val="0"/>
              <w:shd w:val="clear" w:color="auto" w:fill="auto"/>
              <w:bidi w:val="0"/>
              <w:spacing w:before="0" w:after="100" w:line="240" w:lineRule="auto"/>
              <w:ind w:left="0" w:right="180" w:firstLine="0"/>
              <w:jc w:val="right"/>
              <w:rPr>
                <w:sz w:val="17"/>
                <w:szCs w:val="17"/>
              </w:rPr>
            </w:pPr>
            <w:r>
              <w:rPr>
                <w:color w:val="000000"/>
                <w:spacing w:val="0"/>
                <w:w w:val="100"/>
                <w:position w:val="0"/>
                <w:sz w:val="17"/>
                <w:szCs w:val="17"/>
              </w:rPr>
              <w:t>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其他增</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减变动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期末持股</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数（股）</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股份增 减变动 的原因</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匡涛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胡宏伟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副董事长、总 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钱维章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1118"/>
        <w:gridCol w:w="422"/>
        <w:gridCol w:w="432"/>
        <w:gridCol w:w="562"/>
        <w:gridCol w:w="989"/>
        <w:gridCol w:w="898"/>
        <w:gridCol w:w="802"/>
        <w:gridCol w:w="677"/>
        <w:gridCol w:w="734"/>
        <w:gridCol w:w="730"/>
        <w:gridCol w:w="845"/>
        <w:gridCol w:w="643"/>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任职</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状态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性别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任期起始日 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任期终止 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期初持股</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数（股）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本期增 持股份 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本期减</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持股份</w:t>
            </w:r>
          </w:p>
          <w:p>
            <w:pPr>
              <w:pStyle w:val="Style2"/>
              <w:keepNext w:val="0"/>
              <w:keepLines w:val="0"/>
              <w:widowControl w:val="0"/>
              <w:shd w:val="clear" w:color="auto" w:fill="auto"/>
              <w:bidi w:val="0"/>
              <w:spacing w:before="0" w:after="100" w:line="240" w:lineRule="auto"/>
              <w:ind w:left="0" w:right="180" w:firstLine="0"/>
              <w:jc w:val="right"/>
              <w:rPr>
                <w:sz w:val="17"/>
                <w:szCs w:val="17"/>
              </w:rPr>
            </w:pPr>
            <w:r>
              <w:rPr>
                <w:color w:val="000000"/>
                <w:spacing w:val="0"/>
                <w:w w:val="100"/>
                <w:position w:val="0"/>
                <w:sz w:val="17"/>
                <w:szCs w:val="17"/>
              </w:rPr>
              <w:t>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其他增</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减变动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期末持股</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数（股）</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股份增 减变动 的原因</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李光亚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董事、高级副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1,375,800</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高级副总裁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266,241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266,241</w:t>
            </w: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姜锋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董事、高级副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王开国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董事、高级副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480,800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480,800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赵怀亮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麻志明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刘功润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杨传涌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孟莉莉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曹蓉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朱泓旭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高级副总裁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申龙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高级副总裁、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陈丽娜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高级副总裁、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张丽艳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高级副总裁、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王兆进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高级副总裁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286,000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286,000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739"/>
        <w:gridCol w:w="1118"/>
        <w:gridCol w:w="427"/>
        <w:gridCol w:w="427"/>
        <w:gridCol w:w="566"/>
        <w:gridCol w:w="984"/>
        <w:gridCol w:w="898"/>
        <w:gridCol w:w="802"/>
        <w:gridCol w:w="677"/>
        <w:gridCol w:w="734"/>
        <w:gridCol w:w="730"/>
        <w:gridCol w:w="845"/>
        <w:gridCol w:w="643"/>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任职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状态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性别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任期起始日 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任期终止 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期初持股</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数（股）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本期增 持股份 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本期减</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持股份</w:t>
            </w:r>
          </w:p>
          <w:p>
            <w:pPr>
              <w:pStyle w:val="Style2"/>
              <w:keepNext w:val="0"/>
              <w:keepLines w:val="0"/>
              <w:widowControl w:val="0"/>
              <w:shd w:val="clear" w:color="auto" w:fill="auto"/>
              <w:bidi w:val="0"/>
              <w:spacing w:before="0" w:after="100" w:line="240" w:lineRule="auto"/>
              <w:ind w:left="0" w:right="180" w:firstLine="0"/>
              <w:jc w:val="right"/>
              <w:rPr>
                <w:sz w:val="17"/>
                <w:szCs w:val="17"/>
              </w:rPr>
            </w:pPr>
            <w:r>
              <w:rPr>
                <w:color w:val="000000"/>
                <w:spacing w:val="0"/>
                <w:w w:val="100"/>
                <w:position w:val="0"/>
                <w:sz w:val="17"/>
                <w:szCs w:val="17"/>
              </w:rPr>
              <w:t>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其他增</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减变动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期末持股</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数（股）</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股份增 减变动 的原因</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刘长松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高级副总裁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赵云柯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2,408,841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2,408,841</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341" w:lineRule="exact"/>
        <w:ind w:left="0" w:right="0" w:firstLine="0"/>
        <w:jc w:val="both"/>
      </w:pPr>
      <w:r>
        <w:rPr>
          <w:color w:val="000000"/>
          <w:spacing w:val="0"/>
          <w:w w:val="100"/>
          <w:position w:val="0"/>
        </w:rPr>
        <w:t xml:space="preserve">报告期是否存在任期内董事、监事离任和高级管理人员解聘的情况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line="341" w:lineRule="exact"/>
        <w:ind w:left="0" w:right="0" w:firstLine="0"/>
        <w:jc w:val="both"/>
      </w:pPr>
      <w:r>
        <w:rPr>
          <w:color w:val="000000"/>
          <w:spacing w:val="0"/>
          <w:w w:val="100"/>
          <w:position w:val="0"/>
        </w:rPr>
        <w:t>公司董事、监事、高级管理人员变动情况</w:t>
      </w:r>
    </w:p>
    <w:p>
      <w:pPr>
        <w:pStyle w:val="Style29"/>
        <w:keepNext w:val="0"/>
        <w:keepLines w:val="0"/>
        <w:widowControl w:val="0"/>
        <w:shd w:val="clear" w:color="auto" w:fill="auto"/>
        <w:bidi w:val="0"/>
        <w:spacing w:before="0" w:after="0" w:line="396"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9"/>
        <w:gridCol w:w="1277"/>
        <w:gridCol w:w="1282"/>
        <w:gridCol w:w="1910"/>
        <w:gridCol w:w="4262"/>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担任的职务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因个人原因辞去董事职务，仍担任公司高级副总裁</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王兆进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高级副总裁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聘任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杨传涌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经公司第一大股东提名，被股东大会选举为监事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刘长松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高级副总裁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因个人原因辞去职务，不再在公司任职</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王开国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高级副总裁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聘任</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王开国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经公司第二大股东提名，被股东大会选举为董事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赵云柯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因个人原因辞去职工监事职务，仍在公司任职</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被选举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经公司第二届第三次职工代表大会选举为职工监事</w:t>
            </w:r>
          </w:p>
        </w:tc>
      </w:tr>
    </w:tbl>
    <w:p>
      <w:pPr>
        <w:widowControl w:val="0"/>
        <w:spacing w:after="299" w:line="1" w:lineRule="exact"/>
      </w:pPr>
    </w:p>
    <w:p>
      <w:pPr>
        <w:pStyle w:val="Style33"/>
        <w:keepNext/>
        <w:keepLines/>
        <w:widowControl w:val="0"/>
        <w:shd w:val="clear" w:color="auto" w:fill="auto"/>
        <w:bidi w:val="0"/>
        <w:spacing w:before="0" w:after="300" w:line="240" w:lineRule="auto"/>
        <w:ind w:left="0" w:right="0" w:firstLine="0"/>
        <w:jc w:val="both"/>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2</w:t>
      </w:r>
      <w:bookmarkEnd w:id="387"/>
      <w:r>
        <w:rPr>
          <w:color w:val="000000"/>
          <w:spacing w:val="0"/>
          <w:w w:val="100"/>
          <w:position w:val="0"/>
        </w:rPr>
        <w:t>、任职情况</w:t>
      </w:r>
      <w:bookmarkEnd w:id="385"/>
      <w:bookmarkEnd w:id="386"/>
      <w:bookmarkEnd w:id="388"/>
    </w:p>
    <w:p>
      <w:pPr>
        <w:pStyle w:val="Style29"/>
        <w:keepNext w:val="0"/>
        <w:keepLines w:val="0"/>
        <w:widowControl w:val="0"/>
        <w:shd w:val="clear" w:color="auto" w:fill="auto"/>
        <w:bidi w:val="0"/>
        <w:spacing w:before="0"/>
        <w:ind w:left="0" w:right="0" w:firstLine="0"/>
        <w:jc w:val="both"/>
      </w:pPr>
      <w:r>
        <w:rPr>
          <w:color w:val="000000"/>
          <w:spacing w:val="0"/>
          <w:w w:val="100"/>
          <w:position w:val="0"/>
        </w:rPr>
        <w:t>公司现任董事、监事、高级管理人员专业背景、主要工作经历以及目前在公司的主要职责</w:t>
      </w:r>
    </w:p>
    <w:p>
      <w:pPr>
        <w:pStyle w:val="Style29"/>
        <w:keepNext w:val="0"/>
        <w:keepLines w:val="0"/>
        <w:widowControl w:val="0"/>
        <w:shd w:val="clear" w:color="auto" w:fill="auto"/>
        <w:bidi w:val="0"/>
        <w:spacing w:before="0" w:after="0"/>
        <w:ind w:left="0" w:right="0" w:firstLine="380"/>
        <w:jc w:val="both"/>
      </w:pPr>
      <w:bookmarkStart w:id="389" w:name="bookmark389"/>
      <w:r>
        <w:rPr>
          <w:b/>
          <w:bCs/>
          <w:color w:val="000000"/>
          <w:spacing w:val="0"/>
          <w:w w:val="100"/>
          <w:position w:val="0"/>
        </w:rPr>
        <w:t>（</w:t>
      </w:r>
      <w:bookmarkEnd w:id="389"/>
      <w:r>
        <w:rPr>
          <w:b/>
          <w:bCs/>
          <w:color w:val="000000"/>
          <w:spacing w:val="0"/>
          <w:w w:val="100"/>
          <w:position w:val="0"/>
        </w:rPr>
        <w:t>一）董事会成员</w:t>
      </w:r>
    </w:p>
    <w:p>
      <w:pPr>
        <w:pStyle w:val="Style29"/>
        <w:keepNext w:val="0"/>
        <w:keepLines w:val="0"/>
        <w:widowControl w:val="0"/>
        <w:shd w:val="clear" w:color="auto" w:fill="auto"/>
        <w:bidi w:val="0"/>
        <w:spacing w:before="0" w:after="0" w:line="314" w:lineRule="exact"/>
        <w:ind w:left="0" w:right="0" w:firstLine="380"/>
        <w:jc w:val="both"/>
      </w:pPr>
      <w:r>
        <w:rPr>
          <w:b/>
          <w:bCs/>
          <w:color w:val="000000"/>
          <w:spacing w:val="0"/>
          <w:w w:val="100"/>
          <w:position w:val="0"/>
        </w:rPr>
        <w:t>匡涛（董事长）</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年生，中国国籍，</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年毕业于哈尔滨工程大学获学士学位，</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年毕业于哈尔滨工程大学 获硕士学位，</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年毕业于美国坦普尔大学获工商管理硕士学位，中共党员。匡涛先生</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年参加工作，先后在中国计算机 软件与技术服务总公司、二十一世纪不动产中国总部、美银美林集团、美国彭博集团工作；</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月加入中国人寿系统， 自</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月期间，先后担任中国人寿投资管理部总经理助理、副总经理，自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月期间，先后 担任中国人寿保险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公司投资管理部副总经理、总经理；自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月起任国寿健康产业投资有限公司党委委员、副总 裁；</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月加入本公司任董事长。现任国寿健康产业投资有限公司党委委员、副总裁，本公司董事长。</w:t>
      </w:r>
    </w:p>
    <w:p>
      <w:pPr>
        <w:pStyle w:val="Style29"/>
        <w:keepNext w:val="0"/>
        <w:keepLines w:val="0"/>
        <w:widowControl w:val="0"/>
        <w:shd w:val="clear" w:color="auto" w:fill="auto"/>
        <w:bidi w:val="0"/>
        <w:spacing w:before="0" w:after="0"/>
        <w:ind w:left="0" w:right="0" w:firstLine="380"/>
        <w:jc w:val="both"/>
      </w:pPr>
      <w:r>
        <w:rPr>
          <w:b/>
          <w:bCs/>
          <w:color w:val="000000"/>
          <w:spacing w:val="0"/>
          <w:w w:val="100"/>
          <w:position w:val="0"/>
        </w:rPr>
        <w:t>胡宏伟（副董事长、总裁）</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年生，中国国籍，</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年毕业于浙江农业大学获农学学士学位，中共党员。上 海市第十三届政协委员，上海市保险学会第九届理事会副会长，上海市保险同业公会理事会副会长，上海市志愿者协会副会 长，上海市金融学会第十届理事，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上海领军金才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。胡宏伟先生</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年参加工作，历任中国人寿金华市分公司副 总经理、中国人寿浙江省分公司副总经理、中国人寿宁波市分公司总经理、中国人寿上海市分公司党委书记兼总经理，</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年加入本公司。现任本公司党委书记、副董事长、总裁。</w:t>
      </w:r>
    </w:p>
    <w:p>
      <w:pPr>
        <w:pStyle w:val="Style29"/>
        <w:keepNext w:val="0"/>
        <w:keepLines w:val="0"/>
        <w:widowControl w:val="0"/>
        <w:shd w:val="clear" w:color="auto" w:fill="auto"/>
        <w:bidi w:val="0"/>
        <w:spacing w:before="0" w:after="0"/>
        <w:ind w:left="0" w:right="0" w:firstLine="380"/>
        <w:jc w:val="both"/>
      </w:pPr>
      <w:r>
        <w:rPr>
          <w:b/>
          <w:bCs/>
          <w:color w:val="000000"/>
          <w:spacing w:val="0"/>
          <w:w w:val="100"/>
          <w:position w:val="0"/>
        </w:rPr>
        <w:t>钱维章（董事）</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年生，中国国籍，</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年毕业于南京大学计算数学应用软件专业获理学学士学位，</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年毕 业于清华大学工商管理专业获工商管理硕士学位，中共党员。钱维章先生</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 xml:space="preserve">年参加工作，历任中国人寿个险销售部总经理 </w:t>
      </w:r>
      <w:r>
        <w:rPr>
          <w:color w:val="000000"/>
          <w:spacing w:val="0"/>
          <w:w w:val="100"/>
          <w:position w:val="0"/>
        </w:rPr>
        <w:t>助理、中国人寿大连分公司副总经理、中国人寿研发中心总经理助理、中国人寿研发中心副总经理、中国人寿研发中心总经 理、中国人寿科技总监，</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月加入本公司任董事。现任中国人寿研发中心党委书记、总经理（中国人寿科技总监）， 本公司董事。</w:t>
      </w:r>
    </w:p>
    <w:p>
      <w:pPr>
        <w:pStyle w:val="Style29"/>
        <w:keepNext w:val="0"/>
        <w:keepLines w:val="0"/>
        <w:widowControl w:val="0"/>
        <w:shd w:val="clear" w:color="auto" w:fill="auto"/>
        <w:bidi w:val="0"/>
        <w:spacing w:before="0" w:after="0" w:line="320" w:lineRule="exact"/>
        <w:ind w:left="0" w:right="0" w:firstLine="380"/>
        <w:jc w:val="both"/>
      </w:pPr>
      <w:r>
        <w:rPr>
          <w:b/>
          <w:bCs/>
          <w:color w:val="000000"/>
          <w:spacing w:val="0"/>
          <w:w w:val="100"/>
          <w:position w:val="0"/>
        </w:rPr>
        <w:t>李光亚（董事、高级副总裁）</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年生，中国国籍，</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年毕业于中国科技大学获工学博士学位，教授级高级 工程师。国家卫生信息共享技术及应用工程技术研究中心常务副主任，医疗大数据应用技术国家工程实验室副主任，中国计 算机学会</w:t>
      </w:r>
      <w:r>
        <w:rPr>
          <w:rFonts w:ascii="Times New Roman" w:eastAsia="Times New Roman" w:hAnsi="Times New Roman" w:cs="Times New Roman"/>
          <w:color w:val="000000"/>
          <w:spacing w:val="0"/>
          <w:w w:val="100"/>
          <w:position w:val="0"/>
          <w:sz w:val="18"/>
          <w:szCs w:val="18"/>
        </w:rPr>
        <w:t>CCF</w:t>
      </w:r>
      <w:r>
        <w:rPr>
          <w:color w:val="000000"/>
          <w:spacing w:val="0"/>
          <w:w w:val="100"/>
          <w:position w:val="0"/>
        </w:rPr>
        <w:t>大数据专家委员会委员，中国电子工业标准化技术协会信息技术服务</w:t>
      </w:r>
      <w:r>
        <w:rPr>
          <w:rFonts w:ascii="Times New Roman" w:eastAsia="Times New Roman" w:hAnsi="Times New Roman" w:cs="Times New Roman"/>
          <w:color w:val="000000"/>
          <w:spacing w:val="0"/>
          <w:w w:val="100"/>
          <w:position w:val="0"/>
          <w:sz w:val="18"/>
          <w:szCs w:val="18"/>
        </w:rPr>
        <w:t>ITSS</w:t>
      </w:r>
      <w:r>
        <w:rPr>
          <w:color w:val="000000"/>
          <w:spacing w:val="0"/>
          <w:w w:val="100"/>
          <w:position w:val="0"/>
        </w:rPr>
        <w:t>分会副会长，中国软件行业协会专家 委员会委员。李光亚先生</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年参加工作加入本公司，历任副总工程师、研发中心主任、首席技术官、副总裁、高级副总裁。 现任本公司董事、高级副总裁。</w:t>
      </w:r>
    </w:p>
    <w:p>
      <w:pPr>
        <w:pStyle w:val="Style2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 xml:space="preserve">李光亚先生主持和参与了国家科研重大专项计划、国家高技术研究发展计划、科技支撑计划以及国家发改委、工信部等 </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多项国家和地方科研课题，</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年获首届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青年十大新锐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年获首批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上海市科技领军人才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 信息产业科技创新先进工作者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第三届中国软件行业十大杰出青年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上海市优秀学科带头人计划</w:t>
      </w:r>
      <w:r>
        <w:rPr>
          <w:rFonts w:ascii="Times New Roman" w:eastAsia="Times New Roman" w:hAnsi="Times New Roman" w:cs="Times New Roman"/>
          <w:color w:val="000000"/>
          <w:spacing w:val="0"/>
          <w:w w:val="100"/>
          <w:position w:val="0"/>
          <w:sz w:val="18"/>
          <w:szCs w:val="18"/>
        </w:rPr>
        <w:t xml:space="preserve">（B </w:t>
      </w:r>
      <w:r>
        <w:rPr>
          <w:color w:val="000000"/>
          <w:spacing w:val="0"/>
          <w:w w:val="100"/>
          <w:position w:val="0"/>
        </w:rPr>
        <w:t>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年获上海市五一劳动奖章，</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年获国务院政府特殊津贴，</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年入选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新世纪百千万人才工程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国家级人选名单，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年获第七届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上海青年科技英才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，获国家科技进步二等奖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项、省部级科技进步奖</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项。</w:t>
      </w:r>
    </w:p>
    <w:p>
      <w:pPr>
        <w:pStyle w:val="Style29"/>
        <w:keepNext w:val="0"/>
        <w:keepLines w:val="0"/>
        <w:widowControl w:val="0"/>
        <w:shd w:val="clear" w:color="auto" w:fill="auto"/>
        <w:bidi w:val="0"/>
        <w:spacing w:before="0" w:after="0" w:line="315" w:lineRule="exact"/>
        <w:ind w:left="0" w:right="0" w:firstLine="380"/>
        <w:jc w:val="both"/>
      </w:pPr>
      <w:r>
        <w:rPr>
          <w:b/>
          <w:bCs/>
          <w:color w:val="000000"/>
          <w:spacing w:val="0"/>
          <w:w w:val="100"/>
          <w:position w:val="0"/>
        </w:rPr>
        <w:t>姜锋（董事、高级副总裁）</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年生，中国国籍，</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年毕业于上海交通大学获电子工程学士学位，</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年毕 业于上海交通大学获电子与信息工程硕士学位，教授级高级工程师，享受国务院政府特殊津贴专家。上海市侨联副主席，徐 汇区政协常委，徐汇区政协爱国联谊委员会副主任，九三学社上海科技系统委员会副主委，九三学社上海市委科技专门委员 会副主任，九三学社上海市委制造专门委员会副主任，徐汇区工商联（总商会）副会长，徐汇区知联会副会长，虹梅漕开发 知联会会长。姜锋先生于</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年参加工作，</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年加入本公司，历任系统集成事业部副总工程师、社会保障事业部技术总监、 系统集成事业部总经理、副总裁、高级副总裁。现任本公司董事、高级副总裁。</w:t>
      </w:r>
    </w:p>
    <w:p>
      <w:pPr>
        <w:pStyle w:val="Style2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姜锋先生主持和承担了多个国家和省部级的重大科技攻关项目，主持国家重点研发计划一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特大城市服务集成与治理 技术研究与应用示范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和国家科技支撑计划重点项目一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劳动保障公共服务业务和信息技术体系关键技术研究及重大应用</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等项目的研究，两次获上海市科学技术进步一等奖、一次获上海市科学技术进步三等奖，</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 xml:space="preserve">年被评为徐汇区科技领军人才， </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年当选上海市优秀学科带头人，</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年获上海市劳动模范称号，</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年当选上海市领军人才，</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年获得国务院政府特 殊津贴，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年获得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上海工匠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称号。近年来在国内外学术期刊及会议上发表或录用学术论文十余篇，拥有发明专利两项。</w:t>
      </w:r>
    </w:p>
    <w:p>
      <w:pPr>
        <w:pStyle w:val="Style29"/>
        <w:keepNext w:val="0"/>
        <w:keepLines w:val="0"/>
        <w:widowControl w:val="0"/>
        <w:shd w:val="clear" w:color="auto" w:fill="auto"/>
        <w:bidi w:val="0"/>
        <w:spacing w:before="0" w:after="0" w:line="322" w:lineRule="exact"/>
        <w:ind w:left="0" w:right="0" w:firstLine="380"/>
        <w:jc w:val="both"/>
      </w:pPr>
      <w:r>
        <w:rPr>
          <w:b/>
          <w:bCs/>
          <w:color w:val="000000"/>
          <w:spacing w:val="0"/>
          <w:w w:val="100"/>
          <w:position w:val="0"/>
        </w:rPr>
        <w:t>王开国（董事、高级副总裁）</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年生，中国国籍，</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毕业于东北财经大获管理学学士学位。</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月，任福佳集团富佳开发有限公司运营总监；</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月，任福佳集团有限公司总裁助理，兼任福佳集团有 限公司石化贸易事业部总裁、福佳集团有限公司地产事业部总裁；</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月，任福佳集团有限公司副总裁；</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月至今，任和谐健康保险股份有限公司资产管理中心副总经理。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月加入本公司，任高级副总裁。现任和谐健康保 险股份有限公司资产管理中心副总经理，本公司董事、高级副总裁。</w:t>
      </w:r>
    </w:p>
    <w:p>
      <w:pPr>
        <w:pStyle w:val="Style29"/>
        <w:keepNext w:val="0"/>
        <w:keepLines w:val="0"/>
        <w:widowControl w:val="0"/>
        <w:shd w:val="clear" w:color="auto" w:fill="auto"/>
        <w:bidi w:val="0"/>
        <w:spacing w:before="0" w:after="0" w:line="322" w:lineRule="exact"/>
        <w:ind w:left="0" w:right="0" w:firstLine="380"/>
        <w:jc w:val="both"/>
      </w:pPr>
      <w:r>
        <w:rPr>
          <w:b/>
          <w:bCs/>
          <w:color w:val="000000"/>
          <w:spacing w:val="0"/>
          <w:w w:val="100"/>
          <w:position w:val="0"/>
        </w:rPr>
        <w:t>赵怀亮（独立董事）</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年生，中国国籍，</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年毕业于中国人民大学获法学学士学位，</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年毕业于中国政法 大学获法学硕士学位。现为北京德恒律师事务所合伙人律师，任北京亿玛在线科技股份有限公司独立董事，山东领信信息科 技股份有限公司的独立董事，本公司独立董事，兼任华金证券股份有限公司、山西证券股份有限公司的内核委员。</w:t>
      </w:r>
    </w:p>
    <w:p>
      <w:pPr>
        <w:pStyle w:val="Style29"/>
        <w:keepNext w:val="0"/>
        <w:keepLines w:val="0"/>
        <w:widowControl w:val="0"/>
        <w:shd w:val="clear" w:color="auto" w:fill="auto"/>
        <w:bidi w:val="0"/>
        <w:spacing w:before="0" w:after="0" w:line="322" w:lineRule="exact"/>
        <w:ind w:left="0" w:right="0" w:firstLine="380"/>
        <w:jc w:val="both"/>
      </w:pPr>
      <w:r>
        <w:rPr>
          <w:b/>
          <w:bCs/>
          <w:color w:val="000000"/>
          <w:spacing w:val="0"/>
          <w:w w:val="100"/>
          <w:position w:val="0"/>
        </w:rPr>
        <w:t>麻志明（独立董事）</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年生，中国国籍，</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年毕业于北京大学获经济学学士，</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年毕业于北京大学获经济 学硕士学位，</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年毕业于香港科技大学获会计学博士学位，北京大学光华管理学院会计系副教授。曾获得北京大学树仁学 院教师奖，光华管理学院优秀课程奖等。现任罗克佳华科技集团股份有限公司独立董事，本公司独立董事。</w:t>
      </w:r>
    </w:p>
    <w:p>
      <w:pPr>
        <w:pStyle w:val="Style29"/>
        <w:keepNext w:val="0"/>
        <w:keepLines w:val="0"/>
        <w:widowControl w:val="0"/>
        <w:shd w:val="clear" w:color="auto" w:fill="auto"/>
        <w:bidi w:val="0"/>
        <w:spacing w:before="0" w:after="100" w:line="322" w:lineRule="exact"/>
        <w:ind w:left="0" w:right="0" w:firstLine="380"/>
        <w:jc w:val="both"/>
      </w:pPr>
      <w:r>
        <w:rPr>
          <w:b/>
          <w:bCs/>
          <w:color w:val="000000"/>
          <w:spacing w:val="0"/>
          <w:w w:val="100"/>
          <w:position w:val="0"/>
        </w:rPr>
        <w:t>刘功润（独立董事）</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年生，中国国籍，</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年毕业于复旦大学获法学硕士学位，</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年毕业于复旦大学获法 学博士学位，</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年在复旦大学国际关系与公共事务学院完成博士后科研工作。现任中欧陆家嘴国际金融研究院副院长、研 究员，上海市支付清算协会副秘书长，上海市徐汇区政协委员等，本公司独立董事。</w:t>
      </w:r>
    </w:p>
    <w:p>
      <w:pPr>
        <w:pStyle w:val="Style29"/>
        <w:keepNext w:val="0"/>
        <w:keepLines w:val="0"/>
        <w:widowControl w:val="0"/>
        <w:shd w:val="clear" w:color="auto" w:fill="auto"/>
        <w:bidi w:val="0"/>
        <w:spacing w:before="0" w:after="0" w:line="320" w:lineRule="exact"/>
        <w:ind w:left="0" w:right="0" w:firstLine="380"/>
        <w:jc w:val="both"/>
      </w:pPr>
      <w:bookmarkStart w:id="390" w:name="bookmark390"/>
      <w:r>
        <w:rPr>
          <w:b/>
          <w:bCs/>
          <w:color w:val="000000"/>
          <w:spacing w:val="0"/>
          <w:w w:val="100"/>
          <w:position w:val="0"/>
        </w:rPr>
        <w:t>（</w:t>
      </w:r>
      <w:bookmarkEnd w:id="390"/>
      <w:r>
        <w:rPr>
          <w:b/>
          <w:bCs/>
          <w:color w:val="000000"/>
          <w:spacing w:val="0"/>
          <w:w w:val="100"/>
          <w:position w:val="0"/>
        </w:rPr>
        <w:t>二）监事会成员</w:t>
      </w:r>
    </w:p>
    <w:p>
      <w:pPr>
        <w:pStyle w:val="Style29"/>
        <w:keepNext w:val="0"/>
        <w:keepLines w:val="0"/>
        <w:widowControl w:val="0"/>
        <w:shd w:val="clear" w:color="auto" w:fill="auto"/>
        <w:bidi w:val="0"/>
        <w:spacing w:before="0" w:after="0" w:line="314" w:lineRule="exact"/>
        <w:ind w:left="0" w:right="0" w:firstLine="380"/>
        <w:jc w:val="both"/>
      </w:pPr>
      <w:r>
        <w:rPr>
          <w:b/>
          <w:bCs/>
          <w:color w:val="000000"/>
          <w:spacing w:val="0"/>
          <w:w w:val="100"/>
          <w:position w:val="0"/>
        </w:rPr>
        <w:t>杨传涌（监事会主席），</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年生，中国国籍，</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年毕业于中央党校函授学院获经济管理专业本科学历，</w:t>
      </w: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年毕业于清华大学经济管理学院获高级管理人员工商管理硕士学位，中共党员。杨传涌先生</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 xml:space="preserve">年加入中国人寿，历任中国 人寿保险公司办公室综合处副处长、文书档案处处长，中国人寿保险股份有限公司办公室副主任兼党委宣传部部长、战略规 划部总经理，中国人寿保险股份有限公司北京市分公司党委委员、副总经理，中国人寿保险股份有限公司法律与合规部总经 </w:t>
      </w:r>
      <w:r>
        <w:rPr>
          <w:color w:val="000000"/>
          <w:spacing w:val="0"/>
          <w:w w:val="100"/>
          <w:position w:val="0"/>
        </w:rPr>
        <w:t>理、办公室主任、党委办公室主任、党委宣传部部长、机关党委常务副书记，中国人寿保险股份有限公司广西壮族自治区分 公司总经理兼党委书记，中国人寿保险股份有限公司审计部总经理、审计责任人，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年加入本公司任监事。现任本公司监 事、工会主席。</w:t>
      </w:r>
    </w:p>
    <w:p>
      <w:pPr>
        <w:pStyle w:val="Style29"/>
        <w:keepNext w:val="0"/>
        <w:keepLines w:val="0"/>
        <w:widowControl w:val="0"/>
        <w:shd w:val="clear" w:color="auto" w:fill="auto"/>
        <w:bidi w:val="0"/>
        <w:spacing w:before="0" w:after="0" w:line="318" w:lineRule="exact"/>
        <w:ind w:left="0" w:right="0" w:firstLine="360"/>
        <w:jc w:val="both"/>
      </w:pPr>
      <w:r>
        <w:rPr>
          <w:b/>
          <w:bCs/>
          <w:color w:val="000000"/>
          <w:spacing w:val="0"/>
          <w:w w:val="100"/>
          <w:position w:val="0"/>
        </w:rPr>
        <w:t>李成（监事）</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年生，中国国籍，</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年毕业于厦门大学获博士学位，厦门大学会计系教授、博士生导师，哥 伦比亚大学访问学者，全国会计领军人才（学术五期后备）、中国国际税收研究会学术委员、中国会计学会会员、福建省高 新技术企业评审专家。现任厦门市财政学会副会长，厦门市税务学会理事，厦门市注册会计师协会理事，厦门大学财务处副 处长（挂职），厦门狄耐克智能科技股份有限公司独立董事，欣贺股份有限公司独立董事，安徽新远科技股份有限公司独立 董事，红相股份有限公司独立董事，本公司监事。</w:t>
      </w:r>
    </w:p>
    <w:p>
      <w:pPr>
        <w:pStyle w:val="Style29"/>
        <w:keepNext w:val="0"/>
        <w:keepLines w:val="0"/>
        <w:widowControl w:val="0"/>
        <w:shd w:val="clear" w:color="auto" w:fill="auto"/>
        <w:bidi w:val="0"/>
        <w:spacing w:before="0" w:after="80" w:line="322" w:lineRule="exact"/>
        <w:ind w:left="0" w:right="0" w:firstLine="360"/>
        <w:jc w:val="both"/>
      </w:pPr>
      <w:r>
        <w:rPr>
          <w:b/>
          <w:bCs/>
          <w:color w:val="000000"/>
          <w:spacing w:val="0"/>
          <w:w w:val="100"/>
          <w:position w:val="0"/>
        </w:rPr>
        <w:t>孟莉莉（监事）</w:t>
      </w:r>
      <w:r>
        <w:rPr>
          <w:color w:val="000000"/>
          <w:spacing w:val="0"/>
          <w:w w:val="100"/>
          <w:position w:val="0"/>
        </w:rPr>
        <w:t>，女，</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年生，中国国籍，</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年毕业于对外经济贸易大学获法学学士学位。曾任北京市中银律师事 务所高级合伙人。现任北京金诚同达律师事务所高级合伙人，兼任中石油昆仑燃气有限公司外部评审专家，北京市律师协会 并购重组专业委员会委员，本公司监事。</w:t>
      </w:r>
    </w:p>
    <w:p>
      <w:pPr>
        <w:pStyle w:val="Style29"/>
        <w:keepNext w:val="0"/>
        <w:keepLines w:val="0"/>
        <w:widowControl w:val="0"/>
        <w:shd w:val="clear" w:color="auto" w:fill="auto"/>
        <w:bidi w:val="0"/>
        <w:spacing w:before="0" w:after="80" w:line="326" w:lineRule="exact"/>
        <w:ind w:left="0" w:right="0" w:firstLine="360"/>
        <w:jc w:val="both"/>
      </w:pPr>
      <w:r>
        <w:rPr>
          <w:b/>
          <w:bCs/>
          <w:color w:val="000000"/>
          <w:spacing w:val="0"/>
          <w:w w:val="100"/>
          <w:position w:val="0"/>
        </w:rPr>
        <w:t>曹蓉（职工监事），</w:t>
      </w:r>
      <w:r>
        <w:rPr>
          <w:color w:val="000000"/>
          <w:spacing w:val="0"/>
          <w:w w:val="100"/>
          <w:position w:val="0"/>
        </w:rPr>
        <w:t>女，</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年生，中国国籍，</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年毕业于华东师范大学获法学硕士学位，高级经济师，中共党员。 曹蓉女士</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年加入本公司，现任本公司工会副主席，党委办公室主任，人力资源部副总经理，职工监事。</w:t>
      </w:r>
    </w:p>
    <w:p>
      <w:pPr>
        <w:pStyle w:val="Style29"/>
        <w:keepNext w:val="0"/>
        <w:keepLines w:val="0"/>
        <w:widowControl w:val="0"/>
        <w:shd w:val="clear" w:color="auto" w:fill="auto"/>
        <w:bidi w:val="0"/>
        <w:spacing w:before="0" w:after="80" w:line="322" w:lineRule="exact"/>
        <w:ind w:left="0" w:right="0" w:firstLine="360"/>
        <w:jc w:val="both"/>
      </w:pPr>
      <w:r>
        <w:rPr>
          <w:b/>
          <w:bCs/>
          <w:color w:val="000000"/>
          <w:spacing w:val="0"/>
          <w:w w:val="100"/>
          <w:position w:val="0"/>
        </w:rPr>
        <w:t>江华（职工监事），</w:t>
      </w:r>
      <w:r>
        <w:rPr>
          <w:color w:val="000000"/>
          <w:spacing w:val="0"/>
          <w:w w:val="100"/>
          <w:position w:val="0"/>
        </w:rPr>
        <w:t>女，</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年生，中国国籍，本科学历，中共党员。江华女士历任中国人寿保险股份有限公司上海区 域审计中心高级主管、资深主管，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月加入本公司。现任本公司工会经费审查委员会主任，风控中心审计部总经理， 职工监事。</w:t>
      </w:r>
    </w:p>
    <w:p>
      <w:pPr>
        <w:pStyle w:val="Style29"/>
        <w:keepNext w:val="0"/>
        <w:keepLines w:val="0"/>
        <w:widowControl w:val="0"/>
        <w:shd w:val="clear" w:color="auto" w:fill="auto"/>
        <w:bidi w:val="0"/>
        <w:spacing w:before="0" w:after="0" w:line="318" w:lineRule="exact"/>
        <w:ind w:left="0" w:right="0" w:firstLine="360"/>
        <w:jc w:val="both"/>
      </w:pPr>
      <w:bookmarkStart w:id="391" w:name="bookmark391"/>
      <w:r>
        <w:rPr>
          <w:b/>
          <w:bCs/>
          <w:color w:val="000000"/>
          <w:spacing w:val="0"/>
          <w:w w:val="100"/>
          <w:position w:val="0"/>
        </w:rPr>
        <w:t>（</w:t>
      </w:r>
      <w:bookmarkEnd w:id="391"/>
      <w:r>
        <w:rPr>
          <w:b/>
          <w:bCs/>
          <w:color w:val="000000"/>
          <w:spacing w:val="0"/>
          <w:w w:val="100"/>
          <w:position w:val="0"/>
        </w:rPr>
        <w:t>三）公司高级管理人员</w:t>
      </w:r>
    </w:p>
    <w:p>
      <w:pPr>
        <w:pStyle w:val="Style29"/>
        <w:keepNext w:val="0"/>
        <w:keepLines w:val="0"/>
        <w:widowControl w:val="0"/>
        <w:shd w:val="clear" w:color="auto" w:fill="auto"/>
        <w:bidi w:val="0"/>
        <w:spacing w:before="0" w:after="0" w:line="318" w:lineRule="exact"/>
        <w:ind w:left="0" w:right="0" w:firstLine="360"/>
        <w:jc w:val="both"/>
      </w:pPr>
      <w:r>
        <w:rPr>
          <w:b/>
          <w:bCs/>
          <w:color w:val="000000"/>
          <w:spacing w:val="0"/>
          <w:w w:val="100"/>
          <w:position w:val="0"/>
        </w:rPr>
        <w:t>胡宏伟（副董事长、总裁），</w:t>
      </w:r>
      <w:r>
        <w:rPr>
          <w:color w:val="000000"/>
          <w:spacing w:val="0"/>
          <w:w w:val="100"/>
          <w:position w:val="0"/>
        </w:rPr>
        <w:t>简历同上。</w:t>
      </w:r>
    </w:p>
    <w:p>
      <w:pPr>
        <w:pStyle w:val="Style29"/>
        <w:keepNext w:val="0"/>
        <w:keepLines w:val="0"/>
        <w:widowControl w:val="0"/>
        <w:shd w:val="clear" w:color="auto" w:fill="auto"/>
        <w:bidi w:val="0"/>
        <w:spacing w:before="0" w:after="0" w:line="318" w:lineRule="exact"/>
        <w:ind w:left="0" w:right="0" w:firstLine="360"/>
        <w:jc w:val="both"/>
      </w:pPr>
      <w:r>
        <w:rPr>
          <w:b/>
          <w:bCs/>
          <w:color w:val="000000"/>
          <w:spacing w:val="0"/>
          <w:w w:val="100"/>
          <w:position w:val="0"/>
        </w:rPr>
        <w:t>李光亚（董事、高级副总裁）</w:t>
      </w:r>
      <w:r>
        <w:rPr>
          <w:color w:val="000000"/>
          <w:spacing w:val="0"/>
          <w:w w:val="100"/>
          <w:position w:val="0"/>
        </w:rPr>
        <w:t>，简历同上。</w:t>
      </w:r>
    </w:p>
    <w:p>
      <w:pPr>
        <w:pStyle w:val="Style29"/>
        <w:keepNext w:val="0"/>
        <w:keepLines w:val="0"/>
        <w:widowControl w:val="0"/>
        <w:shd w:val="clear" w:color="auto" w:fill="auto"/>
        <w:bidi w:val="0"/>
        <w:spacing w:before="0" w:after="0" w:line="318" w:lineRule="exact"/>
        <w:ind w:left="0" w:right="0" w:firstLine="360"/>
        <w:jc w:val="both"/>
      </w:pPr>
      <w:r>
        <w:rPr>
          <w:b/>
          <w:bCs/>
          <w:color w:val="000000"/>
          <w:spacing w:val="0"/>
          <w:w w:val="100"/>
          <w:position w:val="0"/>
        </w:rPr>
        <w:t>姜锋（董事、高级副总裁）</w:t>
      </w:r>
      <w:r>
        <w:rPr>
          <w:color w:val="000000"/>
          <w:spacing w:val="0"/>
          <w:w w:val="100"/>
          <w:position w:val="0"/>
        </w:rPr>
        <w:t>，简历同上。</w:t>
      </w:r>
    </w:p>
    <w:p>
      <w:pPr>
        <w:pStyle w:val="Style29"/>
        <w:keepNext w:val="0"/>
        <w:keepLines w:val="0"/>
        <w:widowControl w:val="0"/>
        <w:shd w:val="clear" w:color="auto" w:fill="auto"/>
        <w:bidi w:val="0"/>
        <w:spacing w:before="0" w:after="0" w:line="322" w:lineRule="exact"/>
        <w:ind w:left="0" w:right="0" w:firstLine="360"/>
        <w:jc w:val="both"/>
      </w:pPr>
      <w:r>
        <w:rPr>
          <w:b/>
          <w:bCs/>
          <w:color w:val="000000"/>
          <w:spacing w:val="0"/>
          <w:w w:val="100"/>
          <w:position w:val="0"/>
        </w:rPr>
        <w:t>王开国（董事、高级副总裁）</w:t>
      </w:r>
      <w:r>
        <w:rPr>
          <w:color w:val="000000"/>
          <w:spacing w:val="0"/>
          <w:w w:val="100"/>
          <w:position w:val="0"/>
        </w:rPr>
        <w:t>，简历同上。</w:t>
      </w:r>
    </w:p>
    <w:p>
      <w:pPr>
        <w:pStyle w:val="Style29"/>
        <w:keepNext w:val="0"/>
        <w:keepLines w:val="0"/>
        <w:widowControl w:val="0"/>
        <w:shd w:val="clear" w:color="auto" w:fill="auto"/>
        <w:bidi w:val="0"/>
        <w:spacing w:before="0" w:after="0" w:line="322" w:lineRule="exact"/>
        <w:ind w:left="0" w:right="0" w:firstLine="360"/>
        <w:jc w:val="both"/>
      </w:pPr>
      <w:r>
        <w:rPr>
          <w:b/>
          <w:bCs/>
          <w:color w:val="000000"/>
          <w:spacing w:val="0"/>
          <w:w w:val="100"/>
          <w:position w:val="0"/>
        </w:rPr>
        <w:t>杨玲（高级副总裁）</w:t>
      </w:r>
      <w:r>
        <w:rPr>
          <w:color w:val="000000"/>
          <w:spacing w:val="0"/>
          <w:w w:val="100"/>
          <w:position w:val="0"/>
        </w:rPr>
        <w:t>，女，</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年生，中国国籍，</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年毕业于中国人民解放军信息工程大学获计算机学士学位，</w:t>
      </w:r>
      <w:r>
        <w:rPr>
          <w:rFonts w:ascii="Times New Roman" w:eastAsia="Times New Roman" w:hAnsi="Times New Roman" w:cs="Times New Roman"/>
          <w:color w:val="000000"/>
          <w:spacing w:val="0"/>
          <w:w w:val="100"/>
          <w:position w:val="0"/>
          <w:sz w:val="18"/>
          <w:szCs w:val="18"/>
        </w:rPr>
        <w:t xml:space="preserve">1999 </w:t>
      </w:r>
      <w:r>
        <w:rPr>
          <w:color w:val="000000"/>
          <w:spacing w:val="0"/>
          <w:w w:val="100"/>
          <w:position w:val="0"/>
        </w:rPr>
        <w:t xml:space="preserve">年毕业于中国人民解放军信息工程大学获计算机硕士学位，高级工程师，中共党员。杨玲女士 </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年参加工作，</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年加入 本公司，历任电子政务事业部总经理、副总裁、高级副总裁。现任本公司党委副书记、高级副总裁。</w:t>
      </w:r>
    </w:p>
    <w:p>
      <w:pPr>
        <w:pStyle w:val="Style29"/>
        <w:keepNext w:val="0"/>
        <w:keepLines w:val="0"/>
        <w:widowControl w:val="0"/>
        <w:shd w:val="clear" w:color="auto" w:fill="auto"/>
        <w:bidi w:val="0"/>
        <w:spacing w:before="0" w:after="0" w:line="319" w:lineRule="exact"/>
        <w:ind w:left="0" w:right="0" w:firstLine="360"/>
        <w:jc w:val="both"/>
      </w:pPr>
      <w:r>
        <w:rPr>
          <w:color w:val="000000"/>
          <w:spacing w:val="0"/>
          <w:w w:val="100"/>
          <w:position w:val="0"/>
        </w:rPr>
        <w:t>杨玲女士长期致力于电子政务领域的实践和研究，深入参与了上海市众多智慧政务重大工程项目建设以及政务领域相关 业务标准的制定，积极探索实践互联网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政务服务发展新方向和新模式。两次获得上海市科学技术进步二等奖，获上海市三 八红旗手、全国三八红旗手等称号。</w:t>
      </w:r>
    </w:p>
    <w:p>
      <w:pPr>
        <w:pStyle w:val="Style29"/>
        <w:keepNext w:val="0"/>
        <w:keepLines w:val="0"/>
        <w:widowControl w:val="0"/>
        <w:shd w:val="clear" w:color="auto" w:fill="auto"/>
        <w:bidi w:val="0"/>
        <w:spacing w:before="0" w:after="0" w:line="319" w:lineRule="exact"/>
        <w:ind w:left="0" w:right="0" w:firstLine="360"/>
        <w:jc w:val="both"/>
      </w:pPr>
      <w:r>
        <w:rPr>
          <w:b/>
          <w:bCs/>
          <w:color w:val="000000"/>
          <w:spacing w:val="0"/>
          <w:w w:val="100"/>
          <w:position w:val="0"/>
        </w:rPr>
        <w:t>朱泓旭（高级副总裁）</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年生，中国国籍，</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 xml:space="preserve">年毕业于中国医科大学获医学学士，中共党员。朱泓旭先生 </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年参加工作，历任中国人寿办公室副主任、中国人寿青岛市分公司党委委员兼副总经理、中国人寿健康保险事业部副总 经理，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年加入本公司。现任本公司高级副总裁。</w:t>
      </w:r>
    </w:p>
    <w:p>
      <w:pPr>
        <w:pStyle w:val="Style29"/>
        <w:keepNext w:val="0"/>
        <w:keepLines w:val="0"/>
        <w:widowControl w:val="0"/>
        <w:shd w:val="clear" w:color="auto" w:fill="auto"/>
        <w:bidi w:val="0"/>
        <w:spacing w:before="0" w:after="0"/>
        <w:ind w:left="0" w:right="0" w:firstLine="360"/>
        <w:jc w:val="both"/>
      </w:pPr>
      <w:r>
        <w:rPr>
          <w:b/>
          <w:bCs/>
          <w:color w:val="000000"/>
          <w:spacing w:val="0"/>
          <w:w w:val="100"/>
          <w:position w:val="0"/>
        </w:rPr>
        <w:t>申龙（高级副总裁、审计负责人）</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年生，中国国籍，</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年毕业于浙江大学金融学专业本科，高级经济师， 中共党员。申龙先生</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年参加工作，历任中国人保浙江省分公司稽核审计处审计员、中保人寿浙江省分公司计财处副主任 科员、中国人寿浙江省分公司稽核部经理助理、中国人寿温州分公司党委委员兼总经理助理、中国人寿浙江省分公司审计办 公室主任、中国人寿上海区域审计中心审计一处高级经理、中国人寿深圳区域审计中心党委委员兼总经理助理，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年加入 本公司。现任本公司高级副总裁、审计负责人。</w:t>
      </w:r>
    </w:p>
    <w:p>
      <w:pPr>
        <w:pStyle w:val="Style29"/>
        <w:keepNext w:val="0"/>
        <w:keepLines w:val="0"/>
        <w:widowControl w:val="0"/>
        <w:shd w:val="clear" w:color="auto" w:fill="auto"/>
        <w:bidi w:val="0"/>
        <w:spacing w:before="0" w:after="0"/>
        <w:ind w:left="0" w:right="0" w:firstLine="360"/>
        <w:jc w:val="both"/>
      </w:pPr>
      <w:r>
        <w:rPr>
          <w:b/>
          <w:bCs/>
          <w:color w:val="000000"/>
          <w:spacing w:val="0"/>
          <w:w w:val="100"/>
          <w:position w:val="0"/>
        </w:rPr>
        <w:t>陈丽娜（高级副总裁、财务总监）</w:t>
      </w:r>
      <w:r>
        <w:rPr>
          <w:color w:val="000000"/>
          <w:spacing w:val="0"/>
          <w:w w:val="100"/>
          <w:position w:val="0"/>
        </w:rPr>
        <w:t>，女，</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年生，中国国籍，</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年毕业于西安财经学院获经济学学士学位，</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年毕业于上海财经大学获工商管理硕士学位，中共党员。陈丽娜女士</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年参加工作，历任广发银行总行计划财务部预算管 理处高级经理、信息服务处主管，广发银行上海分行计划财务部总经理兼静安支行行长，跨司挂职中国人寿上海分公司拟任 总经理助理，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年加入本公司。现任本公司高级副总裁、财务总监。</w:t>
      </w:r>
    </w:p>
    <w:p>
      <w:pPr>
        <w:pStyle w:val="Style29"/>
        <w:keepNext w:val="0"/>
        <w:keepLines w:val="0"/>
        <w:widowControl w:val="0"/>
        <w:shd w:val="clear" w:color="auto" w:fill="auto"/>
        <w:bidi w:val="0"/>
        <w:spacing w:before="0" w:after="0" w:line="312" w:lineRule="exact"/>
        <w:ind w:left="0" w:right="0" w:firstLine="360"/>
        <w:jc w:val="both"/>
      </w:pPr>
      <w:r>
        <w:rPr>
          <w:b/>
          <w:bCs/>
          <w:color w:val="000000"/>
          <w:spacing w:val="0"/>
          <w:w w:val="100"/>
          <w:position w:val="0"/>
        </w:rPr>
        <w:t>张丽艳（董事会秘书、高级副总裁）</w:t>
      </w:r>
      <w:r>
        <w:rPr>
          <w:color w:val="000000"/>
          <w:spacing w:val="0"/>
          <w:w w:val="100"/>
          <w:position w:val="0"/>
        </w:rPr>
        <w:t>，女，</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年生，中国国籍，</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年毕业于内蒙古大学获哲学学士学位，</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 毕业于上海师范大学获法学硕士学位，</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年毕业于华东师范大学获史学博士学位，中共党员，拥有国家司法资格证书，曾 担任公职律师、公司律师。张丽艳女士</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年参加工作，历任上海市司法局办公室副主任、上海市司法局信访办副主任、中</w:t>
        <w:br w:type="page"/>
      </w:r>
      <w:r>
        <w:rPr>
          <w:color w:val="000000"/>
          <w:spacing w:val="0"/>
          <w:w w:val="100"/>
          <w:position w:val="0"/>
        </w:rPr>
        <w:t>国人寿上海市分公司风险管理部副总经理、中国人寿上海市分公司办公室主任,</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年加入本公司。现任本公司董事会秘书、 高级副总裁。</w:t>
      </w:r>
    </w:p>
    <w:p>
      <w:pPr>
        <w:pStyle w:val="Style29"/>
        <w:keepNext w:val="0"/>
        <w:keepLines w:val="0"/>
        <w:widowControl w:val="0"/>
        <w:shd w:val="clear" w:color="auto" w:fill="auto"/>
        <w:bidi w:val="0"/>
        <w:spacing w:before="0" w:after="60" w:line="324" w:lineRule="exact"/>
        <w:ind w:left="0" w:right="0" w:firstLine="380"/>
        <w:jc w:val="both"/>
      </w:pPr>
      <w:r>
        <w:rPr>
          <w:b/>
          <w:bCs/>
          <w:color w:val="000000"/>
          <w:spacing w:val="0"/>
          <w:w w:val="100"/>
          <w:position w:val="0"/>
        </w:rPr>
        <w:t>王兆进（高级副总裁）</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年生，中国国籍，</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年毕业于南京航空航天大学获计算机软件专业学士学位，中 共党员。王兆进先生</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年参加工作加入本公司，历任机场行业软件工程师、项目经理、交通运输业务部部门经理、社会基 础信息事业部副总经理、公共服务事业部总经理、创新总监、总裁助理、智慧城市（市民云）中心总经理、副总裁。现任本 公司高级副总裁。</w:t>
      </w:r>
    </w:p>
    <w:p>
      <w:pPr>
        <w:pStyle w:val="Style29"/>
        <w:keepNext w:val="0"/>
        <w:keepLines w:val="0"/>
        <w:widowControl w:val="0"/>
        <w:shd w:val="clear" w:color="auto" w:fill="auto"/>
        <w:bidi w:val="0"/>
        <w:spacing w:before="0" w:after="480" w:line="324" w:lineRule="exact"/>
        <w:ind w:left="0" w:right="0" w:firstLine="380"/>
        <w:jc w:val="both"/>
      </w:pPr>
      <w:r>
        <w:rPr>
          <w:color w:val="000000"/>
          <w:spacing w:val="0"/>
          <w:w w:val="100"/>
          <w:position w:val="0"/>
        </w:rPr>
        <w:t>王兆进先生曾获中国新型智慧城市建设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十大领军人物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、上海智慧城市建设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十大领军先锋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等荣誉称号。</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在股东单位任职情况</w:t>
      </w:r>
    </w:p>
    <w:p>
      <w:pPr>
        <w:pStyle w:val="Style29"/>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64"/>
        <w:gridCol w:w="2554"/>
        <w:gridCol w:w="3120"/>
        <w:gridCol w:w="845"/>
        <w:gridCol w:w="854"/>
        <w:gridCol w:w="1354"/>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任职人员 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在股东单位担任的职务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任期起始 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任期终止 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在股东单位是否 领取报酬津贴</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钱维章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中国人寿保险股份有限公司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研发中心党委书记、总经理；科技总监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王开国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和谐健康保险股份有限公司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资产管理中心副总经理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104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在股东单</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位任职情</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上述为本公司董事、监事、高级管理人员在股东单位的全部任职情况（不包括股东单位的关联方）。</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在其他单位任职情况</w:t>
      </w:r>
    </w:p>
    <w:p>
      <w:pPr>
        <w:pStyle w:val="Style29"/>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9"/>
        <w:gridCol w:w="3667"/>
        <w:gridCol w:w="2006"/>
        <w:gridCol w:w="850"/>
        <w:gridCol w:w="830"/>
        <w:gridCol w:w="1378"/>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任职人员 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在其他单位担任的职务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任期起始 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任期终止 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140" w:right="0" w:hanging="140"/>
              <w:jc w:val="left"/>
              <w:rPr>
                <w:sz w:val="17"/>
                <w:szCs w:val="17"/>
              </w:rPr>
            </w:pPr>
            <w:r>
              <w:rPr>
                <w:color w:val="000000"/>
                <w:spacing w:val="0"/>
                <w:w w:val="100"/>
                <w:position w:val="0"/>
                <w:sz w:val="17"/>
                <w:szCs w:val="17"/>
              </w:rPr>
              <w:t>在其他单位是否 领取报酬津贴</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匡涛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国寿健康产业投资有限公司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党委委员、副总裁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匡涛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国寿嘉园健康管理有限公司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匡涛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国寿启远（北京）养老产业投资管理有限公司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法人、执行董事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匡涛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四川绿洲大酒店有限公司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匡涛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中国人寿资产管理有限公司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胡宏伟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上海谦牛企业管理有限公司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法人、执行董事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李光亚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上海数据交易中心有限公司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李光亚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上海格言管理有限公司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姜锋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上海腾硕经贸发展有限公司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王开国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和益荣国际贸易有限公司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执行董事、经理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王开国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新疆金风科技股份有限公司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王开国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金融街控股股份有限公司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王开国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上海开斌图文设计合伙企业（有限合伙）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赵怀亮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北京德恒律师事务所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赵怀亮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北京亿玛在线科技股份有限公司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赵怀亮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山东领信信息科技股份有限公司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859"/>
        <w:gridCol w:w="3667"/>
        <w:gridCol w:w="2006"/>
        <w:gridCol w:w="850"/>
        <w:gridCol w:w="830"/>
        <w:gridCol w:w="1378"/>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任职人员 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在其他单位担任的职务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任期起始 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任期终止 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140" w:right="0" w:hanging="140"/>
              <w:jc w:val="left"/>
              <w:rPr>
                <w:sz w:val="17"/>
                <w:szCs w:val="17"/>
              </w:rPr>
            </w:pPr>
            <w:r>
              <w:rPr>
                <w:color w:val="000000"/>
                <w:spacing w:val="0"/>
                <w:w w:val="100"/>
                <w:position w:val="0"/>
                <w:sz w:val="17"/>
                <w:szCs w:val="17"/>
              </w:rPr>
              <w:t>在其他单位是否 领取报酬津贴</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赵怀亮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山西证券股份有限公司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内核委员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赵怀亮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华金证券股份有限公司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内核委员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麻志明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北京大学光华管理学院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麻志明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罗克佳华科技集团股份有限公司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刘功润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中欧陆家嘴国际金融研究院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副院长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厦门狄耐克智能科技股份有限公司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欣贺股份有限公司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安徽新远科技股份有限公司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红相股份有限公司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孟莉莉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北京金诚同达律师事务所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高级合伙人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申龙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上海谦牛企业管理有限公司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陈丽娜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上海申银万国证券研究所有限公司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陈丽娜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长江联合金融租赁有限公司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陈丽娜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上海谦牛企业管理有限公司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陈丽娜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上海格言管理有限公司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王兆进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银川市民云服务有限公司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法人、执行董事、经理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王兆进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眉山市兴眉科技有限公司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王兆进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成都天府市民云服务有限公司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03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在其他单</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位任职情</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上述为本公司董事、监事、高级管理人员在公司及下属子公司以外的其他企业的任职情况。</w:t>
            </w:r>
          </w:p>
        </w:tc>
      </w:tr>
    </w:tbl>
    <w:p>
      <w:pPr>
        <w:pStyle w:val="Style29"/>
        <w:keepNext w:val="0"/>
        <w:keepLines w:val="0"/>
        <w:widowControl w:val="0"/>
        <w:shd w:val="clear" w:color="auto" w:fill="auto"/>
        <w:bidi w:val="0"/>
        <w:spacing w:before="0" w:after="0" w:line="331" w:lineRule="exact"/>
        <w:ind w:left="0" w:right="0" w:firstLine="0"/>
        <w:jc w:val="left"/>
      </w:pPr>
      <w:r>
        <w:rPr>
          <w:color w:val="000000"/>
          <w:spacing w:val="0"/>
          <w:w w:val="100"/>
          <w:position w:val="0"/>
        </w:rPr>
        <w:t>公司现任及报告期内离任董事、监事和高级管理人员近三年证券监管机构处罚的情况</w:t>
      </w:r>
    </w:p>
    <w:p>
      <w:pPr>
        <w:pStyle w:val="Style29"/>
        <w:keepNext w:val="0"/>
        <w:keepLines w:val="0"/>
        <w:widowControl w:val="0"/>
        <w:shd w:val="clear" w:color="auto" w:fill="auto"/>
        <w:bidi w:val="0"/>
        <w:spacing w:before="0" w:after="380" w:line="331"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280" w:line="240" w:lineRule="auto"/>
        <w:ind w:left="0" w:right="0" w:firstLine="0"/>
        <w:jc w:val="left"/>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3</w:t>
      </w:r>
      <w:bookmarkEnd w:id="394"/>
      <w:r>
        <w:rPr>
          <w:color w:val="000000"/>
          <w:spacing w:val="0"/>
          <w:w w:val="100"/>
          <w:position w:val="0"/>
        </w:rPr>
        <w:t>、董事、监事、高级管理人员报酬情况</w:t>
      </w:r>
      <w:bookmarkEnd w:id="392"/>
      <w:bookmarkEnd w:id="393"/>
      <w:bookmarkEnd w:id="395"/>
    </w:p>
    <w:p>
      <w:pPr>
        <w:pStyle w:val="Style29"/>
        <w:keepNext w:val="0"/>
        <w:keepLines w:val="0"/>
        <w:widowControl w:val="0"/>
        <w:shd w:val="clear" w:color="auto" w:fill="auto"/>
        <w:bidi w:val="0"/>
        <w:spacing w:before="0" w:after="80" w:line="331" w:lineRule="exact"/>
        <w:ind w:left="0" w:right="0" w:firstLine="0"/>
        <w:jc w:val="left"/>
      </w:pPr>
      <w:r>
        <w:rPr>
          <w:color w:val="000000"/>
          <w:spacing w:val="0"/>
          <w:w w:val="100"/>
          <w:position w:val="0"/>
        </w:rPr>
        <w:t>董事、监事、高级管理人员报酬的决策程序、确定依据、实际支付情况</w:t>
      </w:r>
    </w:p>
    <w:p>
      <w:pPr>
        <w:pStyle w:val="Style29"/>
        <w:keepNext w:val="0"/>
        <w:keepLines w:val="0"/>
        <w:widowControl w:val="0"/>
        <w:shd w:val="clear" w:color="auto" w:fill="auto"/>
        <w:tabs>
          <w:tab w:pos="891" w:val="left"/>
        </w:tabs>
        <w:bidi w:val="0"/>
        <w:spacing w:before="0" w:after="0" w:line="331" w:lineRule="exact"/>
        <w:ind w:left="0" w:right="0" w:firstLine="380"/>
        <w:jc w:val="both"/>
      </w:pPr>
      <w:bookmarkStart w:id="396" w:name="bookmark396"/>
      <w:r>
        <w:rPr>
          <w:color w:val="000000"/>
          <w:spacing w:val="0"/>
          <w:w w:val="100"/>
          <w:position w:val="0"/>
        </w:rPr>
        <w:t>（</w:t>
      </w:r>
      <w:bookmarkEnd w:id="39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董事、监事、高级管理人员报酬的决策程序：公司董事、监事津贴由股东大会决定；高级管理人员报酬方案由董 事会决定。</w:t>
      </w:r>
    </w:p>
    <w:p>
      <w:pPr>
        <w:pStyle w:val="Style29"/>
        <w:keepNext w:val="0"/>
        <w:keepLines w:val="0"/>
        <w:widowControl w:val="0"/>
        <w:shd w:val="clear" w:color="auto" w:fill="auto"/>
        <w:tabs>
          <w:tab w:pos="886" w:val="left"/>
        </w:tabs>
        <w:bidi w:val="0"/>
        <w:spacing w:before="0" w:after="0" w:line="331" w:lineRule="exact"/>
        <w:ind w:left="0" w:right="0" w:firstLine="380"/>
        <w:jc w:val="both"/>
      </w:pPr>
      <w:bookmarkStart w:id="397" w:name="bookmark397"/>
      <w:r>
        <w:rPr>
          <w:color w:val="000000"/>
          <w:spacing w:val="0"/>
          <w:w w:val="100"/>
          <w:position w:val="0"/>
        </w:rPr>
        <w:t>（</w:t>
      </w:r>
      <w:bookmarkEnd w:id="39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董事、监事、高级管理人员报酬的确定依据：公司董事、监事津贴依据股东大会决议发放；高级管理人员的报酬 按照公司《章程》、《董事会薪酬与考核委员会实施细则》等规定，结合经营绩效、工作能力、岗位职责等考核确定并发放。</w:t>
      </w:r>
    </w:p>
    <w:p>
      <w:pPr>
        <w:pStyle w:val="Style29"/>
        <w:keepNext w:val="0"/>
        <w:keepLines w:val="0"/>
        <w:widowControl w:val="0"/>
        <w:shd w:val="clear" w:color="auto" w:fill="auto"/>
        <w:tabs>
          <w:tab w:pos="891" w:val="left"/>
        </w:tabs>
        <w:bidi w:val="0"/>
        <w:spacing w:before="0" w:after="180" w:line="331" w:lineRule="exact"/>
        <w:ind w:left="0" w:right="0" w:firstLine="380"/>
        <w:jc w:val="both"/>
      </w:pPr>
      <w:bookmarkStart w:id="398" w:name="bookmark398"/>
      <w:r>
        <w:rPr>
          <w:color w:val="000000"/>
          <w:spacing w:val="0"/>
          <w:w w:val="100"/>
          <w:position w:val="0"/>
        </w:rPr>
        <w:t>（</w:t>
      </w:r>
      <w:bookmarkEnd w:id="39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董事、监事、高级管理人员报酬的实际支付情况：工资、津贴每月发放；奖金根据年度业绩考核结果延后发放。 报告期内，公司向董事、监事、高级管理人员支付了应得薪酬。</w:t>
      </w:r>
      <w:r>
        <w:br w:type="page"/>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公司报告期内董事、监事和高级管理人员报酬情况</w:t>
      </w:r>
    </w:p>
    <w:p>
      <w:pPr>
        <w:pStyle w:val="Style26"/>
        <w:keepNext w:val="0"/>
        <w:keepLines w:val="0"/>
        <w:widowControl w:val="0"/>
        <w:shd w:val="clear" w:color="auto" w:fill="auto"/>
        <w:bidi w:val="0"/>
        <w:spacing w:before="0" w:after="0" w:line="240" w:lineRule="auto"/>
        <w:ind w:left="8746" w:right="0" w:firstLine="0"/>
        <w:jc w:val="left"/>
        <w:rPr>
          <w:sz w:val="17"/>
          <w:szCs w:val="17"/>
        </w:rPr>
      </w:pPr>
      <w:r>
        <w:rPr>
          <w:rFonts w:ascii="SimSun" w:eastAsia="SimSun" w:hAnsi="SimSun" w:cs="SimSun"/>
          <w:color w:val="000000"/>
          <w:spacing w:val="0"/>
          <w:w w:val="100"/>
          <w:position w:val="0"/>
          <w:sz w:val="17"/>
          <w:szCs w:val="17"/>
        </w:rPr>
        <w:t>单位：万元</w:t>
      </w:r>
    </w:p>
    <w:tbl>
      <w:tblPr>
        <w:tblOverlap w:val="never"/>
        <w:jc w:val="center"/>
        <w:tblLayout w:type="fixed"/>
      </w:tblPr>
      <w:tblGrid>
        <w:gridCol w:w="859"/>
        <w:gridCol w:w="2981"/>
        <w:gridCol w:w="566"/>
        <w:gridCol w:w="850"/>
        <w:gridCol w:w="1142"/>
        <w:gridCol w:w="1560"/>
        <w:gridCol w:w="1646"/>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性别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任职状态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从公司获得的税前 报酬总额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是否在公司关联方 获取报酬</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匡涛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胡宏伟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副董事长、总裁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299.</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钱维章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李光亚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董事、高级副总裁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209.77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姜锋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董事、高级副总裁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205.26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王开国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董事、高级副总裁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赵怀亮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刘功润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麻志明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杨传涌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监事长、工会主席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131.11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孟莉莉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曹蓉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职工监事、工会副主席、人力资源部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职工监事、工会经费审查委员会主任、 风控中心审计部总经理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高级副总裁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217.55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朱泓旭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高级副总裁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220.95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申龙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高级副总裁、审计负责人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221.15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陈丽娜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高级副总裁、财务总监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209.83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张丽艳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高级副总裁、董事会秘书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196.</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王兆进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高级副总裁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205.57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刘长松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原高级副总裁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117.25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赵云柯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2,391.09</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399" w:name="bookmark399"/>
      <w:bookmarkStart w:id="400" w:name="bookmark400"/>
      <w:bookmarkStart w:id="401" w:name="bookmark401"/>
      <w:bookmarkStart w:id="402" w:name="bookmark402"/>
      <w:r>
        <w:rPr>
          <w:color w:val="000000"/>
          <w:spacing w:val="0"/>
          <w:w w:val="100"/>
          <w:position w:val="0"/>
        </w:rPr>
        <w:t>八</w:t>
      </w:r>
      <w:bookmarkEnd w:id="401"/>
      <w:r>
        <w:rPr>
          <w:color w:val="000000"/>
          <w:spacing w:val="0"/>
          <w:w w:val="100"/>
          <w:position w:val="0"/>
        </w:rPr>
        <w:t>、报告期内董事履行职责的情况</w:t>
      </w:r>
      <w:bookmarkEnd w:id="399"/>
      <w:bookmarkEnd w:id="400"/>
      <w:bookmarkEnd w:id="402"/>
    </w:p>
    <w:p>
      <w:pPr>
        <w:pStyle w:val="Style33"/>
        <w:keepNext/>
        <w:keepLines/>
        <w:widowControl w:val="0"/>
        <w:shd w:val="clear" w:color="auto" w:fill="auto"/>
        <w:bidi w:val="0"/>
        <w:spacing w:before="0" w:after="320" w:line="240" w:lineRule="auto"/>
        <w:ind w:left="0" w:right="0" w:firstLine="0"/>
        <w:jc w:val="left"/>
      </w:pPr>
      <w:bookmarkStart w:id="403" w:name="bookmark403"/>
      <w:bookmarkStart w:id="404" w:name="bookmark404"/>
      <w:bookmarkStart w:id="405" w:name="bookmark405"/>
      <w:bookmarkStart w:id="406" w:name="bookmark406"/>
      <w:r>
        <w:rPr>
          <w:rFonts w:ascii="Times New Roman" w:eastAsia="Times New Roman" w:hAnsi="Times New Roman" w:cs="Times New Roman"/>
          <w:color w:val="000000"/>
          <w:spacing w:val="0"/>
          <w:w w:val="100"/>
          <w:position w:val="0"/>
        </w:rPr>
        <w:t>1</w:t>
      </w:r>
      <w:bookmarkEnd w:id="405"/>
      <w:r>
        <w:rPr>
          <w:color w:val="000000"/>
          <w:spacing w:val="0"/>
          <w:w w:val="100"/>
          <w:position w:val="0"/>
        </w:rPr>
        <w:t>、本报告期董事会情况</w:t>
      </w:r>
      <w:bookmarkEnd w:id="403"/>
      <w:bookmarkEnd w:id="404"/>
      <w:bookmarkEnd w:id="406"/>
    </w:p>
    <w:tbl>
      <w:tblPr>
        <w:tblOverlap w:val="never"/>
        <w:jc w:val="center"/>
        <w:tblLayout w:type="fixed"/>
      </w:tblPr>
      <w:tblGrid>
        <w:gridCol w:w="3278"/>
        <w:gridCol w:w="1526"/>
        <w:gridCol w:w="1594"/>
        <w:gridCol w:w="319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会议决议</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第七届董事会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年第一次临时会议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详见《第七届董事会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年第一次临时 会议决议公告》（公告编号：</w:t>
            </w:r>
            <w:r>
              <w:rPr>
                <w:rFonts w:ascii="Times New Roman" w:eastAsia="Times New Roman" w:hAnsi="Times New Roman" w:cs="Times New Roman"/>
                <w:color w:val="000000"/>
                <w:spacing w:val="0"/>
                <w:w w:val="100"/>
                <w:position w:val="0"/>
                <w:sz w:val="18"/>
                <w:szCs w:val="18"/>
              </w:rPr>
              <w:t>2021-005</w:t>
            </w:r>
            <w:r>
              <w:rPr>
                <w:color w:val="000000"/>
                <w:spacing w:val="0"/>
                <w:w w:val="100"/>
                <w:position w:val="0"/>
                <w:sz w:val="17"/>
                <w:szCs w:val="17"/>
              </w:rPr>
              <w:t>）</w:t>
            </w:r>
          </w:p>
        </w:tc>
      </w:tr>
    </w:tbl>
    <w:p>
      <w:pPr>
        <w:spacing w:lineRule="exact" w:line="1"/>
        <w:rPr>
          <w:sz w:val="2"/>
          <w:szCs w:val="2"/>
        </w:rPr>
      </w:pPr>
      <w:r>
        <w:br w:type="page"/>
      </w:r>
    </w:p>
    <w:tbl>
      <w:tblPr>
        <w:tblOverlap w:val="never"/>
        <w:jc w:val="center"/>
        <w:tblLayout w:type="fixed"/>
      </w:tblPr>
      <w:tblGrid>
        <w:gridCol w:w="3274"/>
        <w:gridCol w:w="1526"/>
        <w:gridCol w:w="1598"/>
        <w:gridCol w:w="319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会议决议</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第七届董事会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年第二次临时会议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rPr>
                <w:sz w:val="17"/>
                <w:szCs w:val="17"/>
              </w:rPr>
            </w:pPr>
            <w:r>
              <w:rPr>
                <w:color w:val="000000"/>
                <w:spacing w:val="0"/>
                <w:w w:val="100"/>
                <w:position w:val="0"/>
                <w:sz w:val="17"/>
                <w:szCs w:val="17"/>
              </w:rPr>
              <w:t>详见《第七届董事会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年第二次临时 会议决议公告》（公告编号：</w:t>
            </w:r>
            <w:r>
              <w:rPr>
                <w:rFonts w:ascii="Times New Roman" w:eastAsia="Times New Roman" w:hAnsi="Times New Roman" w:cs="Times New Roman"/>
                <w:color w:val="000000"/>
                <w:spacing w:val="0"/>
                <w:w w:val="100"/>
                <w:position w:val="0"/>
                <w:sz w:val="18"/>
                <w:szCs w:val="18"/>
              </w:rPr>
              <w:t>2021-012</w:t>
            </w:r>
            <w:r>
              <w:rPr>
                <w:color w:val="000000"/>
                <w:spacing w:val="0"/>
                <w:w w:val="100"/>
                <w:position w:val="0"/>
                <w:sz w:val="17"/>
                <w:szCs w:val="17"/>
              </w:rPr>
              <w:t>）</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第七届董事会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年第三次临时会议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详见《第七届董事会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年第三次临时 会议决议公告》（公告编号：</w:t>
            </w:r>
            <w:r>
              <w:rPr>
                <w:rFonts w:ascii="Times New Roman" w:eastAsia="Times New Roman" w:hAnsi="Times New Roman" w:cs="Times New Roman"/>
                <w:color w:val="000000"/>
                <w:spacing w:val="0"/>
                <w:w w:val="100"/>
                <w:position w:val="0"/>
                <w:sz w:val="18"/>
                <w:szCs w:val="18"/>
              </w:rPr>
              <w:t>2021-013</w:t>
            </w:r>
            <w:r>
              <w:rPr>
                <w:color w:val="000000"/>
                <w:spacing w:val="0"/>
                <w:w w:val="100"/>
                <w:position w:val="0"/>
                <w:sz w:val="17"/>
                <w:szCs w:val="17"/>
              </w:rPr>
              <w:t>）</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第七届董事会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年第四次临时会议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rPr>
                <w:sz w:val="17"/>
                <w:szCs w:val="17"/>
              </w:rPr>
            </w:pPr>
            <w:r>
              <w:rPr>
                <w:color w:val="000000"/>
                <w:spacing w:val="0"/>
                <w:w w:val="100"/>
                <w:position w:val="0"/>
                <w:sz w:val="17"/>
                <w:szCs w:val="17"/>
              </w:rPr>
              <w:t>详见《第七届董事会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年第四次临时 会议决议公告》（公告编号：</w:t>
            </w:r>
            <w:r>
              <w:rPr>
                <w:rFonts w:ascii="Times New Roman" w:eastAsia="Times New Roman" w:hAnsi="Times New Roman" w:cs="Times New Roman"/>
                <w:color w:val="000000"/>
                <w:spacing w:val="0"/>
                <w:w w:val="100"/>
                <w:position w:val="0"/>
                <w:sz w:val="18"/>
                <w:szCs w:val="18"/>
              </w:rPr>
              <w:t>2021-017</w:t>
            </w:r>
            <w:r>
              <w:rPr>
                <w:color w:val="000000"/>
                <w:spacing w:val="0"/>
                <w:w w:val="100"/>
                <w:position w:val="0"/>
                <w:sz w:val="17"/>
                <w:szCs w:val="17"/>
              </w:rPr>
              <w:t>）</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第七届董事会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年第五次临时会议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详见《第七届董事会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年第五次临时 会议决议公告》（公告编号：</w:t>
            </w:r>
            <w:r>
              <w:rPr>
                <w:rFonts w:ascii="Times New Roman" w:eastAsia="Times New Roman" w:hAnsi="Times New Roman" w:cs="Times New Roman"/>
                <w:color w:val="000000"/>
                <w:spacing w:val="0"/>
                <w:w w:val="100"/>
                <w:position w:val="0"/>
                <w:sz w:val="18"/>
                <w:szCs w:val="18"/>
              </w:rPr>
              <w:t>2021-037</w:t>
            </w:r>
            <w:r>
              <w:rPr>
                <w:color w:val="000000"/>
                <w:spacing w:val="0"/>
                <w:w w:val="100"/>
                <w:position w:val="0"/>
                <w:sz w:val="17"/>
                <w:szCs w:val="17"/>
              </w:rPr>
              <w:t>）</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第七届董事会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年第六次临时会议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详见《第七届董事会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年第六次临时 会议决议公告》（公告编号：</w:t>
            </w:r>
            <w:r>
              <w:rPr>
                <w:rFonts w:ascii="Times New Roman" w:eastAsia="Times New Roman" w:hAnsi="Times New Roman" w:cs="Times New Roman"/>
                <w:color w:val="000000"/>
                <w:spacing w:val="0"/>
                <w:w w:val="100"/>
                <w:position w:val="0"/>
                <w:sz w:val="18"/>
                <w:szCs w:val="18"/>
              </w:rPr>
              <w:t>2021-043</w:t>
            </w:r>
            <w:r>
              <w:rPr>
                <w:color w:val="000000"/>
                <w:spacing w:val="0"/>
                <w:w w:val="100"/>
                <w:position w:val="0"/>
                <w:sz w:val="17"/>
                <w:szCs w:val="17"/>
              </w:rPr>
              <w:t>）</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第七届董事会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年第七次临时会议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详见《第七届董事会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年第七次临时 会议决议公告》（公告编号：</w:t>
            </w:r>
            <w:r>
              <w:rPr>
                <w:rFonts w:ascii="Times New Roman" w:eastAsia="Times New Roman" w:hAnsi="Times New Roman" w:cs="Times New Roman"/>
                <w:color w:val="000000"/>
                <w:spacing w:val="0"/>
                <w:w w:val="100"/>
                <w:position w:val="0"/>
                <w:sz w:val="18"/>
                <w:szCs w:val="18"/>
              </w:rPr>
              <w:t>2021-045</w:t>
            </w:r>
            <w:r>
              <w:rPr>
                <w:color w:val="000000"/>
                <w:spacing w:val="0"/>
                <w:w w:val="100"/>
                <w:position w:val="0"/>
                <w:sz w:val="17"/>
                <w:szCs w:val="17"/>
              </w:rPr>
              <w:t>）</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第七届董事会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年第八次临时会议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rPr>
                <w:sz w:val="17"/>
                <w:szCs w:val="17"/>
              </w:rPr>
            </w:pPr>
            <w:r>
              <w:rPr>
                <w:color w:val="000000"/>
                <w:spacing w:val="0"/>
                <w:w w:val="100"/>
                <w:position w:val="0"/>
                <w:sz w:val="17"/>
                <w:szCs w:val="17"/>
              </w:rPr>
              <w:t>详见《第七届董事会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年第八次临时 会议决议公告》（公告编号：</w:t>
            </w:r>
            <w:r>
              <w:rPr>
                <w:rFonts w:ascii="Times New Roman" w:eastAsia="Times New Roman" w:hAnsi="Times New Roman" w:cs="Times New Roman"/>
                <w:color w:val="000000"/>
                <w:spacing w:val="0"/>
                <w:w w:val="100"/>
                <w:position w:val="0"/>
                <w:sz w:val="18"/>
                <w:szCs w:val="18"/>
              </w:rPr>
              <w:t>2021-055</w:t>
            </w:r>
            <w:r>
              <w:rPr>
                <w:color w:val="000000"/>
                <w:spacing w:val="0"/>
                <w:w w:val="100"/>
                <w:position w:val="0"/>
                <w:sz w:val="17"/>
                <w:szCs w:val="17"/>
              </w:rPr>
              <w:t>）</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第七届董事会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年第九次临时会议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详见《第七届董事会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年第九次临时 会议决议公告》（公告编号：</w:t>
            </w:r>
            <w:r>
              <w:rPr>
                <w:rFonts w:ascii="Times New Roman" w:eastAsia="Times New Roman" w:hAnsi="Times New Roman" w:cs="Times New Roman"/>
                <w:color w:val="000000"/>
                <w:spacing w:val="0"/>
                <w:w w:val="100"/>
                <w:position w:val="0"/>
                <w:sz w:val="18"/>
                <w:szCs w:val="18"/>
              </w:rPr>
              <w:t>2021-063</w:t>
            </w:r>
            <w:r>
              <w:rPr>
                <w:color w:val="000000"/>
                <w:spacing w:val="0"/>
                <w:w w:val="100"/>
                <w:position w:val="0"/>
                <w:sz w:val="17"/>
                <w:szCs w:val="17"/>
              </w:rPr>
              <w:t>）</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第七届董事会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年第十次临时会议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rPr>
                <w:sz w:val="17"/>
                <w:szCs w:val="17"/>
              </w:rPr>
            </w:pPr>
            <w:r>
              <w:rPr>
                <w:color w:val="000000"/>
                <w:spacing w:val="0"/>
                <w:w w:val="100"/>
                <w:position w:val="0"/>
                <w:sz w:val="17"/>
                <w:szCs w:val="17"/>
              </w:rPr>
              <w:t>详见《第七届董事会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年第十次临时 会议决议公告》（公告编号：</w:t>
            </w:r>
            <w:r>
              <w:rPr>
                <w:rFonts w:ascii="Times New Roman" w:eastAsia="Times New Roman" w:hAnsi="Times New Roman" w:cs="Times New Roman"/>
                <w:color w:val="000000"/>
                <w:spacing w:val="0"/>
                <w:w w:val="100"/>
                <w:position w:val="0"/>
                <w:sz w:val="18"/>
                <w:szCs w:val="18"/>
              </w:rPr>
              <w:t>2021-068</w:t>
            </w:r>
            <w:r>
              <w:rPr>
                <w:color w:val="000000"/>
                <w:spacing w:val="0"/>
                <w:w w:val="100"/>
                <w:position w:val="0"/>
                <w:sz w:val="17"/>
                <w:szCs w:val="17"/>
              </w:rPr>
              <w:t>）</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第七届董事会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年第十一次临时会议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详见《第七届董事会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年第十一次临 时会议决议公告》（公告编号：</w:t>
            </w:r>
            <w:r>
              <w:rPr>
                <w:rFonts w:ascii="Times New Roman" w:eastAsia="Times New Roman" w:hAnsi="Times New Roman" w:cs="Times New Roman"/>
                <w:color w:val="000000"/>
                <w:spacing w:val="0"/>
                <w:w w:val="100"/>
                <w:position w:val="0"/>
                <w:sz w:val="18"/>
                <w:szCs w:val="18"/>
              </w:rPr>
              <w:t>2021-071</w:t>
            </w:r>
            <w:r>
              <w:rPr>
                <w:color w:val="000000"/>
                <w:spacing w:val="0"/>
                <w:w w:val="100"/>
                <w:position w:val="0"/>
                <w:sz w:val="17"/>
                <w:szCs w:val="17"/>
              </w:rPr>
              <w:t>）</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2</w:t>
      </w:r>
      <w:bookmarkEnd w:id="409"/>
      <w:r>
        <w:rPr>
          <w:color w:val="000000"/>
          <w:spacing w:val="0"/>
          <w:w w:val="100"/>
          <w:position w:val="0"/>
        </w:rPr>
        <w:t>、董事出席董事会及股东大会的情况</w:t>
      </w:r>
      <w:bookmarkEnd w:id="407"/>
      <w:bookmarkEnd w:id="408"/>
      <w:bookmarkEnd w:id="410"/>
    </w:p>
    <w:tbl>
      <w:tblPr>
        <w:tblOverlap w:val="never"/>
        <w:jc w:val="center"/>
        <w:tblLayout w:type="fixed"/>
      </w:tblPr>
      <w:tblGrid>
        <w:gridCol w:w="859"/>
        <w:gridCol w:w="1133"/>
        <w:gridCol w:w="1426"/>
        <w:gridCol w:w="1133"/>
        <w:gridCol w:w="1416"/>
        <w:gridCol w:w="998"/>
        <w:gridCol w:w="1464"/>
        <w:gridCol w:w="1176"/>
      </w:tblGrid>
      <w:tr>
        <w:trPr>
          <w:trHeight w:val="624" w:hRule="exact"/>
        </w:trPr>
        <w:tc>
          <w:tcPr>
            <w:gridSpan w:val="8"/>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董事出席董事会及股东大会的情况</w:t>
            </w:r>
          </w:p>
        </w:tc>
      </w:tr>
      <w:tr>
        <w:trPr>
          <w:trHeight w:val="10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本报告期应</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参加董事会</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现场出席董事会 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以通讯方式</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参加董事会</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委托出席董事会 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缺席董事会</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是否连续两次未</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亲自参加董事会</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会议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出席股东大会 次数</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匡涛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胡宏伟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钱维章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李光亚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姜锋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王开国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赵怀亮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麻志明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刘功润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连续两次未亲自出席董事会的说明</w:t>
      </w:r>
    </w:p>
    <w:p>
      <w:pPr>
        <w:pStyle w:val="Style29"/>
        <w:keepNext w:val="0"/>
        <w:keepLines w:val="0"/>
        <w:widowControl w:val="0"/>
        <w:shd w:val="clear" w:color="auto" w:fill="auto"/>
        <w:bidi w:val="0"/>
        <w:spacing w:before="0" w:after="380" w:line="314" w:lineRule="exact"/>
        <w:ind w:left="0" w:right="0" w:firstLine="0"/>
        <w:jc w:val="left"/>
      </w:pPr>
      <w:r>
        <w:rPr>
          <w:color w:val="000000"/>
          <w:spacing w:val="0"/>
          <w:w w:val="100"/>
          <w:position w:val="0"/>
        </w:rPr>
        <w:t>不适用</w:t>
      </w:r>
    </w:p>
    <w:p>
      <w:pPr>
        <w:pStyle w:val="Style33"/>
        <w:keepNext/>
        <w:keepLines/>
        <w:widowControl w:val="0"/>
        <w:shd w:val="clear" w:color="auto" w:fill="auto"/>
        <w:tabs>
          <w:tab w:pos="368" w:val="left"/>
        </w:tabs>
        <w:bidi w:val="0"/>
        <w:spacing w:before="0" w:after="300" w:line="240" w:lineRule="auto"/>
        <w:ind w:left="0" w:right="0" w:firstLine="0"/>
        <w:jc w:val="left"/>
      </w:pPr>
      <w:bookmarkStart w:id="411" w:name="bookmark411"/>
      <w:bookmarkStart w:id="412" w:name="bookmark412"/>
      <w:bookmarkStart w:id="413" w:name="bookmark413"/>
      <w:bookmarkStart w:id="414" w:name="bookmark414"/>
      <w:r>
        <w:rPr>
          <w:rFonts w:ascii="Times New Roman" w:eastAsia="Times New Roman" w:hAnsi="Times New Roman" w:cs="Times New Roman"/>
          <w:color w:val="000000"/>
          <w:spacing w:val="0"/>
          <w:w w:val="100"/>
          <w:position w:val="0"/>
        </w:rPr>
        <w:t>3</w:t>
      </w:r>
      <w:bookmarkEnd w:id="413"/>
      <w:r>
        <w:rPr>
          <w:color w:val="000000"/>
          <w:spacing w:val="0"/>
          <w:w w:val="100"/>
          <w:position w:val="0"/>
        </w:rPr>
        <w:t>、</w:t>
        <w:tab/>
        <w:t>董事对公司有关事项提出异议的情况</w:t>
      </w:r>
      <w:bookmarkEnd w:id="411"/>
      <w:bookmarkEnd w:id="412"/>
      <w:bookmarkEnd w:id="414"/>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董事对公司有关事项是否提出异议</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报告期内董事对公司有关事项未提出异议。</w:t>
      </w:r>
    </w:p>
    <w:p>
      <w:pPr>
        <w:pStyle w:val="Style33"/>
        <w:keepNext/>
        <w:keepLines/>
        <w:widowControl w:val="0"/>
        <w:shd w:val="clear" w:color="auto" w:fill="auto"/>
        <w:tabs>
          <w:tab w:pos="368" w:val="left"/>
        </w:tabs>
        <w:bidi w:val="0"/>
        <w:spacing w:before="0" w:after="300" w:line="240" w:lineRule="auto"/>
        <w:ind w:left="0" w:right="0" w:firstLine="0"/>
        <w:jc w:val="left"/>
      </w:pPr>
      <w:bookmarkStart w:id="415" w:name="bookmark415"/>
      <w:bookmarkStart w:id="416" w:name="bookmark416"/>
      <w:bookmarkStart w:id="417" w:name="bookmark417"/>
      <w:bookmarkStart w:id="418" w:name="bookmark418"/>
      <w:r>
        <w:rPr>
          <w:rFonts w:ascii="Times New Roman" w:eastAsia="Times New Roman" w:hAnsi="Times New Roman" w:cs="Times New Roman"/>
          <w:color w:val="000000"/>
          <w:spacing w:val="0"/>
          <w:w w:val="100"/>
          <w:position w:val="0"/>
        </w:rPr>
        <w:t>4</w:t>
      </w:r>
      <w:bookmarkEnd w:id="417"/>
      <w:r>
        <w:rPr>
          <w:color w:val="000000"/>
          <w:spacing w:val="0"/>
          <w:w w:val="100"/>
          <w:position w:val="0"/>
        </w:rPr>
        <w:t>、</w:t>
        <w:tab/>
        <w:t>董事履行职责的其他说明</w:t>
      </w:r>
      <w:bookmarkEnd w:id="415"/>
      <w:bookmarkEnd w:id="416"/>
      <w:bookmarkEnd w:id="418"/>
    </w:p>
    <w:p>
      <w:pPr>
        <w:pStyle w:val="Style29"/>
        <w:keepNext w:val="0"/>
        <w:keepLines w:val="0"/>
        <w:widowControl w:val="0"/>
        <w:shd w:val="clear" w:color="auto" w:fill="auto"/>
        <w:bidi w:val="0"/>
        <w:spacing w:before="0" w:after="140" w:line="314" w:lineRule="exact"/>
        <w:ind w:left="0" w:right="0" w:firstLine="0"/>
        <w:jc w:val="left"/>
      </w:pPr>
      <w:r>
        <w:rPr>
          <w:color w:val="000000"/>
          <w:spacing w:val="0"/>
          <w:w w:val="100"/>
          <w:position w:val="0"/>
        </w:rPr>
        <w:t>董事对公司有关建议是否被采纳</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董事对公司有关建议被采纳或未被采纳的说明</w:t>
      </w:r>
    </w:p>
    <w:p>
      <w:pPr>
        <w:pStyle w:val="Style29"/>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报告期内，公司积极为董事履行职责和权利提供所必需的工作条件，董事根据《公司法》、《证券法》、《深圳证券交 易所创业板股票上市规则》、《深圳证券交易所上市公司自律监管指引第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号——创业板上市公司规范运作》等有关法律法 规和《公司章程》等相关制度的要求，充分发挥董事作用，全面关注公司的经营发展及风险控制情况，认真审议董事会会议 各项议案，参与重大决策，客观、充分地发表意见，公平对待所有股东，切实维护了全体股东特别是中小股东的合法权益。</w:t>
      </w:r>
    </w:p>
    <w:p>
      <w:pPr>
        <w:pStyle w:val="Style24"/>
        <w:keepNext/>
        <w:keepLines/>
        <w:widowControl w:val="0"/>
        <w:shd w:val="clear" w:color="auto" w:fill="auto"/>
        <w:bidi w:val="0"/>
        <w:spacing w:before="0" w:after="300" w:line="240" w:lineRule="auto"/>
        <w:ind w:left="0" w:right="0" w:firstLine="0"/>
        <w:jc w:val="left"/>
      </w:pPr>
      <w:bookmarkStart w:id="419" w:name="bookmark419"/>
      <w:bookmarkStart w:id="420" w:name="bookmark420"/>
      <w:bookmarkStart w:id="421" w:name="bookmark421"/>
      <w:bookmarkStart w:id="422" w:name="bookmark422"/>
      <w:r>
        <w:rPr>
          <w:color w:val="000000"/>
          <w:spacing w:val="0"/>
          <w:w w:val="100"/>
          <w:position w:val="0"/>
        </w:rPr>
        <w:t>九</w:t>
      </w:r>
      <w:bookmarkEnd w:id="421"/>
      <w:r>
        <w:rPr>
          <w:color w:val="000000"/>
          <w:spacing w:val="0"/>
          <w:w w:val="100"/>
          <w:position w:val="0"/>
        </w:rPr>
        <w:t>、董事会下设专门委员会在报告期内的情况</w:t>
      </w:r>
      <w:bookmarkEnd w:id="419"/>
      <w:bookmarkEnd w:id="420"/>
      <w:bookmarkEnd w:id="422"/>
    </w:p>
    <w:tbl>
      <w:tblPr>
        <w:tblOverlap w:val="never"/>
        <w:jc w:val="center"/>
        <w:tblLayout w:type="fixed"/>
      </w:tblPr>
      <w:tblGrid>
        <w:gridCol w:w="442"/>
        <w:gridCol w:w="840"/>
        <w:gridCol w:w="432"/>
        <w:gridCol w:w="854"/>
        <w:gridCol w:w="5102"/>
        <w:gridCol w:w="806"/>
        <w:gridCol w:w="614"/>
        <w:gridCol w:w="610"/>
      </w:tblGrid>
      <w:tr>
        <w:trPr>
          <w:trHeight w:val="134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委员</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会名</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成员情况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召开</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会议</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召开日期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提出的重</w:t>
            </w:r>
          </w:p>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要意见和 建议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其他履 行职责 的情况</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异议</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事项</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具体</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情况</w:t>
            </w:r>
          </w:p>
        </w:tc>
      </w:tr>
      <w:tr>
        <w:trPr>
          <w:trHeight w:val="310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17"/>
                <w:szCs w:val="17"/>
              </w:rPr>
            </w:pPr>
            <w:r>
              <w:rPr>
                <w:color w:val="000000"/>
                <w:spacing w:val="0"/>
                <w:w w:val="100"/>
                <w:position w:val="0"/>
                <w:sz w:val="17"/>
                <w:szCs w:val="17"/>
              </w:rPr>
              <w:t>董事 会战 略委 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匡涛</w:t>
            </w:r>
          </w:p>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（主席）、 胡宏伟、 刘功润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7"/>
                <w:szCs w:val="17"/>
              </w:rPr>
              <w:t>审议如下议案：</w:t>
            </w:r>
          </w:p>
          <w:p>
            <w:pPr>
              <w:pStyle w:val="Style2"/>
              <w:keepNext w:val="0"/>
              <w:keepLines w:val="0"/>
              <w:widowControl w:val="0"/>
              <w:shd w:val="clear" w:color="auto" w:fill="auto"/>
              <w:bidi w:val="0"/>
              <w:spacing w:before="0" w:after="0" w:line="34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《关于公司符合向特定对象发行股票条件的议案》；</w:t>
            </w:r>
          </w:p>
          <w:p>
            <w:pPr>
              <w:pStyle w:val="Style2"/>
              <w:keepNext w:val="0"/>
              <w:keepLines w:val="0"/>
              <w:widowControl w:val="0"/>
              <w:shd w:val="clear" w:color="auto" w:fill="auto"/>
              <w:bidi w:val="0"/>
              <w:spacing w:before="0" w:after="120" w:line="34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《关于</w:t>
            </w:r>
            <w:r>
              <w:rPr>
                <w:color w:val="000000"/>
                <w:spacing w:val="0"/>
                <w:w w:val="100"/>
                <w:position w:val="0"/>
                <w:sz w:val="18"/>
                <w:szCs w:val="18"/>
              </w:rPr>
              <w:t>〈</w:t>
            </w: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年度向特定对象发行股票方案</w:t>
            </w:r>
            <w:r>
              <w:rPr>
                <w:color w:val="000000"/>
                <w:spacing w:val="0"/>
                <w:w w:val="100"/>
                <w:position w:val="0"/>
                <w:sz w:val="18"/>
                <w:szCs w:val="18"/>
              </w:rPr>
              <w:t>〉</w:t>
            </w:r>
            <w:r>
              <w:rPr>
                <w:color w:val="000000"/>
                <w:spacing w:val="0"/>
                <w:w w:val="100"/>
                <w:position w:val="0"/>
                <w:sz w:val="17"/>
                <w:szCs w:val="17"/>
              </w:rPr>
              <w:t>的议案》（逐 项表决）；</w:t>
            </w:r>
          </w:p>
          <w:p>
            <w:pPr>
              <w:pStyle w:val="Style2"/>
              <w:keepNext w:val="0"/>
              <w:keepLines w:val="0"/>
              <w:widowControl w:val="0"/>
              <w:shd w:val="clear" w:color="auto" w:fill="auto"/>
              <w:bidi w:val="0"/>
              <w:spacing w:before="0" w:after="0" w:line="396"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《关于</w:t>
            </w:r>
            <w:r>
              <w:rPr>
                <w:color w:val="000000"/>
                <w:spacing w:val="0"/>
                <w:w w:val="100"/>
                <w:position w:val="0"/>
                <w:sz w:val="18"/>
                <w:szCs w:val="18"/>
              </w:rPr>
              <w:t>〈</w:t>
            </w: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年度向特定对象发行股票预案</w:t>
            </w:r>
            <w:r>
              <w:rPr>
                <w:color w:val="000000"/>
                <w:spacing w:val="0"/>
                <w:w w:val="100"/>
                <w:position w:val="0"/>
                <w:sz w:val="18"/>
                <w:szCs w:val="18"/>
              </w:rPr>
              <w:t>〉</w:t>
            </w:r>
            <w:r>
              <w:rPr>
                <w:color w:val="000000"/>
                <w:spacing w:val="0"/>
                <w:w w:val="100"/>
                <w:position w:val="0"/>
                <w:sz w:val="17"/>
                <w:szCs w:val="17"/>
              </w:rPr>
              <w:t>的议案》；</w:t>
            </w:r>
          </w:p>
          <w:p>
            <w:pPr>
              <w:pStyle w:val="Style2"/>
              <w:keepNext w:val="0"/>
              <w:keepLines w:val="0"/>
              <w:widowControl w:val="0"/>
              <w:shd w:val="clear" w:color="auto" w:fill="auto"/>
              <w:bidi w:val="0"/>
              <w:spacing w:before="0" w:after="0" w:line="34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《关于</w:t>
            </w:r>
            <w:r>
              <w:rPr>
                <w:color w:val="000000"/>
                <w:spacing w:val="0"/>
                <w:w w:val="100"/>
                <w:position w:val="0"/>
                <w:sz w:val="18"/>
                <w:szCs w:val="18"/>
              </w:rPr>
              <w:t>〈</w:t>
            </w: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年度向特定对象发行股票方案论证分析报告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的议案》；</w:t>
            </w:r>
          </w:p>
          <w:p>
            <w:pPr>
              <w:pStyle w:val="Style2"/>
              <w:keepNext w:val="0"/>
              <w:keepLines w:val="0"/>
              <w:widowControl w:val="0"/>
              <w:shd w:val="clear" w:color="auto" w:fill="auto"/>
              <w:bidi w:val="0"/>
              <w:spacing w:before="0" w:after="60" w:line="34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《关于</w:t>
            </w:r>
            <w:r>
              <w:rPr>
                <w:color w:val="000000"/>
                <w:spacing w:val="0"/>
                <w:w w:val="100"/>
                <w:position w:val="0"/>
                <w:sz w:val="18"/>
                <w:szCs w:val="18"/>
              </w:rPr>
              <w:t>〈</w:t>
            </w: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年度向特定对象发行股票募集资金使用的可 行性分析报告</w:t>
            </w:r>
            <w:r>
              <w:rPr>
                <w:color w:val="000000"/>
                <w:spacing w:val="0"/>
                <w:w w:val="100"/>
                <w:position w:val="0"/>
                <w:sz w:val="18"/>
                <w:szCs w:val="18"/>
              </w:rPr>
              <w:t>〉</w:t>
            </w:r>
            <w:r>
              <w:rPr>
                <w:color w:val="000000"/>
                <w:spacing w:val="0"/>
                <w:w w:val="100"/>
                <w:position w:val="0"/>
                <w:sz w:val="17"/>
                <w:szCs w:val="17"/>
              </w:rPr>
              <w:t>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0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p>
            <w:pPr>
              <w:pStyle w:val="Style2"/>
              <w:keepNext w:val="0"/>
              <w:keepLines w:val="0"/>
              <w:widowControl w:val="0"/>
              <w:shd w:val="clear" w:color="auto" w:fill="auto"/>
              <w:bidi w:val="0"/>
              <w:spacing w:before="0" w:after="0" w:line="329" w:lineRule="exact"/>
              <w:ind w:left="0" w:right="0" w:firstLine="0"/>
              <w:jc w:val="both"/>
              <w:rPr>
                <w:sz w:val="17"/>
                <w:szCs w:val="17"/>
              </w:rPr>
            </w:pPr>
            <w:r>
              <w:rPr>
                <w:color w:val="000000"/>
                <w:spacing w:val="0"/>
                <w:w w:val="100"/>
                <w:position w:val="0"/>
                <w:sz w:val="17"/>
                <w:szCs w:val="17"/>
              </w:rPr>
              <w:t>会审 计委 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麻志明</w:t>
            </w:r>
          </w:p>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（主席）、 赵怀亮、 刘功润</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听取会计师事务所对公司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年度审计计划的沟通报告。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1824"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审议如下议案：</w:t>
            </w:r>
          </w:p>
          <w:p>
            <w:pPr>
              <w:pStyle w:val="Style2"/>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年度财务决算报告》的议案；</w:t>
            </w:r>
          </w:p>
          <w:p>
            <w:pPr>
              <w:pStyle w:val="Style2"/>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年度审计报告》的议案；</w:t>
            </w:r>
          </w:p>
          <w:p>
            <w:pPr>
              <w:pStyle w:val="Style2"/>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年度内部控制自我评价报告》的议案；</w:t>
            </w:r>
          </w:p>
          <w:p>
            <w:pPr>
              <w:pStyle w:val="Style2"/>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年度募集资金存放与使用情况专项报告》的议案；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spacing w:lineRule="exact" w:line="1"/>
        <w:rPr>
          <w:sz w:val="2"/>
          <w:szCs w:val="2"/>
        </w:rPr>
      </w:pPr>
      <w:r>
        <w:br w:type="page"/>
      </w:r>
    </w:p>
    <w:tbl>
      <w:tblPr>
        <w:tblOverlap w:val="never"/>
        <w:jc w:val="center"/>
        <w:tblLayout w:type="fixed"/>
      </w:tblPr>
      <w:tblGrid>
        <w:gridCol w:w="442"/>
        <w:gridCol w:w="840"/>
        <w:gridCol w:w="432"/>
        <w:gridCol w:w="854"/>
        <w:gridCol w:w="5102"/>
        <w:gridCol w:w="806"/>
        <w:gridCol w:w="614"/>
        <w:gridCol w:w="610"/>
      </w:tblGrid>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委员</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会名</w:t>
            </w:r>
          </w:p>
          <w:p>
            <w:pPr>
              <w:pStyle w:val="Style2"/>
              <w:keepNext w:val="0"/>
              <w:keepLines w:val="0"/>
              <w:widowControl w:val="0"/>
              <w:shd w:val="clear" w:color="auto" w:fill="auto"/>
              <w:bidi w:val="0"/>
              <w:spacing w:before="0" w:after="100" w:line="240" w:lineRule="auto"/>
              <w:ind w:left="0" w:right="0" w:firstLine="140"/>
              <w:jc w:val="both"/>
              <w:rPr>
                <w:sz w:val="17"/>
                <w:szCs w:val="17"/>
              </w:rPr>
            </w:pPr>
            <w:r>
              <w:rPr>
                <w:color w:val="000000"/>
                <w:spacing w:val="0"/>
                <w:w w:val="100"/>
                <w:position w:val="0"/>
                <w:sz w:val="17"/>
                <w:szCs w:val="17"/>
              </w:rPr>
              <w:t>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成员情况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召开</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会议</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提出的重</w:t>
            </w:r>
          </w:p>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要意见和 建议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其他履 行职责 的情况</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异议</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事项</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具体</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情况</w:t>
            </w:r>
          </w:p>
        </w:tc>
      </w:tr>
      <w:tr>
        <w:trPr>
          <w:trHeight w:val="10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关于计提资产减值准备及信用减值损失的议案；</w:t>
            </w:r>
          </w:p>
          <w:p>
            <w:pPr>
              <w:pStyle w:val="Style2"/>
              <w:keepNext w:val="0"/>
              <w:keepLines w:val="0"/>
              <w:widowControl w:val="0"/>
              <w:shd w:val="clear" w:color="auto" w:fill="auto"/>
              <w:bidi w:val="0"/>
              <w:spacing w:before="0" w:after="0" w:line="35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关于拟续聘</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年度会计师事务所的议案； 听取审计部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年工作总结及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年工作计划。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董事</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会提</w:t>
            </w:r>
          </w:p>
          <w:p>
            <w:pPr>
              <w:pStyle w:val="Style2"/>
              <w:keepNext w:val="0"/>
              <w:keepLines w:val="0"/>
              <w:widowControl w:val="0"/>
              <w:shd w:val="clear" w:color="auto" w:fill="auto"/>
              <w:bidi w:val="0"/>
              <w:spacing w:before="0" w:after="140" w:line="240" w:lineRule="auto"/>
              <w:ind w:left="0" w:right="0" w:firstLine="0"/>
              <w:jc w:val="both"/>
              <w:rPr>
                <w:sz w:val="17"/>
                <w:szCs w:val="17"/>
              </w:rPr>
            </w:pPr>
            <w:r>
              <w:rPr>
                <w:color w:val="000000"/>
                <w:spacing w:val="0"/>
                <w:w w:val="100"/>
                <w:position w:val="0"/>
                <w:sz w:val="17"/>
                <w:szCs w:val="17"/>
              </w:rPr>
              <w:t>名委</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赵怀亮</w:t>
            </w:r>
          </w:p>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（主席）、 胡宏伟、 麻志明</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审议《关于提名公司高级副总裁的议案》。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14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审议如下议案：</w:t>
            </w:r>
          </w:p>
          <w:p>
            <w:pPr>
              <w:pStyle w:val="Style2"/>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《关于设立第七届董事会风险管理委员会及其人员组成的议案》；</w:t>
            </w:r>
          </w:p>
          <w:p>
            <w:pPr>
              <w:pStyle w:val="Style2"/>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《关于提名第七届董事会非独立董事候选人的议案》；</w:t>
            </w:r>
          </w:p>
          <w:p>
            <w:pPr>
              <w:pStyle w:val="Style2"/>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《关于聘任高级副总裁的议案》。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142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17"/>
                <w:szCs w:val="17"/>
              </w:rPr>
            </w:pPr>
            <w:r>
              <w:rPr>
                <w:color w:val="000000"/>
                <w:spacing w:val="0"/>
                <w:w w:val="100"/>
                <w:position w:val="0"/>
                <w:sz w:val="17"/>
                <w:szCs w:val="17"/>
              </w:rPr>
              <w:t>董事 会薪 酬与 考核 委员</w:t>
            </w:r>
          </w:p>
          <w:p>
            <w:pPr>
              <w:pStyle w:val="Style2"/>
              <w:keepNext w:val="0"/>
              <w:keepLines w:val="0"/>
              <w:widowControl w:val="0"/>
              <w:shd w:val="clear" w:color="auto" w:fill="auto"/>
              <w:bidi w:val="0"/>
              <w:spacing w:before="0" w:after="0" w:line="318" w:lineRule="exact"/>
              <w:ind w:left="0" w:right="0" w:firstLine="0"/>
              <w:jc w:val="both"/>
              <w:rPr>
                <w:sz w:val="17"/>
                <w:szCs w:val="17"/>
              </w:rPr>
            </w:pPr>
            <w:r>
              <w:rPr>
                <w:color w:val="000000"/>
                <w:spacing w:val="0"/>
                <w:w w:val="100"/>
                <w:position w:val="0"/>
                <w:sz w:val="17"/>
                <w:szCs w:val="17"/>
              </w:rPr>
              <w:t>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刘功润</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（主席）、 胡宏伟、 赵怀亮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7"/>
                <w:szCs w:val="17"/>
              </w:rPr>
              <w:t>审议如下议案：</w:t>
            </w:r>
          </w:p>
          <w:p>
            <w:pPr>
              <w:pStyle w:val="Style2"/>
              <w:keepNext w:val="0"/>
              <w:keepLines w:val="0"/>
              <w:widowControl w:val="0"/>
              <w:shd w:val="clear" w:color="auto" w:fill="auto"/>
              <w:bidi w:val="0"/>
              <w:spacing w:before="0" w:after="0" w:line="34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年度高级管理人员薪酬结果的议案；</w:t>
            </w:r>
          </w:p>
          <w:p>
            <w:pPr>
              <w:pStyle w:val="Style2"/>
              <w:keepNext w:val="0"/>
              <w:keepLines w:val="0"/>
              <w:widowControl w:val="0"/>
              <w:shd w:val="clear" w:color="auto" w:fill="auto"/>
              <w:bidi w:val="0"/>
              <w:spacing w:before="0" w:after="0" w:line="34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关于注销公司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年股票期权激励计划首次授予第三个行权期 及预留部分第二个行权期未达行权条件对应股票期权的议案。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2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审议《关于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年度高级管理人员绩效考核指标的议案》。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165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董事 会风 险管 理委</w:t>
            </w:r>
          </w:p>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赵怀亮</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（主席）、 刘功润、 胡宏伟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423" w:name="bookmark423"/>
      <w:bookmarkStart w:id="424" w:name="bookmark424"/>
      <w:bookmarkStart w:id="425" w:name="bookmark425"/>
      <w:r>
        <w:rPr>
          <w:color w:val="000000"/>
          <w:spacing w:val="0"/>
          <w:w w:val="100"/>
          <w:position w:val="0"/>
        </w:rPr>
        <w:t>十、监事会工作情况</w:t>
      </w:r>
      <w:bookmarkEnd w:id="423"/>
      <w:bookmarkEnd w:id="424"/>
      <w:bookmarkEnd w:id="425"/>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20" w:line="240" w:lineRule="auto"/>
        <w:ind w:left="0" w:right="0" w:firstLine="0"/>
        <w:jc w:val="left"/>
      </w:pPr>
      <w:r>
        <w:rPr>
          <w:color w:val="000000"/>
          <w:spacing w:val="0"/>
          <w:w w:val="100"/>
          <w:position w:val="0"/>
        </w:rPr>
        <w:t>监事会对报告期内的监督事项无异议。</w:t>
      </w:r>
    </w:p>
    <w:p>
      <w:pPr>
        <w:pStyle w:val="Style24"/>
        <w:keepNext/>
        <w:keepLines/>
        <w:widowControl w:val="0"/>
        <w:shd w:val="clear" w:color="auto" w:fill="auto"/>
        <w:bidi w:val="0"/>
        <w:spacing w:before="0" w:after="380" w:line="240" w:lineRule="auto"/>
        <w:ind w:left="0" w:right="0" w:firstLine="0"/>
        <w:jc w:val="left"/>
      </w:pPr>
      <w:bookmarkStart w:id="426" w:name="bookmark426"/>
      <w:bookmarkStart w:id="427" w:name="bookmark427"/>
      <w:bookmarkStart w:id="428" w:name="bookmark428"/>
      <w:r>
        <w:rPr>
          <w:color w:val="000000"/>
          <w:spacing w:val="0"/>
          <w:w w:val="100"/>
          <w:position w:val="0"/>
        </w:rPr>
        <w:t>十^一、公司员工情况</w:t>
      </w:r>
      <w:bookmarkEnd w:id="426"/>
      <w:bookmarkEnd w:id="427"/>
      <w:bookmarkEnd w:id="428"/>
    </w:p>
    <w:p>
      <w:pPr>
        <w:pStyle w:val="Style33"/>
        <w:keepNext/>
        <w:keepLines/>
        <w:widowControl w:val="0"/>
        <w:shd w:val="clear" w:color="auto" w:fill="auto"/>
        <w:bidi w:val="0"/>
        <w:spacing w:before="0" w:after="320" w:line="240" w:lineRule="auto"/>
        <w:ind w:left="0" w:right="0" w:firstLine="0"/>
        <w:jc w:val="left"/>
      </w:pPr>
      <w:bookmarkStart w:id="429" w:name="bookmark429"/>
      <w:bookmarkStart w:id="430" w:name="bookmark430"/>
      <w:bookmarkStart w:id="431" w:name="bookmark431"/>
      <w:bookmarkStart w:id="432" w:name="bookmark432"/>
      <w:r>
        <w:rPr>
          <w:rFonts w:ascii="Times New Roman" w:eastAsia="Times New Roman" w:hAnsi="Times New Roman" w:cs="Times New Roman"/>
          <w:color w:val="000000"/>
          <w:spacing w:val="0"/>
          <w:w w:val="100"/>
          <w:position w:val="0"/>
        </w:rPr>
        <w:t>1</w:t>
      </w:r>
      <w:bookmarkEnd w:id="431"/>
      <w:r>
        <w:rPr>
          <w:color w:val="000000"/>
          <w:spacing w:val="0"/>
          <w:w w:val="100"/>
          <w:position w:val="0"/>
        </w:rPr>
        <w:t>、员工数量、专业构成及教育程度</w:t>
      </w:r>
      <w:bookmarkEnd w:id="429"/>
      <w:bookmarkEnd w:id="430"/>
      <w:bookmarkEnd w:id="432"/>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3,793</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2,361</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6,154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6,154</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母公司及主要子公司需承担费用的离退休职工人数（人）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bl>
    <w:p>
      <w:pPr>
        <w:spacing w:lineRule="exact" w:line="1"/>
        <w:rPr>
          <w:sz w:val="2"/>
          <w:szCs w:val="2"/>
        </w:rPr>
      </w:pPr>
      <w:r>
        <w:br w:type="page"/>
      </w:r>
    </w:p>
    <w:tbl>
      <w:tblPr>
        <w:tblOverlap w:val="never"/>
        <w:jc w:val="center"/>
        <w:tblLayout w:type="fixed"/>
      </w:tblPr>
      <w:tblGrid>
        <w:gridCol w:w="4800"/>
        <w:gridCol w:w="4790"/>
      </w:tblGrid>
      <w:tr>
        <w:trPr>
          <w:trHeight w:val="403"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专业构成类别</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专业构成人数（人）</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542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4,949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107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489</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6,154</w:t>
            </w:r>
          </w:p>
        </w:tc>
      </w:tr>
      <w:tr>
        <w:trPr>
          <w:trHeight w:val="408"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教育程度</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教育程度类别</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数量（人）</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博士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硕士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361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3,882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本科以下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1,892</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6,154</w:t>
            </w:r>
          </w:p>
        </w:tc>
      </w:tr>
    </w:tbl>
    <w:p>
      <w:pPr>
        <w:widowControl w:val="0"/>
        <w:spacing w:after="319" w:line="1" w:lineRule="exact"/>
      </w:pPr>
    </w:p>
    <w:p>
      <w:pPr>
        <w:pStyle w:val="Style33"/>
        <w:keepNext/>
        <w:keepLines/>
        <w:widowControl w:val="0"/>
        <w:shd w:val="clear" w:color="auto" w:fill="auto"/>
        <w:bidi w:val="0"/>
        <w:spacing w:before="0" w:after="260" w:line="240" w:lineRule="auto"/>
        <w:ind w:left="0" w:right="0" w:firstLine="0"/>
        <w:jc w:val="both"/>
      </w:pPr>
      <w:bookmarkStart w:id="433" w:name="bookmark433"/>
      <w:bookmarkStart w:id="434" w:name="bookmark434"/>
      <w:bookmarkStart w:id="435" w:name="bookmark435"/>
      <w:bookmarkStart w:id="436" w:name="bookmark436"/>
      <w:r>
        <w:rPr>
          <w:rFonts w:ascii="Times New Roman" w:eastAsia="Times New Roman" w:hAnsi="Times New Roman" w:cs="Times New Roman"/>
          <w:color w:val="000000"/>
          <w:spacing w:val="0"/>
          <w:w w:val="100"/>
          <w:position w:val="0"/>
        </w:rPr>
        <w:t>2</w:t>
      </w:r>
      <w:bookmarkEnd w:id="435"/>
      <w:r>
        <w:rPr>
          <w:color w:val="000000"/>
          <w:spacing w:val="0"/>
          <w:w w:val="100"/>
          <w:position w:val="0"/>
        </w:rPr>
        <w:t>、薪酬政策</w:t>
      </w:r>
      <w:bookmarkEnd w:id="433"/>
      <w:bookmarkEnd w:id="434"/>
      <w:bookmarkEnd w:id="436"/>
    </w:p>
    <w:p>
      <w:pPr>
        <w:pStyle w:val="Style29"/>
        <w:keepNext w:val="0"/>
        <w:keepLines w:val="0"/>
        <w:widowControl w:val="0"/>
        <w:shd w:val="clear" w:color="auto" w:fill="auto"/>
        <w:bidi w:val="0"/>
        <w:spacing w:before="0" w:after="0" w:line="323" w:lineRule="exact"/>
        <w:ind w:left="0" w:right="0" w:firstLine="380"/>
        <w:jc w:val="left"/>
      </w:pPr>
      <w:r>
        <w:rPr>
          <w:color w:val="000000"/>
          <w:spacing w:val="0"/>
          <w:w w:val="100"/>
          <w:position w:val="0"/>
        </w:rPr>
        <w:t>公司的薪酬政策以市场竞争性为导向，以经营效益为依托，以经济性、公平性、正向激励性为原则，基于责任与能力、 关注结果，鼓励员工主动迎接挑战和兑现承诺，促进公司与员工的共同发展与成长。公司的薪酬由固定工资和绩效奖金构成： 固定工资与员工的工作岗位、工作能力、承担职责直接相关；绩效奖金与公司的经营目标挂钩，与员工考核结果相关。薪酬 制度有效结合了员工利益与公司效益，激发了员工的潜力和活力。此外，为进一步吸引和保留核心骨干人才，公司还建立了 不同的员工激励制度和办法，促进公司可持续地健康发展。</w:t>
      </w:r>
    </w:p>
    <w:p>
      <w:pPr>
        <w:pStyle w:val="Style29"/>
        <w:keepNext w:val="0"/>
        <w:keepLines w:val="0"/>
        <w:widowControl w:val="0"/>
        <w:shd w:val="clear" w:color="auto" w:fill="auto"/>
        <w:bidi w:val="0"/>
        <w:spacing w:before="0" w:after="380" w:line="323"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 报告期内职工薪酬总额（计入成本部分）的金额为</w:t>
      </w:r>
      <w:r>
        <w:rPr>
          <w:rFonts w:ascii="Times New Roman" w:eastAsia="Times New Roman" w:hAnsi="Times New Roman" w:cs="Times New Roman"/>
          <w:color w:val="000000"/>
          <w:spacing w:val="0"/>
          <w:w w:val="100"/>
          <w:position w:val="0"/>
          <w:sz w:val="18"/>
          <w:szCs w:val="18"/>
        </w:rPr>
        <w:t>723,213,059.24</w:t>
      </w:r>
      <w:r>
        <w:rPr>
          <w:color w:val="000000"/>
          <w:spacing w:val="0"/>
          <w:w w:val="100"/>
          <w:position w:val="0"/>
        </w:rPr>
        <w:t>元，占公司成本总额的比重为</w:t>
      </w:r>
      <w:r>
        <w:rPr>
          <w:rFonts w:ascii="Times New Roman" w:eastAsia="Times New Roman" w:hAnsi="Times New Roman" w:cs="Times New Roman"/>
          <w:color w:val="000000"/>
          <w:spacing w:val="0"/>
          <w:w w:val="100"/>
          <w:position w:val="0"/>
          <w:sz w:val="18"/>
          <w:szCs w:val="18"/>
        </w:rPr>
        <w:t>30.95%</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 公司核心技术人员占员工总数的</w:t>
      </w:r>
      <w:r>
        <w:rPr>
          <w:rFonts w:ascii="Times New Roman" w:eastAsia="Times New Roman" w:hAnsi="Times New Roman" w:cs="Times New Roman"/>
          <w:color w:val="000000"/>
          <w:spacing w:val="0"/>
          <w:w w:val="100"/>
          <w:position w:val="0"/>
          <w:sz w:val="18"/>
          <w:szCs w:val="18"/>
        </w:rPr>
        <w:t>29.83%</w:t>
      </w:r>
      <w:r>
        <w:rPr>
          <w:color w:val="000000"/>
          <w:spacing w:val="0"/>
          <w:w w:val="100"/>
          <w:position w:val="0"/>
        </w:rPr>
        <w:t>，核心技术人员薪酬占薪酬总额的</w:t>
      </w:r>
      <w:r>
        <w:rPr>
          <w:rFonts w:ascii="Times New Roman" w:eastAsia="Times New Roman" w:hAnsi="Times New Roman" w:cs="Times New Roman"/>
          <w:color w:val="000000"/>
          <w:spacing w:val="0"/>
          <w:w w:val="100"/>
          <w:position w:val="0"/>
          <w:sz w:val="18"/>
          <w:szCs w:val="18"/>
        </w:rPr>
        <w:t>42.22%</w:t>
      </w:r>
      <w:r>
        <w:rPr>
          <w:color w:val="000000"/>
          <w:spacing w:val="0"/>
          <w:w w:val="100"/>
          <w:position w:val="0"/>
        </w:rPr>
        <w:t>，与上年同期相比无重大变动。</w:t>
      </w:r>
    </w:p>
    <w:p>
      <w:pPr>
        <w:pStyle w:val="Style33"/>
        <w:keepNext/>
        <w:keepLines/>
        <w:widowControl w:val="0"/>
        <w:shd w:val="clear" w:color="auto" w:fill="auto"/>
        <w:bidi w:val="0"/>
        <w:spacing w:before="0" w:after="260" w:line="240" w:lineRule="auto"/>
        <w:ind w:left="0" w:right="0" w:firstLine="0"/>
        <w:jc w:val="both"/>
      </w:pPr>
      <w:bookmarkStart w:id="437" w:name="bookmark437"/>
      <w:bookmarkStart w:id="438" w:name="bookmark438"/>
      <w:bookmarkStart w:id="439" w:name="bookmark439"/>
      <w:bookmarkStart w:id="440" w:name="bookmark440"/>
      <w:r>
        <w:rPr>
          <w:rFonts w:ascii="Times New Roman" w:eastAsia="Times New Roman" w:hAnsi="Times New Roman" w:cs="Times New Roman"/>
          <w:color w:val="000000"/>
          <w:spacing w:val="0"/>
          <w:w w:val="100"/>
          <w:position w:val="0"/>
        </w:rPr>
        <w:t>3</w:t>
      </w:r>
      <w:bookmarkEnd w:id="439"/>
      <w:r>
        <w:rPr>
          <w:color w:val="000000"/>
          <w:spacing w:val="0"/>
          <w:w w:val="100"/>
          <w:position w:val="0"/>
        </w:rPr>
        <w:t>、培训计划</w:t>
      </w:r>
      <w:bookmarkEnd w:id="437"/>
      <w:bookmarkEnd w:id="438"/>
      <w:bookmarkEnd w:id="440"/>
    </w:p>
    <w:p>
      <w:pPr>
        <w:pStyle w:val="Style29"/>
        <w:keepNext w:val="0"/>
        <w:keepLines w:val="0"/>
        <w:widowControl w:val="0"/>
        <w:shd w:val="clear" w:color="auto" w:fill="auto"/>
        <w:bidi w:val="0"/>
        <w:spacing w:before="0" w:after="0"/>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年度，围绕公司战略、市场环境变化、内部经营管理需求，公司进行了不同形式和内容的知识赋能。截至报告期末， 公司共开展培训活动</w:t>
      </w:r>
      <w:r>
        <w:rPr>
          <w:rFonts w:ascii="Times New Roman" w:eastAsia="Times New Roman" w:hAnsi="Times New Roman" w:cs="Times New Roman"/>
          <w:color w:val="000000"/>
          <w:spacing w:val="0"/>
          <w:w w:val="100"/>
          <w:position w:val="0"/>
          <w:sz w:val="18"/>
          <w:szCs w:val="18"/>
        </w:rPr>
        <w:t>134</w:t>
      </w:r>
      <w:r>
        <w:rPr>
          <w:color w:val="000000"/>
          <w:spacing w:val="0"/>
          <w:w w:val="100"/>
          <w:position w:val="0"/>
        </w:rPr>
        <w:t>场（其中线下</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场，线上</w:t>
      </w:r>
      <w:r>
        <w:rPr>
          <w:rFonts w:ascii="Times New Roman" w:eastAsia="Times New Roman" w:hAnsi="Times New Roman" w:cs="Times New Roman"/>
          <w:color w:val="000000"/>
          <w:spacing w:val="0"/>
          <w:w w:val="100"/>
          <w:position w:val="0"/>
          <w:sz w:val="18"/>
          <w:szCs w:val="18"/>
        </w:rPr>
        <w:t>92</w:t>
      </w:r>
      <w:r>
        <w:rPr>
          <w:color w:val="000000"/>
          <w:spacing w:val="0"/>
          <w:w w:val="100"/>
          <w:position w:val="0"/>
        </w:rPr>
        <w:t>场），培训时长合计</w:t>
      </w:r>
      <w:r>
        <w:rPr>
          <w:rFonts w:ascii="Times New Roman" w:eastAsia="Times New Roman" w:hAnsi="Times New Roman" w:cs="Times New Roman"/>
          <w:color w:val="000000"/>
          <w:spacing w:val="0"/>
          <w:w w:val="100"/>
          <w:position w:val="0"/>
          <w:sz w:val="18"/>
          <w:szCs w:val="18"/>
        </w:rPr>
        <w:t>804</w:t>
      </w:r>
      <w:r>
        <w:rPr>
          <w:color w:val="000000"/>
          <w:spacing w:val="0"/>
          <w:w w:val="100"/>
          <w:position w:val="0"/>
        </w:rPr>
        <w:t>小时，共计</w:t>
      </w:r>
      <w:r>
        <w:rPr>
          <w:rFonts w:ascii="Times New Roman" w:eastAsia="Times New Roman" w:hAnsi="Times New Roman" w:cs="Times New Roman"/>
          <w:color w:val="000000"/>
          <w:spacing w:val="0"/>
          <w:w w:val="100"/>
          <w:position w:val="0"/>
          <w:sz w:val="18"/>
          <w:szCs w:val="18"/>
        </w:rPr>
        <w:t>10162</w:t>
      </w:r>
      <w:r>
        <w:rPr>
          <w:color w:val="000000"/>
          <w:spacing w:val="0"/>
          <w:w w:val="100"/>
          <w:position w:val="0"/>
        </w:rPr>
        <w:t>人次参加培训。</w:t>
      </w:r>
    </w:p>
    <w:p>
      <w:pPr>
        <w:pStyle w:val="Style29"/>
        <w:keepNext w:val="0"/>
        <w:keepLines w:val="0"/>
        <w:widowControl w:val="0"/>
        <w:shd w:val="clear" w:color="auto" w:fill="auto"/>
        <w:bidi w:val="0"/>
        <w:spacing w:before="0" w:after="0" w:line="319" w:lineRule="exact"/>
        <w:ind w:left="0" w:right="0" w:firstLine="380"/>
        <w:jc w:val="both"/>
      </w:pPr>
      <w:r>
        <w:rPr>
          <w:color w:val="000000"/>
          <w:spacing w:val="0"/>
          <w:w w:val="100"/>
          <w:position w:val="0"/>
        </w:rPr>
        <w:t>公司持续完善培训体系建设。针对中高管，公司进行了企业战略转型相关培训；针对干部班学员，公司提供了丰富的课 程，契合公司未来战略发展方向，涉及营销技巧、科技创新、产品规划、团队管理、企业文化；针对新员工，公司组织现场 讲课、圆桌交流以及应届生培训，帮助员工尽快融入团队；针对公司研发和运维人员，公司开设了项目管理、运维管理以及 云计算等培训。此外，公司还组织了面向全体员工的合规普法等通用课程，帮助员工持续学习、不断提升。</w:t>
      </w:r>
    </w:p>
    <w:p>
      <w:pPr>
        <w:pStyle w:val="Style29"/>
        <w:keepNext w:val="0"/>
        <w:keepLines w:val="0"/>
        <w:widowControl w:val="0"/>
        <w:shd w:val="clear" w:color="auto" w:fill="auto"/>
        <w:bidi w:val="0"/>
        <w:spacing w:before="0" w:after="260" w:line="319" w:lineRule="exact"/>
        <w:ind w:left="0" w:right="0" w:firstLine="380"/>
        <w:jc w:val="both"/>
      </w:pPr>
      <w:r>
        <w:rPr>
          <w:color w:val="000000"/>
          <w:spacing w:val="0"/>
          <w:w w:val="100"/>
          <w:position w:val="0"/>
        </w:rPr>
        <w:t>公司后续将结合业务发展和市场变化，引入更多优质培训资源，进一步完善培训体系，持续优化和提升公司员工的综合 能力。</w:t>
      </w:r>
    </w:p>
    <w:p>
      <w:pPr>
        <w:pStyle w:val="Style33"/>
        <w:keepNext/>
        <w:keepLines/>
        <w:widowControl w:val="0"/>
        <w:shd w:val="clear" w:color="auto" w:fill="auto"/>
        <w:bidi w:val="0"/>
        <w:spacing w:before="0" w:after="360" w:line="240" w:lineRule="auto"/>
        <w:ind w:left="0" w:right="0" w:firstLine="0"/>
        <w:jc w:val="left"/>
      </w:pPr>
      <w:bookmarkStart w:id="441" w:name="bookmark441"/>
      <w:bookmarkStart w:id="442" w:name="bookmark442"/>
      <w:bookmarkStart w:id="443" w:name="bookmark443"/>
      <w:bookmarkStart w:id="444" w:name="bookmark444"/>
      <w:r>
        <w:rPr>
          <w:rFonts w:ascii="Times New Roman" w:eastAsia="Times New Roman" w:hAnsi="Times New Roman" w:cs="Times New Roman"/>
          <w:color w:val="000000"/>
          <w:spacing w:val="0"/>
          <w:w w:val="100"/>
          <w:position w:val="0"/>
        </w:rPr>
        <w:t>4</w:t>
      </w:r>
      <w:bookmarkEnd w:id="443"/>
      <w:r>
        <w:rPr>
          <w:color w:val="000000"/>
          <w:spacing w:val="0"/>
          <w:w w:val="100"/>
          <w:position w:val="0"/>
        </w:rPr>
        <w:t>、劳务外包情况</w:t>
      </w:r>
      <w:bookmarkEnd w:id="441"/>
      <w:bookmarkEnd w:id="442"/>
      <w:bookmarkEnd w:id="444"/>
    </w:p>
    <w:p>
      <w:pPr>
        <w:pStyle w:val="Style2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rFonts w:ascii="SimSun" w:eastAsia="SimSun" w:hAnsi="SimSun" w:cs="SimSun"/>
          <w:color w:val="000000"/>
          <w:spacing w:val="0"/>
          <w:w w:val="100"/>
          <w:position w:val="0"/>
          <w:sz w:val="17"/>
          <w:szCs w:val="17"/>
        </w:rPr>
        <w:t>适用</w:t>
      </w:r>
      <w:r>
        <w:rPr>
          <w:rFonts w:ascii="SimSun" w:eastAsia="SimSun" w:hAnsi="SimSun" w:cs="SimSun"/>
          <w:color w:val="000000"/>
          <w:spacing w:val="0"/>
          <w:w w:val="100"/>
          <w:position w:val="0"/>
          <w:sz w:val="18"/>
          <w:szCs w:val="18"/>
        </w:rPr>
        <w:t>口</w:t>
      </w:r>
      <w:r>
        <w:rPr>
          <w:rFonts w:ascii="SimSun" w:eastAsia="SimSun" w:hAnsi="SimSun" w:cs="SimSun"/>
          <w:color w:val="000000"/>
          <w:spacing w:val="0"/>
          <w:w w:val="100"/>
          <w:position w:val="0"/>
          <w:sz w:val="17"/>
          <w:szCs w:val="17"/>
        </w:rPr>
        <w:t>不适用</w:t>
      </w:r>
    </w:p>
    <w:tbl>
      <w:tblPr>
        <w:tblOverlap w:val="never"/>
        <w:jc w:val="center"/>
        <w:tblLayout w:type="fixed"/>
      </w:tblPr>
      <w:tblGrid>
        <w:gridCol w:w="4800"/>
        <w:gridCol w:w="4790"/>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劳务外包的工时总数（小时）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187,219</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劳务外包支付的报酬总额（元）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18,032,847.46</w:t>
            </w:r>
          </w:p>
        </w:tc>
      </w:tr>
    </w:tbl>
    <w:p>
      <w:pPr>
        <w:widowControl w:val="0"/>
        <w:spacing w:after="359" w:line="1" w:lineRule="exact"/>
      </w:pPr>
    </w:p>
    <w:p>
      <w:pPr>
        <w:pStyle w:val="Style24"/>
        <w:keepNext/>
        <w:keepLines/>
        <w:widowControl w:val="0"/>
        <w:shd w:val="clear" w:color="auto" w:fill="auto"/>
        <w:bidi w:val="0"/>
        <w:spacing w:before="0" w:after="260" w:line="240" w:lineRule="auto"/>
        <w:ind w:left="0" w:right="0" w:firstLine="0"/>
        <w:jc w:val="left"/>
      </w:pPr>
      <w:bookmarkStart w:id="445" w:name="bookmark445"/>
      <w:bookmarkStart w:id="446" w:name="bookmark446"/>
      <w:bookmarkStart w:id="447" w:name="bookmark447"/>
      <w:r>
        <w:rPr>
          <w:color w:val="000000"/>
          <w:spacing w:val="0"/>
          <w:w w:val="100"/>
          <w:position w:val="0"/>
        </w:rPr>
        <w:t>十二、公司利润分配及资本公积金转增股本情况</w:t>
      </w:r>
      <w:bookmarkEnd w:id="445"/>
      <w:bookmarkEnd w:id="446"/>
      <w:bookmarkEnd w:id="447"/>
    </w:p>
    <w:p>
      <w:pPr>
        <w:pStyle w:val="Style29"/>
        <w:keepNext w:val="0"/>
        <w:keepLines w:val="0"/>
        <w:widowControl w:val="0"/>
        <w:shd w:val="clear" w:color="auto" w:fill="auto"/>
        <w:bidi w:val="0"/>
        <w:spacing w:before="0" w:after="0" w:line="318" w:lineRule="exact"/>
        <w:ind w:left="0" w:right="0" w:firstLine="0"/>
        <w:jc w:val="left"/>
      </w:pPr>
      <w:r>
        <w:rPr>
          <w:color w:val="000000"/>
          <w:spacing w:val="0"/>
          <w:w w:val="100"/>
          <w:position w:val="0"/>
        </w:rPr>
        <w:t>报告期内利润分配政策，特别是现金分红政策的制定、执行或调整情况</w:t>
      </w:r>
    </w:p>
    <w:p>
      <w:pPr>
        <w:pStyle w:val="Style29"/>
        <w:keepNext w:val="0"/>
        <w:keepLines w:val="0"/>
        <w:widowControl w:val="0"/>
        <w:shd w:val="clear" w:color="auto" w:fill="auto"/>
        <w:bidi w:val="0"/>
        <w:spacing w:before="0" w:after="0" w:line="318"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18" w:lineRule="exact"/>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8" w:lineRule="exact"/>
        <w:ind w:left="0" w:right="0" w:firstLine="0"/>
        <w:jc w:val="left"/>
      </w:pPr>
      <w:r>
        <w:rPr>
          <w:color w:val="000000"/>
          <w:spacing w:val="0"/>
          <w:w w:val="100"/>
          <w:position w:val="0"/>
        </w:rPr>
        <w:t>公司报告期利润分配预案及资本公积金转增股本预案符合公司章程等的相关规定。</w:t>
      </w:r>
    </w:p>
    <w:p>
      <w:pPr>
        <w:pStyle w:val="Style29"/>
        <w:keepNext w:val="0"/>
        <w:keepLines w:val="0"/>
        <w:widowControl w:val="0"/>
        <w:shd w:val="clear" w:color="auto" w:fill="auto"/>
        <w:bidi w:val="0"/>
        <w:spacing w:before="0" w:after="80" w:line="318" w:lineRule="exact"/>
        <w:ind w:left="0" w:right="0" w:firstLine="0"/>
        <w:jc w:val="left"/>
      </w:pPr>
      <w:r>
        <w:rPr>
          <w:color w:val="000000"/>
          <w:spacing w:val="0"/>
          <w:w w:val="100"/>
          <w:position w:val="0"/>
        </w:rPr>
        <w:t>本年度利润分配及资本公积金转增股本情况</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8" w:lineRule="exact"/>
        <w:ind w:left="0" w:right="0" w:firstLine="0"/>
        <w:jc w:val="center"/>
      </w:pPr>
      <w:r>
        <w:rPr>
          <w:color w:val="000000"/>
          <w:spacing w:val="0"/>
          <w:w w:val="100"/>
          <w:position w:val="0"/>
        </w:rPr>
        <w:t>本次现金分红情况</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8" w:lineRule="exact"/>
        <w:ind w:left="0" w:right="0" w:firstLine="0"/>
        <w:jc w:val="left"/>
      </w:pPr>
      <w:r>
        <w:rPr>
          <w:color w:val="000000"/>
          <w:spacing w:val="0"/>
          <w:w w:val="100"/>
          <w:position w:val="0"/>
        </w:rPr>
        <w:t>其他</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8" w:lineRule="exact"/>
        <w:ind w:left="0" w:right="0" w:firstLine="0"/>
        <w:jc w:val="center"/>
      </w:pPr>
      <w:r>
        <w:rPr>
          <w:color w:val="000000"/>
          <w:spacing w:val="0"/>
          <w:w w:val="100"/>
          <w:position w:val="0"/>
        </w:rPr>
        <w:t>利润分配或资本公积金转增预案的详细情况说明</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8" w:lineRule="exact"/>
        <w:ind w:left="0" w:right="0" w:firstLine="0"/>
        <w:jc w:val="left"/>
      </w:pPr>
      <w:r>
        <w:rPr>
          <w:color w:val="000000"/>
          <w:spacing w:val="0"/>
          <w:w w:val="100"/>
          <w:position w:val="0"/>
        </w:rPr>
        <w:t>不派发现金红利，不送红股，不以公积金转增股本。</w:t>
      </w:r>
    </w:p>
    <w:p>
      <w:pPr>
        <w:pStyle w:val="Style29"/>
        <w:keepNext w:val="0"/>
        <w:keepLines w:val="0"/>
        <w:widowControl w:val="0"/>
        <w:shd w:val="clear" w:color="auto" w:fill="auto"/>
        <w:bidi w:val="0"/>
        <w:spacing w:before="0" w:after="140" w:line="318" w:lineRule="exact"/>
        <w:ind w:left="0" w:right="0" w:firstLine="0"/>
        <w:jc w:val="left"/>
      </w:pPr>
      <w:r>
        <w:rPr>
          <w:color w:val="000000"/>
          <w:spacing w:val="0"/>
          <w:w w:val="100"/>
          <w:position w:val="0"/>
        </w:rPr>
        <w:t>公司报告期内盈利且母公司可供股东分配利润为正但未提出现金红利分配预案</w:t>
      </w:r>
    </w:p>
    <w:p>
      <w:pPr>
        <w:pStyle w:val="Style29"/>
        <w:keepNext w:val="0"/>
        <w:keepLines w:val="0"/>
        <w:widowControl w:val="0"/>
        <w:numPr>
          <w:ilvl w:val="0"/>
          <w:numId w:val="9"/>
        </w:numPr>
        <w:shd w:val="clear" w:color="auto" w:fill="auto"/>
        <w:tabs>
          <w:tab w:pos="282" w:val="left"/>
          <w:tab w:pos="733" w:val="left"/>
        </w:tabs>
        <w:bidi w:val="0"/>
        <w:spacing w:before="0" w:after="260" w:line="360" w:lineRule="auto"/>
        <w:ind w:left="0" w:right="0" w:firstLine="0"/>
        <w:jc w:val="left"/>
      </w:pPr>
      <w:bookmarkStart w:id="448" w:name="bookmark448"/>
      <w:bookmarkEnd w:id="448"/>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4"/>
        <w:keepNext/>
        <w:keepLines/>
        <w:widowControl w:val="0"/>
        <w:shd w:val="clear" w:color="auto" w:fill="auto"/>
        <w:bidi w:val="0"/>
        <w:spacing w:before="0" w:after="400" w:line="240" w:lineRule="auto"/>
        <w:ind w:left="0" w:right="0" w:firstLine="0"/>
        <w:jc w:val="left"/>
      </w:pPr>
      <w:bookmarkStart w:id="449" w:name="bookmark449"/>
      <w:bookmarkStart w:id="450" w:name="bookmark450"/>
      <w:bookmarkStart w:id="451" w:name="bookmark451"/>
      <w:r>
        <w:rPr>
          <w:color w:val="000000"/>
          <w:spacing w:val="0"/>
          <w:w w:val="100"/>
          <w:position w:val="0"/>
        </w:rPr>
        <w:t>十三、公司股权激励计划、员工持股计划或其他员工激励措施的实施情况</w:t>
      </w:r>
      <w:bookmarkEnd w:id="449"/>
      <w:bookmarkEnd w:id="450"/>
      <w:bookmarkEnd w:id="451"/>
    </w:p>
    <w:p>
      <w:pPr>
        <w:pStyle w:val="Style29"/>
        <w:keepNext w:val="0"/>
        <w:keepLines w:val="0"/>
        <w:widowControl w:val="0"/>
        <w:numPr>
          <w:ilvl w:val="0"/>
          <w:numId w:val="9"/>
        </w:numPr>
        <w:shd w:val="clear" w:color="auto" w:fill="auto"/>
        <w:tabs>
          <w:tab w:pos="282" w:val="left"/>
          <w:tab w:pos="733" w:val="left"/>
        </w:tabs>
        <w:bidi w:val="0"/>
        <w:spacing w:before="0" w:after="0" w:line="360" w:lineRule="auto"/>
        <w:ind w:left="0" w:right="0" w:firstLine="0"/>
        <w:jc w:val="left"/>
      </w:pPr>
      <w:bookmarkStart w:id="452" w:name="bookmark452"/>
      <w:bookmarkEnd w:id="452"/>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val="0"/>
        <w:keepLines w:val="0"/>
        <w:widowControl w:val="0"/>
        <w:shd w:val="clear" w:color="auto" w:fill="auto"/>
        <w:bidi w:val="0"/>
        <w:spacing w:before="0" w:after="360" w:line="318" w:lineRule="exact"/>
        <w:ind w:left="0" w:right="0" w:firstLine="0"/>
        <w:jc w:val="left"/>
      </w:pPr>
      <w:r>
        <w:rPr>
          <w:color w:val="000000"/>
          <w:spacing w:val="0"/>
          <w:w w:val="100"/>
          <w:position w:val="0"/>
        </w:rPr>
        <w:t>公司报告期无股权激励计划、员工持股计划或其他员工激励措施及其实施情况。</w:t>
      </w:r>
    </w:p>
    <w:p>
      <w:pPr>
        <w:pStyle w:val="Style24"/>
        <w:keepNext/>
        <w:keepLines/>
        <w:widowControl w:val="0"/>
        <w:shd w:val="clear" w:color="auto" w:fill="auto"/>
        <w:bidi w:val="0"/>
        <w:spacing w:before="0" w:after="360" w:line="240" w:lineRule="auto"/>
        <w:ind w:left="0" w:right="0" w:firstLine="0"/>
        <w:jc w:val="left"/>
      </w:pPr>
      <w:bookmarkStart w:id="453" w:name="bookmark453"/>
      <w:bookmarkStart w:id="454" w:name="bookmark454"/>
      <w:bookmarkStart w:id="455" w:name="bookmark455"/>
      <w:r>
        <w:rPr>
          <w:color w:val="000000"/>
          <w:spacing w:val="0"/>
          <w:w w:val="100"/>
          <w:position w:val="0"/>
        </w:rPr>
        <w:t>十四、报告期内的内部控制制度建设及实施情况</w:t>
      </w:r>
      <w:bookmarkEnd w:id="453"/>
      <w:bookmarkEnd w:id="454"/>
      <w:bookmarkEnd w:id="455"/>
    </w:p>
    <w:p>
      <w:pPr>
        <w:pStyle w:val="Style33"/>
        <w:keepNext/>
        <w:keepLines/>
        <w:widowControl w:val="0"/>
        <w:shd w:val="clear" w:color="auto" w:fill="auto"/>
        <w:tabs>
          <w:tab w:pos="358" w:val="left"/>
        </w:tabs>
        <w:bidi w:val="0"/>
        <w:spacing w:before="0" w:after="260" w:line="240" w:lineRule="auto"/>
        <w:ind w:left="0" w:right="0" w:firstLine="0"/>
        <w:jc w:val="left"/>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rPr>
        <w:t>1</w:t>
      </w:r>
      <w:bookmarkEnd w:id="458"/>
      <w:r>
        <w:rPr>
          <w:color w:val="000000"/>
          <w:spacing w:val="0"/>
          <w:w w:val="100"/>
          <w:position w:val="0"/>
        </w:rPr>
        <w:t>、</w:t>
        <w:tab/>
        <w:t>内部控制建设及实施情况</w:t>
      </w:r>
      <w:bookmarkEnd w:id="456"/>
      <w:bookmarkEnd w:id="457"/>
      <w:bookmarkEnd w:id="459"/>
    </w:p>
    <w:p>
      <w:pPr>
        <w:pStyle w:val="Style29"/>
        <w:keepNext w:val="0"/>
        <w:keepLines w:val="0"/>
        <w:widowControl w:val="0"/>
        <w:shd w:val="clear" w:color="auto" w:fill="auto"/>
        <w:bidi w:val="0"/>
        <w:spacing w:before="0" w:after="0" w:line="318" w:lineRule="exact"/>
        <w:ind w:left="0" w:right="0" w:firstLine="380"/>
        <w:jc w:val="both"/>
      </w:pPr>
      <w:r>
        <w:rPr>
          <w:color w:val="000000"/>
          <w:spacing w:val="0"/>
          <w:w w:val="100"/>
          <w:position w:val="0"/>
        </w:rPr>
        <w:t>根据《企业内部控制基本规范》及其配套指引，结合证监会和深交所的相关要求，公司对内部控制体系进行适时的更新 和完善，修订了内部控制相关制度，调整和优化内控管理组织架构，进一步提高了内部控制管理水平和风险防范能力。同时， 针对多项重要业务流程的相关制度作了进一步的规范、修订和发布，有效防范了经营管理中的风险，为公司的资产安全、财 务报告及其相关信息的真实性和公允性提供合理的保证，促进了内部控制目标的实现。报告期内，未发现财务报告及非财务 报告存在重大、重要缺陷的情况。</w:t>
      </w:r>
    </w:p>
    <w:p>
      <w:pPr>
        <w:pStyle w:val="Style29"/>
        <w:keepNext w:val="0"/>
        <w:keepLines w:val="0"/>
        <w:widowControl w:val="0"/>
        <w:shd w:val="clear" w:color="auto" w:fill="auto"/>
        <w:bidi w:val="0"/>
        <w:spacing w:before="0" w:after="360" w:line="318" w:lineRule="exact"/>
        <w:ind w:left="0" w:right="0" w:firstLine="380"/>
        <w:jc w:val="both"/>
      </w:pPr>
      <w:r>
        <w:rPr>
          <w:color w:val="000000"/>
          <w:spacing w:val="0"/>
          <w:w w:val="100"/>
          <w:position w:val="0"/>
        </w:rPr>
        <w:t>公司将结合发展战略和外部经营环境变化，结合公司所在行业发展态势，持续修订、完善各项内部控制管理制度，并保 持内部控制体系持续有效运行。同时，继续推行精细化管控，强化内部控制执行情况的监督检查，持续优化各项业务流程和 内控环境，为公司经济效益、战略目标的实现提供合理保障，促进公司健康和高质量发展。</w:t>
      </w:r>
    </w:p>
    <w:p>
      <w:pPr>
        <w:pStyle w:val="Style33"/>
        <w:keepNext/>
        <w:keepLines/>
        <w:widowControl w:val="0"/>
        <w:shd w:val="clear" w:color="auto" w:fill="auto"/>
        <w:tabs>
          <w:tab w:pos="368" w:val="left"/>
        </w:tabs>
        <w:bidi w:val="0"/>
        <w:spacing w:before="0" w:after="140" w:line="240" w:lineRule="auto"/>
        <w:ind w:left="0" w:right="0" w:firstLine="0"/>
        <w:jc w:val="left"/>
      </w:pPr>
      <w:bookmarkStart w:id="460" w:name="bookmark460"/>
      <w:bookmarkStart w:id="461" w:name="bookmark461"/>
      <w:bookmarkStart w:id="462" w:name="bookmark462"/>
      <w:bookmarkStart w:id="463" w:name="bookmark463"/>
      <w:r>
        <w:rPr>
          <w:rFonts w:ascii="Times New Roman" w:eastAsia="Times New Roman" w:hAnsi="Times New Roman" w:cs="Times New Roman"/>
          <w:color w:val="000000"/>
          <w:spacing w:val="0"/>
          <w:w w:val="100"/>
          <w:position w:val="0"/>
        </w:rPr>
        <w:t>2</w:t>
      </w:r>
      <w:bookmarkEnd w:id="462"/>
      <w:r>
        <w:rPr>
          <w:color w:val="000000"/>
          <w:spacing w:val="0"/>
          <w:w w:val="100"/>
          <w:position w:val="0"/>
        </w:rPr>
        <w:t>、</w:t>
        <w:tab/>
        <w:t>报告期内发现的内部控制重大缺陷的具体情况</w:t>
      </w:r>
      <w:bookmarkEnd w:id="460"/>
      <w:bookmarkEnd w:id="461"/>
      <w:bookmarkEnd w:id="463"/>
      <w:r>
        <w:br w:type="page"/>
      </w:r>
    </w:p>
    <w:p>
      <w:pPr>
        <w:pStyle w:val="Style24"/>
        <w:keepNext/>
        <w:keepLines/>
        <w:widowControl w:val="0"/>
        <w:shd w:val="clear" w:color="auto" w:fill="auto"/>
        <w:bidi w:val="0"/>
        <w:spacing w:before="0" w:line="240" w:lineRule="auto"/>
        <w:ind w:left="0" w:right="0" w:firstLine="0"/>
        <w:jc w:val="left"/>
      </w:pPr>
      <w:bookmarkStart w:id="464" w:name="bookmark464"/>
      <w:bookmarkStart w:id="465" w:name="bookmark465"/>
      <w:bookmarkStart w:id="466" w:name="bookmark466"/>
      <w:r>
        <w:rPr>
          <w:color w:val="000000"/>
          <w:spacing w:val="0"/>
          <w:w w:val="100"/>
          <w:position w:val="0"/>
        </w:rPr>
        <w:t>十五、公司报告期内对子公司的管理控制情况</w:t>
      </w:r>
      <w:bookmarkEnd w:id="464"/>
      <w:bookmarkEnd w:id="465"/>
      <w:bookmarkEnd w:id="466"/>
    </w:p>
    <w:tbl>
      <w:tblPr>
        <w:tblOverlap w:val="never"/>
        <w:jc w:val="center"/>
        <w:tblLayout w:type="fixed"/>
      </w:tblPr>
      <w:tblGrid>
        <w:gridCol w:w="1138"/>
        <w:gridCol w:w="3101"/>
        <w:gridCol w:w="1872"/>
        <w:gridCol w:w="854"/>
        <w:gridCol w:w="850"/>
        <w:gridCol w:w="566"/>
        <w:gridCol w:w="1224"/>
      </w:tblGrid>
      <w:tr>
        <w:trPr>
          <w:trHeight w:val="73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整合计划</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整合进展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整合中遇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到的问题</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已采取的</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解决措施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解决</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进展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后续解决计划</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加数度数字科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公司注册资本</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sz w:val="17"/>
                <w:szCs w:val="17"/>
              </w:rPr>
              <w:t>万元，万达信息持 股</w:t>
            </w:r>
            <w:r>
              <w:rPr>
                <w:rFonts w:ascii="Times New Roman" w:eastAsia="Times New Roman" w:hAnsi="Times New Roman" w:cs="Times New Roman"/>
                <w:color w:val="000000"/>
                <w:spacing w:val="0"/>
                <w:w w:val="100"/>
                <w:position w:val="0"/>
                <w:sz w:val="18"/>
                <w:szCs w:val="18"/>
              </w:rPr>
              <w:t>75%</w:t>
            </w:r>
            <w:r>
              <w:rPr>
                <w:color w:val="000000"/>
                <w:spacing w:val="0"/>
                <w:w w:val="100"/>
                <w:position w:val="0"/>
                <w:sz w:val="17"/>
                <w:szCs w:val="17"/>
              </w:rPr>
              <w:t>。公司定位为市民云运营业务。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rPr>
                <w:sz w:val="17"/>
                <w:szCs w:val="17"/>
              </w:rPr>
            </w:pPr>
            <w:r>
              <w:rPr>
                <w:color w:val="000000"/>
                <w:spacing w:val="0"/>
                <w:w w:val="100"/>
                <w:position w:val="0"/>
                <w:sz w:val="17"/>
                <w:szCs w:val="17"/>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月设 立，人员拟逐步到位， 目前已经开展业务。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健康云（上海） 数字科技有限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公司注册资本</w:t>
            </w:r>
            <w:r>
              <w:rPr>
                <w:rFonts w:ascii="Times New Roman" w:eastAsia="Times New Roman" w:hAnsi="Times New Roman" w:cs="Times New Roman"/>
                <w:color w:val="000000"/>
                <w:spacing w:val="0"/>
                <w:w w:val="100"/>
                <w:position w:val="0"/>
                <w:sz w:val="18"/>
                <w:szCs w:val="18"/>
              </w:rPr>
              <w:t>6668</w:t>
            </w:r>
            <w:r>
              <w:rPr>
                <w:color w:val="000000"/>
                <w:spacing w:val="0"/>
                <w:w w:val="100"/>
                <w:position w:val="0"/>
                <w:sz w:val="17"/>
                <w:szCs w:val="17"/>
              </w:rPr>
              <w:t>万元，万达信息持 股</w:t>
            </w:r>
            <w:r>
              <w:rPr>
                <w:rFonts w:ascii="Times New Roman" w:eastAsia="Times New Roman" w:hAnsi="Times New Roman" w:cs="Times New Roman"/>
                <w:color w:val="000000"/>
                <w:spacing w:val="0"/>
                <w:w w:val="100"/>
                <w:position w:val="0"/>
                <w:sz w:val="18"/>
                <w:szCs w:val="18"/>
              </w:rPr>
              <w:t>75%</w:t>
            </w:r>
            <w:r>
              <w:rPr>
                <w:color w:val="000000"/>
                <w:spacing w:val="0"/>
                <w:w w:val="100"/>
                <w:position w:val="0"/>
                <w:sz w:val="17"/>
                <w:szCs w:val="17"/>
              </w:rPr>
              <w:t>。公司定位为运营健康云业务。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月设 立，人员拟逐步到位， 目前已经开展业务。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河南万达软件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公司注册资本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7"/>
                <w:szCs w:val="17"/>
              </w:rPr>
              <w:t>万元，万达信息持 股</w:t>
            </w: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7"/>
                <w:szCs w:val="17"/>
              </w:rPr>
              <w:t>。因合作方式转变，经股东协商 决定注销该公司。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月公司注销 工商登记完成。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上海药荟商务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公司注册资本</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 xml:space="preserve">万元，万达信息控股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。因业务发展原因注销该公司。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月公司注销 工商登记完成。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上海慈铭智能 网络科技有限 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公司注册资本</w:t>
            </w:r>
            <w:r>
              <w:rPr>
                <w:rFonts w:ascii="Times New Roman" w:eastAsia="Times New Roman" w:hAnsi="Times New Roman" w:cs="Times New Roman"/>
                <w:color w:val="000000"/>
                <w:spacing w:val="0"/>
                <w:w w:val="100"/>
                <w:position w:val="0"/>
                <w:sz w:val="18"/>
                <w:szCs w:val="18"/>
              </w:rPr>
              <w:t>855</w:t>
            </w:r>
            <w:r>
              <w:rPr>
                <w:color w:val="000000"/>
                <w:spacing w:val="0"/>
                <w:w w:val="100"/>
                <w:position w:val="0"/>
                <w:sz w:val="17"/>
                <w:szCs w:val="17"/>
              </w:rPr>
              <w:t>万元，万达信息将所 持</w:t>
            </w:r>
            <w:r>
              <w:rPr>
                <w:rFonts w:ascii="Times New Roman" w:eastAsia="Times New Roman" w:hAnsi="Times New Roman" w:cs="Times New Roman"/>
                <w:color w:val="000000"/>
                <w:spacing w:val="0"/>
                <w:w w:val="100"/>
                <w:position w:val="0"/>
                <w:sz w:val="18"/>
                <w:szCs w:val="18"/>
              </w:rPr>
              <w:t>46.9%</w:t>
            </w:r>
            <w:r>
              <w:rPr>
                <w:color w:val="000000"/>
                <w:spacing w:val="0"/>
                <w:w w:val="100"/>
                <w:position w:val="0"/>
                <w:sz w:val="17"/>
                <w:szCs w:val="17"/>
              </w:rPr>
              <w:t>股权转让给上海逸曦科技中心 （有限合伙）。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日双方 签署股权转让协议。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月完 成股权转让变 更登记。</w:t>
            </w:r>
          </w:p>
        </w:tc>
      </w:tr>
    </w:tbl>
    <w:p>
      <w:pPr>
        <w:widowControl w:val="0"/>
        <w:spacing w:after="319" w:line="1" w:lineRule="exact"/>
      </w:pPr>
    </w:p>
    <w:p>
      <w:pPr>
        <w:pStyle w:val="Style24"/>
        <w:keepNext/>
        <w:keepLines/>
        <w:widowControl w:val="0"/>
        <w:shd w:val="clear" w:color="auto" w:fill="auto"/>
        <w:bidi w:val="0"/>
        <w:spacing w:before="0" w:after="360" w:line="240" w:lineRule="auto"/>
        <w:ind w:left="0" w:right="0" w:firstLine="0"/>
        <w:jc w:val="left"/>
      </w:pPr>
      <w:bookmarkStart w:id="467" w:name="bookmark467"/>
      <w:bookmarkStart w:id="468" w:name="bookmark468"/>
      <w:bookmarkStart w:id="469" w:name="bookmark469"/>
      <w:r>
        <w:rPr>
          <w:color w:val="000000"/>
          <w:spacing w:val="0"/>
          <w:w w:val="100"/>
          <w:position w:val="0"/>
        </w:rPr>
        <w:t>十六、内部控制自我评价报告或内部控制审计报告</w:t>
      </w:r>
      <w:bookmarkEnd w:id="467"/>
      <w:bookmarkEnd w:id="468"/>
      <w:bookmarkEnd w:id="469"/>
    </w:p>
    <w:p>
      <w:pPr>
        <w:pStyle w:val="Style33"/>
        <w:keepNext/>
        <w:keepLines/>
        <w:widowControl w:val="0"/>
        <w:shd w:val="clear" w:color="auto" w:fill="auto"/>
        <w:bidi w:val="0"/>
        <w:spacing w:before="0" w:after="320" w:line="240" w:lineRule="auto"/>
        <w:ind w:left="0" w:right="0" w:firstLine="0"/>
        <w:jc w:val="left"/>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rPr>
        <w:t>1</w:t>
      </w:r>
      <w:bookmarkEnd w:id="472"/>
      <w:r>
        <w:rPr>
          <w:color w:val="000000"/>
          <w:spacing w:val="0"/>
          <w:w w:val="100"/>
          <w:position w:val="0"/>
        </w:rPr>
        <w:t>、内控自我评价报告</w:t>
      </w:r>
      <w:bookmarkEnd w:id="470"/>
      <w:bookmarkEnd w:id="471"/>
      <w:bookmarkEnd w:id="473"/>
    </w:p>
    <w:tbl>
      <w:tblPr>
        <w:tblOverlap w:val="never"/>
        <w:jc w:val="center"/>
        <w:tblLayout w:type="fixed"/>
      </w:tblPr>
      <w:tblGrid>
        <w:gridCol w:w="442"/>
        <w:gridCol w:w="4397"/>
        <w:gridCol w:w="1128"/>
        <w:gridCol w:w="3624"/>
      </w:tblGrid>
      <w:tr>
        <w:trPr>
          <w:trHeight w:val="413" w:hRule="exact"/>
        </w:trPr>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r>
      <w:tr>
        <w:trPr>
          <w:trHeight w:val="398" w:hRule="exact"/>
        </w:trPr>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巨潮资讯网</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www.cninfo.com</w:t>
            </w:r>
            <w:r>
              <w:rPr>
                <w:color w:val="000000"/>
                <w:spacing w:val="0"/>
                <w:w w:val="100"/>
                <w:position w:val="0"/>
                <w:sz w:val="17"/>
                <w:szCs w:val="17"/>
              </w:rPr>
              <w:t>）</w:t>
            </w:r>
          </w:p>
        </w:tc>
      </w:tr>
      <w:tr>
        <w:trPr>
          <w:trHeight w:val="408" w:hRule="exact"/>
        </w:trPr>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纳入评价范围单位资产总额占公司合并财务报表资产总额的比例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纳入评价范围单位营业收入占公司合并财务报表营业收入的比例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缺陷认定标准</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类别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财务报告</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非财务报告</w:t>
            </w:r>
          </w:p>
        </w:tc>
      </w:tr>
      <w:tr>
        <w:trPr>
          <w:trHeight w:val="361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定性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重大缺陷，是指一个或多个控制缺陷的组合，可能导致 企业严重偏离控制目标。具体到财务报告内部控制上， 就是内部控制中存在的、可能导致不能及时防止或发现 并纠正财务报表重大错报的一个或多个控制缺陷的组 合。</w:t>
            </w:r>
          </w:p>
          <w:p>
            <w:pPr>
              <w:pStyle w:val="Style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重要缺陷，是指一个或多个控制缺陷的组合，其严重程 度和经济后果低于重大缺陷，但仍有可能导致企业偏离 控制目标。具体就是内部控制中存在的、其严重程度不 如重大缺陷、但足以引起企业财务报告监督人员关注的 一个或多个控制缺陷的组合。</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一般缺陷，是指除重大缺陷、重要缺陷之外的其他缺陷。</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重大缺陷，是指一个或多个控制缺陷的组合，可能导致企业 严重偏离控制目标。具体到非财务报告内部控制上，就是内 部控制中存在的、可能导致不能及时防止或发现并纠正企业 财务报表以外的经营管理控制目标实现的一个或多个控制缺 陷的组合。</w:t>
            </w:r>
          </w:p>
          <w:p>
            <w:pPr>
              <w:pStyle w:val="Style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重要缺陷，是指一个或多个控制缺陷的组合，其严重程度和 经济后果低于重大缺陷，但仍有可能导致企业偏离控制目标。 具体就是内部控制中存在的、其严重程度不如重大缺陷、但 足以引起企业管理人员、监督人员关注的一个或多个控制缺 陷的组合。</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一般缺陷，是指除重大缺陷、重要缺陷之外的其他缺陷。</w:t>
            </w:r>
          </w:p>
        </w:tc>
      </w:tr>
    </w:tbl>
    <w:p>
      <w:pPr>
        <w:spacing w:lineRule="exact" w:line="1"/>
        <w:rPr>
          <w:sz w:val="2"/>
          <w:szCs w:val="2"/>
        </w:rPr>
      </w:pPr>
      <w:r>
        <w:br w:type="page"/>
      </w:r>
    </w:p>
    <w:tbl>
      <w:tblPr>
        <w:tblOverlap w:val="never"/>
        <w:jc w:val="center"/>
        <w:tblLayout w:type="fixed"/>
      </w:tblPr>
      <w:tblGrid>
        <w:gridCol w:w="442"/>
        <w:gridCol w:w="408"/>
        <w:gridCol w:w="1104"/>
        <w:gridCol w:w="1502"/>
        <w:gridCol w:w="1382"/>
        <w:gridCol w:w="432"/>
        <w:gridCol w:w="1320"/>
        <w:gridCol w:w="1608"/>
        <w:gridCol w:w="1392"/>
      </w:tblGrid>
      <w:tr>
        <w:trPr>
          <w:trHeight w:val="1354"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定量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w:t>
            </w:r>
          </w:p>
        </w:tc>
        <w:tc>
          <w:tcPr>
            <w:gridSpan w:val="4"/>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公司以孰低原则确定财务报告内部控制缺陷的定量标 准，主要依据如下指标：</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公司确定的非财务报告内部控制缺陷的定量标准，在考虑补 偿性控制措施和实际偏差率后，以潜在风险事件可能造成的 直接财产损失金额，按照孰低原则进行定量判断，主要依据 如下指标：</w:t>
            </w:r>
          </w:p>
        </w:tc>
      </w:tr>
      <w:tr>
        <w:trPr>
          <w:trHeight w:val="720"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重要</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程度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一般缺陷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重要缺陷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重大缺陷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重要</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程度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一般缺陷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重要缺陷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重大缺陷</w:t>
            </w:r>
          </w:p>
        </w:tc>
      </w:tr>
      <w:tr>
        <w:trPr>
          <w:trHeight w:val="1646"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资产</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center"/>
              <w:rPr>
                <w:sz w:val="17"/>
                <w:szCs w:val="17"/>
              </w:rPr>
            </w:pPr>
            <w:r>
              <w:rPr>
                <w:color w:val="000000"/>
                <w:spacing w:val="0"/>
                <w:w w:val="100"/>
                <w:position w:val="0"/>
                <w:sz w:val="17"/>
                <w:szCs w:val="17"/>
              </w:rPr>
              <w:t>错报金额〈合 并会计报表资 产总额的</w:t>
            </w:r>
          </w:p>
          <w:p>
            <w:pPr>
              <w:pStyle w:val="Style2"/>
              <w:keepNext w:val="0"/>
              <w:keepLines w:val="0"/>
              <w:widowControl w:val="0"/>
              <w:shd w:val="clear" w:color="auto" w:fill="auto"/>
              <w:bidi w:val="0"/>
              <w:spacing w:before="0" w:after="0" w:line="408" w:lineRule="auto"/>
              <w:ind w:left="0" w:right="0" w:firstLine="0"/>
              <w:jc w:val="center"/>
              <w:rPr>
                <w:sz w:val="16"/>
                <w:szCs w:val="16"/>
              </w:rPr>
            </w:pPr>
            <w:r>
              <w:rPr>
                <w:rFonts w:ascii="Arial" w:eastAsia="Arial" w:hAnsi="Arial" w:cs="Arial"/>
                <w:color w:val="000000"/>
                <w:spacing w:val="0"/>
                <w:w w:val="100"/>
                <w:position w:val="0"/>
                <w:sz w:val="16"/>
                <w:szCs w:val="16"/>
              </w:rPr>
              <w:t>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rPr>
                <w:sz w:val="16"/>
                <w:szCs w:val="16"/>
              </w:rPr>
            </w:pPr>
            <w:r>
              <w:rPr>
                <w:color w:val="000000"/>
                <w:spacing w:val="0"/>
                <w:w w:val="100"/>
                <w:position w:val="0"/>
                <w:sz w:val="17"/>
                <w:szCs w:val="17"/>
              </w:rPr>
              <w:t>合并会计报表资产 总额的</w:t>
            </w:r>
            <w:r>
              <w:rPr>
                <w:rFonts w:ascii="Arial" w:eastAsia="Arial" w:hAnsi="Arial" w:cs="Arial"/>
                <w:color w:val="000000"/>
                <w:spacing w:val="0"/>
                <w:w w:val="100"/>
                <w:position w:val="0"/>
                <w:sz w:val="16"/>
                <w:szCs w:val="16"/>
              </w:rPr>
              <w:t>0.25%W</w:t>
            </w:r>
            <w:r>
              <w:rPr>
                <w:color w:val="000000"/>
                <w:spacing w:val="0"/>
                <w:w w:val="100"/>
                <w:position w:val="0"/>
                <w:sz w:val="17"/>
                <w:szCs w:val="17"/>
              </w:rPr>
              <w:t xml:space="preserve">错 报金额〈合并会计 报表资产总额的 </w:t>
            </w:r>
            <w:r>
              <w:rPr>
                <w:rFonts w:ascii="Arial" w:eastAsia="Arial" w:hAnsi="Arial" w:cs="Arial"/>
                <w:color w:val="000000"/>
                <w:spacing w:val="0"/>
                <w:w w:val="100"/>
                <w:position w:val="0"/>
                <w:sz w:val="16"/>
                <w:szCs w:val="16"/>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合并会计报表资</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7"/>
                <w:szCs w:val="17"/>
              </w:rPr>
              <w:t>产总额的</w:t>
            </w:r>
            <w:r>
              <w:rPr>
                <w:rFonts w:ascii="Arial" w:eastAsia="Arial" w:hAnsi="Arial" w:cs="Arial"/>
                <w:color w:val="000000"/>
                <w:spacing w:val="0"/>
                <w:w w:val="100"/>
                <w:position w:val="0"/>
                <w:sz w:val="16"/>
                <w:szCs w:val="16"/>
              </w:rPr>
              <w:t>0.5%W</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错报金额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资产</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center"/>
              <w:rPr>
                <w:sz w:val="16"/>
                <w:szCs w:val="16"/>
              </w:rPr>
            </w:pPr>
            <w:r>
              <w:rPr>
                <w:color w:val="000000"/>
                <w:spacing w:val="0"/>
                <w:w w:val="100"/>
                <w:position w:val="0"/>
                <w:sz w:val="17"/>
                <w:szCs w:val="17"/>
              </w:rPr>
              <w:t xml:space="preserve">直接财产损失金 额〈合并会计报 表资产总额的 </w:t>
            </w:r>
            <w:r>
              <w:rPr>
                <w:rFonts w:ascii="Arial" w:eastAsia="Arial" w:hAnsi="Arial" w:cs="Arial"/>
                <w:color w:val="000000"/>
                <w:spacing w:val="0"/>
                <w:w w:val="100"/>
                <w:position w:val="0"/>
                <w:sz w:val="16"/>
                <w:szCs w:val="16"/>
              </w:rPr>
              <w:t>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center"/>
              <w:rPr>
                <w:sz w:val="16"/>
                <w:szCs w:val="16"/>
              </w:rPr>
            </w:pPr>
            <w:r>
              <w:rPr>
                <w:color w:val="000000"/>
                <w:spacing w:val="0"/>
                <w:w w:val="100"/>
                <w:position w:val="0"/>
                <w:sz w:val="17"/>
                <w:szCs w:val="17"/>
              </w:rPr>
              <w:t>合并会计报表资产 总额的</w:t>
            </w:r>
            <w:r>
              <w:rPr>
                <w:rFonts w:ascii="Arial" w:eastAsia="Arial" w:hAnsi="Arial" w:cs="Arial"/>
                <w:color w:val="000000"/>
                <w:spacing w:val="0"/>
                <w:w w:val="100"/>
                <w:position w:val="0"/>
                <w:sz w:val="16"/>
                <w:szCs w:val="16"/>
              </w:rPr>
              <w:t>0.25%W</w:t>
            </w:r>
            <w:r>
              <w:rPr>
                <w:color w:val="000000"/>
                <w:spacing w:val="0"/>
                <w:w w:val="100"/>
                <w:position w:val="0"/>
                <w:sz w:val="17"/>
                <w:szCs w:val="17"/>
              </w:rPr>
              <w:t xml:space="preserve">直接 财产损失金额〈合并 会计报表资产总额 的 </w:t>
            </w:r>
            <w:r>
              <w:rPr>
                <w:rFonts w:ascii="Arial" w:eastAsia="Arial" w:hAnsi="Arial" w:cs="Arial"/>
                <w:color w:val="000000"/>
                <w:spacing w:val="0"/>
                <w:w w:val="100"/>
                <w:position w:val="0"/>
                <w:sz w:val="16"/>
                <w:szCs w:val="16"/>
              </w:rPr>
              <w:t xml:space="preserve">0. </w:t>
            </w:r>
            <w:r>
              <w:rPr>
                <w:rFonts w:ascii="Arial" w:eastAsia="Arial" w:hAnsi="Arial" w:cs="Arial"/>
                <w:color w:val="000000"/>
                <w:spacing w:val="0"/>
                <w:w w:val="100"/>
                <w:position w:val="0"/>
                <w:sz w:val="16"/>
                <w:szCs w:val="16"/>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合并会计报表资 产总额的</w:t>
            </w:r>
            <w:r>
              <w:rPr>
                <w:rFonts w:ascii="Arial" w:eastAsia="Arial" w:hAnsi="Arial" w:cs="Arial"/>
                <w:color w:val="000000"/>
                <w:spacing w:val="0"/>
                <w:w w:val="100"/>
                <w:position w:val="0"/>
                <w:sz w:val="16"/>
                <w:szCs w:val="16"/>
              </w:rPr>
              <w:t xml:space="preserve">0.5%W </w:t>
            </w:r>
            <w:r>
              <w:rPr>
                <w:color w:val="000000"/>
                <w:spacing w:val="0"/>
                <w:w w:val="100"/>
                <w:position w:val="0"/>
                <w:sz w:val="17"/>
                <w:szCs w:val="17"/>
              </w:rPr>
              <w:t>直接财产损失金 额</w:t>
            </w:r>
          </w:p>
        </w:tc>
      </w:tr>
      <w:tr>
        <w:trPr>
          <w:trHeight w:val="1354"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营业</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center"/>
              <w:rPr>
                <w:sz w:val="16"/>
                <w:szCs w:val="16"/>
              </w:rPr>
            </w:pPr>
            <w:r>
              <w:rPr>
                <w:color w:val="000000"/>
                <w:spacing w:val="0"/>
                <w:w w:val="100"/>
                <w:position w:val="0"/>
                <w:sz w:val="17"/>
                <w:szCs w:val="17"/>
              </w:rPr>
              <w:t xml:space="preserve">错报金额〈合 并会计报表营 业收入的 </w:t>
            </w:r>
            <w:r>
              <w:rPr>
                <w:rFonts w:ascii="Arial" w:eastAsia="Arial" w:hAnsi="Arial" w:cs="Arial"/>
                <w:color w:val="000000"/>
                <w:spacing w:val="0"/>
                <w:w w:val="100"/>
                <w:position w:val="0"/>
                <w:sz w:val="16"/>
                <w:szCs w:val="16"/>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rPr>
                <w:sz w:val="16"/>
                <w:szCs w:val="16"/>
              </w:rPr>
            </w:pPr>
            <w:r>
              <w:rPr>
                <w:color w:val="000000"/>
                <w:spacing w:val="0"/>
                <w:w w:val="100"/>
                <w:position w:val="0"/>
                <w:sz w:val="17"/>
                <w:szCs w:val="17"/>
              </w:rPr>
              <w:t>合并会计报表营业 收入的</w:t>
            </w:r>
            <w:r>
              <w:rPr>
                <w:rFonts w:ascii="Arial" w:eastAsia="Arial" w:hAnsi="Arial" w:cs="Arial"/>
                <w:color w:val="000000"/>
                <w:spacing w:val="0"/>
                <w:w w:val="100"/>
                <w:position w:val="0"/>
                <w:sz w:val="16"/>
                <w:szCs w:val="16"/>
              </w:rPr>
              <w:t>0.5%</w:t>
            </w:r>
            <w:r>
              <w:rPr>
                <w:rFonts w:ascii="Arial" w:eastAsia="Arial" w:hAnsi="Arial" w:cs="Arial"/>
                <w:color w:val="000000"/>
                <w:spacing w:val="0"/>
                <w:w w:val="100"/>
                <w:position w:val="0"/>
                <w:sz w:val="16"/>
                <w:szCs w:val="16"/>
              </w:rPr>
              <w:t>W</w:t>
            </w:r>
            <w:r>
              <w:rPr>
                <w:color w:val="000000"/>
                <w:spacing w:val="0"/>
                <w:w w:val="100"/>
                <w:position w:val="0"/>
                <w:sz w:val="17"/>
                <w:szCs w:val="17"/>
              </w:rPr>
              <w:t>错报 金额〈合并会计报 表营业收入的</w:t>
            </w:r>
            <w:r>
              <w:rPr>
                <w:rFonts w:ascii="Arial" w:eastAsia="Arial" w:hAnsi="Arial" w:cs="Arial"/>
                <w:color w:val="000000"/>
                <w:spacing w:val="0"/>
                <w:w w:val="100"/>
                <w:position w:val="0"/>
                <w:sz w:val="16"/>
                <w:szCs w:val="16"/>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center"/>
              <w:rPr>
                <w:sz w:val="17"/>
                <w:szCs w:val="17"/>
              </w:rPr>
            </w:pPr>
            <w:r>
              <w:rPr>
                <w:color w:val="000000"/>
                <w:spacing w:val="0"/>
                <w:w w:val="100"/>
                <w:position w:val="0"/>
                <w:sz w:val="17"/>
                <w:szCs w:val="17"/>
              </w:rPr>
              <w:t>合并会计报表营</w:t>
            </w:r>
          </w:p>
          <w:p>
            <w:pPr>
              <w:pStyle w:val="Style2"/>
              <w:keepNext w:val="0"/>
              <w:keepLines w:val="0"/>
              <w:widowControl w:val="0"/>
              <w:shd w:val="clear" w:color="auto" w:fill="auto"/>
              <w:bidi w:val="0"/>
              <w:spacing w:before="0" w:after="180" w:line="240" w:lineRule="auto"/>
              <w:ind w:left="0" w:right="0" w:firstLine="0"/>
              <w:jc w:val="center"/>
              <w:rPr>
                <w:sz w:val="17"/>
                <w:szCs w:val="17"/>
              </w:rPr>
            </w:pPr>
            <w:r>
              <w:rPr>
                <w:color w:val="000000"/>
                <w:spacing w:val="0"/>
                <w:w w:val="100"/>
                <w:position w:val="0"/>
                <w:sz w:val="17"/>
                <w:szCs w:val="17"/>
              </w:rPr>
              <w:t>业收入的</w:t>
            </w:r>
            <w:r>
              <w:rPr>
                <w:rFonts w:ascii="Arial" w:eastAsia="Arial" w:hAnsi="Arial" w:cs="Arial"/>
                <w:color w:val="000000"/>
                <w:spacing w:val="0"/>
                <w:w w:val="100"/>
                <w:position w:val="0"/>
                <w:sz w:val="16"/>
                <w:szCs w:val="16"/>
              </w:rPr>
              <w:t>1%W</w:t>
            </w:r>
            <w:r>
              <w:rPr>
                <w:color w:val="000000"/>
                <w:spacing w:val="0"/>
                <w:w w:val="100"/>
                <w:position w:val="0"/>
                <w:sz w:val="17"/>
                <w:szCs w:val="17"/>
              </w:rPr>
              <w:t>错</w:t>
            </w:r>
          </w:p>
          <w:p>
            <w:pPr>
              <w:pStyle w:val="Style2"/>
              <w:keepNext w:val="0"/>
              <w:keepLines w:val="0"/>
              <w:widowControl w:val="0"/>
              <w:shd w:val="clear" w:color="auto" w:fill="auto"/>
              <w:bidi w:val="0"/>
              <w:spacing w:before="0" w:after="180" w:line="240" w:lineRule="auto"/>
              <w:ind w:left="0" w:right="0" w:firstLine="0"/>
              <w:jc w:val="center"/>
              <w:rPr>
                <w:sz w:val="17"/>
                <w:szCs w:val="17"/>
              </w:rPr>
            </w:pPr>
            <w:r>
              <w:rPr>
                <w:color w:val="000000"/>
                <w:spacing w:val="0"/>
                <w:w w:val="100"/>
                <w:position w:val="0"/>
                <w:sz w:val="17"/>
                <w:szCs w:val="17"/>
              </w:rPr>
              <w:t>报金额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营业</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收入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0" w:lineRule="exact"/>
              <w:ind w:left="0" w:right="0" w:firstLine="0"/>
              <w:jc w:val="center"/>
              <w:rPr>
                <w:sz w:val="17"/>
                <w:szCs w:val="17"/>
              </w:rPr>
            </w:pPr>
            <w:r>
              <w:rPr>
                <w:color w:val="000000"/>
                <w:spacing w:val="0"/>
                <w:w w:val="100"/>
                <w:position w:val="0"/>
                <w:sz w:val="17"/>
                <w:szCs w:val="17"/>
              </w:rPr>
              <w:t>直接财产损失金 额〈合并会计报 表营业收入的</w:t>
            </w:r>
          </w:p>
          <w:p>
            <w:pPr>
              <w:pStyle w:val="Style2"/>
              <w:keepNext w:val="0"/>
              <w:keepLines w:val="0"/>
              <w:widowControl w:val="0"/>
              <w:shd w:val="clear" w:color="auto" w:fill="auto"/>
              <w:bidi w:val="0"/>
              <w:spacing w:before="0" w:after="0" w:line="403" w:lineRule="auto"/>
              <w:ind w:left="0" w:right="0" w:firstLine="0"/>
              <w:jc w:val="center"/>
              <w:rPr>
                <w:sz w:val="16"/>
                <w:szCs w:val="16"/>
              </w:rPr>
            </w:pPr>
            <w:r>
              <w:rPr>
                <w:rFonts w:ascii="Arial" w:eastAsia="Arial" w:hAnsi="Arial" w:cs="Arial"/>
                <w:color w:val="000000"/>
                <w:spacing w:val="0"/>
                <w:w w:val="100"/>
                <w:position w:val="0"/>
                <w:sz w:val="16"/>
                <w:szCs w:val="16"/>
              </w:rPr>
              <w:t>0.5%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16"/>
                <w:szCs w:val="16"/>
              </w:rPr>
            </w:pPr>
            <w:r>
              <w:rPr>
                <w:color w:val="000000"/>
                <w:spacing w:val="0"/>
                <w:w w:val="100"/>
                <w:position w:val="0"/>
                <w:sz w:val="17"/>
                <w:szCs w:val="17"/>
              </w:rPr>
              <w:t>合并会计报表营业 收入的</w:t>
            </w:r>
            <w:r>
              <w:rPr>
                <w:rFonts w:ascii="Arial" w:eastAsia="Arial" w:hAnsi="Arial" w:cs="Arial"/>
                <w:color w:val="000000"/>
                <w:spacing w:val="0"/>
                <w:w w:val="100"/>
                <w:position w:val="0"/>
                <w:sz w:val="16"/>
                <w:szCs w:val="16"/>
              </w:rPr>
              <w:t>0. 5%W</w:t>
            </w:r>
            <w:r>
              <w:rPr>
                <w:color w:val="000000"/>
                <w:spacing w:val="0"/>
                <w:w w:val="100"/>
                <w:position w:val="0"/>
                <w:sz w:val="17"/>
                <w:szCs w:val="17"/>
              </w:rPr>
              <w:t>直接 财产损失金额〈合并 会计报表营业收入 的</w:t>
            </w:r>
            <w:r>
              <w:rPr>
                <w:rFonts w:ascii="Arial" w:eastAsia="Arial" w:hAnsi="Arial" w:cs="Arial"/>
                <w:color w:val="000000"/>
                <w:spacing w:val="0"/>
                <w:w w:val="100"/>
                <w:position w:val="0"/>
                <w:sz w:val="16"/>
                <w:szCs w:val="16"/>
              </w:rPr>
              <w:t>1%</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center"/>
              <w:rPr>
                <w:sz w:val="17"/>
                <w:szCs w:val="17"/>
              </w:rPr>
            </w:pPr>
            <w:r>
              <w:rPr>
                <w:color w:val="000000"/>
                <w:spacing w:val="0"/>
                <w:w w:val="100"/>
                <w:position w:val="0"/>
                <w:sz w:val="17"/>
                <w:szCs w:val="17"/>
              </w:rPr>
              <w:t>合并会计报表营</w:t>
            </w:r>
          </w:p>
          <w:p>
            <w:pPr>
              <w:pStyle w:val="Style2"/>
              <w:keepNext w:val="0"/>
              <w:keepLines w:val="0"/>
              <w:widowControl w:val="0"/>
              <w:shd w:val="clear" w:color="auto" w:fill="auto"/>
              <w:bidi w:val="0"/>
              <w:spacing w:before="0" w:after="180" w:line="240" w:lineRule="auto"/>
              <w:ind w:left="0" w:right="0" w:firstLine="0"/>
              <w:jc w:val="center"/>
              <w:rPr>
                <w:sz w:val="17"/>
                <w:szCs w:val="17"/>
              </w:rPr>
            </w:pPr>
            <w:r>
              <w:rPr>
                <w:color w:val="000000"/>
                <w:spacing w:val="0"/>
                <w:w w:val="100"/>
                <w:position w:val="0"/>
                <w:sz w:val="17"/>
                <w:szCs w:val="17"/>
              </w:rPr>
              <w:t>业收入的</w:t>
            </w:r>
            <w:r>
              <w:rPr>
                <w:rFonts w:ascii="Arial" w:eastAsia="Arial" w:hAnsi="Arial" w:cs="Arial"/>
                <w:color w:val="000000"/>
                <w:spacing w:val="0"/>
                <w:w w:val="100"/>
                <w:position w:val="0"/>
                <w:sz w:val="16"/>
                <w:szCs w:val="16"/>
              </w:rPr>
              <w:t>1%W</w:t>
            </w:r>
            <w:r>
              <w:rPr>
                <w:color w:val="000000"/>
                <w:spacing w:val="0"/>
                <w:w w:val="100"/>
                <w:position w:val="0"/>
                <w:sz w:val="17"/>
                <w:szCs w:val="17"/>
              </w:rPr>
              <w:t>直</w:t>
            </w:r>
          </w:p>
          <w:p>
            <w:pPr>
              <w:pStyle w:val="Style2"/>
              <w:keepNext w:val="0"/>
              <w:keepLines w:val="0"/>
              <w:widowControl w:val="0"/>
              <w:shd w:val="clear" w:color="auto" w:fill="auto"/>
              <w:bidi w:val="0"/>
              <w:spacing w:before="0" w:after="180" w:line="240" w:lineRule="auto"/>
              <w:ind w:left="0" w:right="0" w:firstLine="0"/>
              <w:jc w:val="center"/>
              <w:rPr>
                <w:sz w:val="17"/>
                <w:szCs w:val="17"/>
              </w:rPr>
            </w:pPr>
            <w:r>
              <w:rPr>
                <w:color w:val="000000"/>
                <w:spacing w:val="0"/>
                <w:w w:val="100"/>
                <w:position w:val="0"/>
                <w:sz w:val="17"/>
                <w:szCs w:val="17"/>
              </w:rPr>
              <w:t>接财产损失金额</w:t>
            </w:r>
          </w:p>
        </w:tc>
      </w:tr>
      <w:tr>
        <w:trPr>
          <w:trHeight w:val="288"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利润</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总额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center"/>
              <w:rPr>
                <w:sz w:val="16"/>
                <w:szCs w:val="16"/>
              </w:rPr>
            </w:pPr>
            <w:r>
              <w:rPr>
                <w:color w:val="000000"/>
                <w:spacing w:val="0"/>
                <w:w w:val="100"/>
                <w:position w:val="0"/>
                <w:sz w:val="17"/>
                <w:szCs w:val="17"/>
              </w:rPr>
              <w:t xml:space="preserve">错报金额〈合 并会计报表利 润总额的 </w:t>
            </w:r>
            <w:r>
              <w:rPr>
                <w:rFonts w:ascii="Arial" w:eastAsia="Arial" w:hAnsi="Arial" w:cs="Arial"/>
                <w:color w:val="000000"/>
                <w:spacing w:val="0"/>
                <w:w w:val="100"/>
                <w:position w:val="0"/>
                <w:sz w:val="16"/>
                <w:szCs w:val="16"/>
              </w:rPr>
              <w:t>2.5%</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79" w:lineRule="exact"/>
              <w:ind w:left="0" w:right="0" w:firstLine="0"/>
              <w:jc w:val="center"/>
              <w:rPr>
                <w:sz w:val="16"/>
                <w:szCs w:val="16"/>
              </w:rPr>
            </w:pPr>
            <w:r>
              <w:rPr>
                <w:color w:val="000000"/>
                <w:spacing w:val="0"/>
                <w:w w:val="100"/>
                <w:position w:val="0"/>
                <w:sz w:val="17"/>
                <w:szCs w:val="17"/>
              </w:rPr>
              <w:t>合并会计报表利润 总额的</w:t>
            </w:r>
            <w:r>
              <w:rPr>
                <w:rFonts w:ascii="Arial" w:eastAsia="Arial" w:hAnsi="Arial" w:cs="Arial"/>
                <w:color w:val="000000"/>
                <w:spacing w:val="0"/>
                <w:w w:val="100"/>
                <w:position w:val="0"/>
                <w:sz w:val="16"/>
                <w:szCs w:val="16"/>
              </w:rPr>
              <w:t>2.5%W</w:t>
            </w:r>
            <w:r>
              <w:rPr>
                <w:color w:val="000000"/>
                <w:spacing w:val="0"/>
                <w:w w:val="100"/>
                <w:position w:val="0"/>
                <w:sz w:val="17"/>
                <w:szCs w:val="17"/>
              </w:rPr>
              <w:t>错报 金额〈合并会计报 表利润总额的</w:t>
            </w:r>
            <w:r>
              <w:rPr>
                <w:rFonts w:ascii="Arial" w:eastAsia="Arial" w:hAnsi="Arial" w:cs="Arial"/>
                <w:color w:val="000000"/>
                <w:spacing w:val="0"/>
                <w:w w:val="100"/>
                <w:position w:val="0"/>
                <w:sz w:val="16"/>
                <w:szCs w:val="16"/>
              </w:rPr>
              <w:t>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center"/>
              <w:rPr>
                <w:sz w:val="17"/>
                <w:szCs w:val="17"/>
              </w:rPr>
            </w:pPr>
            <w:r>
              <w:rPr>
                <w:color w:val="000000"/>
                <w:spacing w:val="0"/>
                <w:w w:val="100"/>
                <w:position w:val="0"/>
                <w:sz w:val="17"/>
                <w:szCs w:val="17"/>
              </w:rPr>
              <w:t>合并会计报表利</w:t>
            </w:r>
          </w:p>
          <w:p>
            <w:pPr>
              <w:pStyle w:val="Style2"/>
              <w:keepNext w:val="0"/>
              <w:keepLines w:val="0"/>
              <w:widowControl w:val="0"/>
              <w:shd w:val="clear" w:color="auto" w:fill="auto"/>
              <w:bidi w:val="0"/>
              <w:spacing w:before="0" w:after="180" w:line="240" w:lineRule="auto"/>
              <w:ind w:left="0" w:right="0" w:firstLine="0"/>
              <w:jc w:val="center"/>
              <w:rPr>
                <w:sz w:val="17"/>
                <w:szCs w:val="17"/>
              </w:rPr>
            </w:pPr>
            <w:r>
              <w:rPr>
                <w:color w:val="000000"/>
                <w:spacing w:val="0"/>
                <w:w w:val="100"/>
                <w:position w:val="0"/>
                <w:sz w:val="17"/>
                <w:szCs w:val="17"/>
              </w:rPr>
              <w:t>润总额的</w:t>
            </w:r>
            <w:r>
              <w:rPr>
                <w:rFonts w:ascii="Arial" w:eastAsia="Arial" w:hAnsi="Arial" w:cs="Arial"/>
                <w:color w:val="000000"/>
                <w:spacing w:val="0"/>
                <w:w w:val="100"/>
                <w:position w:val="0"/>
                <w:sz w:val="16"/>
                <w:szCs w:val="16"/>
              </w:rPr>
              <w:t>5%W</w:t>
            </w:r>
            <w:r>
              <w:rPr>
                <w:color w:val="000000"/>
                <w:spacing w:val="0"/>
                <w:w w:val="100"/>
                <w:position w:val="0"/>
                <w:sz w:val="17"/>
                <w:szCs w:val="17"/>
              </w:rPr>
              <w:t>错</w:t>
            </w:r>
          </w:p>
          <w:p>
            <w:pPr>
              <w:pStyle w:val="Style2"/>
              <w:keepNext w:val="0"/>
              <w:keepLines w:val="0"/>
              <w:widowControl w:val="0"/>
              <w:shd w:val="clear" w:color="auto" w:fill="auto"/>
              <w:bidi w:val="0"/>
              <w:spacing w:before="0" w:after="180" w:line="240" w:lineRule="auto"/>
              <w:ind w:left="0" w:right="0" w:firstLine="0"/>
              <w:jc w:val="center"/>
              <w:rPr>
                <w:sz w:val="17"/>
                <w:szCs w:val="17"/>
              </w:rPr>
            </w:pPr>
            <w:r>
              <w:rPr>
                <w:color w:val="000000"/>
                <w:spacing w:val="0"/>
                <w:w w:val="100"/>
                <w:position w:val="0"/>
                <w:sz w:val="17"/>
                <w:szCs w:val="17"/>
              </w:rPr>
              <w:t>报金额</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320" w:hRule="exact"/>
        </w:trPr>
        <w:tc>
          <w:tcPr>
            <w:vMerge/>
            <w:tcBorders>
              <w:left w:val="single" w:sz="4"/>
            </w:tcBorders>
            <w:shd w:val="clear" w:color="auto" w:fill="D4D4D4"/>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利润</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总额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center"/>
              <w:rPr>
                <w:sz w:val="16"/>
                <w:szCs w:val="16"/>
              </w:rPr>
            </w:pPr>
            <w:r>
              <w:rPr>
                <w:color w:val="000000"/>
                <w:spacing w:val="0"/>
                <w:w w:val="100"/>
                <w:position w:val="0"/>
                <w:sz w:val="17"/>
                <w:szCs w:val="17"/>
              </w:rPr>
              <w:t xml:space="preserve">直接财产损失金 额〈合并会计报 表利润总额的 </w:t>
            </w:r>
            <w:r>
              <w:rPr>
                <w:rFonts w:ascii="Arial" w:eastAsia="Arial" w:hAnsi="Arial" w:cs="Arial"/>
                <w:color w:val="000000"/>
                <w:spacing w:val="0"/>
                <w:w w:val="100"/>
                <w:position w:val="0"/>
                <w:sz w:val="16"/>
                <w:szCs w:val="16"/>
              </w:rPr>
              <w:t>2.5%</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77" w:lineRule="exact"/>
              <w:ind w:left="0" w:right="0" w:firstLine="0"/>
              <w:jc w:val="center"/>
              <w:rPr>
                <w:sz w:val="16"/>
                <w:szCs w:val="16"/>
              </w:rPr>
            </w:pPr>
            <w:r>
              <w:rPr>
                <w:color w:val="000000"/>
                <w:spacing w:val="0"/>
                <w:w w:val="100"/>
                <w:position w:val="0"/>
                <w:sz w:val="17"/>
                <w:szCs w:val="17"/>
              </w:rPr>
              <w:t>合并会计报表利润 总额的</w:t>
            </w:r>
            <w:r>
              <w:rPr>
                <w:rFonts w:ascii="Arial" w:eastAsia="Arial" w:hAnsi="Arial" w:cs="Arial"/>
                <w:color w:val="000000"/>
                <w:spacing w:val="0"/>
                <w:w w:val="100"/>
                <w:position w:val="0"/>
                <w:sz w:val="16"/>
                <w:szCs w:val="16"/>
              </w:rPr>
              <w:t>2.5%W</w:t>
            </w:r>
            <w:r>
              <w:rPr>
                <w:color w:val="000000"/>
                <w:spacing w:val="0"/>
                <w:w w:val="100"/>
                <w:position w:val="0"/>
                <w:sz w:val="17"/>
                <w:szCs w:val="17"/>
              </w:rPr>
              <w:t>直接 财产损失金额〈合并 会计报表利润总额 的</w:t>
            </w:r>
            <w:r>
              <w:rPr>
                <w:rFonts w:ascii="Arial" w:eastAsia="Arial" w:hAnsi="Arial" w:cs="Arial"/>
                <w:color w:val="000000"/>
                <w:spacing w:val="0"/>
                <w:w w:val="100"/>
                <w:position w:val="0"/>
                <w:sz w:val="16"/>
                <w:szCs w:val="16"/>
              </w:rPr>
              <w:t>5%</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84" w:lineRule="exact"/>
              <w:ind w:left="0" w:right="0" w:firstLine="0"/>
              <w:jc w:val="both"/>
              <w:rPr>
                <w:sz w:val="17"/>
                <w:szCs w:val="17"/>
              </w:rPr>
            </w:pPr>
            <w:r>
              <w:rPr>
                <w:color w:val="000000"/>
                <w:spacing w:val="0"/>
                <w:w w:val="100"/>
                <w:position w:val="0"/>
                <w:sz w:val="17"/>
                <w:szCs w:val="17"/>
              </w:rPr>
              <w:t>合并会计报表利 润总额的</w:t>
            </w:r>
            <w:r>
              <w:rPr>
                <w:rFonts w:ascii="Arial" w:eastAsia="Arial" w:hAnsi="Arial" w:cs="Arial"/>
                <w:color w:val="000000"/>
                <w:spacing w:val="0"/>
                <w:w w:val="100"/>
                <w:position w:val="0"/>
                <w:sz w:val="16"/>
                <w:szCs w:val="16"/>
              </w:rPr>
              <w:t>5%W</w:t>
            </w:r>
            <w:r>
              <w:rPr>
                <w:color w:val="000000"/>
                <w:spacing w:val="0"/>
                <w:w w:val="100"/>
                <w:position w:val="0"/>
                <w:sz w:val="17"/>
                <w:szCs w:val="17"/>
              </w:rPr>
              <w:t>直 接财产损失金额</w:t>
            </w:r>
          </w:p>
        </w:tc>
      </w:tr>
      <w:tr>
        <w:trPr>
          <w:trHeight w:val="672" w:hRule="exact"/>
        </w:trPr>
        <w:tc>
          <w:tcPr>
            <w:vMerge/>
            <w:tcBorders>
              <w:left w:val="single" w:sz="4"/>
            </w:tcBorders>
            <w:shd w:val="clear" w:color="auto" w:fill="D4D4D4"/>
            <w:vAlign w:val="center"/>
          </w:tcPr>
          <w:p>
            <w:pPr/>
          </w:p>
        </w:tc>
        <w:tc>
          <w:tcPr>
            <w:gridSpan w:val="4"/>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398" w:hRule="exact"/>
        </w:trPr>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财务报告重大缺陷数量（个）</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非财务报告重大缺陷数量（个）</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94" w:hRule="exact"/>
        </w:trPr>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财务报告重要缺陷数量（个）</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22" w:hRule="exact"/>
        </w:trPr>
        <w:tc>
          <w:tcPr>
            <w:gridSpan w:val="5"/>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非财务报告重要缺陷数量（个）</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474" w:name="bookmark474"/>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2</w:t>
      </w:r>
      <w:bookmarkEnd w:id="476"/>
      <w:r>
        <w:rPr>
          <w:color w:val="000000"/>
          <w:spacing w:val="0"/>
          <w:w w:val="100"/>
          <w:position w:val="0"/>
        </w:rPr>
        <w:t>、内部控制审计报告或鉴证报告</w:t>
      </w:r>
      <w:bookmarkEnd w:id="474"/>
      <w:bookmarkEnd w:id="475"/>
      <w:bookmarkEnd w:id="477"/>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478" w:name="bookmark478"/>
      <w:bookmarkStart w:id="479" w:name="bookmark479"/>
      <w:bookmarkStart w:id="480" w:name="bookmark480"/>
      <w:r>
        <w:rPr>
          <w:color w:val="000000"/>
          <w:spacing w:val="0"/>
          <w:w w:val="100"/>
          <w:position w:val="0"/>
        </w:rPr>
        <w:t>十七、上市公司治理专项行动自查问题整改情况</w:t>
      </w:r>
      <w:bookmarkEnd w:id="478"/>
      <w:bookmarkEnd w:id="479"/>
      <w:bookmarkEnd w:id="480"/>
    </w:p>
    <w:p>
      <w:pPr>
        <w:pStyle w:val="Style29"/>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71" w:right="1066" w:bottom="1429" w:left="1062" w:header="0" w:footer="3" w:gutter="0"/>
          <w:cols w:space="720"/>
          <w:noEndnote/>
          <w:rtlGutter w:val="0"/>
          <w:docGrid w:linePitch="360"/>
        </w:sectPr>
      </w:pPr>
      <w:r>
        <w:rPr>
          <w:color w:val="000000"/>
          <w:spacing w:val="0"/>
          <w:w w:val="100"/>
          <w:position w:val="0"/>
        </w:rPr>
        <w:t>不适用</w:t>
      </w:r>
    </w:p>
    <w:p>
      <w:pPr>
        <w:pStyle w:val="Style9"/>
        <w:keepNext/>
        <w:keepLines/>
        <w:widowControl w:val="0"/>
        <w:shd w:val="clear" w:color="auto" w:fill="auto"/>
        <w:bidi w:val="0"/>
        <w:spacing w:before="580" w:after="540" w:line="240" w:lineRule="auto"/>
        <w:ind w:left="0" w:right="0" w:firstLine="0"/>
        <w:jc w:val="center"/>
      </w:pPr>
      <w:bookmarkStart w:id="481" w:name="bookmark481"/>
      <w:bookmarkStart w:id="482" w:name="bookmark482"/>
      <w:bookmarkStart w:id="483" w:name="bookmark483"/>
      <w:r>
        <w:rPr>
          <w:color w:val="000000"/>
          <w:spacing w:val="0"/>
          <w:w w:val="100"/>
          <w:position w:val="0"/>
        </w:rPr>
        <w:t>第五节环境和社会责任</w:t>
      </w:r>
      <w:bookmarkEnd w:id="481"/>
      <w:bookmarkEnd w:id="482"/>
      <w:bookmarkEnd w:id="483"/>
    </w:p>
    <w:p>
      <w:pPr>
        <w:pStyle w:val="Style24"/>
        <w:keepNext/>
        <w:keepLines/>
        <w:widowControl w:val="0"/>
        <w:shd w:val="clear" w:color="auto" w:fill="auto"/>
        <w:bidi w:val="0"/>
        <w:spacing w:before="0" w:after="400" w:line="240" w:lineRule="auto"/>
        <w:ind w:left="0" w:right="0" w:firstLine="260"/>
        <w:jc w:val="left"/>
      </w:pPr>
      <w:bookmarkStart w:id="484" w:name="bookmark484"/>
      <w:bookmarkStart w:id="485" w:name="bookmark485"/>
      <w:bookmarkStart w:id="486" w:name="bookmark486"/>
      <w:bookmarkStart w:id="487" w:name="bookmark487"/>
      <w:r>
        <w:rPr>
          <w:color w:val="000000"/>
          <w:spacing w:val="0"/>
          <w:w w:val="100"/>
          <w:position w:val="0"/>
        </w:rPr>
        <w:t>、重大环保问题</w:t>
      </w:r>
      <w:bookmarkEnd w:id="485"/>
      <w:bookmarkEnd w:id="486"/>
      <w:bookmarkEnd w:id="487"/>
      <w:bookmarkEnd w:id="484"/>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上市公司及其子公司是否属于环境保护部门公布的重点排污单位</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13"/>
        <w:gridCol w:w="1589"/>
        <w:gridCol w:w="1354"/>
        <w:gridCol w:w="1272"/>
        <w:gridCol w:w="2270"/>
        <w:gridCol w:w="1493"/>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公司或子公司名称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处罚原因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违规情形</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处罚结果</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对上市公司生产经营的影响</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公司的整改措施</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r>
    </w:tbl>
    <w:p>
      <w:pPr>
        <w:pStyle w:val="Style29"/>
        <w:keepNext w:val="0"/>
        <w:keepLines w:val="0"/>
        <w:widowControl w:val="0"/>
        <w:shd w:val="clear" w:color="auto" w:fill="auto"/>
        <w:bidi w:val="0"/>
        <w:spacing w:before="0" w:after="0" w:line="320" w:lineRule="exact"/>
        <w:ind w:left="0" w:right="0" w:firstLine="0"/>
        <w:jc w:val="left"/>
      </w:pPr>
      <w:r>
        <w:rPr>
          <w:color w:val="000000"/>
          <w:spacing w:val="0"/>
          <w:w w:val="100"/>
          <w:position w:val="0"/>
        </w:rPr>
        <w:t>参照重点排污单位披露的其他环境信息</w:t>
      </w:r>
    </w:p>
    <w:p>
      <w:pPr>
        <w:pStyle w:val="Style29"/>
        <w:keepNext w:val="0"/>
        <w:keepLines w:val="0"/>
        <w:widowControl w:val="0"/>
        <w:shd w:val="clear" w:color="auto" w:fill="auto"/>
        <w:bidi w:val="0"/>
        <w:spacing w:before="0" w:after="0" w:line="320" w:lineRule="exact"/>
        <w:ind w:left="0" w:right="0" w:firstLine="0"/>
        <w:jc w:val="left"/>
      </w:pPr>
      <w:r>
        <w:rPr>
          <w:color w:val="000000"/>
          <w:spacing w:val="0"/>
          <w:w w:val="100"/>
          <w:position w:val="0"/>
        </w:rPr>
        <w:t>不适用</w:t>
      </w:r>
    </w:p>
    <w:p>
      <w:pPr>
        <w:pStyle w:val="Style29"/>
        <w:keepNext w:val="0"/>
        <w:keepLines w:val="0"/>
        <w:widowControl w:val="0"/>
        <w:shd w:val="clear" w:color="auto" w:fill="auto"/>
        <w:bidi w:val="0"/>
        <w:spacing w:before="0" w:after="0" w:line="320" w:lineRule="exact"/>
        <w:ind w:left="0" w:right="0" w:firstLine="0"/>
        <w:jc w:val="left"/>
      </w:pPr>
      <w:r>
        <w:rPr>
          <w:color w:val="000000"/>
          <w:spacing w:val="0"/>
          <w:w w:val="100"/>
          <w:position w:val="0"/>
        </w:rPr>
        <w:t>在报告期内为减少其碳排放所采取的措施及效果</w:t>
      </w:r>
    </w:p>
    <w:p>
      <w:pPr>
        <w:pStyle w:val="Style29"/>
        <w:keepNext w:val="0"/>
        <w:keepLines w:val="0"/>
        <w:widowControl w:val="0"/>
        <w:shd w:val="clear" w:color="auto" w:fill="auto"/>
        <w:bidi w:val="0"/>
        <w:spacing w:before="0" w:after="0" w:line="320"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20" w:lineRule="exact"/>
        <w:ind w:left="0" w:right="0" w:firstLine="0"/>
        <w:jc w:val="left"/>
      </w:pPr>
      <w:r>
        <w:rPr>
          <w:color w:val="000000"/>
          <w:spacing w:val="0"/>
          <w:w w:val="100"/>
          <w:position w:val="0"/>
        </w:rPr>
        <w:t>未披露其他环境信息的原因</w:t>
      </w:r>
    </w:p>
    <w:p>
      <w:pPr>
        <w:pStyle w:val="Style29"/>
        <w:keepNext w:val="0"/>
        <w:keepLines w:val="0"/>
        <w:widowControl w:val="0"/>
        <w:shd w:val="clear" w:color="auto" w:fill="auto"/>
        <w:bidi w:val="0"/>
        <w:spacing w:before="0" w:after="400" w:line="320" w:lineRule="exact"/>
        <w:ind w:left="0" w:right="0" w:firstLine="0"/>
        <w:jc w:val="left"/>
      </w:pPr>
      <w:r>
        <w:rPr>
          <w:color w:val="000000"/>
          <w:spacing w:val="0"/>
          <w:w w:val="100"/>
          <w:position w:val="0"/>
        </w:rPr>
        <w:t>不适用</w:t>
      </w:r>
    </w:p>
    <w:p>
      <w:pPr>
        <w:pStyle w:val="Style24"/>
        <w:keepNext/>
        <w:keepLines/>
        <w:widowControl w:val="0"/>
        <w:shd w:val="clear" w:color="auto" w:fill="auto"/>
        <w:bidi w:val="0"/>
        <w:spacing w:before="0" w:after="400" w:line="240" w:lineRule="auto"/>
        <w:ind w:left="0" w:right="0" w:firstLine="0"/>
        <w:jc w:val="left"/>
      </w:pPr>
      <w:bookmarkStart w:id="488" w:name="bookmark488"/>
      <w:bookmarkStart w:id="489" w:name="bookmark489"/>
      <w:bookmarkStart w:id="490" w:name="bookmark490"/>
      <w:bookmarkStart w:id="491" w:name="bookmark491"/>
      <w:r>
        <w:rPr>
          <w:color w:val="000000"/>
          <w:spacing w:val="0"/>
          <w:w w:val="100"/>
          <w:position w:val="0"/>
        </w:rPr>
        <w:t>二</w:t>
      </w:r>
      <w:bookmarkEnd w:id="490"/>
      <w:r>
        <w:rPr>
          <w:color w:val="000000"/>
          <w:spacing w:val="0"/>
          <w:w w:val="100"/>
          <w:position w:val="0"/>
        </w:rPr>
        <w:t>、社会责任情况</w:t>
      </w:r>
      <w:bookmarkEnd w:id="488"/>
      <w:bookmarkEnd w:id="489"/>
      <w:bookmarkEnd w:id="491"/>
    </w:p>
    <w:p>
      <w:pPr>
        <w:pStyle w:val="Style29"/>
        <w:keepNext w:val="0"/>
        <w:keepLines w:val="0"/>
        <w:widowControl w:val="0"/>
        <w:shd w:val="clear" w:color="auto" w:fill="auto"/>
        <w:tabs>
          <w:tab w:pos="710" w:val="left"/>
        </w:tabs>
        <w:bidi w:val="0"/>
        <w:spacing w:before="0" w:after="0" w:line="372" w:lineRule="auto"/>
        <w:ind w:left="0" w:right="0" w:firstLine="380"/>
        <w:jc w:val="left"/>
      </w:pPr>
      <w:bookmarkStart w:id="492" w:name="bookmark492"/>
      <w:r>
        <w:rPr>
          <w:rFonts w:ascii="Times New Roman" w:eastAsia="Times New Roman" w:hAnsi="Times New Roman" w:cs="Times New Roman"/>
          <w:color w:val="000000"/>
          <w:spacing w:val="0"/>
          <w:w w:val="100"/>
          <w:position w:val="0"/>
          <w:sz w:val="18"/>
          <w:szCs w:val="18"/>
        </w:rPr>
        <w:t>1</w:t>
      </w:r>
      <w:bookmarkEnd w:id="492"/>
      <w:r>
        <w:rPr>
          <w:color w:val="000000"/>
          <w:spacing w:val="0"/>
          <w:w w:val="100"/>
          <w:position w:val="0"/>
        </w:rPr>
        <w:t>、</w:t>
        <w:tab/>
        <w:t>股东权益保护</w:t>
      </w:r>
    </w:p>
    <w:p>
      <w:pPr>
        <w:pStyle w:val="Style29"/>
        <w:keepNext w:val="0"/>
        <w:keepLines w:val="0"/>
        <w:widowControl w:val="0"/>
        <w:shd w:val="clear" w:color="auto" w:fill="auto"/>
        <w:tabs>
          <w:tab w:pos="815" w:val="left"/>
        </w:tabs>
        <w:bidi w:val="0"/>
        <w:spacing w:before="0" w:after="0" w:line="320" w:lineRule="exact"/>
        <w:ind w:left="0" w:right="0" w:firstLine="380"/>
        <w:jc w:val="left"/>
      </w:pPr>
      <w:bookmarkStart w:id="493" w:name="bookmark493"/>
      <w:r>
        <w:rPr>
          <w:color w:val="000000"/>
          <w:spacing w:val="0"/>
          <w:w w:val="100"/>
          <w:position w:val="0"/>
        </w:rPr>
        <w:t>（</w:t>
      </w:r>
      <w:bookmarkEnd w:id="49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完善公司治理结构，维护股东权益</w:t>
      </w:r>
    </w:p>
    <w:p>
      <w:pPr>
        <w:pStyle w:val="Style29"/>
        <w:keepNext w:val="0"/>
        <w:keepLines w:val="0"/>
        <w:widowControl w:val="0"/>
        <w:shd w:val="clear" w:color="auto" w:fill="auto"/>
        <w:bidi w:val="0"/>
        <w:spacing w:before="0" w:line="319" w:lineRule="exact"/>
        <w:ind w:left="0" w:right="0" w:firstLine="380"/>
        <w:jc w:val="left"/>
      </w:pPr>
      <w:r>
        <w:rPr>
          <w:color w:val="000000"/>
          <w:spacing w:val="0"/>
          <w:w w:val="100"/>
          <w:position w:val="0"/>
        </w:rPr>
        <w:t>公司严格按照《公司法》、《证券法》等有关法律法规的要求，积极推进内控体系建设，不断完善公司法人治理结构， 建立健全公司内部控制制度，明确公司股东大会、董事会、监事会及经营管理层各自应履行的职责和议事规则，为公司规范 运作提供了更强有力的制度保障，并有效地增强了决策的公正性和科学性。</w:t>
      </w:r>
    </w:p>
    <w:p>
      <w:pPr>
        <w:pStyle w:val="Style29"/>
        <w:keepNext w:val="0"/>
        <w:keepLines w:val="0"/>
        <w:widowControl w:val="0"/>
        <w:shd w:val="clear" w:color="auto" w:fill="auto"/>
        <w:bidi w:val="0"/>
        <w:spacing w:before="0" w:after="0" w:line="360" w:lineRule="auto"/>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年，公司累计召开股东大会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次、董事会会议</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次、监事会会议</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次。</w:t>
      </w:r>
    </w:p>
    <w:p>
      <w:pPr>
        <w:pStyle w:val="Style29"/>
        <w:keepNext w:val="0"/>
        <w:keepLines w:val="0"/>
        <w:widowControl w:val="0"/>
        <w:shd w:val="clear" w:color="auto" w:fill="auto"/>
        <w:tabs>
          <w:tab w:pos="815" w:val="left"/>
        </w:tabs>
        <w:bidi w:val="0"/>
        <w:spacing w:before="0" w:after="0" w:line="320" w:lineRule="exact"/>
        <w:ind w:left="0" w:right="0" w:firstLine="380"/>
        <w:jc w:val="both"/>
      </w:pPr>
      <w:bookmarkStart w:id="494" w:name="bookmark494"/>
      <w:r>
        <w:rPr>
          <w:color w:val="000000"/>
          <w:spacing w:val="0"/>
          <w:w w:val="100"/>
          <w:position w:val="0"/>
        </w:rPr>
        <w:t>（</w:t>
      </w:r>
      <w:bookmarkEnd w:id="49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重视投资者关系管理，维护股东利益</w:t>
      </w:r>
    </w:p>
    <w:p>
      <w:pPr>
        <w:pStyle w:val="Style29"/>
        <w:keepNext w:val="0"/>
        <w:keepLines w:val="0"/>
        <w:widowControl w:val="0"/>
        <w:shd w:val="clear" w:color="auto" w:fill="auto"/>
        <w:bidi w:val="0"/>
        <w:spacing w:before="0" w:after="0" w:line="321" w:lineRule="exact"/>
        <w:ind w:left="0" w:right="0" w:firstLine="380"/>
        <w:jc w:val="both"/>
      </w:pPr>
      <w:r>
        <w:rPr>
          <w:color w:val="000000"/>
          <w:spacing w:val="0"/>
          <w:w w:val="100"/>
          <w:position w:val="0"/>
        </w:rPr>
        <w:t>股东是企业发展的基石，维护股东利益，特别是中小股东的合法利益，提升投资者对公司的信心，是企业健康发展的必 备条件。公司高度重视投资者关系管理工作，本着真实、准确、完整、及时、公平的原则，积极履行信息披露义务，增强资 本市场的正能量，塑造公司在资本市场的诚信形象。公司通过投资者热线电话、投资者电子邮箱、深交所互动平台问答、现 场调研、股东大会、业绩说明会等多渠道、多层次的方式，与投资者形成了良性的、有效的互动。</w:t>
      </w:r>
    </w:p>
    <w:p>
      <w:pPr>
        <w:pStyle w:val="Style29"/>
        <w:keepNext w:val="0"/>
        <w:keepLines w:val="0"/>
        <w:widowControl w:val="0"/>
        <w:shd w:val="clear" w:color="auto" w:fill="auto"/>
        <w:bidi w:val="0"/>
        <w:spacing w:before="0" w:line="321"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年，公司筹办了大型投资者关系活动共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年度业绩预告解读投资者说明会（电话会议）、定增撤回投资者 沟通会（电话会议）、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年度业绩网上说明会（互联网平台）。此外，公司还通过各种方式，听取包括中小投资者在内的 各类股东意见和建议，与投资者保持互动。</w:t>
      </w:r>
    </w:p>
    <w:p>
      <w:pPr>
        <w:pStyle w:val="Style29"/>
        <w:keepNext w:val="0"/>
        <w:keepLines w:val="0"/>
        <w:widowControl w:val="0"/>
        <w:shd w:val="clear" w:color="auto" w:fill="auto"/>
        <w:tabs>
          <w:tab w:pos="729" w:val="left"/>
        </w:tabs>
        <w:bidi w:val="0"/>
        <w:spacing w:before="0" w:after="0" w:line="372" w:lineRule="auto"/>
        <w:ind w:left="0" w:right="0" w:firstLine="380"/>
        <w:jc w:val="both"/>
      </w:pPr>
      <w:bookmarkStart w:id="495" w:name="bookmark495"/>
      <w:r>
        <w:rPr>
          <w:rFonts w:ascii="Times New Roman" w:eastAsia="Times New Roman" w:hAnsi="Times New Roman" w:cs="Times New Roman"/>
          <w:color w:val="000000"/>
          <w:spacing w:val="0"/>
          <w:w w:val="100"/>
          <w:position w:val="0"/>
          <w:sz w:val="18"/>
          <w:szCs w:val="18"/>
        </w:rPr>
        <w:t>2</w:t>
      </w:r>
      <w:bookmarkEnd w:id="495"/>
      <w:r>
        <w:rPr>
          <w:color w:val="000000"/>
          <w:spacing w:val="0"/>
          <w:w w:val="100"/>
          <w:position w:val="0"/>
        </w:rPr>
        <w:t>、</w:t>
        <w:tab/>
        <w:t>职工权益保护</w:t>
      </w:r>
    </w:p>
    <w:p>
      <w:pPr>
        <w:pStyle w:val="Style29"/>
        <w:keepNext w:val="0"/>
        <w:keepLines w:val="0"/>
        <w:widowControl w:val="0"/>
        <w:shd w:val="clear" w:color="auto" w:fill="auto"/>
        <w:bidi w:val="0"/>
        <w:spacing w:before="0" w:after="0"/>
        <w:ind w:left="0" w:right="0" w:firstLine="380"/>
        <w:jc w:val="both"/>
      </w:pPr>
      <w:bookmarkStart w:id="496" w:name="bookmark496"/>
      <w:r>
        <w:rPr>
          <w:color w:val="000000"/>
          <w:spacing w:val="0"/>
          <w:w w:val="100"/>
          <w:position w:val="0"/>
        </w:rPr>
        <w:t>（</w:t>
      </w:r>
      <w:bookmarkEnd w:id="496"/>
      <w:r>
        <w:rPr>
          <w:rFonts w:ascii="Times New Roman" w:eastAsia="Times New Roman" w:hAnsi="Times New Roman" w:cs="Times New Roman"/>
          <w:color w:val="000000"/>
          <w:spacing w:val="0"/>
          <w:w w:val="100"/>
          <w:position w:val="0"/>
          <w:sz w:val="18"/>
          <w:szCs w:val="18"/>
        </w:rPr>
        <w:t>1</w:t>
      </w:r>
      <w:r>
        <w:rPr>
          <w:color w:val="000000"/>
          <w:spacing w:val="0"/>
          <w:w w:val="100"/>
          <w:position w:val="0"/>
        </w:rPr>
        <w:t>）劳动保障</w:t>
      </w:r>
    </w:p>
    <w:p>
      <w:pPr>
        <w:pStyle w:val="Style29"/>
        <w:keepNext w:val="0"/>
        <w:keepLines w:val="0"/>
        <w:widowControl w:val="0"/>
        <w:shd w:val="clear" w:color="auto" w:fill="auto"/>
        <w:bidi w:val="0"/>
        <w:spacing w:before="0" w:after="0"/>
        <w:ind w:left="0" w:right="0" w:firstLine="380"/>
        <w:jc w:val="both"/>
      </w:pPr>
      <w:r>
        <w:rPr>
          <w:color w:val="000000"/>
          <w:spacing w:val="0"/>
          <w:w w:val="100"/>
          <w:position w:val="0"/>
        </w:rPr>
        <w:t>在保障员工合法权益方面，公司严格遵守《劳动法》、《劳动合同法》、《工会法》等法律法规的要求，建立了一系列 劳动管理制度，依法与员工签订《劳动合同》，按照国家建立多层次社会保险体系的总体要求，为员工建立基本养老、医疗、 工伤、失业和生育保险等社会保险，按时足额缴纳各项保险费用，维护员工的切身利益。</w:t>
      </w:r>
    </w:p>
    <w:p>
      <w:pPr>
        <w:pStyle w:val="Style29"/>
        <w:keepNext w:val="0"/>
        <w:keepLines w:val="0"/>
        <w:widowControl w:val="0"/>
        <w:shd w:val="clear" w:color="auto" w:fill="auto"/>
        <w:bidi w:val="0"/>
        <w:spacing w:before="0" w:after="0" w:line="320" w:lineRule="exact"/>
        <w:ind w:left="0" w:right="0" w:firstLine="380"/>
        <w:jc w:val="both"/>
      </w:pPr>
      <w:r>
        <w:rPr>
          <w:color w:val="000000"/>
          <w:spacing w:val="0"/>
          <w:w w:val="100"/>
          <w:position w:val="0"/>
        </w:rPr>
        <w:t>定期为员工提供健康体检，持续为员工购买商业保险，为员工子女购买医疗险，为员工及家人的健康保驾护航。</w:t>
      </w:r>
    </w:p>
    <w:p>
      <w:pPr>
        <w:pStyle w:val="Style29"/>
        <w:keepNext w:val="0"/>
        <w:keepLines w:val="0"/>
        <w:widowControl w:val="0"/>
        <w:shd w:val="clear" w:color="auto" w:fill="auto"/>
        <w:bidi w:val="0"/>
        <w:spacing w:before="0" w:after="0" w:line="320" w:lineRule="exact"/>
        <w:ind w:left="0" w:right="0" w:firstLine="380"/>
        <w:jc w:val="both"/>
      </w:pPr>
      <w:r>
        <w:rPr>
          <w:color w:val="000000"/>
          <w:spacing w:val="0"/>
          <w:w w:val="100"/>
          <w:position w:val="0"/>
        </w:rPr>
        <w:t xml:space="preserve">针对员工的意见和建议反馈诉求，公司设有员工座谈会、满意度调查、意见箱及意见反馈系统等多种渠道，既是公司管 </w:t>
      </w:r>
      <w:r>
        <w:rPr>
          <w:color w:val="000000"/>
          <w:spacing w:val="0"/>
          <w:w w:val="100"/>
          <w:position w:val="0"/>
        </w:rPr>
        <w:t>理信息传递的通道，同时也是员工反馈问题、维护权益的通道。</w:t>
      </w:r>
    </w:p>
    <w:p>
      <w:pPr>
        <w:pStyle w:val="Style29"/>
        <w:keepNext w:val="0"/>
        <w:keepLines w:val="0"/>
        <w:widowControl w:val="0"/>
        <w:shd w:val="clear" w:color="auto" w:fill="auto"/>
        <w:tabs>
          <w:tab w:pos="755" w:val="left"/>
        </w:tabs>
        <w:bidi w:val="0"/>
        <w:spacing w:before="0" w:after="0"/>
        <w:ind w:left="0" w:right="0" w:firstLine="380"/>
        <w:jc w:val="both"/>
      </w:pPr>
      <w:bookmarkStart w:id="497" w:name="bookmark497"/>
      <w:r>
        <w:rPr>
          <w:color w:val="000000"/>
          <w:spacing w:val="0"/>
          <w:w w:val="100"/>
          <w:position w:val="0"/>
        </w:rPr>
        <w:t>（</w:t>
      </w:r>
      <w:bookmarkEnd w:id="49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以人为本的薪酬福利体系</w:t>
      </w:r>
    </w:p>
    <w:p>
      <w:pPr>
        <w:pStyle w:val="Style29"/>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公司在制度设计时，始终围绕行业特点、公司长远发展、员工特点进行。公司在薪酬设计上，提倡价值共享，在公司业 务不断发展的过程中，引导员工通过自身的进一步提高，能切实感受到业务发展带来的收益，并通过简单清晰的全面薪酬结 构，建立职级与薪酬的匹配，让每位员工清楚了解公司业务、个人付出、薪酬激励之间的关系。公司的薪酬政策以市场竞争 性为导向，以经营效益为依托，以经济性、公平性、正向激励性为原则，基于责任与能力、关注结果，鼓励员工主动迎接挑 战和兑现承诺，促进公司与员工的共同发展与成长。薪酬制度有效结合了员工利益与公司效益，激发了员工的潜力和活力。 此外，为进一步吸引和保留核心骨干人才，公司还建立了不同的员工激励制度和办法，促进公司可持续地健康发展。</w:t>
      </w:r>
    </w:p>
    <w:p>
      <w:pPr>
        <w:pStyle w:val="Style29"/>
        <w:keepNext w:val="0"/>
        <w:keepLines w:val="0"/>
        <w:widowControl w:val="0"/>
        <w:shd w:val="clear" w:color="auto" w:fill="auto"/>
        <w:tabs>
          <w:tab w:pos="755" w:val="left"/>
        </w:tabs>
        <w:bidi w:val="0"/>
        <w:spacing w:before="0" w:after="0" w:line="316" w:lineRule="exact"/>
        <w:ind w:left="0" w:right="0" w:firstLine="380"/>
        <w:jc w:val="both"/>
      </w:pPr>
      <w:bookmarkStart w:id="498" w:name="bookmark498"/>
      <w:r>
        <w:rPr>
          <w:color w:val="000000"/>
          <w:spacing w:val="0"/>
          <w:w w:val="100"/>
          <w:position w:val="0"/>
        </w:rPr>
        <w:t>（</w:t>
      </w:r>
      <w:bookmarkEnd w:id="49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员工培训</w:t>
      </w:r>
    </w:p>
    <w:p>
      <w:pPr>
        <w:pStyle w:val="Style29"/>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年度，围绕公司战略、市场环境变化、内部经营管理需求，公司进行了不同形式和内容的知识赋能。截至报告期末， 公司共开展培训活动</w:t>
      </w:r>
      <w:r>
        <w:rPr>
          <w:rFonts w:ascii="Times New Roman" w:eastAsia="Times New Roman" w:hAnsi="Times New Roman" w:cs="Times New Roman"/>
          <w:color w:val="000000"/>
          <w:spacing w:val="0"/>
          <w:w w:val="100"/>
          <w:position w:val="0"/>
          <w:sz w:val="18"/>
          <w:szCs w:val="18"/>
        </w:rPr>
        <w:t>134</w:t>
      </w:r>
      <w:r>
        <w:rPr>
          <w:color w:val="000000"/>
          <w:spacing w:val="0"/>
          <w:w w:val="100"/>
          <w:position w:val="0"/>
        </w:rPr>
        <w:t>场（其中线下</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场，线上</w:t>
      </w:r>
      <w:r>
        <w:rPr>
          <w:rFonts w:ascii="Times New Roman" w:eastAsia="Times New Roman" w:hAnsi="Times New Roman" w:cs="Times New Roman"/>
          <w:color w:val="000000"/>
          <w:spacing w:val="0"/>
          <w:w w:val="100"/>
          <w:position w:val="0"/>
          <w:sz w:val="18"/>
          <w:szCs w:val="18"/>
        </w:rPr>
        <w:t>92</w:t>
      </w:r>
      <w:r>
        <w:rPr>
          <w:color w:val="000000"/>
          <w:spacing w:val="0"/>
          <w:w w:val="100"/>
          <w:position w:val="0"/>
        </w:rPr>
        <w:t>场），培训时长合计</w:t>
      </w:r>
      <w:r>
        <w:rPr>
          <w:rFonts w:ascii="Times New Roman" w:eastAsia="Times New Roman" w:hAnsi="Times New Roman" w:cs="Times New Roman"/>
          <w:color w:val="000000"/>
          <w:spacing w:val="0"/>
          <w:w w:val="100"/>
          <w:position w:val="0"/>
          <w:sz w:val="18"/>
          <w:szCs w:val="18"/>
        </w:rPr>
        <w:t>804</w:t>
      </w:r>
      <w:r>
        <w:rPr>
          <w:color w:val="000000"/>
          <w:spacing w:val="0"/>
          <w:w w:val="100"/>
          <w:position w:val="0"/>
        </w:rPr>
        <w:t>小时，共计</w:t>
      </w:r>
      <w:r>
        <w:rPr>
          <w:rFonts w:ascii="Times New Roman" w:eastAsia="Times New Roman" w:hAnsi="Times New Roman" w:cs="Times New Roman"/>
          <w:color w:val="000000"/>
          <w:spacing w:val="0"/>
          <w:w w:val="100"/>
          <w:position w:val="0"/>
          <w:sz w:val="18"/>
          <w:szCs w:val="18"/>
        </w:rPr>
        <w:t>10162</w:t>
      </w:r>
      <w:r>
        <w:rPr>
          <w:color w:val="000000"/>
          <w:spacing w:val="0"/>
          <w:w w:val="100"/>
          <w:position w:val="0"/>
        </w:rPr>
        <w:t>人次参加培训。</w:t>
      </w:r>
    </w:p>
    <w:p>
      <w:pPr>
        <w:pStyle w:val="Style29"/>
        <w:keepNext w:val="0"/>
        <w:keepLines w:val="0"/>
        <w:widowControl w:val="0"/>
        <w:shd w:val="clear" w:color="auto" w:fill="auto"/>
        <w:bidi w:val="0"/>
        <w:spacing w:before="0" w:after="140"/>
        <w:ind w:left="0" w:right="0" w:firstLine="380"/>
        <w:jc w:val="both"/>
      </w:pPr>
      <w:r>
        <w:rPr>
          <w:color w:val="000000"/>
          <w:spacing w:val="0"/>
          <w:w w:val="100"/>
          <w:position w:val="0"/>
        </w:rPr>
        <w:t>公司持续完善培训体系建设。针对中高管，公司进行了企业战略转型相关培训；针对干部班学员，公司提供了丰富的课 程，契合公司未来战略发展方向，涉及营销技巧、科技创新、产品规划、团队管理、企业文化；针对新员工，公司组织现场 讲课、圆桌交流以及应届生培训，帮助员工尽快融入团队；针对公司研发和运维人员，公司开设了项目管理、运维管理以及 云计算等培训。此外，公司还组织了面向全体员工的合规普法等通用课程，帮助员工持续学习、不断提升。</w:t>
      </w:r>
    </w:p>
    <w:p>
      <w:pPr>
        <w:pStyle w:val="Style29"/>
        <w:keepNext w:val="0"/>
        <w:keepLines w:val="0"/>
        <w:widowControl w:val="0"/>
        <w:shd w:val="clear" w:color="auto" w:fill="auto"/>
        <w:tabs>
          <w:tab w:pos="709" w:val="left"/>
        </w:tabs>
        <w:bidi w:val="0"/>
        <w:spacing w:before="0" w:after="0" w:line="360" w:lineRule="auto"/>
        <w:ind w:left="0" w:right="0" w:firstLine="380"/>
        <w:jc w:val="both"/>
      </w:pPr>
      <w:bookmarkStart w:id="499" w:name="bookmark499"/>
      <w:r>
        <w:rPr>
          <w:rFonts w:ascii="Times New Roman" w:eastAsia="Times New Roman" w:hAnsi="Times New Roman" w:cs="Times New Roman"/>
          <w:color w:val="000000"/>
          <w:spacing w:val="0"/>
          <w:w w:val="100"/>
          <w:position w:val="0"/>
          <w:sz w:val="18"/>
          <w:szCs w:val="18"/>
        </w:rPr>
        <w:t>3</w:t>
      </w:r>
      <w:bookmarkEnd w:id="499"/>
      <w:r>
        <w:rPr>
          <w:color w:val="000000"/>
          <w:spacing w:val="0"/>
          <w:w w:val="100"/>
          <w:position w:val="0"/>
        </w:rPr>
        <w:t>、</w:t>
        <w:tab/>
        <w:t>客户及供应商权益保护</w:t>
      </w:r>
    </w:p>
    <w:p>
      <w:pPr>
        <w:pStyle w:val="Style29"/>
        <w:keepNext w:val="0"/>
        <w:keepLines w:val="0"/>
        <w:widowControl w:val="0"/>
        <w:shd w:val="clear" w:color="auto" w:fill="auto"/>
        <w:tabs>
          <w:tab w:pos="755" w:val="left"/>
        </w:tabs>
        <w:bidi w:val="0"/>
        <w:spacing w:before="0" w:after="0"/>
        <w:ind w:left="0" w:right="0" w:firstLine="380"/>
        <w:jc w:val="both"/>
      </w:pPr>
      <w:bookmarkStart w:id="500" w:name="bookmark500"/>
      <w:r>
        <w:rPr>
          <w:color w:val="000000"/>
          <w:spacing w:val="0"/>
          <w:w w:val="100"/>
          <w:position w:val="0"/>
        </w:rPr>
        <w:t>（</w:t>
      </w:r>
      <w:bookmarkEnd w:id="50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积极保护客户权益</w:t>
      </w:r>
    </w:p>
    <w:p>
      <w:pPr>
        <w:pStyle w:val="Style29"/>
        <w:keepNext w:val="0"/>
        <w:keepLines w:val="0"/>
        <w:widowControl w:val="0"/>
        <w:shd w:val="clear" w:color="auto" w:fill="auto"/>
        <w:bidi w:val="0"/>
        <w:spacing w:before="0" w:after="0" w:line="319" w:lineRule="exact"/>
        <w:ind w:left="0" w:right="0" w:firstLine="380"/>
        <w:jc w:val="both"/>
      </w:pPr>
      <w:r>
        <w:rPr>
          <w:color w:val="000000"/>
          <w:spacing w:val="0"/>
          <w:w w:val="100"/>
          <w:position w:val="0"/>
        </w:rPr>
        <w:t>公司始终以客户需求为出发点，坚持贯彻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想在用户之前，想在用户之上，想在用户之外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的服务理念，推动产品及服务 持续升级，为客户提供更具满意度的产品和服务。公司持续推进新业务、新技术、新模式的研发，不断使城市的运营效率得 到提升，服务更为便捷，公共服务的用户体验更加完美。</w:t>
      </w:r>
    </w:p>
    <w:p>
      <w:pPr>
        <w:pStyle w:val="Style29"/>
        <w:keepNext w:val="0"/>
        <w:keepLines w:val="0"/>
        <w:widowControl w:val="0"/>
        <w:shd w:val="clear" w:color="auto" w:fill="auto"/>
        <w:tabs>
          <w:tab w:pos="755" w:val="left"/>
        </w:tabs>
        <w:bidi w:val="0"/>
        <w:spacing w:before="0" w:after="0" w:line="319" w:lineRule="exact"/>
        <w:ind w:left="0" w:right="0" w:firstLine="380"/>
        <w:jc w:val="both"/>
      </w:pPr>
      <w:bookmarkStart w:id="501" w:name="bookmark501"/>
      <w:r>
        <w:rPr>
          <w:color w:val="000000"/>
          <w:spacing w:val="0"/>
          <w:w w:val="100"/>
          <w:position w:val="0"/>
        </w:rPr>
        <w:t>（</w:t>
      </w:r>
      <w:bookmarkEnd w:id="50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建立公平诚信的商务采购体系</w:t>
      </w:r>
    </w:p>
    <w:p>
      <w:pPr>
        <w:pStyle w:val="Style29"/>
        <w:keepNext w:val="0"/>
        <w:keepLines w:val="0"/>
        <w:widowControl w:val="0"/>
        <w:shd w:val="clear" w:color="auto" w:fill="auto"/>
        <w:bidi w:val="0"/>
        <w:spacing w:before="0" w:after="140"/>
        <w:ind w:left="0" w:right="0" w:firstLine="380"/>
        <w:jc w:val="both"/>
      </w:pPr>
      <w:r>
        <w:rPr>
          <w:color w:val="000000"/>
          <w:spacing w:val="0"/>
          <w:w w:val="100"/>
          <w:position w:val="0"/>
        </w:rPr>
        <w:t>公司注重供应链体系建设，建立公平、公正的商务采购体系，实现和供应商合作关系的稳定和发展，增强供应体系的竞 争力。公司制定了《采购管理制度》并不断优化，同时加大供应链信息化系统建设，明确规定了采购相关的需求审批流程、 采购合同审批流程等，从采购岗位职责出发，完善了授权与审批、采购方式、供应商管理控制的要求，在保证公司业务正常 运营的前提下，力求降低成本，同时推进供应商在质量、服务等领域全面提升。</w:t>
      </w:r>
    </w:p>
    <w:p>
      <w:pPr>
        <w:pStyle w:val="Style29"/>
        <w:keepNext w:val="0"/>
        <w:keepLines w:val="0"/>
        <w:widowControl w:val="0"/>
        <w:shd w:val="clear" w:color="auto" w:fill="auto"/>
        <w:tabs>
          <w:tab w:pos="709" w:val="left"/>
        </w:tabs>
        <w:bidi w:val="0"/>
        <w:spacing w:before="0" w:after="0" w:line="360" w:lineRule="auto"/>
        <w:ind w:left="0" w:right="0" w:firstLine="380"/>
        <w:jc w:val="both"/>
      </w:pPr>
      <w:bookmarkStart w:id="502" w:name="bookmark502"/>
      <w:r>
        <w:rPr>
          <w:rFonts w:ascii="Times New Roman" w:eastAsia="Times New Roman" w:hAnsi="Times New Roman" w:cs="Times New Roman"/>
          <w:color w:val="000000"/>
          <w:spacing w:val="0"/>
          <w:w w:val="100"/>
          <w:position w:val="0"/>
          <w:sz w:val="18"/>
          <w:szCs w:val="18"/>
        </w:rPr>
        <w:t>4</w:t>
      </w:r>
      <w:bookmarkEnd w:id="502"/>
      <w:r>
        <w:rPr>
          <w:color w:val="000000"/>
          <w:spacing w:val="0"/>
          <w:w w:val="100"/>
          <w:position w:val="0"/>
        </w:rPr>
        <w:t>、</w:t>
        <w:tab/>
        <w:t>公共关系与社会公益事业</w:t>
      </w:r>
    </w:p>
    <w:p>
      <w:pPr>
        <w:pStyle w:val="Style29"/>
        <w:keepNext w:val="0"/>
        <w:keepLines w:val="0"/>
        <w:widowControl w:val="0"/>
        <w:shd w:val="clear" w:color="auto" w:fill="auto"/>
        <w:tabs>
          <w:tab w:pos="755" w:val="left"/>
        </w:tabs>
        <w:bidi w:val="0"/>
        <w:spacing w:before="0" w:after="0" w:line="315" w:lineRule="exact"/>
        <w:ind w:left="0" w:right="0" w:firstLine="380"/>
        <w:jc w:val="both"/>
      </w:pPr>
      <w:bookmarkStart w:id="503" w:name="bookmark503"/>
      <w:r>
        <w:rPr>
          <w:color w:val="000000"/>
          <w:spacing w:val="0"/>
          <w:w w:val="100"/>
          <w:position w:val="0"/>
        </w:rPr>
        <w:t>（</w:t>
      </w:r>
      <w:bookmarkEnd w:id="50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重视公共关系，赢得各界认同</w:t>
      </w:r>
    </w:p>
    <w:p>
      <w:pPr>
        <w:pStyle w:val="Style2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公司高度重视加强与政府部门和监管机构的联系、汇报，主动配合政府部门和监管部门的监督和检查，涉及公司规范运 作相关事项特别是重大事项都及时向监管部门汇报和咨询，接受监管部门的指导，认真听取监管部门的意见。同时，作为社 会公众上市公司</w:t>
      </w:r>
      <w:r>
        <w:rPr>
          <w:color w:val="000000"/>
          <w:spacing w:val="0"/>
          <w:w w:val="100"/>
          <w:position w:val="0"/>
          <w:sz w:val="18"/>
          <w:szCs w:val="18"/>
        </w:rPr>
        <w:t>，</w:t>
      </w:r>
      <w:r>
        <w:rPr>
          <w:color w:val="000000"/>
          <w:spacing w:val="0"/>
          <w:w w:val="100"/>
          <w:position w:val="0"/>
        </w:rPr>
        <w:t>公司在生产经营活动中遵循自愿、公平、诚实、信用的原则，遵守社会公德、商业道德，主动接受政府部 门和监管部门的监督和检查，高度重视社会公众及新闻媒体对公司的评论，赢得了社会各界的认同。公司积极强化信息披露， 与资本市场保持密切且及时的沟通，为投资者与公司的互动搭建畅通桥梁，以期对那些认同公司理念、认可公司价值的投资 者真正有帮助。</w:t>
      </w:r>
    </w:p>
    <w:p>
      <w:pPr>
        <w:pStyle w:val="Style29"/>
        <w:keepNext w:val="0"/>
        <w:keepLines w:val="0"/>
        <w:widowControl w:val="0"/>
        <w:shd w:val="clear" w:color="auto" w:fill="auto"/>
        <w:tabs>
          <w:tab w:pos="755" w:val="left"/>
        </w:tabs>
        <w:bidi w:val="0"/>
        <w:spacing w:before="0" w:after="0" w:line="320" w:lineRule="exact"/>
        <w:ind w:left="0" w:right="0" w:firstLine="380"/>
        <w:jc w:val="both"/>
      </w:pPr>
      <w:bookmarkStart w:id="504" w:name="bookmark504"/>
      <w:r>
        <w:rPr>
          <w:color w:val="000000"/>
          <w:spacing w:val="0"/>
          <w:w w:val="100"/>
          <w:position w:val="0"/>
        </w:rPr>
        <w:t>（</w:t>
      </w:r>
      <w:bookmarkEnd w:id="50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科技凸显力量，助力城市数字化转型及提升应急事件管理能力</w:t>
      </w:r>
    </w:p>
    <w:p>
      <w:pPr>
        <w:pStyle w:val="Style29"/>
        <w:keepNext w:val="0"/>
        <w:keepLines w:val="0"/>
        <w:widowControl w:val="0"/>
        <w:shd w:val="clear" w:color="auto" w:fill="auto"/>
        <w:bidi w:val="0"/>
        <w:spacing w:before="0" w:after="0" w:line="320"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年，万达信息打造的市民云平台在全国范围内的建设取得进一步的成效，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幸福张家口</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我的张家界</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成 功上线，通过把先进地区优秀的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城市服务经验结合本地特点，不断为张家口、张家界等城市数字化治理赋能增效。</w:t>
      </w:r>
    </w:p>
    <w:p>
      <w:pPr>
        <w:pStyle w:val="Style29"/>
        <w:keepNext w:val="0"/>
        <w:keepLines w:val="0"/>
        <w:widowControl w:val="0"/>
        <w:shd w:val="clear" w:color="auto" w:fill="auto"/>
        <w:bidi w:val="0"/>
        <w:spacing w:before="0" w:after="0" w:line="320"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年是十四五规划的开局之年，亦是疫情防控更为严峻的一年。公司市民云用户在这一年覆盖了</w:t>
      </w:r>
      <w:r>
        <w:rPr>
          <w:rFonts w:ascii="Times New Roman" w:eastAsia="Times New Roman" w:hAnsi="Times New Roman" w:cs="Times New Roman"/>
          <w:color w:val="000000"/>
          <w:spacing w:val="0"/>
          <w:w w:val="100"/>
          <w:position w:val="0"/>
          <w:sz w:val="18"/>
          <w:szCs w:val="18"/>
        </w:rPr>
        <w:t>52</w:t>
      </w:r>
      <w:r>
        <w:rPr>
          <w:color w:val="000000"/>
          <w:spacing w:val="0"/>
          <w:w w:val="100"/>
          <w:position w:val="0"/>
        </w:rPr>
        <w:t>个城区，注册用户 数突破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亿人，在助力城市疫情防控工作开展时，万达信息各相关部门均全面参与，协调联动，切实保障了服务的高效便捷。 按照各个城市的应急管理需求，维护好核酸检测、接种预约登记等服务，交付了融合疫情防控数据、应急机制常态化管理等 新平台。</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月，在河南遭遇特大暴雨灾害、浙沪地区台风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烟花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来袭等这一些特殊的日子里，公司速度启动应急机制，进行 常态化管理。公司投入大量人力物力，协助各城市地区抗击灾害，全力确保重要民生信息稳定运营，为城市安全保驾护航。 公司在今年全国一系列城市应急事件中的响应与有力支持受到了客户与社会的好评。</w:t>
      </w:r>
    </w:p>
    <w:p>
      <w:pPr>
        <w:pStyle w:val="Style29"/>
        <w:keepNext w:val="0"/>
        <w:keepLines w:val="0"/>
        <w:widowControl w:val="0"/>
        <w:shd w:val="clear" w:color="auto" w:fill="auto"/>
        <w:tabs>
          <w:tab w:pos="764" w:val="left"/>
        </w:tabs>
        <w:bidi w:val="0"/>
        <w:spacing w:before="0" w:after="0" w:line="314" w:lineRule="exact"/>
        <w:ind w:left="0" w:right="0" w:firstLine="380"/>
        <w:jc w:val="both"/>
      </w:pPr>
      <w:bookmarkStart w:id="505" w:name="bookmark505"/>
      <w:r>
        <w:rPr>
          <w:color w:val="000000"/>
          <w:spacing w:val="0"/>
          <w:w w:val="100"/>
          <w:position w:val="0"/>
        </w:rPr>
        <w:t>（</w:t>
      </w:r>
      <w:bookmarkEnd w:id="50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保障信息安全工作持续加强</w:t>
      </w:r>
    </w:p>
    <w:p>
      <w:pPr>
        <w:pStyle w:val="Style29"/>
        <w:keepNext w:val="0"/>
        <w:keepLines w:val="0"/>
        <w:widowControl w:val="0"/>
        <w:shd w:val="clear" w:color="auto" w:fill="auto"/>
        <w:bidi w:val="0"/>
        <w:spacing w:before="0" w:after="0"/>
        <w:ind w:left="0" w:right="0" w:firstLine="380"/>
        <w:jc w:val="both"/>
      </w:pPr>
      <w:r>
        <w:rPr>
          <w:color w:val="000000"/>
          <w:spacing w:val="0"/>
          <w:w w:val="100"/>
          <w:position w:val="0"/>
        </w:rPr>
        <w:t>随着互联网的普及和发展，保护个人信息的重要性不断提高，公司高度重视信息安全及个人隐私信息保护，将信息安全 管理作为公司发展的重要支撑之一，不断优化提升，竭力保障信息安全及用户的安全权益。</w:t>
      </w:r>
    </w:p>
    <w:p>
      <w:pPr>
        <w:pStyle w:val="Style29"/>
        <w:keepNext w:val="0"/>
        <w:keepLines w:val="0"/>
        <w:widowControl w:val="0"/>
        <w:shd w:val="clear" w:color="auto" w:fill="auto"/>
        <w:tabs>
          <w:tab w:pos="764" w:val="left"/>
        </w:tabs>
        <w:bidi w:val="0"/>
        <w:spacing w:before="0" w:after="0" w:line="314" w:lineRule="exact"/>
        <w:ind w:left="0" w:right="0" w:firstLine="380"/>
        <w:jc w:val="both"/>
      </w:pPr>
      <w:bookmarkStart w:id="506" w:name="bookmark506"/>
      <w:r>
        <w:rPr>
          <w:color w:val="000000"/>
          <w:spacing w:val="0"/>
          <w:w w:val="100"/>
          <w:position w:val="0"/>
        </w:rPr>
        <w:t>（</w:t>
      </w:r>
      <w:bookmarkEnd w:id="50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落实制造强国战略，促进软件产业高质量发展</w:t>
      </w:r>
    </w:p>
    <w:p>
      <w:pPr>
        <w:pStyle w:val="Style29"/>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为落实制造强国战略，打响上海软件品牌企业与产品，加强软件企业竞争力宣传力度，上海市软件行业协会于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月下旬开展了上海市软件核心竞争力企业评选工作。万达信息和子公司上海万达信息系统有限公司积极参与申报，并同时获 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年上海市软件核心竞争力企业（规模型）匚万达信息已连续四年蝉联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上海市软件核心竞争力企业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称号，子公司上 海万达信息系统有限公司自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年起开始申报，连续两年获得该荣誉。</w:t>
      </w:r>
    </w:p>
    <w:p>
      <w:pPr>
        <w:pStyle w:val="Style24"/>
        <w:keepNext/>
        <w:keepLines/>
        <w:widowControl w:val="0"/>
        <w:shd w:val="clear" w:color="auto" w:fill="auto"/>
        <w:bidi w:val="0"/>
        <w:spacing w:before="0" w:after="280" w:line="240" w:lineRule="auto"/>
        <w:ind w:left="0" w:right="0" w:firstLine="0"/>
        <w:jc w:val="left"/>
      </w:pPr>
      <w:bookmarkStart w:id="507" w:name="bookmark507"/>
      <w:bookmarkStart w:id="508" w:name="bookmark508"/>
      <w:bookmarkStart w:id="509" w:name="bookmark509"/>
      <w:bookmarkStart w:id="510" w:name="bookmark510"/>
      <w:r>
        <w:rPr>
          <w:color w:val="000000"/>
          <w:spacing w:val="0"/>
          <w:w w:val="100"/>
          <w:position w:val="0"/>
        </w:rPr>
        <w:t>三</w:t>
      </w:r>
      <w:bookmarkEnd w:id="509"/>
      <w:r>
        <w:rPr>
          <w:color w:val="000000"/>
          <w:spacing w:val="0"/>
          <w:w w:val="100"/>
          <w:position w:val="0"/>
        </w:rPr>
        <w:t>、巩固拓展脱贫攻坚成果、乡村振兴的情况</w:t>
      </w:r>
      <w:bookmarkEnd w:id="507"/>
      <w:bookmarkEnd w:id="508"/>
      <w:bookmarkEnd w:id="510"/>
    </w:p>
    <w:p>
      <w:pPr>
        <w:pStyle w:val="Style2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蛮牛健康依托万达信息多年技术和资源积累，积极探索医疗健康产业数字化升级和场景延伸，面向法人客户推出了战略 项目一蛮牛健康小屋（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健康微诊室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）。报告期内，蛮牛健康小屋</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版升级迭代，实现整合大数据、互联网与智能终端 提供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一站式数字化健康管理平台。蛮牛健康小屋通过融入中国人寿科技助力乡村振兴项目，积极推动优质医疗资 源下沉，为基层提供智慧医疗、健康管理服务，以科技手段助力提升乡村医疗信息化和村医服务水平。</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报告期内，蛮牛健康通过不断提升供应链数字化服务能力以及资源整合能力，成功通过电商助农、企划营销助力乡村名 优特新农产品打开销路，以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手段激活乡村农业发展经济新活力。</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年，蛮牛健康成功入选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中国电商乡村振兴联 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'成员，入围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中国乡村振兴产业实践榜</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强榜单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br w:type="page"/>
      </w:r>
    </w:p>
    <w:p>
      <w:pPr>
        <w:pStyle w:val="Style9"/>
        <w:keepNext/>
        <w:keepLines/>
        <w:widowControl w:val="0"/>
        <w:shd w:val="clear" w:color="auto" w:fill="auto"/>
        <w:bidi w:val="0"/>
        <w:spacing w:before="0" w:after="540" w:line="240" w:lineRule="auto"/>
        <w:ind w:left="0" w:right="0" w:firstLine="0"/>
        <w:jc w:val="center"/>
      </w:pPr>
      <w:bookmarkStart w:id="511" w:name="bookmark511"/>
      <w:bookmarkStart w:id="512" w:name="bookmark512"/>
      <w:bookmarkStart w:id="513" w:name="bookmark513"/>
      <w:r>
        <w:rPr>
          <w:color w:val="000000"/>
          <w:spacing w:val="0"/>
          <w:w w:val="100"/>
          <w:position w:val="0"/>
        </w:rPr>
        <w:t>第六节重要事项</w:t>
      </w:r>
      <w:bookmarkEnd w:id="511"/>
      <w:bookmarkEnd w:id="512"/>
      <w:bookmarkEnd w:id="513"/>
    </w:p>
    <w:p>
      <w:pPr>
        <w:pStyle w:val="Style24"/>
        <w:keepNext/>
        <w:keepLines/>
        <w:widowControl w:val="0"/>
        <w:shd w:val="clear" w:color="auto" w:fill="auto"/>
        <w:bidi w:val="0"/>
        <w:spacing w:before="0" w:after="300" w:line="240" w:lineRule="auto"/>
        <w:ind w:left="0" w:right="0" w:firstLine="0"/>
        <w:jc w:val="left"/>
      </w:pPr>
      <w:bookmarkStart w:id="514" w:name="bookmark514"/>
      <w:bookmarkStart w:id="515" w:name="bookmark515"/>
      <w:bookmarkStart w:id="516" w:name="bookmark516"/>
      <w:bookmarkStart w:id="517" w:name="bookmark517"/>
      <w:bookmarkStart w:id="518" w:name="bookmark518"/>
      <w:r>
        <w:rPr>
          <w:color w:val="000000"/>
          <w:spacing w:val="0"/>
          <w:w w:val="100"/>
          <w:position w:val="0"/>
        </w:rPr>
        <w:t>一</w:t>
      </w:r>
      <w:bookmarkEnd w:id="517"/>
      <w:r>
        <w:rPr>
          <w:color w:val="000000"/>
          <w:spacing w:val="0"/>
          <w:w w:val="100"/>
          <w:position w:val="0"/>
        </w:rPr>
        <w:t>、承诺事项履行情况</w:t>
      </w:r>
      <w:bookmarkEnd w:id="515"/>
      <w:bookmarkEnd w:id="516"/>
      <w:bookmarkEnd w:id="518"/>
      <w:bookmarkEnd w:id="514"/>
    </w:p>
    <w:p>
      <w:pPr>
        <w:pStyle w:val="Style33"/>
        <w:keepNext/>
        <w:keepLines/>
        <w:widowControl w:val="0"/>
        <w:shd w:val="clear" w:color="auto" w:fill="auto"/>
        <w:bidi w:val="0"/>
        <w:spacing w:before="0" w:after="360" w:line="312" w:lineRule="exact"/>
        <w:ind w:left="0" w:right="0" w:firstLine="0"/>
        <w:jc w:val="left"/>
      </w:pPr>
      <w:bookmarkStart w:id="519" w:name="bookmark519"/>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1</w:t>
      </w:r>
      <w:bookmarkEnd w:id="521"/>
      <w:r>
        <w:rPr>
          <w:color w:val="000000"/>
          <w:spacing w:val="0"/>
          <w:w w:val="100"/>
          <w:position w:val="0"/>
        </w:rPr>
        <w:t>、公司实际控制人、股东、关联方、收购人以及公司等承诺相关方在报告期内履行完毕及截至报告期末 尚未履行完毕的承诺事项</w:t>
      </w:r>
      <w:bookmarkEnd w:id="519"/>
      <w:bookmarkEnd w:id="520"/>
      <w:bookmarkEnd w:id="522"/>
    </w:p>
    <w:p>
      <w:pPr>
        <w:pStyle w:val="Style2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寸</w:t>
      </w:r>
      <w:r>
        <w:rPr>
          <w:rFonts w:ascii="SimSun" w:eastAsia="SimSun" w:hAnsi="SimSun" w:cs="SimSun"/>
          <w:color w:val="000000"/>
          <w:spacing w:val="0"/>
          <w:w w:val="100"/>
          <w:position w:val="0"/>
          <w:sz w:val="17"/>
          <w:szCs w:val="17"/>
        </w:rPr>
        <w:t>适用</w:t>
      </w:r>
      <w:r>
        <w:rPr>
          <w:rFonts w:ascii="SimSun" w:eastAsia="SimSun" w:hAnsi="SimSun" w:cs="SimSun"/>
          <w:color w:val="000000"/>
          <w:spacing w:val="0"/>
          <w:w w:val="100"/>
          <w:position w:val="0"/>
          <w:sz w:val="18"/>
          <w:szCs w:val="18"/>
        </w:rPr>
        <w:t>口</w:t>
      </w:r>
      <w:r>
        <w:rPr>
          <w:rFonts w:ascii="SimSun" w:eastAsia="SimSun" w:hAnsi="SimSun" w:cs="SimSun"/>
          <w:color w:val="000000"/>
          <w:spacing w:val="0"/>
          <w:w w:val="100"/>
          <w:position w:val="0"/>
          <w:sz w:val="17"/>
          <w:szCs w:val="17"/>
        </w:rPr>
        <w:t>不适用</w:t>
      </w:r>
    </w:p>
    <w:tbl>
      <w:tblPr>
        <w:tblOverlap w:val="never"/>
        <w:jc w:val="center"/>
        <w:tblLayout w:type="fixed"/>
      </w:tblPr>
      <w:tblGrid>
        <w:gridCol w:w="1426"/>
        <w:gridCol w:w="566"/>
        <w:gridCol w:w="576"/>
        <w:gridCol w:w="4814"/>
        <w:gridCol w:w="854"/>
        <w:gridCol w:w="432"/>
        <w:gridCol w:w="922"/>
      </w:tblGrid>
      <w:tr>
        <w:trPr>
          <w:trHeight w:val="73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承诺来源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承诺 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承诺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承诺时间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承诺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期限</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履行情况</w:t>
            </w:r>
          </w:p>
        </w:tc>
      </w:tr>
      <w:tr>
        <w:trPr>
          <w:trHeight w:val="811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其他对公司中小 股东所作承诺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万达 信息 股份 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分红</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公司利润分配政策为：</w:t>
            </w:r>
          </w:p>
          <w:p>
            <w:pPr>
              <w:pStyle w:val="Style2"/>
              <w:keepNext w:val="0"/>
              <w:keepLines w:val="0"/>
              <w:widowControl w:val="0"/>
              <w:shd w:val="clear" w:color="auto" w:fill="auto"/>
              <w:tabs>
                <w:tab w:pos="307" w:val="left"/>
              </w:tabs>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sz w:val="17"/>
                <w:szCs w:val="17"/>
              </w:rPr>
              <w:t>利润分配原则：公司利润分配应重视对投资者的合理投资 回报，利润分配政策应保持连续性和稳定性，并兼顾公司的 可持续发展；</w:t>
            </w:r>
          </w:p>
          <w:p>
            <w:pPr>
              <w:pStyle w:val="Style2"/>
              <w:keepNext w:val="0"/>
              <w:keepLines w:val="0"/>
              <w:widowControl w:val="0"/>
              <w:shd w:val="clear" w:color="auto" w:fill="auto"/>
              <w:tabs>
                <w:tab w:pos="307" w:val="left"/>
              </w:tabs>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二</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sz w:val="17"/>
                <w:szCs w:val="17"/>
              </w:rPr>
              <w:t>利润分配条件：公司上一会计年度盈利，累计可分配利润 为正数，且不存在影响利润分配的重大投资计划或现金支出 事项；</w:t>
            </w:r>
          </w:p>
          <w:p>
            <w:pPr>
              <w:pStyle w:val="Style2"/>
              <w:keepNext w:val="0"/>
              <w:keepLines w:val="0"/>
              <w:widowControl w:val="0"/>
              <w:shd w:val="clear" w:color="auto" w:fill="auto"/>
              <w:tabs>
                <w:tab w:pos="307" w:val="left"/>
              </w:tabs>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三</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sz w:val="17"/>
                <w:szCs w:val="17"/>
              </w:rPr>
              <w:t>利润分配形式：公司可以采取现金、股票或者现金与股票 相结合的方式分配股利，并积极推行以现金方式分配股利；</w:t>
            </w:r>
          </w:p>
          <w:p>
            <w:pPr>
              <w:pStyle w:val="Style2"/>
              <w:keepNext w:val="0"/>
              <w:keepLines w:val="0"/>
              <w:widowControl w:val="0"/>
              <w:shd w:val="clear" w:color="auto" w:fill="auto"/>
              <w:tabs>
                <w:tab w:pos="307" w:val="left"/>
              </w:tabs>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四</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sz w:val="17"/>
                <w:szCs w:val="17"/>
              </w:rPr>
              <w:t>利润分配期间：公司原则上按年进行利润分配；在有条件 的情况下，公司可以进行中期利润分配和特别利润分配；</w:t>
            </w:r>
          </w:p>
          <w:p>
            <w:pPr>
              <w:pStyle w:val="Style2"/>
              <w:keepNext w:val="0"/>
              <w:keepLines w:val="0"/>
              <w:widowControl w:val="0"/>
              <w:shd w:val="clear" w:color="auto" w:fill="auto"/>
              <w:tabs>
                <w:tab w:pos="307" w:val="left"/>
              </w:tabs>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五</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sz w:val="17"/>
                <w:szCs w:val="17"/>
              </w:rPr>
              <w:t>现金分红条件：除非不符合本条第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款规定的利润分配 条件，否则公司每年应当至少以现金方式分配利润一次；</w:t>
            </w:r>
          </w:p>
          <w:p>
            <w:pPr>
              <w:pStyle w:val="Style2"/>
              <w:keepNext w:val="0"/>
              <w:keepLines w:val="0"/>
              <w:widowControl w:val="0"/>
              <w:shd w:val="clear" w:color="auto" w:fill="auto"/>
              <w:tabs>
                <w:tab w:pos="307" w:val="left"/>
              </w:tabs>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六</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sz w:val="17"/>
                <w:szCs w:val="17"/>
              </w:rPr>
              <w:t>股票分红条件：公司根据盈利情况和现金流状况，为满足 股本扩张的需要或合理调整股本规模和股权结构，可以采取 股票方式分配利润；</w:t>
            </w:r>
          </w:p>
          <w:p>
            <w:pPr>
              <w:pStyle w:val="Style2"/>
              <w:keepNext w:val="0"/>
              <w:keepLines w:val="0"/>
              <w:widowControl w:val="0"/>
              <w:shd w:val="clear" w:color="auto" w:fill="auto"/>
              <w:tabs>
                <w:tab w:pos="307" w:val="left"/>
              </w:tabs>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七</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sz w:val="17"/>
                <w:szCs w:val="17"/>
              </w:rPr>
              <w:t>现金分红比例：公司每年以现金形式分配的利润不少于当 年实现的可供分配利润的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 xml:space="preserve">；公司最近三年以现金形式累 计分配的利润不少于最近三年实现的年均可供分配利润的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w:t>
            </w:r>
          </w:p>
          <w:p>
            <w:pPr>
              <w:pStyle w:val="Style2"/>
              <w:keepNext w:val="0"/>
              <w:keepLines w:val="0"/>
              <w:widowControl w:val="0"/>
              <w:shd w:val="clear" w:color="auto" w:fill="auto"/>
              <w:tabs>
                <w:tab w:pos="307" w:val="left"/>
              </w:tabs>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八</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sz w:val="17"/>
                <w:szCs w:val="17"/>
              </w:rPr>
              <w:t>若存在股东违规占用公司资金情况的，公司应当扣减该股 东所分配的现金红利，以偿还其占用的资金；</w:t>
            </w:r>
          </w:p>
          <w:p>
            <w:pPr>
              <w:pStyle w:val="Style2"/>
              <w:keepNext w:val="0"/>
              <w:keepLines w:val="0"/>
              <w:widowControl w:val="0"/>
              <w:shd w:val="clear" w:color="auto" w:fill="auto"/>
              <w:tabs>
                <w:tab w:pos="317" w:val="left"/>
              </w:tabs>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九</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sz w:val="17"/>
                <w:szCs w:val="17"/>
              </w:rPr>
              <w:t>若公司上一会计年度盈利但董事会未做出现金分红具体 方案的</w:t>
            </w:r>
            <w:r>
              <w:rPr>
                <w:color w:val="000000"/>
                <w:spacing w:val="0"/>
                <w:w w:val="100"/>
                <w:position w:val="0"/>
                <w:sz w:val="18"/>
                <w:szCs w:val="18"/>
              </w:rPr>
              <w:t>，</w:t>
            </w:r>
            <w:r>
              <w:rPr>
                <w:color w:val="000000"/>
                <w:spacing w:val="0"/>
                <w:w w:val="100"/>
                <w:position w:val="0"/>
                <w:sz w:val="17"/>
                <w:szCs w:val="17"/>
              </w:rPr>
              <w:t>应在定期报告中说明未进行现金分红的原因、未用于 现金分红的资金留存公司的用途和使用计划；独立董事应对 此发表独立意见。</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正常履行 中</w:t>
            </w:r>
          </w:p>
        </w:tc>
      </w:tr>
      <w:tr>
        <w:trPr>
          <w:trHeight w:val="408" w:hRule="exact"/>
        </w:trPr>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承诺是否按时履行</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1032" w:hRule="exact"/>
        </w:trPr>
        <w:tc>
          <w:tcPr>
            <w:gridSpan w:val="3"/>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如承诺超期未履行完毕的，应当 详细说明未完成履行的具体原 因及下一步的工作计划</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pStyle w:val="Style33"/>
        <w:keepNext/>
        <w:keepLines/>
        <w:widowControl w:val="0"/>
        <w:shd w:val="clear" w:color="auto" w:fill="auto"/>
        <w:bidi w:val="0"/>
        <w:spacing w:before="0" w:after="380" w:line="317" w:lineRule="exact"/>
        <w:ind w:left="0" w:right="0" w:firstLine="0"/>
        <w:jc w:val="left"/>
      </w:pPr>
      <w:bookmarkStart w:id="523" w:name="bookmark523"/>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2</w:t>
      </w:r>
      <w:bookmarkEnd w:id="525"/>
      <w:r>
        <w:rPr>
          <w:color w:val="000000"/>
          <w:spacing w:val="0"/>
          <w:w w:val="100"/>
          <w:position w:val="0"/>
        </w:rPr>
        <w:t>、公司资产或项目存在盈利预测，且报告期仍处在盈利预测期间，公司就资产或项目达到原盈利预测及 其原因做出说明</w:t>
      </w:r>
      <w:bookmarkEnd w:id="523"/>
      <w:bookmarkEnd w:id="524"/>
      <w:bookmarkEnd w:id="526"/>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380" w:line="240" w:lineRule="auto"/>
        <w:ind w:left="0" w:right="0" w:firstLine="0"/>
        <w:jc w:val="left"/>
      </w:pPr>
      <w:bookmarkStart w:id="527" w:name="bookmark527"/>
      <w:bookmarkStart w:id="528" w:name="bookmark528"/>
      <w:bookmarkStart w:id="529" w:name="bookmark529"/>
      <w:bookmarkStart w:id="530" w:name="bookmark530"/>
      <w:r>
        <w:rPr>
          <w:color w:val="000000"/>
          <w:spacing w:val="0"/>
          <w:w w:val="100"/>
          <w:position w:val="0"/>
        </w:rPr>
        <w:t>二</w:t>
      </w:r>
      <w:bookmarkEnd w:id="529"/>
      <w:r>
        <w:rPr>
          <w:color w:val="000000"/>
          <w:spacing w:val="0"/>
          <w:w w:val="100"/>
          <w:position w:val="0"/>
        </w:rPr>
        <w:t>、</w:t>
        <w:tab/>
        <w:t>控股股东及其他关联方对上市公司的非经营性占用资金情况</w:t>
      </w:r>
      <w:bookmarkEnd w:id="527"/>
      <w:bookmarkEnd w:id="528"/>
      <w:bookmarkEnd w:id="530"/>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24"/>
        <w:keepNext/>
        <w:keepLines/>
        <w:widowControl w:val="0"/>
        <w:shd w:val="clear" w:color="auto" w:fill="auto"/>
        <w:tabs>
          <w:tab w:pos="517" w:val="left"/>
        </w:tabs>
        <w:bidi w:val="0"/>
        <w:spacing w:before="0" w:after="380" w:line="240" w:lineRule="auto"/>
        <w:ind w:left="0" w:right="0" w:firstLine="0"/>
        <w:jc w:val="left"/>
      </w:pPr>
      <w:bookmarkStart w:id="531" w:name="bookmark531"/>
      <w:bookmarkStart w:id="532" w:name="bookmark532"/>
      <w:bookmarkStart w:id="533" w:name="bookmark533"/>
      <w:bookmarkStart w:id="534" w:name="bookmark534"/>
      <w:r>
        <w:rPr>
          <w:color w:val="000000"/>
          <w:spacing w:val="0"/>
          <w:w w:val="100"/>
          <w:position w:val="0"/>
        </w:rPr>
        <w:t>三</w:t>
      </w:r>
      <w:bookmarkEnd w:id="533"/>
      <w:r>
        <w:rPr>
          <w:color w:val="000000"/>
          <w:spacing w:val="0"/>
          <w:w w:val="100"/>
          <w:position w:val="0"/>
        </w:rPr>
        <w:t>、</w:t>
        <w:tab/>
        <w:t>违规对外担保情况</w:t>
      </w:r>
      <w:bookmarkEnd w:id="531"/>
      <w:bookmarkEnd w:id="532"/>
      <w:bookmarkEnd w:id="534"/>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24"/>
        <w:keepNext/>
        <w:keepLines/>
        <w:widowControl w:val="0"/>
        <w:shd w:val="clear" w:color="auto" w:fill="auto"/>
        <w:tabs>
          <w:tab w:pos="517" w:val="left"/>
        </w:tabs>
        <w:bidi w:val="0"/>
        <w:spacing w:before="0" w:after="380" w:line="240" w:lineRule="auto"/>
        <w:ind w:left="0" w:right="0" w:firstLine="0"/>
        <w:jc w:val="left"/>
      </w:pPr>
      <w:bookmarkStart w:id="535" w:name="bookmark535"/>
      <w:bookmarkStart w:id="536" w:name="bookmark536"/>
      <w:bookmarkStart w:id="537" w:name="bookmark537"/>
      <w:bookmarkStart w:id="538" w:name="bookmark538"/>
      <w:r>
        <w:rPr>
          <w:color w:val="000000"/>
          <w:spacing w:val="0"/>
          <w:w w:val="100"/>
          <w:position w:val="0"/>
        </w:rPr>
        <w:t>四</w:t>
      </w:r>
      <w:bookmarkEnd w:id="537"/>
      <w:r>
        <w:rPr>
          <w:color w:val="000000"/>
          <w:spacing w:val="0"/>
          <w:w w:val="100"/>
          <w:position w:val="0"/>
        </w:rPr>
        <w:t>、</w:t>
        <w:tab/>
        <w:t>董事会对最近一期</w:t>
      </w:r>
      <w:r>
        <w:rPr>
          <w:rFonts w:ascii="SimHei" w:eastAsia="SimHei" w:hAnsi="SimHei" w:cs="SimHei"/>
          <w:b w:val="0"/>
          <w:bCs w:val="0"/>
          <w:color w:val="000000"/>
          <w:spacing w:val="0"/>
          <w:w w:val="100"/>
          <w:position w:val="0"/>
          <w:sz w:val="17"/>
          <w:szCs w:val="17"/>
        </w:rPr>
        <w:t>“</w:t>
      </w:r>
      <w:r>
        <w:rPr>
          <w:color w:val="000000"/>
          <w:spacing w:val="0"/>
          <w:w w:val="100"/>
          <w:position w:val="0"/>
        </w:rPr>
        <w:t>非标准审计报告</w:t>
      </w:r>
      <w:r>
        <w:rPr>
          <w:rFonts w:ascii="SimHei" w:eastAsia="SimHei" w:hAnsi="SimHei" w:cs="SimHei"/>
          <w:b w:val="0"/>
          <w:bCs w:val="0"/>
          <w:color w:val="000000"/>
          <w:spacing w:val="0"/>
          <w:w w:val="100"/>
          <w:position w:val="0"/>
          <w:sz w:val="17"/>
          <w:szCs w:val="17"/>
        </w:rPr>
        <w:t>”</w:t>
      </w:r>
      <w:r>
        <w:rPr>
          <w:color w:val="000000"/>
          <w:spacing w:val="0"/>
          <w:w w:val="100"/>
          <w:position w:val="0"/>
        </w:rPr>
        <w:t>相关情况的说明</w:t>
      </w:r>
      <w:bookmarkEnd w:id="535"/>
      <w:bookmarkEnd w:id="536"/>
      <w:bookmarkEnd w:id="538"/>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380" w:line="240" w:lineRule="auto"/>
        <w:ind w:left="0" w:right="0" w:firstLine="0"/>
        <w:jc w:val="both"/>
      </w:pPr>
      <w:bookmarkStart w:id="539" w:name="bookmark539"/>
      <w:bookmarkStart w:id="540" w:name="bookmark540"/>
      <w:bookmarkStart w:id="541" w:name="bookmark541"/>
      <w:bookmarkStart w:id="542" w:name="bookmark542"/>
      <w:r>
        <w:rPr>
          <w:color w:val="000000"/>
          <w:spacing w:val="0"/>
          <w:w w:val="100"/>
          <w:position w:val="0"/>
        </w:rPr>
        <w:t>五</w:t>
      </w:r>
      <w:bookmarkEnd w:id="541"/>
      <w:r>
        <w:rPr>
          <w:color w:val="000000"/>
          <w:spacing w:val="0"/>
          <w:w w:val="100"/>
          <w:position w:val="0"/>
        </w:rPr>
        <w:t>、</w:t>
        <w:tab/>
        <w:t>董事会、监事会、独立董事（如有）对会计师事务所本报告期</w:t>
      </w:r>
      <w:r>
        <w:rPr>
          <w:rFonts w:ascii="SimHei" w:eastAsia="SimHei" w:hAnsi="SimHei" w:cs="SimHei"/>
          <w:b w:val="0"/>
          <w:bCs w:val="0"/>
          <w:color w:val="000000"/>
          <w:spacing w:val="0"/>
          <w:w w:val="100"/>
          <w:position w:val="0"/>
          <w:sz w:val="17"/>
          <w:szCs w:val="17"/>
        </w:rPr>
        <w:t>“</w:t>
      </w:r>
      <w:r>
        <w:rPr>
          <w:color w:val="000000"/>
          <w:spacing w:val="0"/>
          <w:w w:val="100"/>
          <w:position w:val="0"/>
        </w:rPr>
        <w:t>非标准审计报告</w:t>
      </w:r>
      <w:r>
        <w:rPr>
          <w:rFonts w:ascii="SimHei" w:eastAsia="SimHei" w:hAnsi="SimHei" w:cs="SimHei"/>
          <w:b w:val="0"/>
          <w:bCs w:val="0"/>
          <w:color w:val="000000"/>
          <w:spacing w:val="0"/>
          <w:w w:val="100"/>
          <w:position w:val="0"/>
          <w:sz w:val="17"/>
          <w:szCs w:val="17"/>
        </w:rPr>
        <w:t>”</w:t>
      </w:r>
      <w:r>
        <w:rPr>
          <w:color w:val="000000"/>
          <w:spacing w:val="0"/>
          <w:w w:val="100"/>
          <w:position w:val="0"/>
        </w:rPr>
        <w:t>的说明</w:t>
      </w:r>
      <w:bookmarkEnd w:id="539"/>
      <w:bookmarkEnd w:id="540"/>
      <w:bookmarkEnd w:id="542"/>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380" w:line="240" w:lineRule="auto"/>
        <w:ind w:left="0" w:right="0" w:firstLine="0"/>
        <w:jc w:val="both"/>
      </w:pPr>
      <w:bookmarkStart w:id="543" w:name="bookmark543"/>
      <w:bookmarkStart w:id="544" w:name="bookmark544"/>
      <w:bookmarkStart w:id="545" w:name="bookmark545"/>
      <w:bookmarkStart w:id="546" w:name="bookmark546"/>
      <w:r>
        <w:rPr>
          <w:color w:val="000000"/>
          <w:spacing w:val="0"/>
          <w:w w:val="100"/>
          <w:position w:val="0"/>
        </w:rPr>
        <w:t>六</w:t>
      </w:r>
      <w:bookmarkEnd w:id="545"/>
      <w:r>
        <w:rPr>
          <w:color w:val="000000"/>
          <w:spacing w:val="0"/>
          <w:w w:val="100"/>
          <w:position w:val="0"/>
        </w:rPr>
        <w:t>、</w:t>
        <w:tab/>
        <w:t>董事会关于报告期会计政策、会计估计变更或重大会计差错更正的说明</w:t>
      </w:r>
      <w:bookmarkEnd w:id="543"/>
      <w:bookmarkEnd w:id="544"/>
      <w:bookmarkEnd w:id="546"/>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22" w:val="left"/>
        </w:tabs>
        <w:bidi w:val="0"/>
        <w:spacing w:before="0" w:after="380" w:line="240" w:lineRule="auto"/>
        <w:ind w:left="0" w:right="0" w:firstLine="0"/>
        <w:jc w:val="left"/>
      </w:pPr>
      <w:bookmarkStart w:id="547" w:name="bookmark547"/>
      <w:bookmarkStart w:id="548" w:name="bookmark548"/>
      <w:bookmarkStart w:id="549" w:name="bookmark549"/>
      <w:bookmarkStart w:id="550" w:name="bookmark550"/>
      <w:r>
        <w:rPr>
          <w:color w:val="000000"/>
          <w:spacing w:val="0"/>
          <w:w w:val="100"/>
          <w:position w:val="0"/>
        </w:rPr>
        <w:t>七</w:t>
      </w:r>
      <w:bookmarkEnd w:id="549"/>
      <w:r>
        <w:rPr>
          <w:color w:val="000000"/>
          <w:spacing w:val="0"/>
          <w:w w:val="100"/>
          <w:position w:val="0"/>
        </w:rPr>
        <w:t>、</w:t>
        <w:tab/>
        <w:t>与上年度财务报告相比，合并报表范围发生变化的情况说明</w:t>
      </w:r>
      <w:bookmarkEnd w:id="547"/>
      <w:bookmarkEnd w:id="548"/>
      <w:bookmarkEnd w:id="550"/>
    </w:p>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60" w:line="240" w:lineRule="auto"/>
        <w:ind w:left="0" w:right="0" w:firstLine="480"/>
        <w:jc w:val="left"/>
      </w:pPr>
      <w:r>
        <w:rPr>
          <w:color w:val="000000"/>
          <w:spacing w:val="0"/>
          <w:w w:val="100"/>
          <w:position w:val="0"/>
        </w:rPr>
        <w:t>公司本年度处置子公司</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家，为上海慈铭智能网络科技有限责任公司。</w:t>
      </w:r>
    </w:p>
    <w:p>
      <w:pPr>
        <w:pStyle w:val="Style29"/>
        <w:keepNext w:val="0"/>
        <w:keepLines w:val="0"/>
        <w:widowControl w:val="0"/>
        <w:shd w:val="clear" w:color="auto" w:fill="auto"/>
        <w:bidi w:val="0"/>
        <w:spacing w:before="0" w:after="160" w:line="240" w:lineRule="auto"/>
        <w:ind w:left="0" w:right="0" w:firstLine="480"/>
        <w:jc w:val="left"/>
      </w:pPr>
      <w:r>
        <w:rPr>
          <w:color w:val="000000"/>
          <w:spacing w:val="0"/>
          <w:w w:val="100"/>
          <w:position w:val="0"/>
        </w:rPr>
        <w:t>公司本年度新设立子公司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家，分别为加数度数字科技有限公司与健康云（上海）数字科技有限公司。</w:t>
      </w:r>
    </w:p>
    <w:p>
      <w:pPr>
        <w:pStyle w:val="Style29"/>
        <w:keepNext w:val="0"/>
        <w:keepLines w:val="0"/>
        <w:widowControl w:val="0"/>
        <w:shd w:val="clear" w:color="auto" w:fill="auto"/>
        <w:bidi w:val="0"/>
        <w:spacing w:before="0" w:after="380" w:line="240" w:lineRule="auto"/>
        <w:ind w:left="0" w:right="0" w:firstLine="480"/>
        <w:jc w:val="left"/>
      </w:pPr>
      <w:r>
        <w:rPr>
          <w:color w:val="000000"/>
          <w:spacing w:val="0"/>
          <w:w w:val="100"/>
          <w:position w:val="0"/>
        </w:rPr>
        <w:t>公司本年度注销子公司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家，分别为河南万达软件技术有限公司与上海药荟商务咨询有限公司。</w:t>
      </w:r>
    </w:p>
    <w:p>
      <w:pPr>
        <w:pStyle w:val="Style24"/>
        <w:keepNext/>
        <w:keepLines/>
        <w:widowControl w:val="0"/>
        <w:shd w:val="clear" w:color="auto" w:fill="auto"/>
        <w:tabs>
          <w:tab w:pos="522" w:val="left"/>
        </w:tabs>
        <w:bidi w:val="0"/>
        <w:spacing w:before="0" w:after="380" w:line="240" w:lineRule="auto"/>
        <w:ind w:left="0" w:right="0" w:firstLine="0"/>
        <w:jc w:val="left"/>
      </w:pPr>
      <w:bookmarkStart w:id="551" w:name="bookmark551"/>
      <w:bookmarkStart w:id="552" w:name="bookmark552"/>
      <w:bookmarkStart w:id="553" w:name="bookmark553"/>
      <w:bookmarkStart w:id="554" w:name="bookmark554"/>
      <w:r>
        <w:rPr>
          <w:color w:val="000000"/>
          <w:spacing w:val="0"/>
          <w:w w:val="100"/>
          <w:position w:val="0"/>
        </w:rPr>
        <w:t>八</w:t>
      </w:r>
      <w:bookmarkEnd w:id="553"/>
      <w:r>
        <w:rPr>
          <w:color w:val="000000"/>
          <w:spacing w:val="0"/>
          <w:w w:val="100"/>
          <w:position w:val="0"/>
        </w:rPr>
        <w:t>、</w:t>
        <w:tab/>
        <w:t>聘任、解聘会计师事务所情况</w:t>
      </w:r>
      <w:bookmarkEnd w:id="551"/>
      <w:bookmarkEnd w:id="552"/>
      <w:bookmarkEnd w:id="554"/>
    </w:p>
    <w:p>
      <w:pPr>
        <w:pStyle w:val="Style2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现聘任的会计事务所</w:t>
      </w:r>
    </w:p>
    <w:tbl>
      <w:tblPr>
        <w:tblOverlap w:val="never"/>
        <w:jc w:val="center"/>
        <w:tblLayout w:type="fixed"/>
      </w:tblPr>
      <w:tblGrid>
        <w:gridCol w:w="4800"/>
        <w:gridCol w:w="4790"/>
      </w:tblGrid>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立信会计师事务所（特殊普通合伙）</w:t>
            </w:r>
          </w:p>
        </w:tc>
      </w:tr>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128</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年</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赵敏，翟树得</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赵敏</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年，翟树得</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是否改聘会计师事务所</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聘请内部控制审计会计师事务所、财务顾问或保荐人情况</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both"/>
      </w:pPr>
      <w:bookmarkStart w:id="555" w:name="bookmark555"/>
      <w:bookmarkStart w:id="556" w:name="bookmark556"/>
      <w:bookmarkStart w:id="557" w:name="bookmark557"/>
      <w:bookmarkStart w:id="558" w:name="bookmark558"/>
      <w:r>
        <w:rPr>
          <w:color w:val="000000"/>
          <w:spacing w:val="0"/>
          <w:w w:val="100"/>
          <w:position w:val="0"/>
        </w:rPr>
        <w:t>九</w:t>
      </w:r>
      <w:bookmarkEnd w:id="557"/>
      <w:r>
        <w:rPr>
          <w:color w:val="000000"/>
          <w:spacing w:val="0"/>
          <w:w w:val="100"/>
          <w:position w:val="0"/>
        </w:rPr>
        <w:t>、年度报告披露后面临退市情况</w:t>
      </w:r>
      <w:bookmarkEnd w:id="555"/>
      <w:bookmarkEnd w:id="556"/>
      <w:bookmarkEnd w:id="558"/>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both"/>
      </w:pPr>
      <w:bookmarkStart w:id="559" w:name="bookmark559"/>
      <w:bookmarkStart w:id="560" w:name="bookmark560"/>
      <w:bookmarkStart w:id="561" w:name="bookmark561"/>
      <w:r>
        <w:rPr>
          <w:color w:val="000000"/>
          <w:spacing w:val="0"/>
          <w:w w:val="100"/>
          <w:position w:val="0"/>
        </w:rPr>
        <w:t>十、破产重整相关事项</w:t>
      </w:r>
      <w:bookmarkEnd w:id="559"/>
      <w:bookmarkEnd w:id="560"/>
      <w:bookmarkEnd w:id="561"/>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公司报告期未发生破产重整相关事项。</w:t>
      </w:r>
    </w:p>
    <w:p>
      <w:pPr>
        <w:pStyle w:val="Style24"/>
        <w:keepNext/>
        <w:keepLines/>
        <w:widowControl w:val="0"/>
        <w:shd w:val="clear" w:color="auto" w:fill="auto"/>
        <w:bidi w:val="0"/>
        <w:spacing w:before="0" w:after="360" w:line="240" w:lineRule="auto"/>
        <w:ind w:left="0" w:right="0" w:firstLine="0"/>
        <w:jc w:val="both"/>
      </w:pPr>
      <w:bookmarkStart w:id="562" w:name="bookmark562"/>
      <w:bookmarkStart w:id="563" w:name="bookmark563"/>
      <w:bookmarkStart w:id="564" w:name="bookmark564"/>
      <w:r>
        <w:rPr>
          <w:color w:val="000000"/>
          <w:spacing w:val="0"/>
          <w:w w:val="100"/>
          <w:position w:val="0"/>
        </w:rPr>
        <w:t>十一、重大诉讼、仲裁事项</w:t>
      </w:r>
      <w:bookmarkEnd w:id="562"/>
      <w:bookmarkEnd w:id="563"/>
      <w:bookmarkEnd w:id="564"/>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本年度公司无重大诉讼、仲裁事项。</w:t>
      </w:r>
    </w:p>
    <w:p>
      <w:pPr>
        <w:pStyle w:val="Style24"/>
        <w:keepNext/>
        <w:keepLines/>
        <w:widowControl w:val="0"/>
        <w:shd w:val="clear" w:color="auto" w:fill="auto"/>
        <w:bidi w:val="0"/>
        <w:spacing w:before="0" w:after="360" w:line="240" w:lineRule="auto"/>
        <w:ind w:left="0" w:right="0" w:firstLine="0"/>
        <w:jc w:val="both"/>
      </w:pPr>
      <w:bookmarkStart w:id="565" w:name="bookmark565"/>
      <w:bookmarkStart w:id="566" w:name="bookmark566"/>
      <w:bookmarkStart w:id="567" w:name="bookmark567"/>
      <w:r>
        <w:rPr>
          <w:color w:val="000000"/>
          <w:spacing w:val="0"/>
          <w:w w:val="100"/>
          <w:position w:val="0"/>
        </w:rPr>
        <w:t>十二、处罚及整改情况</w:t>
      </w:r>
      <w:bookmarkEnd w:id="565"/>
      <w:bookmarkEnd w:id="566"/>
      <w:bookmarkEnd w:id="567"/>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公司报告期不存在处罚及整改情况。</w:t>
      </w:r>
    </w:p>
    <w:p>
      <w:pPr>
        <w:pStyle w:val="Style24"/>
        <w:keepNext/>
        <w:keepLines/>
        <w:widowControl w:val="0"/>
        <w:shd w:val="clear" w:color="auto" w:fill="auto"/>
        <w:bidi w:val="0"/>
        <w:spacing w:before="0" w:after="360" w:line="240" w:lineRule="auto"/>
        <w:ind w:left="0" w:right="0" w:firstLine="0"/>
        <w:jc w:val="both"/>
      </w:pPr>
      <w:bookmarkStart w:id="568" w:name="bookmark568"/>
      <w:bookmarkStart w:id="569" w:name="bookmark569"/>
      <w:bookmarkStart w:id="570" w:name="bookmark570"/>
      <w:r>
        <w:rPr>
          <w:color w:val="000000"/>
          <w:spacing w:val="0"/>
          <w:w w:val="100"/>
          <w:position w:val="0"/>
        </w:rPr>
        <w:t>十三、公司及其控股股东、实际控制人的诚信状况</w:t>
      </w:r>
      <w:bookmarkEnd w:id="568"/>
      <w:bookmarkEnd w:id="569"/>
      <w:bookmarkEnd w:id="570"/>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both"/>
      </w:pPr>
      <w:bookmarkStart w:id="571" w:name="bookmark571"/>
      <w:bookmarkStart w:id="572" w:name="bookmark572"/>
      <w:bookmarkStart w:id="573" w:name="bookmark573"/>
      <w:r>
        <w:rPr>
          <w:color w:val="000000"/>
          <w:spacing w:val="0"/>
          <w:w w:val="100"/>
          <w:position w:val="0"/>
        </w:rPr>
        <w:t>十四、重大关联交易</w:t>
      </w:r>
      <w:bookmarkEnd w:id="571"/>
      <w:bookmarkEnd w:id="572"/>
      <w:bookmarkEnd w:id="573"/>
    </w:p>
    <w:p>
      <w:pPr>
        <w:pStyle w:val="Style33"/>
        <w:keepNext/>
        <w:keepLines/>
        <w:widowControl w:val="0"/>
        <w:shd w:val="clear" w:color="auto" w:fill="auto"/>
        <w:bidi w:val="0"/>
        <w:spacing w:before="0" w:after="360" w:line="240" w:lineRule="auto"/>
        <w:ind w:left="0" w:right="0" w:firstLine="0"/>
        <w:jc w:val="both"/>
      </w:pPr>
      <w:bookmarkStart w:id="574" w:name="bookmark574"/>
      <w:bookmarkStart w:id="575" w:name="bookmark575"/>
      <w:bookmarkStart w:id="576" w:name="bookmark576"/>
      <w:bookmarkStart w:id="577" w:name="bookmark577"/>
      <w:r>
        <w:rPr>
          <w:rFonts w:ascii="Times New Roman" w:eastAsia="Times New Roman" w:hAnsi="Times New Roman" w:cs="Times New Roman"/>
          <w:color w:val="000000"/>
          <w:spacing w:val="0"/>
          <w:w w:val="100"/>
          <w:position w:val="0"/>
        </w:rPr>
        <w:t>1</w:t>
      </w:r>
      <w:bookmarkEnd w:id="576"/>
      <w:r>
        <w:rPr>
          <w:color w:val="000000"/>
          <w:spacing w:val="0"/>
          <w:w w:val="100"/>
          <w:position w:val="0"/>
        </w:rPr>
        <w:t>、与日常经营相关的关联交易</w:t>
      </w:r>
      <w:bookmarkEnd w:id="574"/>
      <w:bookmarkEnd w:id="575"/>
      <w:bookmarkEnd w:id="577"/>
    </w:p>
    <w:p>
      <w:pPr>
        <w:pStyle w:val="Style29"/>
        <w:keepNext w:val="0"/>
        <w:keepLines w:val="0"/>
        <w:widowControl w:val="0"/>
        <w:shd w:val="clear" w:color="auto" w:fill="auto"/>
        <w:bidi w:val="0"/>
        <w:spacing w:before="0" w:after="4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82"/>
        <w:gridCol w:w="854"/>
        <w:gridCol w:w="850"/>
        <w:gridCol w:w="854"/>
        <w:gridCol w:w="566"/>
        <w:gridCol w:w="706"/>
        <w:gridCol w:w="854"/>
        <w:gridCol w:w="710"/>
        <w:gridCol w:w="850"/>
        <w:gridCol w:w="422"/>
        <w:gridCol w:w="432"/>
        <w:gridCol w:w="710"/>
        <w:gridCol w:w="288"/>
        <w:gridCol w:w="211"/>
      </w:tblGrid>
      <w:tr>
        <w:trPr>
          <w:trHeight w:val="134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关联交易方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关联交易 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关联交易 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关联</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交易 定价 原则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关联交</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易价格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关联交易</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金额（万</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占同类</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交易金</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额的比</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获批的交 易额度 （万元）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是否 超过 获批 额度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关联</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交易</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结算</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可获得 的同类 交易市 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披 露 日 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披 露 索 引</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国菱金达医疗科 技（上海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子公司参</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采购商品</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采购商品</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中国人寿保险股</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份有限公司及其</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分子公司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公司股东 及下属分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购买商业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购买商业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859"/>
        <w:gridCol w:w="850"/>
        <w:gridCol w:w="854"/>
        <w:gridCol w:w="566"/>
        <w:gridCol w:w="706"/>
        <w:gridCol w:w="854"/>
        <w:gridCol w:w="710"/>
        <w:gridCol w:w="850"/>
        <w:gridCol w:w="422"/>
        <w:gridCol w:w="432"/>
        <w:gridCol w:w="710"/>
        <w:gridCol w:w="288"/>
        <w:gridCol w:w="211"/>
      </w:tblGrid>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关联交易方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关联交易 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关联交易 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关联</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交易 定价 原则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关联交</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易价格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关联交易</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金额（万</w:t>
            </w:r>
          </w:p>
          <w:p>
            <w:pPr>
              <w:pStyle w:val="Style2"/>
              <w:keepNext w:val="0"/>
              <w:keepLines w:val="0"/>
              <w:widowControl w:val="0"/>
              <w:shd w:val="clear" w:color="auto" w:fill="auto"/>
              <w:bidi w:val="0"/>
              <w:spacing w:before="0" w:after="120" w:line="240" w:lineRule="auto"/>
              <w:ind w:left="0" w:right="220" w:firstLine="0"/>
              <w:jc w:val="right"/>
              <w:rPr>
                <w:sz w:val="17"/>
                <w:szCs w:val="17"/>
              </w:rPr>
            </w:pPr>
            <w:r>
              <w:rPr>
                <w:color w:val="000000"/>
                <w:spacing w:val="0"/>
                <w:w w:val="100"/>
                <w:position w:val="0"/>
                <w:sz w:val="17"/>
                <w:szCs w:val="17"/>
              </w:rPr>
              <w:t>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占同类</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交易金</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额的比</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获批的交 易额度 （万元）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超过</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获批</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额度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关联</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交易</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结算</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可获得 的同类 交易市 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披 露 日 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披 露 索 引</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中国人寿保险股</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份有限公司及其</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分子公司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公司股东 及下属分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销售商品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销售商品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6,935.36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6,935.36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成都天府市民云 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参股公司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销售商品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销售商品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张家口万达中台</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大数据有限公司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参股公司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7"/>
                <w:szCs w:val="17"/>
              </w:rPr>
              <w:t>销售商品</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7"/>
                <w:szCs w:val="17"/>
              </w:rPr>
              <w:t>销售商品</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927.53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927.53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长沙市民云信息 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参股公司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销售商品</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销售商品</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712.80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712.80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武威市天马行大 数据运营有限公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参股公司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7"/>
                <w:szCs w:val="17"/>
              </w:rPr>
              <w:t>销售商品</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7"/>
                <w:szCs w:val="17"/>
              </w:rPr>
              <w:t>销售商品</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484.64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484.64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景德镇市国信瓷 都市民云信息服 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参股公司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销售商品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销售商品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353.77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353.77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银川市民云服务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参股公司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销售商品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销售商品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160.38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眉山市兴眉科技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参股公司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销售商品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销售商品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临沂容沂办管理 运营有限公司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参股公司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7"/>
                <w:szCs w:val="17"/>
              </w:rPr>
              <w:t>销售商品</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7"/>
                <w:szCs w:val="17"/>
              </w:rPr>
              <w:t>销售商品</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中国人寿保险股 份有限公司成都 保险研修院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子公司法 人之关联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销售商品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销售商品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12,371.44</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12,371.44</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4"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大额销货退回的详细情况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720"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按类别对本期将发生的日常关联交易进行总金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额预计的，在报告期内的实际履行情况（如有）</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720" w:hRule="exact"/>
        </w:trPr>
        <w:tc>
          <w:tcPr>
            <w:gridSpan w:val="4"/>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交易价格与市场参考价格差异较大的原因（如适 用）</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2</w:t>
      </w:r>
      <w:bookmarkEnd w:id="580"/>
      <w:r>
        <w:rPr>
          <w:color w:val="000000"/>
          <w:spacing w:val="0"/>
          <w:w w:val="100"/>
          <w:position w:val="0"/>
        </w:rPr>
        <w:t>、资产或股权收购、出售发生的关联交易</w:t>
      </w:r>
      <w:bookmarkEnd w:id="578"/>
      <w:bookmarkEnd w:id="579"/>
      <w:bookmarkEnd w:id="581"/>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公司报告期未发生资产或股权收购、出售的关联交易。</w:t>
      </w:r>
    </w:p>
    <w:p>
      <w:pPr>
        <w:pStyle w:val="Style33"/>
        <w:keepNext/>
        <w:keepLines/>
        <w:widowControl w:val="0"/>
        <w:shd w:val="clear" w:color="auto" w:fill="auto"/>
        <w:tabs>
          <w:tab w:pos="368" w:val="left"/>
        </w:tabs>
        <w:bidi w:val="0"/>
        <w:spacing w:before="0" w:after="380" w:line="240" w:lineRule="auto"/>
        <w:ind w:left="0" w:right="0" w:firstLine="0"/>
        <w:jc w:val="left"/>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3</w:t>
      </w:r>
      <w:bookmarkEnd w:id="584"/>
      <w:r>
        <w:rPr>
          <w:color w:val="000000"/>
          <w:spacing w:val="0"/>
          <w:w w:val="100"/>
          <w:position w:val="0"/>
        </w:rPr>
        <w:t>、</w:t>
        <w:tab/>
        <w:t>共同对外投资的关联交易</w:t>
      </w:r>
      <w:bookmarkEnd w:id="582"/>
      <w:bookmarkEnd w:id="583"/>
      <w:bookmarkEnd w:id="585"/>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3"/>
        <w:keepNext/>
        <w:keepLines/>
        <w:widowControl w:val="0"/>
        <w:shd w:val="clear" w:color="auto" w:fill="auto"/>
        <w:tabs>
          <w:tab w:pos="368" w:val="left"/>
        </w:tabs>
        <w:bidi w:val="0"/>
        <w:spacing w:before="0" w:after="380" w:line="240" w:lineRule="auto"/>
        <w:ind w:left="0" w:right="0" w:firstLine="0"/>
        <w:jc w:val="left"/>
      </w:pPr>
      <w:bookmarkStart w:id="586" w:name="bookmark586"/>
      <w:bookmarkStart w:id="587" w:name="bookmark587"/>
      <w:bookmarkStart w:id="588" w:name="bookmark588"/>
      <w:bookmarkStart w:id="589" w:name="bookmark589"/>
      <w:r>
        <w:rPr>
          <w:rFonts w:ascii="Times New Roman" w:eastAsia="Times New Roman" w:hAnsi="Times New Roman" w:cs="Times New Roman"/>
          <w:color w:val="000000"/>
          <w:spacing w:val="0"/>
          <w:w w:val="100"/>
          <w:position w:val="0"/>
        </w:rPr>
        <w:t>4</w:t>
      </w:r>
      <w:bookmarkEnd w:id="588"/>
      <w:r>
        <w:rPr>
          <w:color w:val="000000"/>
          <w:spacing w:val="0"/>
          <w:w w:val="100"/>
          <w:position w:val="0"/>
        </w:rPr>
        <w:t>、</w:t>
        <w:tab/>
        <w:t>关联债权债务往来</w:t>
      </w:r>
      <w:bookmarkEnd w:id="586"/>
      <w:bookmarkEnd w:id="587"/>
      <w:bookmarkEnd w:id="589"/>
    </w:p>
    <w:p>
      <w:pPr>
        <w:pStyle w:val="Style29"/>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是否存在非经营性关联债权债务往来</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tabs>
          <w:tab w:pos="368" w:val="left"/>
        </w:tabs>
        <w:bidi w:val="0"/>
        <w:spacing w:before="0" w:after="380" w:line="240" w:lineRule="auto"/>
        <w:ind w:left="0" w:right="0" w:firstLine="0"/>
        <w:jc w:val="left"/>
      </w:pPr>
      <w:bookmarkStart w:id="590" w:name="bookmark590"/>
      <w:bookmarkStart w:id="591" w:name="bookmark591"/>
      <w:bookmarkStart w:id="592" w:name="bookmark592"/>
      <w:bookmarkStart w:id="593" w:name="bookmark593"/>
      <w:r>
        <w:rPr>
          <w:rFonts w:ascii="Times New Roman" w:eastAsia="Times New Roman" w:hAnsi="Times New Roman" w:cs="Times New Roman"/>
          <w:color w:val="000000"/>
          <w:spacing w:val="0"/>
          <w:w w:val="100"/>
          <w:position w:val="0"/>
        </w:rPr>
        <w:t>5</w:t>
      </w:r>
      <w:bookmarkEnd w:id="592"/>
      <w:r>
        <w:rPr>
          <w:color w:val="000000"/>
          <w:spacing w:val="0"/>
          <w:w w:val="100"/>
          <w:position w:val="0"/>
        </w:rPr>
        <w:t>、</w:t>
        <w:tab/>
        <w:t>与存在关联关系的财务公司的往来情况</w:t>
      </w:r>
      <w:bookmarkEnd w:id="590"/>
      <w:bookmarkEnd w:id="591"/>
      <w:bookmarkEnd w:id="593"/>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33"/>
        <w:keepNext/>
        <w:keepLines/>
        <w:widowControl w:val="0"/>
        <w:shd w:val="clear" w:color="auto" w:fill="auto"/>
        <w:tabs>
          <w:tab w:pos="368" w:val="left"/>
        </w:tabs>
        <w:bidi w:val="0"/>
        <w:spacing w:before="0" w:after="380" w:line="240" w:lineRule="auto"/>
        <w:ind w:left="0" w:right="0" w:firstLine="0"/>
        <w:jc w:val="left"/>
      </w:pPr>
      <w:bookmarkStart w:id="594" w:name="bookmark594"/>
      <w:bookmarkStart w:id="595" w:name="bookmark595"/>
      <w:bookmarkStart w:id="596" w:name="bookmark596"/>
      <w:bookmarkStart w:id="597" w:name="bookmark597"/>
      <w:r>
        <w:rPr>
          <w:rFonts w:ascii="Times New Roman" w:eastAsia="Times New Roman" w:hAnsi="Times New Roman" w:cs="Times New Roman"/>
          <w:color w:val="000000"/>
          <w:spacing w:val="0"/>
          <w:w w:val="100"/>
          <w:position w:val="0"/>
        </w:rPr>
        <w:t>6</w:t>
      </w:r>
      <w:bookmarkEnd w:id="596"/>
      <w:r>
        <w:rPr>
          <w:color w:val="000000"/>
          <w:spacing w:val="0"/>
          <w:w w:val="100"/>
          <w:position w:val="0"/>
        </w:rPr>
        <w:t>、</w:t>
        <w:tab/>
        <w:t>公司控股的财务公司与关联方的往来情况</w:t>
      </w:r>
      <w:bookmarkEnd w:id="594"/>
      <w:bookmarkEnd w:id="595"/>
      <w:bookmarkEnd w:id="597"/>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公司控股的财务公司与关联方之间不存在存款、贷款、授信或其他金融业务。</w:t>
      </w:r>
    </w:p>
    <w:p>
      <w:pPr>
        <w:pStyle w:val="Style33"/>
        <w:keepNext/>
        <w:keepLines/>
        <w:widowControl w:val="0"/>
        <w:shd w:val="clear" w:color="auto" w:fill="auto"/>
        <w:tabs>
          <w:tab w:pos="368" w:val="left"/>
        </w:tabs>
        <w:bidi w:val="0"/>
        <w:spacing w:before="0" w:after="380" w:line="240" w:lineRule="auto"/>
        <w:ind w:left="0" w:right="0" w:firstLine="0"/>
        <w:jc w:val="left"/>
      </w:pPr>
      <w:bookmarkStart w:id="598" w:name="bookmark598"/>
      <w:bookmarkStart w:id="599" w:name="bookmark599"/>
      <w:bookmarkStart w:id="600" w:name="bookmark600"/>
      <w:bookmarkStart w:id="601" w:name="bookmark601"/>
      <w:r>
        <w:rPr>
          <w:rFonts w:ascii="Times New Roman" w:eastAsia="Times New Roman" w:hAnsi="Times New Roman" w:cs="Times New Roman"/>
          <w:color w:val="000000"/>
          <w:spacing w:val="0"/>
          <w:w w:val="100"/>
          <w:position w:val="0"/>
        </w:rPr>
        <w:t>7</w:t>
      </w:r>
      <w:bookmarkEnd w:id="600"/>
      <w:r>
        <w:rPr>
          <w:color w:val="000000"/>
          <w:spacing w:val="0"/>
          <w:w w:val="100"/>
          <w:position w:val="0"/>
        </w:rPr>
        <w:t>、</w:t>
        <w:tab/>
        <w:t>其他重大关联交易</w:t>
      </w:r>
      <w:bookmarkEnd w:id="598"/>
      <w:bookmarkEnd w:id="599"/>
      <w:bookmarkEnd w:id="601"/>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4"/>
        <w:keepNext/>
        <w:keepLines/>
        <w:widowControl w:val="0"/>
        <w:shd w:val="clear" w:color="auto" w:fill="auto"/>
        <w:bidi w:val="0"/>
        <w:spacing w:before="0" w:after="380" w:line="240" w:lineRule="auto"/>
        <w:ind w:left="0" w:right="0" w:firstLine="0"/>
        <w:jc w:val="left"/>
      </w:pPr>
      <w:bookmarkStart w:id="602" w:name="bookmark602"/>
      <w:bookmarkStart w:id="603" w:name="bookmark603"/>
      <w:bookmarkStart w:id="604" w:name="bookmark604"/>
      <w:r>
        <w:rPr>
          <w:color w:val="000000"/>
          <w:spacing w:val="0"/>
          <w:w w:val="100"/>
          <w:position w:val="0"/>
        </w:rPr>
        <w:t>十五、重大合同及其履行情况</w:t>
      </w:r>
      <w:bookmarkEnd w:id="602"/>
      <w:bookmarkEnd w:id="603"/>
      <w:bookmarkEnd w:id="604"/>
    </w:p>
    <w:p>
      <w:pPr>
        <w:pStyle w:val="Style33"/>
        <w:keepNext/>
        <w:keepLines/>
        <w:widowControl w:val="0"/>
        <w:shd w:val="clear" w:color="auto" w:fill="auto"/>
        <w:bidi w:val="0"/>
        <w:spacing w:before="0" w:after="380" w:line="240" w:lineRule="auto"/>
        <w:ind w:left="0" w:right="0" w:firstLine="0"/>
        <w:jc w:val="left"/>
      </w:pPr>
      <w:bookmarkStart w:id="605" w:name="bookmark605"/>
      <w:bookmarkStart w:id="606" w:name="bookmark606"/>
      <w:bookmarkStart w:id="607" w:name="bookmark607"/>
      <w:bookmarkStart w:id="608" w:name="bookmark608"/>
      <w:r>
        <w:rPr>
          <w:rFonts w:ascii="Times New Roman" w:eastAsia="Times New Roman" w:hAnsi="Times New Roman" w:cs="Times New Roman"/>
          <w:color w:val="000000"/>
          <w:spacing w:val="0"/>
          <w:w w:val="100"/>
          <w:position w:val="0"/>
        </w:rPr>
        <w:t>1</w:t>
      </w:r>
      <w:bookmarkEnd w:id="607"/>
      <w:r>
        <w:rPr>
          <w:color w:val="000000"/>
          <w:spacing w:val="0"/>
          <w:w w:val="100"/>
          <w:position w:val="0"/>
        </w:rPr>
        <w:t>、托管、承包、租赁事项情况</w:t>
      </w:r>
      <w:bookmarkEnd w:id="605"/>
      <w:bookmarkEnd w:id="606"/>
      <w:bookmarkEnd w:id="608"/>
    </w:p>
    <w:p>
      <w:pPr>
        <w:pStyle w:val="Style61"/>
        <w:keepNext/>
        <w:keepLines/>
        <w:widowControl w:val="0"/>
        <w:shd w:val="clear" w:color="auto" w:fill="auto"/>
        <w:tabs>
          <w:tab w:pos="483" w:val="left"/>
        </w:tabs>
        <w:bidi w:val="0"/>
        <w:spacing w:before="0" w:line="240" w:lineRule="auto"/>
        <w:ind w:left="0" w:right="0" w:firstLine="0"/>
        <w:jc w:val="left"/>
      </w:pPr>
      <w:bookmarkStart w:id="609" w:name="bookmark609"/>
      <w:bookmarkStart w:id="610" w:name="bookmark610"/>
      <w:bookmarkStart w:id="611" w:name="bookmark611"/>
      <w:bookmarkStart w:id="612" w:name="bookmark612"/>
      <w:r>
        <w:rPr>
          <w:color w:val="000000"/>
          <w:spacing w:val="0"/>
          <w:w w:val="100"/>
          <w:position w:val="0"/>
        </w:rPr>
        <w:t>（</w:t>
      </w:r>
      <w:bookmarkEnd w:id="611"/>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609"/>
      <w:bookmarkEnd w:id="610"/>
      <w:bookmarkEnd w:id="612"/>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61"/>
        <w:keepNext/>
        <w:keepLines/>
        <w:widowControl w:val="0"/>
        <w:shd w:val="clear" w:color="auto" w:fill="auto"/>
        <w:tabs>
          <w:tab w:pos="483" w:val="left"/>
        </w:tabs>
        <w:bidi w:val="0"/>
        <w:spacing w:before="0" w:line="240" w:lineRule="auto"/>
        <w:ind w:left="0" w:right="0" w:firstLine="0"/>
        <w:jc w:val="left"/>
      </w:pPr>
      <w:bookmarkStart w:id="613" w:name="bookmark613"/>
      <w:bookmarkStart w:id="614" w:name="bookmark614"/>
      <w:bookmarkStart w:id="615" w:name="bookmark615"/>
      <w:bookmarkStart w:id="616" w:name="bookmark616"/>
      <w:r>
        <w:rPr>
          <w:color w:val="000000"/>
          <w:spacing w:val="0"/>
          <w:w w:val="100"/>
          <w:position w:val="0"/>
        </w:rPr>
        <w:t>（</w:t>
      </w:r>
      <w:bookmarkEnd w:id="615"/>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613"/>
      <w:bookmarkEnd w:id="614"/>
      <w:bookmarkEnd w:id="616"/>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61"/>
        <w:keepNext/>
        <w:keepLines/>
        <w:widowControl w:val="0"/>
        <w:shd w:val="clear" w:color="auto" w:fill="auto"/>
        <w:tabs>
          <w:tab w:pos="483" w:val="left"/>
        </w:tabs>
        <w:bidi w:val="0"/>
        <w:spacing w:before="0" w:line="240" w:lineRule="auto"/>
        <w:ind w:left="0" w:right="0" w:firstLine="0"/>
        <w:jc w:val="left"/>
      </w:pPr>
      <w:bookmarkStart w:id="617" w:name="bookmark617"/>
      <w:bookmarkStart w:id="618" w:name="bookmark618"/>
      <w:bookmarkStart w:id="619" w:name="bookmark619"/>
      <w:bookmarkStart w:id="620" w:name="bookmark620"/>
      <w:r>
        <w:rPr>
          <w:color w:val="000000"/>
          <w:spacing w:val="0"/>
          <w:w w:val="100"/>
          <w:position w:val="0"/>
        </w:rPr>
        <w:t>（</w:t>
      </w:r>
      <w:bookmarkEnd w:id="619"/>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617"/>
      <w:bookmarkEnd w:id="618"/>
      <w:bookmarkEnd w:id="620"/>
    </w:p>
    <w:p>
      <w:pPr>
        <w:pStyle w:val="Style29"/>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租赁情况说明</w:t>
      </w:r>
      <w:r>
        <w:br w:type="page"/>
      </w:r>
    </w:p>
    <w:p>
      <w:pPr>
        <w:pStyle w:val="Style26"/>
        <w:keepNext w:val="0"/>
        <w:keepLines w:val="0"/>
        <w:widowControl w:val="0"/>
        <w:shd w:val="clear" w:color="auto" w:fill="auto"/>
        <w:bidi w:val="0"/>
        <w:spacing w:before="0" w:after="0" w:line="240" w:lineRule="auto"/>
        <w:ind w:left="374"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7"/>
          <w:szCs w:val="17"/>
        </w:rPr>
        <w:t>）作为承租人</w:t>
      </w:r>
    </w:p>
    <w:tbl>
      <w:tblPr>
        <w:tblOverlap w:val="never"/>
        <w:jc w:val="center"/>
        <w:tblLayout w:type="fixed"/>
      </w:tblPr>
      <w:tblGrid>
        <w:gridCol w:w="7824"/>
        <w:gridCol w:w="186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本期金额（元）</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租赁负债的利息费用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3,809,718.19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计入相关资产成本或当期损益的简化处理的短期租赁费用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17,904,688.09</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计入相关资产成本或当期损益的简化处理的低价值资产租赁费用（低价值资产的短期租赁费用除外）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436,629.04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计入相关资产成本或当期损益的未纳入租赁负债计量的可变租赁付款额</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其中：售后租回交易产生部分</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转租使用权资产取得的收入</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与租赁相关的总现金流出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39,464,972.70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售后租回交易产生的相关损益</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售后租回交易现金流入</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售后租回交易现金流出</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26"/>
        <w:keepNext w:val="0"/>
        <w:keepLines w:val="0"/>
        <w:widowControl w:val="0"/>
        <w:shd w:val="clear" w:color="auto" w:fill="auto"/>
        <w:bidi w:val="0"/>
        <w:spacing w:before="0" w:after="0" w:line="240" w:lineRule="auto"/>
        <w:ind w:left="365" w:right="0" w:firstLine="0"/>
        <w:jc w:val="left"/>
        <w:rPr>
          <w:sz w:val="17"/>
          <w:szCs w:val="17"/>
        </w:rPr>
      </w:pPr>
      <w:r>
        <w:rPr>
          <w:rFonts w:ascii="SimSun" w:eastAsia="SimSun" w:hAnsi="SimSun" w:cs="SimSun"/>
          <w:color w:val="000000"/>
          <w:spacing w:val="0"/>
          <w:w w:val="100"/>
          <w:position w:val="0"/>
          <w:sz w:val="17"/>
          <w:szCs w:val="17"/>
        </w:rPr>
        <w:t>本公司已承诺但尚未开始的租赁预计未来年度现金流出的情况如下:</w:t>
      </w:r>
    </w:p>
    <w:tbl>
      <w:tblPr>
        <w:tblOverlap w:val="never"/>
        <w:jc w:val="center"/>
        <w:tblLayout w:type="fixed"/>
      </w:tblPr>
      <w:tblGrid>
        <w:gridCol w:w="6408"/>
        <w:gridCol w:w="3278"/>
      </w:tblGrid>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剩余租赁期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未折现租赁付款额（元）</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23,081,037.24</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21,467,608.05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17,922,626.22</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22,348,009.28</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84,8192 80.79</w:t>
            </w:r>
          </w:p>
        </w:tc>
      </w:tr>
    </w:tbl>
    <w:p>
      <w:pPr>
        <w:widowControl w:val="0"/>
        <w:spacing w:after="159" w:line="1" w:lineRule="exact"/>
      </w:pPr>
    </w:p>
    <w:p>
      <w:pPr>
        <w:pStyle w:val="Style29"/>
        <w:keepNext w:val="0"/>
        <w:keepLines w:val="0"/>
        <w:widowControl w:val="0"/>
        <w:shd w:val="clear" w:color="auto" w:fill="auto"/>
        <w:bidi w:val="0"/>
        <w:spacing w:before="0" w:after="22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）作为出租人</w:t>
      </w:r>
    </w:p>
    <w:p>
      <w:pPr>
        <w:pStyle w:val="Style29"/>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经营租赁</w:t>
      </w:r>
    </w:p>
    <w:tbl>
      <w:tblPr>
        <w:tblOverlap w:val="never"/>
        <w:jc w:val="center"/>
        <w:tblLayout w:type="fixed"/>
      </w:tblPr>
      <w:tblGrid>
        <w:gridCol w:w="6470"/>
        <w:gridCol w:w="3216"/>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本期金额（元）</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经营租赁收入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1,118,617.33</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其中：与未计入租赁收款额的可变租赁付款额相关的收入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26"/>
        <w:keepNext w:val="0"/>
        <w:keepLines w:val="0"/>
        <w:widowControl w:val="0"/>
        <w:shd w:val="clear" w:color="auto" w:fill="auto"/>
        <w:bidi w:val="0"/>
        <w:spacing w:before="0" w:after="0" w:line="240" w:lineRule="auto"/>
        <w:ind w:left="370" w:right="0" w:firstLine="0"/>
        <w:jc w:val="left"/>
        <w:rPr>
          <w:sz w:val="17"/>
          <w:szCs w:val="17"/>
        </w:rPr>
      </w:pPr>
      <w:r>
        <w:rPr>
          <w:rFonts w:ascii="SimSun" w:eastAsia="SimSun" w:hAnsi="SimSun" w:cs="SimSun"/>
          <w:color w:val="000000"/>
          <w:spacing w:val="0"/>
          <w:w w:val="100"/>
          <w:position w:val="0"/>
          <w:sz w:val="17"/>
          <w:szCs w:val="17"/>
        </w:rPr>
        <w:t>于资产负债表日后将收到的未折现的租赁收款额如下:</w:t>
      </w:r>
    </w:p>
    <w:tbl>
      <w:tblPr>
        <w:tblOverlap w:val="never"/>
        <w:jc w:val="center"/>
        <w:tblLayout w:type="fixed"/>
      </w:tblPr>
      <w:tblGrid>
        <w:gridCol w:w="6470"/>
        <w:gridCol w:w="3216"/>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剩余租赁期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未折现租赁收款额（元）</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1,240,000.00</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627,500.00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1,867,500.00</w:t>
            </w:r>
          </w:p>
        </w:tc>
      </w:tr>
    </w:tbl>
    <w:p>
      <w:pPr>
        <w:widowControl w:val="0"/>
        <w:spacing w:after="3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r>
        <w:br w:type="page"/>
      </w:r>
    </w:p>
    <w:p>
      <w:pPr>
        <w:pStyle w:val="Style33"/>
        <w:keepNext/>
        <w:keepLines/>
        <w:widowControl w:val="0"/>
        <w:shd w:val="clear" w:color="auto" w:fill="auto"/>
        <w:bidi w:val="0"/>
        <w:spacing w:before="0" w:after="400" w:line="240" w:lineRule="auto"/>
        <w:ind w:left="0" w:right="0" w:firstLine="0"/>
        <w:jc w:val="left"/>
      </w:pP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2</w:t>
      </w:r>
      <w:bookmarkEnd w:id="623"/>
      <w:r>
        <w:rPr>
          <w:color w:val="000000"/>
          <w:spacing w:val="0"/>
          <w:w w:val="100"/>
          <w:position w:val="0"/>
        </w:rPr>
        <w:t>、重大担保</w:t>
      </w:r>
      <w:bookmarkEnd w:id="621"/>
      <w:bookmarkEnd w:id="622"/>
      <w:bookmarkEnd w:id="624"/>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单位：万元</w:t>
      </w:r>
    </w:p>
    <w:tbl>
      <w:tblPr>
        <w:tblOverlap w:val="never"/>
        <w:jc w:val="center"/>
        <w:tblLayout w:type="fixed"/>
      </w:tblPr>
      <w:tblGrid>
        <w:gridCol w:w="1008"/>
        <w:gridCol w:w="1560"/>
        <w:gridCol w:w="850"/>
        <w:gridCol w:w="422"/>
        <w:gridCol w:w="859"/>
        <w:gridCol w:w="283"/>
        <w:gridCol w:w="840"/>
        <w:gridCol w:w="854"/>
        <w:gridCol w:w="288"/>
        <w:gridCol w:w="418"/>
        <w:gridCol w:w="619"/>
        <w:gridCol w:w="667"/>
        <w:gridCol w:w="134"/>
        <w:gridCol w:w="802"/>
      </w:tblGrid>
      <w:tr>
        <w:trPr>
          <w:trHeight w:val="403" w:hRule="exact"/>
        </w:trPr>
        <w:tc>
          <w:tcPr>
            <w:gridSpan w:val="1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公司及其子公司对外担保情况（不包括对子公司的担保）（无）</w:t>
            </w:r>
          </w:p>
        </w:tc>
      </w:tr>
      <w:tr>
        <w:trPr>
          <w:trHeight w:val="408" w:hRule="exact"/>
        </w:trPr>
        <w:tc>
          <w:tcPr>
            <w:gridSpan w:val="1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公司对子公司的担保情况</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420" w:right="0" w:hanging="420"/>
              <w:jc w:val="left"/>
              <w:rPr>
                <w:sz w:val="17"/>
                <w:szCs w:val="17"/>
              </w:rPr>
            </w:pPr>
            <w:r>
              <w:rPr>
                <w:color w:val="000000"/>
                <w:spacing w:val="0"/>
                <w:w w:val="100"/>
                <w:position w:val="0"/>
                <w:sz w:val="17"/>
                <w:szCs w:val="17"/>
              </w:rPr>
              <w:t>担保对象名 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担保额度相关公告 披露日期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担保额度</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实际发生日期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实际担保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担保类型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担</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保</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物</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反担</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保情</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担保期</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是否履行 完毕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是否为关</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联方担保</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四川浩特通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9,000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四川浩特通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四川浩特通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4,600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年</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四川浩特通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4,000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四川浩特通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5,000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报告期内审批对子公司担保额 度合计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sz w:val="17"/>
                <w:szCs w:val="17"/>
              </w:rPr>
              <w:t>）</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报告期内对子公司担保实际发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sz w:val="17"/>
                <w:szCs w:val="17"/>
              </w:rPr>
              <w:t>）</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0"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报告期末已审批的对子公司担 保额度合计（</w:t>
            </w:r>
            <w:r>
              <w:rPr>
                <w:rFonts w:ascii="Times New Roman" w:eastAsia="Times New Roman" w:hAnsi="Times New Roman" w:cs="Times New Roman"/>
                <w:color w:val="000000"/>
                <w:spacing w:val="0"/>
                <w:w w:val="100"/>
                <w:position w:val="0"/>
                <w:sz w:val="18"/>
                <w:szCs w:val="18"/>
              </w:rPr>
              <w:t>B3</w:t>
            </w:r>
            <w:r>
              <w:rPr>
                <w:color w:val="000000"/>
                <w:spacing w:val="0"/>
                <w:w w:val="100"/>
                <w:position w:val="0"/>
                <w:sz w:val="17"/>
                <w:szCs w:val="17"/>
              </w:rPr>
              <w:t>）</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23,600</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报告期末对子公司实际担保余 额合计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B4</w:t>
            </w:r>
            <w:r>
              <w:rPr>
                <w:color w:val="000000"/>
                <w:spacing w:val="0"/>
                <w:w w:val="100"/>
                <w:position w:val="0"/>
                <w:sz w:val="17"/>
                <w:szCs w:val="17"/>
              </w:rPr>
              <w:t>）</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w:t>
            </w:r>
          </w:p>
        </w:tc>
      </w:tr>
      <w:tr>
        <w:trPr>
          <w:trHeight w:val="394" w:hRule="exact"/>
        </w:trPr>
        <w:tc>
          <w:tcPr>
            <w:gridSpan w:val="1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子公司对子公司的担保情况（无）</w:t>
            </w:r>
          </w:p>
        </w:tc>
      </w:tr>
      <w:tr>
        <w:trPr>
          <w:trHeight w:val="413" w:hRule="exact"/>
        </w:trPr>
        <w:tc>
          <w:tcPr>
            <w:gridSpan w:val="1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公司担保总额（即前三大项的合计）</w:t>
            </w:r>
          </w:p>
        </w:tc>
      </w:tr>
      <w:tr>
        <w:trPr>
          <w:trHeight w:val="394"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报告期内审批担保额度合计（</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7"/>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报告期内担保实际发生额合计（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报告期末已审批的担保额度合计（</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23,600</w:t>
            </w:r>
          </w:p>
        </w:tc>
        <w:tc>
          <w:tcPr>
            <w:gridSpan w:val="7"/>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报告期末实际担保余额合计（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2,200</w:t>
            </w:r>
          </w:p>
        </w:tc>
      </w:tr>
      <w:tr>
        <w:trPr>
          <w:trHeight w:val="398" w:hRule="exact"/>
        </w:trPr>
        <w:tc>
          <w:tcPr>
            <w:gridSpan w:val="1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7"/>
                <w:szCs w:val="17"/>
              </w:rPr>
              <w:t>）占公司净资产的比例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w:t>
            </w:r>
          </w:p>
        </w:tc>
      </w:tr>
      <w:tr>
        <w:trPr>
          <w:trHeight w:val="408" w:hRule="exact"/>
        </w:trPr>
        <w:tc>
          <w:tcPr>
            <w:gridSpan w:val="1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r>
      <w:tr>
        <w:trPr>
          <w:trHeight w:val="394" w:hRule="exact"/>
        </w:trPr>
        <w:tc>
          <w:tcPr>
            <w:gridSpan w:val="1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为股东、实际控制人及其关联方提供担保的余额</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1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7"/>
                <w:szCs w:val="17"/>
              </w:rPr>
              <w:t>的被担保对象提供的债务担保余额</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2,200</w:t>
            </w:r>
          </w:p>
        </w:tc>
      </w:tr>
      <w:tr>
        <w:trPr>
          <w:trHeight w:val="398" w:hRule="exact"/>
        </w:trPr>
        <w:tc>
          <w:tcPr>
            <w:gridSpan w:val="1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部分的金额</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1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上述三项担保金额合计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D+E+F</w:t>
            </w:r>
            <w:r>
              <w:rPr>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2,200</w:t>
            </w:r>
          </w:p>
        </w:tc>
      </w:tr>
      <w:tr>
        <w:trPr>
          <w:trHeight w:val="398" w:hRule="exact"/>
        </w:trPr>
        <w:tc>
          <w:tcPr>
            <w:gridSpan w:val="1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对未到期担保合同，报告期内已发生担保责任或有证据表明有可能承担连带清偿责任的情况说明（如有）</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18" w:hRule="exact"/>
        </w:trPr>
        <w:tc>
          <w:tcPr>
            <w:gridSpan w:val="12"/>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违反规定程序对外提供担保的说明（如有）</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采用复合方式担保的具体情况说明</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68" w:val="left"/>
        </w:tabs>
        <w:bidi w:val="0"/>
        <w:spacing w:before="0" w:after="380" w:line="240" w:lineRule="auto"/>
        <w:ind w:left="0" w:right="0" w:firstLine="0"/>
        <w:jc w:val="both"/>
      </w:pPr>
      <w:bookmarkStart w:id="625" w:name="bookmark625"/>
      <w:bookmarkStart w:id="626" w:name="bookmark626"/>
      <w:bookmarkStart w:id="627" w:name="bookmark627"/>
      <w:bookmarkStart w:id="628" w:name="bookmark628"/>
      <w:r>
        <w:rPr>
          <w:rFonts w:ascii="Times New Roman" w:eastAsia="Times New Roman" w:hAnsi="Times New Roman" w:cs="Times New Roman"/>
          <w:color w:val="000000"/>
          <w:spacing w:val="0"/>
          <w:w w:val="100"/>
          <w:position w:val="0"/>
        </w:rPr>
        <w:t>3</w:t>
      </w:r>
      <w:bookmarkEnd w:id="627"/>
      <w:r>
        <w:rPr>
          <w:color w:val="000000"/>
          <w:spacing w:val="0"/>
          <w:w w:val="100"/>
          <w:position w:val="0"/>
        </w:rPr>
        <w:t>、</w:t>
        <w:tab/>
        <w:t>委托他人进行现金资产管理情况</w:t>
      </w:r>
      <w:bookmarkEnd w:id="625"/>
      <w:bookmarkEnd w:id="626"/>
      <w:bookmarkEnd w:id="628"/>
    </w:p>
    <w:p>
      <w:pPr>
        <w:pStyle w:val="Style61"/>
        <w:keepNext/>
        <w:keepLines/>
        <w:widowControl w:val="0"/>
        <w:shd w:val="clear" w:color="auto" w:fill="auto"/>
        <w:tabs>
          <w:tab w:pos="483" w:val="left"/>
        </w:tabs>
        <w:bidi w:val="0"/>
        <w:spacing w:before="0" w:line="240" w:lineRule="auto"/>
        <w:ind w:left="0" w:right="0" w:firstLine="0"/>
        <w:jc w:val="both"/>
      </w:pPr>
      <w:bookmarkStart w:id="629" w:name="bookmark629"/>
      <w:bookmarkStart w:id="630" w:name="bookmark630"/>
      <w:bookmarkStart w:id="631" w:name="bookmark631"/>
      <w:bookmarkStart w:id="632" w:name="bookmark632"/>
      <w:r>
        <w:rPr>
          <w:color w:val="000000"/>
          <w:spacing w:val="0"/>
          <w:w w:val="100"/>
          <w:position w:val="0"/>
        </w:rPr>
        <w:t>（</w:t>
      </w:r>
      <w:bookmarkEnd w:id="631"/>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629"/>
      <w:bookmarkEnd w:id="630"/>
      <w:bookmarkEnd w:id="632"/>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公司报告期不存在委托理财。</w:t>
      </w:r>
    </w:p>
    <w:p>
      <w:pPr>
        <w:pStyle w:val="Style61"/>
        <w:keepNext/>
        <w:keepLines/>
        <w:widowControl w:val="0"/>
        <w:shd w:val="clear" w:color="auto" w:fill="auto"/>
        <w:tabs>
          <w:tab w:pos="483" w:val="left"/>
        </w:tabs>
        <w:bidi w:val="0"/>
        <w:spacing w:before="0" w:line="240" w:lineRule="auto"/>
        <w:ind w:left="0" w:right="0" w:firstLine="0"/>
        <w:jc w:val="both"/>
      </w:pPr>
      <w:bookmarkStart w:id="633" w:name="bookmark633"/>
      <w:bookmarkStart w:id="634" w:name="bookmark634"/>
      <w:bookmarkStart w:id="635" w:name="bookmark635"/>
      <w:bookmarkStart w:id="636" w:name="bookmark636"/>
      <w:r>
        <w:rPr>
          <w:color w:val="000000"/>
          <w:spacing w:val="0"/>
          <w:w w:val="100"/>
          <w:position w:val="0"/>
        </w:rPr>
        <w:t>（</w:t>
      </w:r>
      <w:bookmarkEnd w:id="635"/>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633"/>
      <w:bookmarkEnd w:id="634"/>
      <w:bookmarkEnd w:id="636"/>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公司报告期不存在委托贷款。</w:t>
      </w:r>
    </w:p>
    <w:p>
      <w:pPr>
        <w:pStyle w:val="Style33"/>
        <w:keepNext/>
        <w:keepLines/>
        <w:widowControl w:val="0"/>
        <w:shd w:val="clear" w:color="auto" w:fill="auto"/>
        <w:tabs>
          <w:tab w:pos="368" w:val="left"/>
        </w:tabs>
        <w:bidi w:val="0"/>
        <w:spacing w:before="0" w:after="380" w:line="240" w:lineRule="auto"/>
        <w:ind w:left="0" w:right="0" w:firstLine="0"/>
        <w:jc w:val="both"/>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4</w:t>
      </w:r>
      <w:bookmarkEnd w:id="639"/>
      <w:r>
        <w:rPr>
          <w:color w:val="000000"/>
          <w:spacing w:val="0"/>
          <w:w w:val="100"/>
          <w:position w:val="0"/>
        </w:rPr>
        <w:t>、</w:t>
        <w:tab/>
        <w:t>其他重大合同</w:t>
      </w:r>
      <w:bookmarkEnd w:id="637"/>
      <w:bookmarkEnd w:id="638"/>
      <w:bookmarkEnd w:id="640"/>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公司报告期不存在其他重大合同。</w:t>
      </w:r>
    </w:p>
    <w:p>
      <w:pPr>
        <w:pStyle w:val="Style24"/>
        <w:keepNext/>
        <w:keepLines/>
        <w:widowControl w:val="0"/>
        <w:shd w:val="clear" w:color="auto" w:fill="auto"/>
        <w:bidi w:val="0"/>
        <w:spacing w:before="0" w:after="380" w:line="240" w:lineRule="auto"/>
        <w:ind w:left="0" w:right="0" w:firstLine="0"/>
        <w:jc w:val="both"/>
      </w:pPr>
      <w:bookmarkStart w:id="641" w:name="bookmark641"/>
      <w:bookmarkStart w:id="642" w:name="bookmark642"/>
      <w:bookmarkStart w:id="643" w:name="bookmark643"/>
      <w:r>
        <w:rPr>
          <w:color w:val="000000"/>
          <w:spacing w:val="0"/>
          <w:w w:val="100"/>
          <w:position w:val="0"/>
        </w:rPr>
        <w:t>十六、其他重大事项的说明</w:t>
      </w:r>
      <w:bookmarkEnd w:id="641"/>
      <w:bookmarkEnd w:id="642"/>
      <w:bookmarkEnd w:id="643"/>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公司报告期不存在需要说明的其他重大事项。</w:t>
      </w:r>
    </w:p>
    <w:p>
      <w:pPr>
        <w:pStyle w:val="Style24"/>
        <w:keepNext/>
        <w:keepLines/>
        <w:widowControl w:val="0"/>
        <w:shd w:val="clear" w:color="auto" w:fill="auto"/>
        <w:bidi w:val="0"/>
        <w:spacing w:before="0" w:after="380" w:line="240" w:lineRule="auto"/>
        <w:ind w:left="0" w:right="0" w:firstLine="0"/>
        <w:jc w:val="both"/>
      </w:pPr>
      <w:bookmarkStart w:id="644" w:name="bookmark644"/>
      <w:bookmarkStart w:id="645" w:name="bookmark645"/>
      <w:bookmarkStart w:id="646" w:name="bookmark646"/>
      <w:r>
        <w:rPr>
          <w:color w:val="000000"/>
          <w:spacing w:val="0"/>
          <w:w w:val="100"/>
          <w:position w:val="0"/>
        </w:rPr>
        <w:t>十七、公司子公司重大事项</w:t>
      </w:r>
      <w:bookmarkEnd w:id="644"/>
      <w:bookmarkEnd w:id="645"/>
      <w:bookmarkEnd w:id="646"/>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9"/>
        <w:keepNext/>
        <w:keepLines/>
        <w:widowControl w:val="0"/>
        <w:shd w:val="clear" w:color="auto" w:fill="auto"/>
        <w:bidi w:val="0"/>
        <w:spacing w:before="0" w:line="240" w:lineRule="auto"/>
        <w:ind w:left="0" w:right="0" w:firstLine="0"/>
        <w:jc w:val="center"/>
      </w:pPr>
      <w:bookmarkStart w:id="647" w:name="bookmark647"/>
      <w:bookmarkStart w:id="648" w:name="bookmark648"/>
      <w:bookmarkStart w:id="649" w:name="bookmark649"/>
      <w:r>
        <w:rPr>
          <w:color w:val="000000"/>
          <w:spacing w:val="0"/>
          <w:w w:val="100"/>
          <w:position w:val="0"/>
        </w:rPr>
        <w:t>第七节股份变动及股东情况</w:t>
      </w:r>
      <w:bookmarkEnd w:id="647"/>
      <w:bookmarkEnd w:id="648"/>
      <w:bookmarkEnd w:id="649"/>
    </w:p>
    <w:p>
      <w:pPr>
        <w:pStyle w:val="Style24"/>
        <w:keepNext/>
        <w:keepLines/>
        <w:widowControl w:val="0"/>
        <w:shd w:val="clear" w:color="auto" w:fill="auto"/>
        <w:bidi w:val="0"/>
        <w:spacing w:before="0" w:after="360" w:line="240" w:lineRule="auto"/>
        <w:ind w:left="0" w:right="0" w:firstLine="0"/>
        <w:jc w:val="left"/>
      </w:pPr>
      <w:bookmarkStart w:id="650" w:name="bookmark650"/>
      <w:bookmarkStart w:id="651" w:name="bookmark651"/>
      <w:bookmarkStart w:id="652" w:name="bookmark652"/>
      <w:bookmarkStart w:id="653" w:name="bookmark653"/>
      <w:bookmarkStart w:id="654" w:name="bookmark654"/>
      <w:r>
        <w:rPr>
          <w:color w:val="000000"/>
          <w:spacing w:val="0"/>
          <w:w w:val="100"/>
          <w:position w:val="0"/>
        </w:rPr>
        <w:t>一</w:t>
      </w:r>
      <w:bookmarkEnd w:id="653"/>
      <w:r>
        <w:rPr>
          <w:color w:val="000000"/>
          <w:spacing w:val="0"/>
          <w:w w:val="100"/>
          <w:position w:val="0"/>
        </w:rPr>
        <w:t>、股份变动情况</w:t>
      </w:r>
      <w:bookmarkEnd w:id="651"/>
      <w:bookmarkEnd w:id="652"/>
      <w:bookmarkEnd w:id="654"/>
      <w:bookmarkEnd w:id="650"/>
    </w:p>
    <w:p>
      <w:pPr>
        <w:pStyle w:val="Style33"/>
        <w:keepNext/>
        <w:keepLines/>
        <w:widowControl w:val="0"/>
        <w:shd w:val="clear" w:color="auto" w:fill="auto"/>
        <w:bidi w:val="0"/>
        <w:spacing w:before="0" w:after="360" w:line="240" w:lineRule="auto"/>
        <w:ind w:left="0" w:right="0" w:firstLine="0"/>
        <w:jc w:val="left"/>
      </w:pPr>
      <w:bookmarkStart w:id="655" w:name="bookmark655"/>
      <w:bookmarkStart w:id="656" w:name="bookmark656"/>
      <w:bookmarkStart w:id="657" w:name="bookmark657"/>
      <w:bookmarkStart w:id="658" w:name="bookmark658"/>
      <w:r>
        <w:rPr>
          <w:rFonts w:ascii="Times New Roman" w:eastAsia="Times New Roman" w:hAnsi="Times New Roman" w:cs="Times New Roman"/>
          <w:color w:val="000000"/>
          <w:spacing w:val="0"/>
          <w:w w:val="100"/>
          <w:position w:val="0"/>
        </w:rPr>
        <w:t>1</w:t>
      </w:r>
      <w:bookmarkEnd w:id="657"/>
      <w:r>
        <w:rPr>
          <w:color w:val="000000"/>
          <w:spacing w:val="0"/>
          <w:w w:val="100"/>
          <w:position w:val="0"/>
        </w:rPr>
        <w:t>、股份变动情况</w:t>
      </w:r>
      <w:bookmarkEnd w:id="655"/>
      <w:bookmarkEnd w:id="656"/>
      <w:bookmarkEnd w:id="658"/>
    </w:p>
    <w:p>
      <w:pPr>
        <w:pStyle w:val="Style2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单位：股</w:t>
      </w:r>
    </w:p>
    <w:tbl>
      <w:tblPr>
        <w:tblOverlap w:val="never"/>
        <w:jc w:val="center"/>
        <w:tblLayout w:type="fixed"/>
      </w:tblPr>
      <w:tblGrid>
        <w:gridCol w:w="2424"/>
        <w:gridCol w:w="1272"/>
        <w:gridCol w:w="854"/>
        <w:gridCol w:w="562"/>
        <w:gridCol w:w="288"/>
        <w:gridCol w:w="710"/>
        <w:gridCol w:w="710"/>
        <w:gridCol w:w="706"/>
        <w:gridCol w:w="1277"/>
        <w:gridCol w:w="802"/>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本次变动前</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color w:val="000000"/>
                <w:spacing w:val="0"/>
                <w:w w:val="100"/>
                <w:position w:val="0"/>
                <w:sz w:val="17"/>
                <w:szCs w:val="17"/>
              </w:rPr>
              <w:t>+,一）</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本次变动后</w:t>
            </w:r>
          </w:p>
        </w:tc>
      </w:tr>
      <w:tr>
        <w:trPr>
          <w:trHeight w:val="720"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发行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送</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公积金 转股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比例</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1,268,712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1,843,812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1,268,712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1,843,812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1,268,712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1,843,812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1,186,316,050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1,185,740,950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99.84%</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1,186,316,050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1,185,740,950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99.84%</w:t>
            </w:r>
          </w:p>
        </w:tc>
      </w:tr>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1,187,584,762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1,187,584,762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3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2</w:t>
      </w:r>
      <w:bookmarkEnd w:id="661"/>
      <w:r>
        <w:rPr>
          <w:color w:val="000000"/>
          <w:spacing w:val="0"/>
          <w:w w:val="100"/>
          <w:position w:val="0"/>
        </w:rPr>
        <w:t>、限售股份变动情况</w:t>
      </w:r>
      <w:bookmarkEnd w:id="659"/>
      <w:bookmarkEnd w:id="660"/>
      <w:bookmarkEnd w:id="662"/>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859"/>
        <w:gridCol w:w="1277"/>
        <w:gridCol w:w="1282"/>
        <w:gridCol w:w="1277"/>
        <w:gridCol w:w="1272"/>
        <w:gridCol w:w="1286"/>
        <w:gridCol w:w="2338"/>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期初限售股数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本期增加限售 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本期解除限售 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期末限售股数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限售原因</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拟解除限售日期</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李光亚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1,031,850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1,031,850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在任期间，每年所持股份总数 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可流通</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杨玲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在任期间，每年所持股份总数 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可流通</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王兆进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214,500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新任高管锁定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在任期间，每年所持股份总数 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可流通</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王开国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360,600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新任高管锁定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在任期间，每年所持股份总数 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可流通</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晏翥飞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日，每年所持股份总 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可流通</w:t>
            </w:r>
          </w:p>
        </w:tc>
      </w:tr>
      <w:tr>
        <w:trPr>
          <w:trHeight w:val="61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1,268,712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575,100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1,843,812</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79" w:line="1" w:lineRule="exact"/>
      </w:pPr>
    </w:p>
    <w:p>
      <w:pPr>
        <w:pStyle w:val="Style24"/>
        <w:keepNext/>
        <w:keepLines/>
        <w:widowControl w:val="0"/>
        <w:shd w:val="clear" w:color="auto" w:fill="auto"/>
        <w:tabs>
          <w:tab w:pos="517" w:val="left"/>
        </w:tabs>
        <w:bidi w:val="0"/>
        <w:spacing w:before="0" w:after="380" w:line="240" w:lineRule="auto"/>
        <w:ind w:left="0" w:right="0" w:firstLine="0"/>
        <w:jc w:val="left"/>
      </w:pPr>
      <w:bookmarkStart w:id="663" w:name="bookmark663"/>
      <w:bookmarkStart w:id="664" w:name="bookmark664"/>
      <w:bookmarkStart w:id="665" w:name="bookmark665"/>
      <w:bookmarkStart w:id="666" w:name="bookmark666"/>
      <w:r>
        <w:rPr>
          <w:color w:val="000000"/>
          <w:spacing w:val="0"/>
          <w:w w:val="100"/>
          <w:position w:val="0"/>
        </w:rPr>
        <w:t>二</w:t>
      </w:r>
      <w:bookmarkEnd w:id="665"/>
      <w:r>
        <w:rPr>
          <w:color w:val="000000"/>
          <w:spacing w:val="0"/>
          <w:w w:val="100"/>
          <w:position w:val="0"/>
        </w:rPr>
        <w:t>、</w:t>
        <w:tab/>
        <w:t>证券发行与上市情况</w:t>
      </w:r>
      <w:bookmarkEnd w:id="663"/>
      <w:bookmarkEnd w:id="664"/>
      <w:bookmarkEnd w:id="666"/>
    </w:p>
    <w:p>
      <w:pPr>
        <w:pStyle w:val="Style33"/>
        <w:keepNext/>
        <w:keepLines/>
        <w:widowControl w:val="0"/>
        <w:shd w:val="clear" w:color="auto" w:fill="auto"/>
        <w:tabs>
          <w:tab w:pos="358" w:val="left"/>
        </w:tabs>
        <w:bidi w:val="0"/>
        <w:spacing w:before="0" w:after="380" w:line="240" w:lineRule="auto"/>
        <w:ind w:left="0" w:right="0" w:firstLine="0"/>
        <w:jc w:val="left"/>
      </w:pPr>
      <w:bookmarkStart w:id="667" w:name="bookmark667"/>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rPr>
        <w:t>1</w:t>
      </w:r>
      <w:bookmarkEnd w:id="669"/>
      <w:r>
        <w:rPr>
          <w:color w:val="000000"/>
          <w:spacing w:val="0"/>
          <w:w w:val="100"/>
          <w:position w:val="0"/>
        </w:rPr>
        <w:t>、</w:t>
        <w:tab/>
        <w:t>报告期内证券发行（不含优先股）情况</w:t>
      </w:r>
      <w:bookmarkEnd w:id="667"/>
      <w:bookmarkEnd w:id="668"/>
      <w:bookmarkEnd w:id="670"/>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68" w:val="left"/>
        </w:tabs>
        <w:bidi w:val="0"/>
        <w:spacing w:before="0" w:after="380" w:line="240" w:lineRule="auto"/>
        <w:ind w:left="0" w:right="0" w:firstLine="0"/>
        <w:jc w:val="left"/>
      </w:pPr>
      <w:bookmarkStart w:id="671" w:name="bookmark671"/>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rPr>
        <w:t>2</w:t>
      </w:r>
      <w:bookmarkEnd w:id="673"/>
      <w:r>
        <w:rPr>
          <w:color w:val="000000"/>
          <w:spacing w:val="0"/>
          <w:w w:val="100"/>
          <w:position w:val="0"/>
        </w:rPr>
        <w:t>、</w:t>
        <w:tab/>
        <w:t>公司股份总数及股东结构的变动、公司资产和负债结构的变动情况说明</w:t>
      </w:r>
      <w:bookmarkEnd w:id="671"/>
      <w:bookmarkEnd w:id="672"/>
      <w:bookmarkEnd w:id="674"/>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68" w:val="left"/>
        </w:tabs>
        <w:bidi w:val="0"/>
        <w:spacing w:before="0" w:after="380" w:line="240" w:lineRule="auto"/>
        <w:ind w:left="0" w:right="0" w:firstLine="0"/>
        <w:jc w:val="left"/>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3</w:t>
      </w:r>
      <w:bookmarkEnd w:id="677"/>
      <w:r>
        <w:rPr>
          <w:color w:val="000000"/>
          <w:spacing w:val="0"/>
          <w:w w:val="100"/>
          <w:position w:val="0"/>
        </w:rPr>
        <w:t>、</w:t>
        <w:tab/>
        <w:t>现存的内部职工股情况</w:t>
      </w:r>
      <w:bookmarkEnd w:id="675"/>
      <w:bookmarkEnd w:id="676"/>
      <w:bookmarkEnd w:id="678"/>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380" w:line="240" w:lineRule="auto"/>
        <w:ind w:left="0" w:right="0" w:firstLine="0"/>
        <w:jc w:val="left"/>
      </w:pPr>
      <w:bookmarkStart w:id="679" w:name="bookmark679"/>
      <w:bookmarkStart w:id="680" w:name="bookmark680"/>
      <w:bookmarkStart w:id="681" w:name="bookmark681"/>
      <w:bookmarkStart w:id="682" w:name="bookmark682"/>
      <w:r>
        <w:rPr>
          <w:color w:val="000000"/>
          <w:spacing w:val="0"/>
          <w:w w:val="100"/>
          <w:position w:val="0"/>
        </w:rPr>
        <w:t>三</w:t>
      </w:r>
      <w:bookmarkEnd w:id="681"/>
      <w:r>
        <w:rPr>
          <w:color w:val="000000"/>
          <w:spacing w:val="0"/>
          <w:w w:val="100"/>
          <w:position w:val="0"/>
        </w:rPr>
        <w:t>、</w:t>
        <w:tab/>
        <w:t>股东和实际控制人情况</w:t>
      </w:r>
      <w:bookmarkEnd w:id="679"/>
      <w:bookmarkEnd w:id="680"/>
      <w:bookmarkEnd w:id="682"/>
    </w:p>
    <w:p>
      <w:pPr>
        <w:pStyle w:val="Style33"/>
        <w:keepNext/>
        <w:keepLines/>
        <w:widowControl w:val="0"/>
        <w:shd w:val="clear" w:color="auto" w:fill="auto"/>
        <w:bidi w:val="0"/>
        <w:spacing w:before="0" w:after="380" w:line="240" w:lineRule="auto"/>
        <w:ind w:left="0" w:right="0" w:firstLine="0"/>
        <w:jc w:val="left"/>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1</w:t>
      </w:r>
      <w:bookmarkEnd w:id="685"/>
      <w:r>
        <w:rPr>
          <w:color w:val="000000"/>
          <w:spacing w:val="0"/>
          <w:w w:val="100"/>
          <w:position w:val="0"/>
        </w:rPr>
        <w:t>、公司股东数量及持股情况</w:t>
      </w:r>
      <w:bookmarkEnd w:id="683"/>
      <w:bookmarkEnd w:id="684"/>
      <w:bookmarkEnd w:id="68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859"/>
        <w:gridCol w:w="566"/>
        <w:gridCol w:w="1416"/>
        <w:gridCol w:w="864"/>
        <w:gridCol w:w="1694"/>
        <w:gridCol w:w="154"/>
        <w:gridCol w:w="2117"/>
        <w:gridCol w:w="288"/>
        <w:gridCol w:w="1421"/>
        <w:gridCol w:w="211"/>
      </w:tblGrid>
      <w:tr>
        <w:trPr>
          <w:trHeight w:val="104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报告期末</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普通股股</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东总数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45,550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年度报告披露日 前上一月末普通 股股东总数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47,583</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报告期末表决权恢复</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的优先股股东总数</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（如有）（参见注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年度报告披露日前上一月 末表决权恢复的优先股股 东总数（如有）（参见注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持有特别表决权</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股份的股东总数</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p>
      <w:pPr>
        <w:pStyle w:val="Style26"/>
        <w:keepNext w:val="0"/>
        <w:keepLines w:val="0"/>
        <w:widowControl w:val="0"/>
        <w:shd w:val="clear" w:color="auto" w:fill="auto"/>
        <w:bidi w:val="0"/>
        <w:spacing w:before="0" w:after="0" w:line="240" w:lineRule="auto"/>
        <w:ind w:left="3077" w:right="0" w:firstLine="0"/>
        <w:jc w:val="left"/>
        <w:rPr>
          <w:sz w:val="17"/>
          <w:szCs w:val="17"/>
        </w:rPr>
      </w:pPr>
      <w:r>
        <w:rPr>
          <w:rFonts w:ascii="SimSun" w:eastAsia="SimSun" w:hAnsi="SimSun" w:cs="SimSun"/>
          <w:color w:val="000000"/>
          <w:spacing w:val="0"/>
          <w:w w:val="100"/>
          <w:position w:val="0"/>
          <w:sz w:val="17"/>
          <w:szCs w:val="17"/>
        </w:rPr>
        <w:t>持股</w:t>
      </w:r>
      <w:r>
        <w:rPr>
          <w:rFonts w:ascii="Times New Roman" w:eastAsia="Times New Roman" w:hAnsi="Times New Roman" w:cs="Times New Roman"/>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rFonts w:ascii="Times New Roman" w:eastAsia="Times New Roman" w:hAnsi="Times New Roman" w:cs="Times New Roman"/>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bl>
      <w:tblPr>
        <w:tblOverlap w:val="never"/>
        <w:jc w:val="center"/>
        <w:tblLayout w:type="fixed"/>
      </w:tblPr>
      <w:tblGrid>
        <w:gridCol w:w="1992"/>
        <w:gridCol w:w="1426"/>
        <w:gridCol w:w="845"/>
        <w:gridCol w:w="994"/>
        <w:gridCol w:w="1142"/>
        <w:gridCol w:w="854"/>
        <w:gridCol w:w="979"/>
        <w:gridCol w:w="859"/>
        <w:gridCol w:w="499"/>
      </w:tblGrid>
      <w:tr>
        <w:trPr>
          <w:trHeight w:val="730"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股东性质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持股比例</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报告期末持</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股数量</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报告期内增</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减变动情况</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持有有限 售条件的 股份数量</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持有无限售</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条件的股份</w:t>
            </w:r>
          </w:p>
          <w:p>
            <w:pPr>
              <w:pStyle w:val="Style2"/>
              <w:keepNext w:val="0"/>
              <w:keepLines w:val="0"/>
              <w:widowControl w:val="0"/>
              <w:shd w:val="clear" w:color="auto" w:fill="auto"/>
              <w:bidi w:val="0"/>
              <w:spacing w:before="0" w:after="120" w:line="240" w:lineRule="auto"/>
              <w:ind w:left="0" w:right="300" w:firstLine="0"/>
              <w:jc w:val="right"/>
              <w:rPr>
                <w:sz w:val="17"/>
                <w:szCs w:val="17"/>
              </w:rPr>
            </w:pPr>
            <w:r>
              <w:rPr>
                <w:color w:val="000000"/>
                <w:spacing w:val="0"/>
                <w:w w:val="100"/>
                <w:position w:val="0"/>
                <w:sz w:val="17"/>
                <w:szCs w:val="17"/>
              </w:rPr>
              <w:t>数量</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质押、标记或冻 结情况</w:t>
            </w:r>
          </w:p>
        </w:tc>
      </w:tr>
      <w:tr>
        <w:trPr>
          <w:trHeight w:val="39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股份状态</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数量</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7"/>
                <w:szCs w:val="17"/>
              </w:rPr>
              <w:t>中国人寿保险股份有限 公司一传统一普通保险 产品</w:t>
            </w:r>
            <w:r>
              <w:rPr>
                <w:rFonts w:ascii="Times New Roman" w:eastAsia="Times New Roman" w:hAnsi="Times New Roman" w:cs="Times New Roman"/>
                <w:color w:val="000000"/>
                <w:spacing w:val="0"/>
                <w:w w:val="100"/>
                <w:position w:val="0"/>
                <w:sz w:val="18"/>
                <w:szCs w:val="18"/>
              </w:rPr>
              <w:t xml:space="preserve">-005L-CT001 </w:t>
            </w:r>
            <w:r>
              <w:rPr>
                <w:color w:val="000000"/>
                <w:spacing w:val="0"/>
                <w:w w:val="100"/>
                <w:position w:val="0"/>
                <w:sz w:val="17"/>
                <w:szCs w:val="17"/>
              </w:rPr>
              <w:t>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156,488,470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156,488,470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和谐健康保险股份有限 公司一万能产品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7"/>
                <w:szCs w:val="17"/>
              </w:rPr>
              <w:t xml:space="preserve">中国人寿保险股份有限 公司一分红一个人分红 </w:t>
            </w:r>
            <w:r>
              <w:rPr>
                <w:rFonts w:ascii="Times New Roman" w:eastAsia="Times New Roman" w:hAnsi="Times New Roman" w:cs="Times New Roman"/>
                <w:color w:val="000000"/>
                <w:spacing w:val="0"/>
                <w:w w:val="100"/>
                <w:position w:val="0"/>
                <w:sz w:val="18"/>
                <w:szCs w:val="18"/>
              </w:rPr>
              <w:t xml:space="preserve">-005L-FH002 </w:t>
            </w:r>
            <w:r>
              <w:rPr>
                <w:color w:val="000000"/>
                <w:spacing w:val="0"/>
                <w:w w:val="100"/>
                <w:position w:val="0"/>
                <w:sz w:val="17"/>
                <w:szCs w:val="17"/>
              </w:rPr>
              <w:t>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59,260,000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59,260,000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上海科技创业投资有限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48,474,000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48,474,000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上海长安信息技术咨询</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开发中心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47,738,832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47,738,832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陈耀远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24,254,290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-4,166,402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24,254,290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朗新科技集团股份有限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17,430,000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17,430,000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信泰人寿保险股份有限 公司一传统产品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14,026,824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14,026,824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陈洁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13,263,843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13,263,843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西安国际医学投资股份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60"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上述股东关联关系或一致行动的说明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中国人寿保险股份有限公司一传统一普通保险产品</w:t>
            </w:r>
            <w:r>
              <w:rPr>
                <w:rFonts w:ascii="Times New Roman" w:eastAsia="Times New Roman" w:hAnsi="Times New Roman" w:cs="Times New Roman"/>
                <w:color w:val="000000"/>
                <w:spacing w:val="0"/>
                <w:w w:val="100"/>
                <w:position w:val="0"/>
                <w:sz w:val="18"/>
                <w:szCs w:val="18"/>
              </w:rPr>
              <w:t>-005L-CT001</w:t>
            </w:r>
            <w:r>
              <w:rPr>
                <w:color w:val="000000"/>
                <w:spacing w:val="0"/>
                <w:w w:val="100"/>
                <w:position w:val="0"/>
                <w:sz w:val="17"/>
                <w:szCs w:val="17"/>
              </w:rPr>
              <w:t>深和中国人寿 保险股份有限公司一分红一个人分红</w:t>
            </w:r>
            <w:r>
              <w:rPr>
                <w:rFonts w:ascii="Times New Roman" w:eastAsia="Times New Roman" w:hAnsi="Times New Roman" w:cs="Times New Roman"/>
                <w:color w:val="000000"/>
                <w:spacing w:val="0"/>
                <w:w w:val="100"/>
                <w:position w:val="0"/>
                <w:sz w:val="18"/>
                <w:szCs w:val="18"/>
              </w:rPr>
              <w:t>-005L-FH002</w:t>
            </w:r>
            <w:r>
              <w:rPr>
                <w:color w:val="000000"/>
                <w:spacing w:val="0"/>
                <w:w w:val="100"/>
                <w:position w:val="0"/>
                <w:sz w:val="17"/>
                <w:szCs w:val="17"/>
              </w:rPr>
              <w:t>深的管理人受同一控制人中 国人寿保险股份有限公司控制。除此之外，公司未知上述其他股东之间是否存 在关联关系，或属于一致行动人。</w:t>
            </w:r>
          </w:p>
        </w:tc>
      </w:tr>
      <w:tr>
        <w:trPr>
          <w:trHeight w:val="936" w:hRule="exact"/>
        </w:trPr>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受托表决权、放弃表决 权情况的说明</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无此类情况</w:t>
            </w:r>
          </w:p>
        </w:tc>
      </w:tr>
    </w:tbl>
    <w:p>
      <w:pPr>
        <w:pStyle w:val="Style2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r>
        <w:br w:type="page"/>
      </w:r>
    </w:p>
    <w:tbl>
      <w:tblPr>
        <w:tblOverlap w:val="never"/>
        <w:jc w:val="center"/>
        <w:tblLayout w:type="fixed"/>
      </w:tblPr>
      <w:tblGrid>
        <w:gridCol w:w="3418"/>
        <w:gridCol w:w="3115"/>
        <w:gridCol w:w="1704"/>
        <w:gridCol w:w="1354"/>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r>
      <w:tr>
        <w:trPr>
          <w:trHeight w:val="40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数量</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中国人寿保险股份有限公司一传统一普通 保险产品</w:t>
            </w:r>
            <w:r>
              <w:rPr>
                <w:rFonts w:ascii="Times New Roman" w:eastAsia="Times New Roman" w:hAnsi="Times New Roman" w:cs="Times New Roman"/>
                <w:color w:val="000000"/>
                <w:spacing w:val="0"/>
                <w:w w:val="100"/>
                <w:position w:val="0"/>
                <w:sz w:val="18"/>
                <w:szCs w:val="18"/>
              </w:rPr>
              <w:t>-005L-CT001</w:t>
            </w:r>
            <w:r>
              <w:rPr>
                <w:color w:val="000000"/>
                <w:spacing w:val="0"/>
                <w:w w:val="100"/>
                <w:position w:val="0"/>
                <w:sz w:val="17"/>
                <w:szCs w:val="17"/>
              </w:rPr>
              <w:t>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156,488,470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156,488,470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和谐健康保险股份有限公司一万能产品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117,190,000</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中国人寿保险股份有限公司一分红一个人 分红</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005L-FH002 </w:t>
            </w:r>
            <w:r>
              <w:rPr>
                <w:color w:val="000000"/>
                <w:spacing w:val="0"/>
                <w:w w:val="100"/>
                <w:position w:val="0"/>
                <w:sz w:val="17"/>
                <w:szCs w:val="17"/>
              </w:rPr>
              <w:t>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59260,000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59260,000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上海科技创业投资有限公司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48,474,000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48,474,000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上海长安信息技术咨询开发中心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47,738,832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47,738,832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陈耀远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24254290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24254290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朗新科技集团股份有限公司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17,430,000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17,430,000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信泰人寿保险股份有限公司一传统产品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14,026,824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14,026,824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陈洁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13263,843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13263,843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西安国际医学投资股份有限公司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9,957,200</w:t>
            </w:r>
          </w:p>
        </w:tc>
      </w:tr>
      <w:tr>
        <w:trPr>
          <w:trHeight w:val="13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名无限售流通股股东之间，以及前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名无限售流通股股东和前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名股东之间关 联关系或一致行动的说明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中国人寿保险股份有限公司一传统一普通保险产品</w:t>
            </w:r>
            <w:r>
              <w:rPr>
                <w:rFonts w:ascii="Times New Roman" w:eastAsia="Times New Roman" w:hAnsi="Times New Roman" w:cs="Times New Roman"/>
                <w:color w:val="000000"/>
                <w:spacing w:val="0"/>
                <w:w w:val="100"/>
                <w:position w:val="0"/>
                <w:sz w:val="18"/>
                <w:szCs w:val="18"/>
              </w:rPr>
              <w:t>-005L-CT001</w:t>
            </w:r>
            <w:r>
              <w:rPr>
                <w:color w:val="000000"/>
                <w:spacing w:val="0"/>
                <w:w w:val="100"/>
                <w:position w:val="0"/>
                <w:sz w:val="17"/>
                <w:szCs w:val="17"/>
              </w:rPr>
              <w:t>深和中国人寿 保险股份有限公司一分红一个人分红</w:t>
            </w:r>
            <w:r>
              <w:rPr>
                <w:rFonts w:ascii="Times New Roman" w:eastAsia="Times New Roman" w:hAnsi="Times New Roman" w:cs="Times New Roman"/>
                <w:color w:val="000000"/>
                <w:spacing w:val="0"/>
                <w:w w:val="100"/>
                <w:position w:val="0"/>
                <w:sz w:val="18"/>
                <w:szCs w:val="18"/>
              </w:rPr>
              <w:t>-005L-FH002</w:t>
            </w:r>
            <w:r>
              <w:rPr>
                <w:color w:val="000000"/>
                <w:spacing w:val="0"/>
                <w:w w:val="100"/>
                <w:position w:val="0"/>
                <w:sz w:val="17"/>
                <w:szCs w:val="17"/>
              </w:rPr>
              <w:t>深的管理人受同一控制人中 国人寿保险股份有限公司控制。除此之外，公司未知上述其他股东之间是否存 在关联关系，或属于一致行动人。</w:t>
            </w:r>
          </w:p>
        </w:tc>
      </w:tr>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参与融资融券业务股东情况说明（如有）（参</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陈洁持有</w:t>
            </w:r>
            <w:r>
              <w:rPr>
                <w:rFonts w:ascii="Times New Roman" w:eastAsia="Times New Roman" w:hAnsi="Times New Roman" w:cs="Times New Roman"/>
                <w:color w:val="000000"/>
                <w:spacing w:val="0"/>
                <w:w w:val="100"/>
                <w:position w:val="0"/>
                <w:sz w:val="18"/>
                <w:szCs w:val="18"/>
              </w:rPr>
              <w:t>13,263,843</w:t>
            </w:r>
            <w:r>
              <w:rPr>
                <w:color w:val="000000"/>
                <w:spacing w:val="0"/>
                <w:w w:val="100"/>
                <w:position w:val="0"/>
                <w:sz w:val="17"/>
                <w:szCs w:val="17"/>
              </w:rPr>
              <w:t>股，其中通过普通证券账户持有</w:t>
            </w:r>
            <w:r>
              <w:rPr>
                <w:rFonts w:ascii="Times New Roman" w:eastAsia="Times New Roman" w:hAnsi="Times New Roman" w:cs="Times New Roman"/>
                <w:color w:val="000000"/>
                <w:spacing w:val="0"/>
                <w:w w:val="100"/>
                <w:position w:val="0"/>
                <w:sz w:val="18"/>
                <w:szCs w:val="18"/>
              </w:rPr>
              <w:t>1,855,000</w:t>
            </w:r>
            <w:r>
              <w:rPr>
                <w:color w:val="000000"/>
                <w:spacing w:val="0"/>
                <w:w w:val="100"/>
                <w:position w:val="0"/>
                <w:sz w:val="17"/>
                <w:szCs w:val="17"/>
              </w:rPr>
              <w:t>股，通过信用 证券账户持有</w:t>
            </w:r>
            <w:r>
              <w:rPr>
                <w:rFonts w:ascii="Times New Roman" w:eastAsia="Times New Roman" w:hAnsi="Times New Roman" w:cs="Times New Roman"/>
                <w:color w:val="000000"/>
                <w:spacing w:val="0"/>
                <w:w w:val="100"/>
                <w:position w:val="0"/>
                <w:sz w:val="18"/>
                <w:szCs w:val="18"/>
              </w:rPr>
              <w:t>11,408,843</w:t>
            </w:r>
            <w:r>
              <w:rPr>
                <w:color w:val="000000"/>
                <w:spacing w:val="0"/>
                <w:w w:val="100"/>
                <w:position w:val="0"/>
                <w:sz w:val="17"/>
                <w:szCs w:val="17"/>
              </w:rPr>
              <w:t>股。</w:t>
            </w:r>
          </w:p>
        </w:tc>
      </w:tr>
    </w:tbl>
    <w:p>
      <w:pPr>
        <w:pStyle w:val="Style29"/>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公司是否具有表决权差异安排</w:t>
      </w:r>
    </w:p>
    <w:p>
      <w:pPr>
        <w:pStyle w:val="Style29"/>
        <w:keepNext w:val="0"/>
        <w:keepLines w:val="0"/>
        <w:widowControl w:val="0"/>
        <w:shd w:val="clear" w:color="auto" w:fill="auto"/>
        <w:bidi w:val="0"/>
        <w:spacing w:before="0" w:after="0" w:line="319"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9"/>
        <w:keepNext w:val="0"/>
        <w:keepLines w:val="0"/>
        <w:widowControl w:val="0"/>
        <w:shd w:val="clear" w:color="auto" w:fill="auto"/>
        <w:bidi w:val="0"/>
        <w:spacing w:before="0" w:after="0" w:line="319"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60" w:line="319"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3"/>
        <w:keepNext/>
        <w:keepLines/>
        <w:widowControl w:val="0"/>
        <w:shd w:val="clear" w:color="auto" w:fill="auto"/>
        <w:bidi w:val="0"/>
        <w:spacing w:before="0" w:after="280" w:line="240" w:lineRule="auto"/>
        <w:ind w:left="0" w:right="0" w:firstLine="0"/>
        <w:jc w:val="left"/>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2</w:t>
      </w:r>
      <w:bookmarkEnd w:id="689"/>
      <w:r>
        <w:rPr>
          <w:color w:val="000000"/>
          <w:spacing w:val="0"/>
          <w:w w:val="100"/>
          <w:position w:val="0"/>
        </w:rPr>
        <w:t>、公司控股股东情况</w:t>
      </w:r>
      <w:bookmarkEnd w:id="687"/>
      <w:bookmarkEnd w:id="688"/>
      <w:bookmarkEnd w:id="690"/>
    </w:p>
    <w:p>
      <w:pPr>
        <w:pStyle w:val="Style29"/>
        <w:keepNext w:val="0"/>
        <w:keepLines w:val="0"/>
        <w:widowControl w:val="0"/>
        <w:shd w:val="clear" w:color="auto" w:fill="auto"/>
        <w:bidi w:val="0"/>
        <w:spacing w:before="0" w:after="0" w:line="319" w:lineRule="exact"/>
        <w:ind w:left="0" w:right="0" w:firstLine="0"/>
        <w:jc w:val="left"/>
      </w:pPr>
      <w:r>
        <w:rPr>
          <w:color w:val="000000"/>
          <w:spacing w:val="0"/>
          <w:w w:val="100"/>
          <w:position w:val="0"/>
        </w:rPr>
        <w:t>控股股东性质：无控股主体</w:t>
      </w:r>
    </w:p>
    <w:p>
      <w:pPr>
        <w:pStyle w:val="Style29"/>
        <w:keepNext w:val="0"/>
        <w:keepLines w:val="0"/>
        <w:widowControl w:val="0"/>
        <w:shd w:val="clear" w:color="auto" w:fill="auto"/>
        <w:bidi w:val="0"/>
        <w:spacing w:before="0" w:after="0" w:line="319" w:lineRule="exact"/>
        <w:ind w:left="0" w:right="0" w:firstLine="0"/>
        <w:jc w:val="left"/>
      </w:pPr>
      <w:r>
        <w:rPr>
          <w:color w:val="000000"/>
          <w:spacing w:val="0"/>
          <w:w w:val="100"/>
          <w:position w:val="0"/>
        </w:rPr>
        <w:t>控股股东类型：不存在</w:t>
      </w:r>
    </w:p>
    <w:p>
      <w:pPr>
        <w:pStyle w:val="Style29"/>
        <w:keepNext w:val="0"/>
        <w:keepLines w:val="0"/>
        <w:widowControl w:val="0"/>
        <w:shd w:val="clear" w:color="auto" w:fill="auto"/>
        <w:bidi w:val="0"/>
        <w:spacing w:before="0" w:after="200" w:line="319" w:lineRule="exact"/>
        <w:ind w:left="0" w:right="0" w:firstLine="0"/>
        <w:jc w:val="left"/>
      </w:pPr>
      <w:r>
        <w:rPr>
          <w:color w:val="000000"/>
          <w:spacing w:val="0"/>
          <w:w w:val="100"/>
          <w:position w:val="0"/>
        </w:rPr>
        <w:t>公司不存在控股股东情况的说明</w:t>
      </w:r>
    </w:p>
    <w:p>
      <w:pPr>
        <w:pStyle w:val="Style29"/>
        <w:keepNext w:val="0"/>
        <w:keepLines w:val="0"/>
        <w:widowControl w:val="0"/>
        <w:shd w:val="clear" w:color="auto" w:fill="auto"/>
        <w:bidi w:val="0"/>
        <w:spacing w:before="0" w:after="0" w:line="319"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日，公司不存在单一股东持有股份的比例超过公司总股本的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，不存在单一股东能单独决定发行人 董事会半数以上成员，不存在单一股东能单方面决定任免公司主要管理人员及经营管理，不存在单一股东依其所持有股份享 有的表决权对股东大会决议产生重大影响。因此，公司无控股股东、无实际控制人。</w:t>
      </w:r>
    </w:p>
    <w:p>
      <w:pPr>
        <w:pStyle w:val="Style29"/>
        <w:keepNext w:val="0"/>
        <w:keepLines w:val="0"/>
        <w:widowControl w:val="0"/>
        <w:shd w:val="clear" w:color="auto" w:fill="auto"/>
        <w:bidi w:val="0"/>
        <w:spacing w:before="0" w:after="360" w:line="319" w:lineRule="exact"/>
        <w:ind w:left="0" w:right="0" w:firstLine="0"/>
        <w:jc w:val="left"/>
      </w:pPr>
      <w:r>
        <w:rPr>
          <w:color w:val="000000"/>
          <w:spacing w:val="0"/>
          <w:w w:val="100"/>
          <w:position w:val="0"/>
        </w:rPr>
        <w:t>控股股东报告期内变更</w:t>
      </w:r>
    </w:p>
    <w:p>
      <w:pPr>
        <w:pStyle w:val="Style29"/>
        <w:keepNext w:val="0"/>
        <w:keepLines w:val="0"/>
        <w:widowControl w:val="0"/>
        <w:shd w:val="clear" w:color="auto" w:fill="auto"/>
        <w:bidi w:val="0"/>
        <w:spacing w:before="0" w:after="160" w:line="319"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公司报告期控股股东未发生变更。</w:t>
      </w:r>
    </w:p>
    <w:p>
      <w:pPr>
        <w:pStyle w:val="Style33"/>
        <w:keepNext/>
        <w:keepLines/>
        <w:widowControl w:val="0"/>
        <w:shd w:val="clear" w:color="auto" w:fill="auto"/>
        <w:bidi w:val="0"/>
        <w:spacing w:before="0" w:after="420" w:line="240" w:lineRule="auto"/>
        <w:ind w:left="0" w:right="0" w:firstLine="0"/>
        <w:jc w:val="left"/>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3</w:t>
      </w:r>
      <w:bookmarkEnd w:id="693"/>
      <w:r>
        <w:rPr>
          <w:color w:val="000000"/>
          <w:spacing w:val="0"/>
          <w:w w:val="100"/>
          <w:position w:val="0"/>
        </w:rPr>
        <w:t>、公司实际控制人及其一致行动人</w:t>
      </w:r>
      <w:bookmarkEnd w:id="691"/>
      <w:bookmarkEnd w:id="692"/>
      <w:bookmarkEnd w:id="694"/>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实际控制人性质：无实际控制人</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实际控制人类型：不存在</w:t>
      </w:r>
    </w:p>
    <w:p>
      <w:pPr>
        <w:pStyle w:val="Style29"/>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公司不存在实际控制人情况的说明</w:t>
      </w:r>
    </w:p>
    <w:p>
      <w:pPr>
        <w:pStyle w:val="Style29"/>
        <w:keepNext w:val="0"/>
        <w:keepLines w:val="0"/>
        <w:widowControl w:val="0"/>
        <w:shd w:val="clear" w:color="auto" w:fill="auto"/>
        <w:bidi w:val="0"/>
        <w:spacing w:before="0" w:after="220" w:line="240" w:lineRule="auto"/>
        <w:ind w:left="0" w:right="0" w:firstLine="380"/>
        <w:jc w:val="left"/>
      </w:pPr>
      <w:r>
        <w:rPr>
          <w:color w:val="000000"/>
          <w:spacing w:val="0"/>
          <w:w w:val="100"/>
          <w:position w:val="0"/>
        </w:rPr>
        <w:t>具体内容同前述公司不存在控股股东情况的说明。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公司最终控制层面是否存在持股比例在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以上的股东情况</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法人</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最终控制层面持股情况</w:t>
      </w:r>
    </w:p>
    <w:tbl>
      <w:tblPr>
        <w:tblOverlap w:val="never"/>
        <w:jc w:val="center"/>
        <w:tblLayout w:type="fixed"/>
      </w:tblPr>
      <w:tblGrid>
        <w:gridCol w:w="1992"/>
        <w:gridCol w:w="1138"/>
        <w:gridCol w:w="1133"/>
        <w:gridCol w:w="1853"/>
        <w:gridCol w:w="3475"/>
      </w:tblGrid>
      <w:tr>
        <w:trPr>
          <w:trHeight w:val="72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最终控制层面股东名称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单位负责人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成立日期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组织机构代码</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主要经营业务</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中国人寿保险股份有限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袁长清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9110000071092841XX</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人寿保险、健康保险、意外伤害保险等各类 人身保险业务；人身保险的再保险业务；国 家法律、法规允许或国务院批准的资金运用 业务；各类人身保险服务、咨询和代理业务; 证券投资基金销售业务；国家保险监督管理 部门批准的其他业务。（依法须经批准的项 目，经相关部门批准后方可开展经营活动）</w:t>
            </w:r>
          </w:p>
        </w:tc>
      </w:tr>
      <w:tr>
        <w:trPr>
          <w:trHeight w:val="103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最终控制层面股东报告 期内控制的其他境内外 上市公司的股权情况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日，中国人寿保险股份有限公司没有控制的其他境内外上市公司；中国人 寿保险（集团）公司持有中国人寿保险股份有限公司（</w:t>
            </w:r>
            <w:r>
              <w:rPr>
                <w:rFonts w:ascii="Times New Roman" w:eastAsia="Times New Roman" w:hAnsi="Times New Roman" w:cs="Times New Roman"/>
                <w:color w:val="000000"/>
                <w:spacing w:val="0"/>
                <w:w w:val="100"/>
                <w:position w:val="0"/>
                <w:sz w:val="18"/>
                <w:szCs w:val="18"/>
              </w:rPr>
              <w:t>601628.SH</w:t>
            </w:r>
            <w:r>
              <w:rPr>
                <w:color w:val="000000"/>
                <w:spacing w:val="0"/>
                <w:w w:val="100"/>
                <w:position w:val="0"/>
                <w:sz w:val="17"/>
                <w:szCs w:val="17"/>
              </w:rPr>
              <w:t>）股份，持股比例为</w:t>
            </w:r>
            <w:r>
              <w:rPr>
                <w:rFonts w:ascii="Times New Roman" w:eastAsia="Times New Roman" w:hAnsi="Times New Roman" w:cs="Times New Roman"/>
                <w:color w:val="000000"/>
                <w:spacing w:val="0"/>
                <w:w w:val="100"/>
                <w:position w:val="0"/>
                <w:sz w:val="18"/>
                <w:szCs w:val="18"/>
              </w:rPr>
              <w:t>68.37%</w:t>
            </w:r>
            <w:r>
              <w:rPr>
                <w:color w:val="000000"/>
                <w:spacing w:val="0"/>
                <w:w w:val="100"/>
                <w:position w:val="0"/>
                <w:sz w:val="17"/>
                <w:szCs w:val="17"/>
              </w:rPr>
              <w:t>。</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060065" cy="2322830"/>
            <wp:docPr id="37" name="Picutre 37"/>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1"/>
                    <a:stretch/>
                  </pic:blipFill>
                  <pic:spPr>
                    <a:xfrm>
                      <a:ext cx="3060065" cy="2322830"/>
                    </a:xfrm>
                    <a:prstGeom prst="rect"/>
                  </pic:spPr>
                </pic:pic>
              </a:graphicData>
            </a:graphic>
          </wp:inline>
        </w:drawing>
      </w:r>
    </w:p>
    <w:p>
      <w:pPr>
        <w:widowControl w:val="0"/>
        <w:spacing w:after="31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68" w:val="left"/>
        </w:tabs>
        <w:bidi w:val="0"/>
        <w:spacing w:before="0" w:after="380" w:line="240" w:lineRule="auto"/>
        <w:ind w:left="0" w:right="0" w:firstLine="0"/>
        <w:jc w:val="both"/>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4</w:t>
      </w:r>
      <w:bookmarkEnd w:id="697"/>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95"/>
      <w:bookmarkEnd w:id="696"/>
      <w:bookmarkEnd w:id="698"/>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68" w:val="left"/>
        </w:tabs>
        <w:bidi w:val="0"/>
        <w:spacing w:before="0" w:after="380" w:line="240" w:lineRule="auto"/>
        <w:ind w:left="0" w:right="0" w:firstLine="0"/>
        <w:jc w:val="both"/>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5</w:t>
      </w:r>
      <w:bookmarkEnd w:id="701"/>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99"/>
      <w:bookmarkEnd w:id="700"/>
      <w:bookmarkEnd w:id="702"/>
    </w:p>
    <w:p>
      <w:pPr>
        <w:pStyle w:val="Style2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rFonts w:ascii="SimSun" w:eastAsia="SimSun" w:hAnsi="SimSun" w:cs="SimSun"/>
          <w:color w:val="000000"/>
          <w:spacing w:val="0"/>
          <w:w w:val="100"/>
          <w:position w:val="0"/>
          <w:sz w:val="17"/>
          <w:szCs w:val="17"/>
        </w:rPr>
        <w:t>适用</w:t>
      </w:r>
      <w:r>
        <w:rPr>
          <w:rFonts w:ascii="SimSun" w:eastAsia="SimSun" w:hAnsi="SimSun" w:cs="SimSun"/>
          <w:color w:val="000000"/>
          <w:spacing w:val="0"/>
          <w:w w:val="100"/>
          <w:position w:val="0"/>
          <w:sz w:val="18"/>
          <w:szCs w:val="18"/>
        </w:rPr>
        <w:t>口</w:t>
      </w:r>
      <w:r>
        <w:rPr>
          <w:rFonts w:ascii="SimSun" w:eastAsia="SimSun" w:hAnsi="SimSun" w:cs="SimSun"/>
          <w:color w:val="000000"/>
          <w:spacing w:val="0"/>
          <w:w w:val="100"/>
          <w:position w:val="0"/>
          <w:sz w:val="17"/>
          <w:szCs w:val="17"/>
        </w:rPr>
        <w:t>不适用</w:t>
      </w:r>
    </w:p>
    <w:tbl>
      <w:tblPr>
        <w:tblOverlap w:val="never"/>
        <w:jc w:val="center"/>
        <w:tblLayout w:type="fixed"/>
      </w:tblPr>
      <w:tblGrid>
        <w:gridCol w:w="1570"/>
        <w:gridCol w:w="1142"/>
        <w:gridCol w:w="1550"/>
        <w:gridCol w:w="1704"/>
        <w:gridCol w:w="3624"/>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法人股东名称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单位负责人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主要经营业务或管理活动</w:t>
            </w:r>
          </w:p>
        </w:tc>
      </w:tr>
      <w:tr>
        <w:trPr>
          <w:trHeight w:val="227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和谐健康保险股份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古红梅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1390000</w:t>
            </w:r>
            <w:r>
              <w:rPr>
                <w:color w:val="000000"/>
                <w:spacing w:val="0"/>
                <w:w w:val="100"/>
                <w:position w:val="0"/>
                <w:sz w:val="17"/>
                <w:szCs w:val="17"/>
              </w:rPr>
              <w:t>万元人民币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各种人民币和外币的健康保险业务、意外伤害 保险业务，与国家医疗保障政策配套、受政府 委托的健康保险业务，与健康保险有关的咨询 服务业务及代理业务，与健康保险有关的再保 险业务，国家法律、法规允许的资金运用业务， 中国保监会批准的其他业务（涉及行政许可 的，凭许可证经营）。</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both"/>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6</w:t>
      </w:r>
      <w:bookmarkEnd w:id="705"/>
      <w:r>
        <w:rPr>
          <w:color w:val="000000"/>
          <w:spacing w:val="0"/>
          <w:w w:val="100"/>
          <w:position w:val="0"/>
        </w:rPr>
        <w:t>、控股股东、实际控制人、重组方及其他承诺主体股份限制减持情况</w:t>
      </w:r>
      <w:bookmarkEnd w:id="703"/>
      <w:bookmarkEnd w:id="704"/>
      <w:bookmarkEnd w:id="706"/>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both"/>
      </w:pPr>
      <w:bookmarkStart w:id="707" w:name="bookmark707"/>
      <w:bookmarkStart w:id="708" w:name="bookmark708"/>
      <w:bookmarkStart w:id="709" w:name="bookmark709"/>
      <w:bookmarkStart w:id="710" w:name="bookmark710"/>
      <w:r>
        <w:rPr>
          <w:color w:val="000000"/>
          <w:spacing w:val="0"/>
          <w:w w:val="100"/>
          <w:position w:val="0"/>
        </w:rPr>
        <w:t>四</w:t>
      </w:r>
      <w:bookmarkEnd w:id="709"/>
      <w:r>
        <w:rPr>
          <w:color w:val="000000"/>
          <w:spacing w:val="0"/>
          <w:w w:val="100"/>
          <w:position w:val="0"/>
        </w:rPr>
        <w:t>、股份回购在报告期的具体实施情况</w:t>
      </w:r>
      <w:bookmarkEnd w:id="707"/>
      <w:bookmarkEnd w:id="708"/>
      <w:bookmarkEnd w:id="710"/>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股份回购的实施进展情况</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采用集中竞价方式减持回购股份的实施进展情况</w:t>
      </w:r>
    </w:p>
    <w:p>
      <w:pPr>
        <w:pStyle w:val="Style29"/>
        <w:keepNext w:val="0"/>
        <w:keepLines w:val="0"/>
        <w:widowControl w:val="0"/>
        <w:shd w:val="clear" w:color="auto" w:fill="auto"/>
        <w:bidi w:val="0"/>
        <w:spacing w:before="0" w:after="380" w:line="240" w:lineRule="auto"/>
        <w:ind w:left="0" w:right="0" w:firstLine="0"/>
        <w:jc w:val="both"/>
        <w:sectPr>
          <w:footnotePr>
            <w:pos w:val="pageBottom"/>
            <w:numFmt w:val="decimal"/>
            <w:numRestart w:val="continuous"/>
          </w:footnotePr>
          <w:pgSz w:w="11900" w:h="16840"/>
          <w:pgMar w:top="1395" w:right="1075" w:bottom="1433" w:left="1061" w:header="0" w:footer="3" w:gutter="0"/>
          <w:cols w:space="720"/>
          <w:noEndnote/>
          <w:rtlGutter w:val="0"/>
          <w:docGrid w:linePitch="360"/>
        </w:sectPr>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407" behindDoc="0" locked="0" layoutInCell="1" allowOverlap="1">
                <wp:simplePos x="0" y="0"/>
                <wp:positionH relativeFrom="page">
                  <wp:posOffset>2693035</wp:posOffset>
                </wp:positionH>
                <wp:positionV relativeFrom="paragraph">
                  <wp:posOffset>0</wp:posOffset>
                </wp:positionV>
                <wp:extent cx="2179320" cy="250190"/>
                <wp:wrapTopAndBottom/>
                <wp:docPr id="38" name="Shape 38"/>
                <a:graphic xmlns:a="http://schemas.openxmlformats.org/drawingml/2006/main">
                  <a:graphicData uri="http://schemas.microsoft.com/office/word/2010/wordprocessingShape">
                    <wps:wsp>
                      <wps:cNvSpPr txBox="1"/>
                      <wps:spPr>
                        <a:xfrm>
                          <a:ext cx="2179320" cy="250190"/>
                        </a:xfrm>
                        <a:prstGeom prst="rect"/>
                        <a:noFill/>
                      </wps:spPr>
                      <wps:txbx>
                        <w:txbxContent>
                          <w:p>
                            <w:pPr>
                              <w:pStyle w:val="Style9"/>
                              <w:keepNext/>
                              <w:keepLines/>
                              <w:widowControl w:val="0"/>
                              <w:shd w:val="clear" w:color="auto" w:fill="auto"/>
                              <w:bidi w:val="0"/>
                              <w:spacing w:before="0" w:after="0" w:line="240" w:lineRule="auto"/>
                              <w:ind w:left="0" w:right="0" w:firstLine="0"/>
                              <w:jc w:val="center"/>
                            </w:pPr>
                            <w:bookmarkStart w:id="711" w:name="bookmark711"/>
                            <w:bookmarkStart w:id="712" w:name="bookmark712"/>
                            <w:bookmarkStart w:id="713" w:name="bookmark713"/>
                            <w:r>
                              <w:rPr>
                                <w:color w:val="000000"/>
                                <w:spacing w:val="0"/>
                                <w:w w:val="100"/>
                                <w:position w:val="0"/>
                              </w:rPr>
                              <w:t>第八节优先股相关情况</w:t>
                            </w:r>
                            <w:bookmarkEnd w:id="711"/>
                            <w:bookmarkEnd w:id="712"/>
                            <w:bookmarkEnd w:id="713"/>
                          </w:p>
                        </w:txbxContent>
                      </wps:txbx>
                      <wps:bodyPr wrap="none" lIns="0" tIns="0" rIns="0" bIns="0">
                        <a:noAutoFit/>
                      </wps:bodyPr>
                    </wps:wsp>
                  </a:graphicData>
                </a:graphic>
              </wp:anchor>
            </w:drawing>
          </mc:Choice>
          <mc:Fallback>
            <w:pict>
              <v:shape id="_x0000_s1064" type="#_x0000_t202" style="position:absolute;margin-left:212.05000000000001pt;margin-top:0;width:171.59999999999999pt;height:19.699999999999999pt;z-index:-125829346;mso-wrap-distance-left:0;mso-wrap-distance-right:0;mso-wrap-distance-bottom:21.pt;mso-position-horizontal-relative:page" filled="f" stroked="f">
                <v:textbox inset="0,0,0,0">
                  <w:txbxContent>
                    <w:p>
                      <w:pPr>
                        <w:pStyle w:val="Style9"/>
                        <w:keepNext/>
                        <w:keepLines/>
                        <w:widowControl w:val="0"/>
                        <w:shd w:val="clear" w:color="auto" w:fill="auto"/>
                        <w:bidi w:val="0"/>
                        <w:spacing w:before="0" w:after="0" w:line="240" w:lineRule="auto"/>
                        <w:ind w:left="0" w:right="0" w:firstLine="0"/>
                        <w:jc w:val="center"/>
                      </w:pPr>
                      <w:bookmarkStart w:id="711" w:name="bookmark711"/>
                      <w:bookmarkStart w:id="712" w:name="bookmark712"/>
                      <w:bookmarkStart w:id="713" w:name="bookmark713"/>
                      <w:r>
                        <w:rPr>
                          <w:color w:val="000000"/>
                          <w:spacing w:val="0"/>
                          <w:w w:val="100"/>
                          <w:position w:val="0"/>
                        </w:rPr>
                        <w:t>第八节优先股相关情况</w:t>
                      </w:r>
                      <w:bookmarkEnd w:id="711"/>
                      <w:bookmarkEnd w:id="712"/>
                      <w:bookmarkEnd w:id="713"/>
                    </w:p>
                  </w:txbxContent>
                </v:textbox>
                <w10:wrap type="topAndBottom" anchorx="page"/>
              </v:shape>
            </w:pict>
          </mc:Fallback>
        </mc:AlternateContent>
      </w:r>
    </w:p>
    <w:p>
      <w:pPr>
        <w:pStyle w:val="Style29"/>
        <w:keepNext w:val="0"/>
        <w:keepLines w:val="0"/>
        <w:widowControl w:val="0"/>
        <w:shd w:val="clear" w:color="auto" w:fill="auto"/>
        <w:bidi w:val="0"/>
        <w:spacing w:before="0" w:after="140" w:line="240" w:lineRule="auto"/>
        <w:ind w:left="0" w:right="0" w:firstLine="0"/>
        <w:jc w:val="left"/>
      </w:pPr>
      <w:bookmarkStart w:id="714" w:name="bookmark714"/>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714"/>
    </w:p>
    <w:p>
      <w:pPr>
        <w:pStyle w:val="Style2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3" w:right="1121" w:bottom="1933" w:left="1102" w:header="0" w:footer="3" w:gutter="0"/>
          <w:cols w:space="720"/>
          <w:noEndnote/>
          <w:rtlGutter w:val="0"/>
          <w:docGrid w:linePitch="360"/>
        </w:sectPr>
      </w:pPr>
      <w:r>
        <w:rPr>
          <w:color w:val="000000"/>
          <w:spacing w:val="0"/>
          <w:w w:val="100"/>
          <w:position w:val="0"/>
        </w:rPr>
        <w:t>报告期公司不存在优先股。</w:t>
      </w:r>
    </w:p>
    <w:p>
      <w:pPr>
        <w:pStyle w:val="Style9"/>
        <w:keepNext/>
        <w:keepLines/>
        <w:widowControl w:val="0"/>
        <w:shd w:val="clear" w:color="auto" w:fill="auto"/>
        <w:bidi w:val="0"/>
        <w:spacing w:before="0" w:line="240" w:lineRule="auto"/>
        <w:ind w:left="0" w:right="0" w:firstLine="0"/>
        <w:jc w:val="center"/>
      </w:pPr>
      <w:bookmarkStart w:id="715" w:name="bookmark715"/>
      <w:bookmarkStart w:id="716" w:name="bookmark716"/>
      <w:bookmarkStart w:id="717" w:name="bookmark717"/>
      <w:r>
        <w:rPr>
          <w:color w:val="000000"/>
          <w:spacing w:val="0"/>
          <w:w w:val="100"/>
          <w:position w:val="0"/>
        </w:rPr>
        <w:t>第九节债券相关情况</w:t>
      </w:r>
      <w:bookmarkEnd w:id="715"/>
      <w:bookmarkEnd w:id="716"/>
      <w:bookmarkEnd w:id="717"/>
    </w:p>
    <w:p>
      <w:pPr>
        <w:pStyle w:val="Style2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3" w:right="1121" w:bottom="1933" w:left="1102" w:header="0" w:footer="3" w:gutter="0"/>
          <w:cols w:space="720"/>
          <w:noEndnote/>
          <w:rtlGutter w:val="0"/>
          <w:docGrid w:linePitch="360"/>
        </w:sectPr>
      </w:pPr>
      <w:bookmarkStart w:id="718" w:name="bookmark718"/>
      <w:r>
        <w:rPr>
          <w:color w:val="000000"/>
          <w:spacing w:val="0"/>
          <w:w w:val="100"/>
          <w:position w:val="0"/>
          <w:sz w:val="18"/>
          <w:szCs w:val="18"/>
        </w:rPr>
        <w:t>口</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718"/>
    </w:p>
    <w:p>
      <w:pPr>
        <w:pStyle w:val="Style9"/>
        <w:keepNext/>
        <w:keepLines/>
        <w:widowControl w:val="0"/>
        <w:shd w:val="clear" w:color="auto" w:fill="auto"/>
        <w:bidi w:val="0"/>
        <w:spacing w:before="560" w:after="540" w:line="240" w:lineRule="auto"/>
        <w:ind w:left="0" w:right="0" w:firstLine="0"/>
        <w:jc w:val="center"/>
      </w:pPr>
      <w:bookmarkStart w:id="719" w:name="bookmark719"/>
      <w:bookmarkStart w:id="720" w:name="bookmark720"/>
      <w:bookmarkStart w:id="721" w:name="bookmark721"/>
      <w:r>
        <w:rPr>
          <w:color w:val="000000"/>
          <w:spacing w:val="0"/>
          <w:w w:val="100"/>
          <w:position w:val="0"/>
        </w:rPr>
        <w:t>第十节财务报告</w:t>
      </w:r>
      <w:bookmarkEnd w:id="719"/>
      <w:bookmarkEnd w:id="720"/>
      <w:bookmarkEnd w:id="721"/>
    </w:p>
    <w:p>
      <w:pPr>
        <w:pStyle w:val="Style24"/>
        <w:keepNext/>
        <w:keepLines/>
        <w:widowControl w:val="0"/>
        <w:shd w:val="clear" w:color="auto" w:fill="auto"/>
        <w:bidi w:val="0"/>
        <w:spacing w:before="0" w:after="300" w:line="240" w:lineRule="auto"/>
        <w:ind w:left="0" w:right="0" w:firstLine="260"/>
        <w:jc w:val="left"/>
      </w:pPr>
      <w:bookmarkStart w:id="722" w:name="bookmark722"/>
      <w:bookmarkStart w:id="723" w:name="bookmark723"/>
      <w:bookmarkStart w:id="724" w:name="bookmark724"/>
      <w:bookmarkStart w:id="725" w:name="bookmark725"/>
      <w:r>
        <w:rPr>
          <w:color w:val="000000"/>
          <w:spacing w:val="0"/>
          <w:w w:val="100"/>
          <w:position w:val="0"/>
        </w:rPr>
        <w:t>、审计报告</w:t>
      </w:r>
      <w:bookmarkEnd w:id="723"/>
      <w:bookmarkEnd w:id="724"/>
      <w:bookmarkEnd w:id="725"/>
      <w:bookmarkEnd w:id="722"/>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标准的无保留意见</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立信会计师事务所(特殊普通合伙)</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信会师报字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第</w:t>
            </w:r>
            <w:r>
              <w:rPr>
                <w:rFonts w:ascii="Times New Roman" w:eastAsia="Times New Roman" w:hAnsi="Times New Roman" w:cs="Times New Roman"/>
                <w:color w:val="000000"/>
                <w:spacing w:val="0"/>
                <w:w w:val="100"/>
                <w:position w:val="0"/>
                <w:sz w:val="18"/>
                <w:szCs w:val="18"/>
              </w:rPr>
              <w:t>ZA11549</w:t>
            </w:r>
            <w:r>
              <w:rPr>
                <w:color w:val="000000"/>
                <w:spacing w:val="0"/>
                <w:w w:val="100"/>
                <w:position w:val="0"/>
                <w:sz w:val="17"/>
                <w:szCs w:val="17"/>
              </w:rPr>
              <w:t>号</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赵敏，翟树得</w:t>
            </w:r>
          </w:p>
        </w:tc>
      </w:tr>
    </w:tbl>
    <w:p>
      <w:pPr>
        <w:pStyle w:val="Style26"/>
        <w:keepNext w:val="0"/>
        <w:keepLines w:val="0"/>
        <w:widowControl w:val="0"/>
        <w:shd w:val="clear" w:color="auto" w:fill="auto"/>
        <w:bidi w:val="0"/>
        <w:spacing w:before="0" w:after="0" w:line="240" w:lineRule="auto"/>
        <w:ind w:left="4277" w:right="0" w:firstLine="0"/>
        <w:jc w:val="left"/>
        <w:rPr>
          <w:sz w:val="17"/>
          <w:szCs w:val="17"/>
        </w:rPr>
      </w:pPr>
      <w:r>
        <w:rPr>
          <w:rFonts w:ascii="SimSun" w:eastAsia="SimSun" w:hAnsi="SimSun" w:cs="SimSun"/>
          <w:color w:val="000000"/>
          <w:spacing w:val="0"/>
          <w:w w:val="100"/>
          <w:position w:val="0"/>
          <w:sz w:val="17"/>
          <w:szCs w:val="17"/>
        </w:rPr>
        <w:t>审计报告正文</w:t>
      </w:r>
    </w:p>
    <w:p>
      <w:pPr>
        <w:pStyle w:val="Style18"/>
        <w:keepNext w:val="0"/>
        <w:keepLines w:val="0"/>
        <w:widowControl w:val="0"/>
        <w:shd w:val="clear" w:color="auto" w:fill="auto"/>
        <w:bidi w:val="0"/>
        <w:spacing w:before="0" w:after="100" w:line="310" w:lineRule="exact"/>
        <w:ind w:left="0" w:right="0" w:firstLine="0"/>
        <w:jc w:val="both"/>
      </w:pPr>
      <w:r>
        <w:rPr>
          <w:b/>
          <w:bCs/>
          <w:color w:val="000000"/>
          <w:spacing w:val="0"/>
          <w:w w:val="100"/>
          <w:position w:val="0"/>
        </w:rPr>
        <w:t>万达信息股份有限公司全体股东：</w:t>
      </w:r>
    </w:p>
    <w:p>
      <w:pPr>
        <w:pStyle w:val="Style29"/>
        <w:keepNext w:val="0"/>
        <w:keepLines w:val="0"/>
        <w:widowControl w:val="0"/>
        <w:shd w:val="clear" w:color="auto" w:fill="auto"/>
        <w:tabs>
          <w:tab w:pos="349" w:val="left"/>
        </w:tabs>
        <w:bidi w:val="0"/>
        <w:spacing w:before="0" w:after="0" w:line="360" w:lineRule="auto"/>
        <w:ind w:left="0" w:right="0" w:firstLine="0"/>
        <w:jc w:val="both"/>
      </w:pPr>
      <w:bookmarkStart w:id="726" w:name="bookmark726"/>
      <w:r>
        <w:rPr>
          <w:rFonts w:ascii="Times New Roman" w:eastAsia="Times New Roman" w:hAnsi="Times New Roman" w:cs="Times New Roman"/>
          <w:b/>
          <w:bCs/>
          <w:color w:val="000000"/>
          <w:spacing w:val="0"/>
          <w:w w:val="100"/>
          <w:position w:val="0"/>
          <w:sz w:val="18"/>
          <w:szCs w:val="18"/>
        </w:rPr>
        <w:t>1</w:t>
      </w:r>
      <w:bookmarkEnd w:id="726"/>
      <w:r>
        <w:rPr>
          <w:b/>
          <w:bCs/>
          <w:color w:val="000000"/>
          <w:spacing w:val="0"/>
          <w:w w:val="100"/>
          <w:position w:val="0"/>
        </w:rPr>
        <w:t>、</w:t>
        <w:tab/>
        <w:t>审计意见</w:t>
      </w:r>
    </w:p>
    <w:p>
      <w:pPr>
        <w:pStyle w:val="Style2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我们审计了万达信息股份有限公司(以下简称万达信息)财务报表，包括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日的合并及母公司资产负债表，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年度的合并及母公司利润表、合并及母公司现金流量表、合并及母公司所有者权益变动表以及相关财务报表附注。</w:t>
      </w:r>
    </w:p>
    <w:p>
      <w:pPr>
        <w:pStyle w:val="Style29"/>
        <w:keepNext w:val="0"/>
        <w:keepLines w:val="0"/>
        <w:widowControl w:val="0"/>
        <w:shd w:val="clear" w:color="auto" w:fill="auto"/>
        <w:bidi w:val="0"/>
        <w:spacing w:before="0" w:after="100" w:line="310" w:lineRule="exact"/>
        <w:ind w:left="0" w:right="0" w:firstLine="380"/>
        <w:jc w:val="both"/>
      </w:pPr>
      <w:r>
        <w:rPr>
          <w:color w:val="000000"/>
          <w:spacing w:val="0"/>
          <w:w w:val="100"/>
          <w:position w:val="0"/>
        </w:rPr>
        <w:t>我们认为，后附的财务报表在所有重大方面按照企业会计准则的规定编制，公允反映了万达信息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 及母公司财务状况以及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年度的合并及母公司经营成果和现金流量。</w:t>
      </w:r>
    </w:p>
    <w:p>
      <w:pPr>
        <w:pStyle w:val="Style29"/>
        <w:keepNext w:val="0"/>
        <w:keepLines w:val="0"/>
        <w:widowControl w:val="0"/>
        <w:shd w:val="clear" w:color="auto" w:fill="auto"/>
        <w:tabs>
          <w:tab w:pos="363" w:val="left"/>
        </w:tabs>
        <w:bidi w:val="0"/>
        <w:spacing w:before="0" w:after="0" w:line="360" w:lineRule="auto"/>
        <w:ind w:left="0" w:right="0" w:firstLine="0"/>
        <w:jc w:val="left"/>
      </w:pPr>
      <w:bookmarkStart w:id="727" w:name="bookmark727"/>
      <w:r>
        <w:rPr>
          <w:rFonts w:ascii="Times New Roman" w:eastAsia="Times New Roman" w:hAnsi="Times New Roman" w:cs="Times New Roman"/>
          <w:b/>
          <w:bCs/>
          <w:color w:val="000000"/>
          <w:spacing w:val="0"/>
          <w:w w:val="100"/>
          <w:position w:val="0"/>
          <w:sz w:val="18"/>
          <w:szCs w:val="18"/>
        </w:rPr>
        <w:t>2</w:t>
      </w:r>
      <w:bookmarkEnd w:id="727"/>
      <w:r>
        <w:rPr>
          <w:b/>
          <w:bCs/>
          <w:color w:val="000000"/>
          <w:spacing w:val="0"/>
          <w:w w:val="100"/>
          <w:position w:val="0"/>
        </w:rPr>
        <w:t>、</w:t>
        <w:tab/>
        <w:t>形成审计意见的基础</w:t>
      </w:r>
    </w:p>
    <w:p>
      <w:pPr>
        <w:pStyle w:val="Style29"/>
        <w:keepNext w:val="0"/>
        <w:keepLines w:val="0"/>
        <w:widowControl w:val="0"/>
        <w:shd w:val="clear" w:color="auto" w:fill="auto"/>
        <w:bidi w:val="0"/>
        <w:spacing w:before="0" w:after="100" w:line="310" w:lineRule="exact"/>
        <w:ind w:left="0" w:right="0" w:firstLine="38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阐述了我们在这些准则下的责任。按照中国注册会计师职业道德守则，我们独立于万达信息，并履行了职业道德方面的其他 责任。我们相信，我们获取的审计证据是充分、适当的，为发表审计意见提供了基础。</w:t>
      </w:r>
    </w:p>
    <w:p>
      <w:pPr>
        <w:pStyle w:val="Style29"/>
        <w:keepNext w:val="0"/>
        <w:keepLines w:val="0"/>
        <w:widowControl w:val="0"/>
        <w:shd w:val="clear" w:color="auto" w:fill="auto"/>
        <w:tabs>
          <w:tab w:pos="363" w:val="left"/>
        </w:tabs>
        <w:bidi w:val="0"/>
        <w:spacing w:before="0" w:after="0" w:line="360" w:lineRule="auto"/>
        <w:ind w:left="0" w:right="0" w:firstLine="0"/>
        <w:jc w:val="both"/>
      </w:pPr>
      <w:bookmarkStart w:id="728" w:name="bookmark728"/>
      <w:r>
        <w:rPr>
          <w:rFonts w:ascii="Times New Roman" w:eastAsia="Times New Roman" w:hAnsi="Times New Roman" w:cs="Times New Roman"/>
          <w:b/>
          <w:bCs/>
          <w:color w:val="000000"/>
          <w:spacing w:val="0"/>
          <w:w w:val="100"/>
          <w:position w:val="0"/>
          <w:sz w:val="18"/>
          <w:szCs w:val="18"/>
        </w:rPr>
        <w:t>3</w:t>
      </w:r>
      <w:bookmarkEnd w:id="728"/>
      <w:r>
        <w:rPr>
          <w:b/>
          <w:bCs/>
          <w:color w:val="000000"/>
          <w:spacing w:val="0"/>
          <w:w w:val="100"/>
          <w:position w:val="0"/>
        </w:rPr>
        <w:t>、</w:t>
        <w:tab/>
        <w:t>关键审计事项</w:t>
      </w:r>
    </w:p>
    <w:p>
      <w:pPr>
        <w:pStyle w:val="Style29"/>
        <w:keepNext w:val="0"/>
        <w:keepLines w:val="0"/>
        <w:widowControl w:val="0"/>
        <w:shd w:val="clear" w:color="auto" w:fill="auto"/>
        <w:bidi w:val="0"/>
        <w:spacing w:before="0" w:after="100" w:line="310" w:lineRule="exact"/>
        <w:ind w:left="0" w:right="0" w:firstLine="38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26"/>
        <w:keepNext w:val="0"/>
        <w:keepLines w:val="0"/>
        <w:widowControl w:val="0"/>
        <w:shd w:val="clear" w:color="auto" w:fill="auto"/>
        <w:bidi w:val="0"/>
        <w:spacing w:before="0" w:after="0" w:line="240" w:lineRule="auto"/>
        <w:ind w:left="365" w:right="0" w:firstLine="0"/>
        <w:jc w:val="left"/>
        <w:rPr>
          <w:sz w:val="17"/>
          <w:szCs w:val="17"/>
        </w:rPr>
      </w:pPr>
      <w:r>
        <w:rPr>
          <w:rFonts w:ascii="SimSun" w:eastAsia="SimSun" w:hAnsi="SimSun" w:cs="SimSun"/>
          <w:color w:val="000000"/>
          <w:spacing w:val="0"/>
          <w:w w:val="100"/>
          <w:position w:val="0"/>
          <w:sz w:val="17"/>
          <w:szCs w:val="17"/>
        </w:rPr>
        <w:t>我们在审计中识别出的关键审计事项汇总如下:</w:t>
      </w:r>
    </w:p>
    <w:tbl>
      <w:tblPr>
        <w:tblOverlap w:val="never"/>
        <w:jc w:val="center"/>
        <w:tblLayout w:type="fixed"/>
      </w:tblPr>
      <w:tblGrid>
        <w:gridCol w:w="4272"/>
        <w:gridCol w:w="5414"/>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关键审计事项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该事项在审计中是如何应对的</w:t>
            </w:r>
          </w:p>
        </w:tc>
      </w:tr>
      <w:tr>
        <w:trPr>
          <w:trHeight w:val="336"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(一)收入确认</w:t>
            </w:r>
          </w:p>
        </w:tc>
      </w:tr>
      <w:tr>
        <w:trPr>
          <w:trHeight w:val="441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如财务报表附注五(四十二)所示，万达信息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 合并报表营业收入为人民币</w:t>
            </w:r>
            <w:r>
              <w:rPr>
                <w:rFonts w:ascii="Times New Roman" w:eastAsia="Times New Roman" w:hAnsi="Times New Roman" w:cs="Times New Roman"/>
                <w:color w:val="000000"/>
                <w:spacing w:val="0"/>
                <w:w w:val="100"/>
                <w:position w:val="0"/>
                <w:sz w:val="18"/>
                <w:szCs w:val="18"/>
              </w:rPr>
              <w:t>351,311.40</w:t>
            </w:r>
            <w:r>
              <w:rPr>
                <w:color w:val="000000"/>
                <w:spacing w:val="0"/>
                <w:w w:val="100"/>
                <w:position w:val="0"/>
                <w:sz w:val="17"/>
                <w:szCs w:val="17"/>
              </w:rPr>
              <w:t>万元，由于收入 是万达信息的关键业绩指标之一，从而存在管理层为了 达到特定目标或期望而操纵收入确认时点的固有风险， 因此，我们将收入确认识别为关键审计事项。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我们执行的主要审计程序如下：</w:t>
            </w:r>
          </w:p>
          <w:p>
            <w:pPr>
              <w:pStyle w:val="Style2"/>
              <w:keepNext w:val="0"/>
              <w:keepLines w:val="0"/>
              <w:widowControl w:val="0"/>
              <w:numPr>
                <w:ilvl w:val="0"/>
                <w:numId w:val="11"/>
              </w:numPr>
              <w:shd w:val="clear" w:color="auto" w:fill="auto"/>
              <w:tabs>
                <w:tab w:pos="298" w:val="left"/>
              </w:tabs>
              <w:bidi w:val="0"/>
              <w:spacing w:before="0" w:after="0" w:line="312" w:lineRule="exact"/>
              <w:ind w:left="0" w:right="0" w:firstLine="0"/>
              <w:jc w:val="left"/>
              <w:rPr>
                <w:sz w:val="17"/>
                <w:szCs w:val="17"/>
              </w:rPr>
            </w:pPr>
            <w:r>
              <w:rPr>
                <w:color w:val="000000"/>
                <w:spacing w:val="0"/>
                <w:w w:val="100"/>
                <w:position w:val="0"/>
                <w:sz w:val="17"/>
                <w:szCs w:val="17"/>
              </w:rPr>
              <w:t>了解和评价管理层与收入确认相关的关键内部控制的设计和运行 有效性；</w:t>
            </w:r>
          </w:p>
          <w:p>
            <w:pPr>
              <w:pStyle w:val="Style2"/>
              <w:keepNext w:val="0"/>
              <w:keepLines w:val="0"/>
              <w:widowControl w:val="0"/>
              <w:numPr>
                <w:ilvl w:val="0"/>
                <w:numId w:val="11"/>
              </w:numPr>
              <w:shd w:val="clear" w:color="auto" w:fill="auto"/>
              <w:tabs>
                <w:tab w:pos="283" w:val="left"/>
              </w:tabs>
              <w:bidi w:val="0"/>
              <w:spacing w:before="0" w:after="0" w:line="326" w:lineRule="exact"/>
              <w:ind w:left="0" w:right="0" w:firstLine="0"/>
              <w:jc w:val="left"/>
              <w:rPr>
                <w:sz w:val="17"/>
                <w:szCs w:val="17"/>
              </w:rPr>
            </w:pPr>
            <w:r>
              <w:rPr>
                <w:color w:val="000000"/>
                <w:spacing w:val="0"/>
                <w:w w:val="100"/>
                <w:position w:val="0"/>
                <w:sz w:val="17"/>
                <w:szCs w:val="17"/>
              </w:rPr>
              <w:t>询问管理层，查阅合同条款，评价公司关于收入确认时点的会计 政策是否符合企业会计准则的规定；</w:t>
            </w:r>
          </w:p>
          <w:p>
            <w:pPr>
              <w:pStyle w:val="Style2"/>
              <w:keepNext w:val="0"/>
              <w:keepLines w:val="0"/>
              <w:widowControl w:val="0"/>
              <w:numPr>
                <w:ilvl w:val="0"/>
                <w:numId w:val="11"/>
              </w:numPr>
              <w:shd w:val="clear" w:color="auto" w:fill="auto"/>
              <w:tabs>
                <w:tab w:pos="206" w:val="left"/>
              </w:tabs>
              <w:bidi w:val="0"/>
              <w:spacing w:before="0" w:after="0" w:line="318" w:lineRule="exact"/>
              <w:ind w:left="0" w:right="0" w:firstLine="0"/>
              <w:jc w:val="left"/>
              <w:rPr>
                <w:sz w:val="17"/>
                <w:szCs w:val="17"/>
              </w:rPr>
            </w:pPr>
            <w:r>
              <w:rPr>
                <w:color w:val="000000"/>
                <w:spacing w:val="0"/>
                <w:w w:val="100"/>
                <w:position w:val="0"/>
                <w:sz w:val="17"/>
                <w:szCs w:val="17"/>
              </w:rPr>
              <w:t>选取样本，对不同类别收入进行测试并检查相关收入确认的支持性 文件，以测试公司是否已经在收入确认的时点履行了相关履约义务： 对于在某一段时间确认收入的业务</w:t>
            </w:r>
            <w:r>
              <w:rPr>
                <w:color w:val="000000"/>
                <w:spacing w:val="0"/>
                <w:w w:val="100"/>
                <w:position w:val="0"/>
                <w:sz w:val="18"/>
                <w:szCs w:val="18"/>
              </w:rPr>
              <w:t>，</w:t>
            </w:r>
            <w:r>
              <w:rPr>
                <w:color w:val="000000"/>
                <w:spacing w:val="0"/>
                <w:w w:val="100"/>
                <w:position w:val="0"/>
                <w:sz w:val="17"/>
                <w:szCs w:val="17"/>
              </w:rPr>
              <w:t>判断其是否满足时段法确认收入 的条件，复核确认的履约进度是否准确；</w:t>
            </w:r>
          </w:p>
          <w:p>
            <w:pPr>
              <w:pStyle w:val="Style2"/>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7"/>
                <w:szCs w:val="17"/>
              </w:rPr>
              <w:t>对于在某一时点确认收入的业务，检查在该时点相关履约义务已经完 成的审计证据；</w:t>
            </w:r>
          </w:p>
          <w:p>
            <w:pPr>
              <w:pStyle w:val="Style2"/>
              <w:keepNext w:val="0"/>
              <w:keepLines w:val="0"/>
              <w:widowControl w:val="0"/>
              <w:numPr>
                <w:ilvl w:val="0"/>
                <w:numId w:val="11"/>
              </w:numPr>
              <w:shd w:val="clear" w:color="auto" w:fill="auto"/>
              <w:tabs>
                <w:tab w:pos="211" w:val="left"/>
              </w:tabs>
              <w:bidi w:val="0"/>
              <w:spacing w:before="0" w:after="0" w:line="318" w:lineRule="exact"/>
              <w:ind w:left="0" w:right="0" w:firstLine="0"/>
              <w:jc w:val="left"/>
              <w:rPr>
                <w:sz w:val="17"/>
                <w:szCs w:val="17"/>
              </w:rPr>
            </w:pPr>
            <w:r>
              <w:rPr>
                <w:color w:val="000000"/>
                <w:spacing w:val="0"/>
                <w:w w:val="100"/>
                <w:position w:val="0"/>
                <w:sz w:val="17"/>
                <w:szCs w:val="17"/>
              </w:rPr>
              <w:t>选取样本，对资产负债表日前后确认的收入核对至收入确认相关的 支持性文件，评价收入是否在恰当期间确认；</w:t>
            </w:r>
          </w:p>
          <w:p>
            <w:pPr>
              <w:pStyle w:val="Style2"/>
              <w:keepNext w:val="0"/>
              <w:keepLines w:val="0"/>
              <w:widowControl w:val="0"/>
              <w:numPr>
                <w:ilvl w:val="0"/>
                <w:numId w:val="11"/>
              </w:numPr>
              <w:shd w:val="clear" w:color="auto" w:fill="auto"/>
              <w:tabs>
                <w:tab w:pos="206" w:val="left"/>
              </w:tabs>
              <w:bidi w:val="0"/>
              <w:spacing w:before="0" w:after="0" w:line="318" w:lineRule="exact"/>
              <w:ind w:left="0" w:right="0" w:firstLine="0"/>
              <w:jc w:val="left"/>
              <w:rPr>
                <w:sz w:val="17"/>
                <w:szCs w:val="17"/>
              </w:rPr>
            </w:pPr>
            <w:r>
              <w:rPr>
                <w:color w:val="000000"/>
                <w:spacing w:val="0"/>
                <w:w w:val="100"/>
                <w:position w:val="0"/>
                <w:sz w:val="17"/>
                <w:szCs w:val="17"/>
              </w:rPr>
              <w:t>选取样本，向主要客户函证项目收入及项目进度情况。</w:t>
            </w:r>
          </w:p>
        </w:tc>
      </w:tr>
    </w:tbl>
    <w:p>
      <w:pPr>
        <w:widowControl w:val="0"/>
        <w:spacing w:line="1" w:lineRule="exact"/>
      </w:pPr>
    </w:p>
    <w:tbl>
      <w:tblPr>
        <w:tblOverlap w:val="never"/>
        <w:jc w:val="center"/>
        <w:tblLayout w:type="fixed"/>
      </w:tblPr>
      <w:tblGrid>
        <w:gridCol w:w="4272"/>
        <w:gridCol w:w="5414"/>
      </w:tblGrid>
      <w:tr>
        <w:trPr>
          <w:trHeight w:val="341"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（二）商誉减值</w:t>
            </w:r>
          </w:p>
        </w:tc>
      </w:tr>
      <w:tr>
        <w:trPr>
          <w:trHeight w:val="28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如财务报表附注五（二十）所示，截至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日，万达信息合并报表中商誉账面价值为</w:t>
            </w:r>
            <w:r>
              <w:rPr>
                <w:rFonts w:ascii="Times New Roman" w:eastAsia="Times New Roman" w:hAnsi="Times New Roman" w:cs="Times New Roman"/>
                <w:color w:val="000000"/>
                <w:spacing w:val="0"/>
                <w:w w:val="100"/>
                <w:position w:val="0"/>
                <w:sz w:val="18"/>
                <w:szCs w:val="18"/>
              </w:rPr>
              <w:t>93,591.45</w:t>
            </w:r>
            <w:r>
              <w:rPr>
                <w:color w:val="000000"/>
                <w:spacing w:val="0"/>
                <w:w w:val="100"/>
                <w:position w:val="0"/>
                <w:sz w:val="17"/>
                <w:szCs w:val="17"/>
              </w:rPr>
              <w:t>万 元。管理层在每年年度终了对商誉进行减值测试，并依 据减值测试的结果调整商誉的账面价值。因商誉减值测 试的评估需依赖管理层作出重大判断，减值评估涉及确 定折现率等评估参数及对未来若干年的经营和财务情 况的假设，包括未来若干年的销售增长率和毛利率等。 由于商誉金额重大且商誉减值测试涉及重大管理层判 断，因此，我们将商誉减值列为关键审计事项。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我们执行的主要审计程序如下：</w:t>
            </w:r>
          </w:p>
          <w:p>
            <w:pPr>
              <w:pStyle w:val="Style2"/>
              <w:keepNext w:val="0"/>
              <w:keepLines w:val="0"/>
              <w:widowControl w:val="0"/>
              <w:shd w:val="clear" w:color="auto" w:fill="auto"/>
              <w:tabs>
                <w:tab w:pos="283" w:val="left"/>
              </w:tabs>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tab/>
            </w:r>
            <w:r>
              <w:rPr>
                <w:color w:val="000000"/>
                <w:spacing w:val="0"/>
                <w:w w:val="100"/>
                <w:position w:val="0"/>
                <w:sz w:val="17"/>
                <w:szCs w:val="17"/>
              </w:rPr>
              <w:t>评估及测试与商誉减值测试相关的内部控制的设计及执行的有效 性，包括外部评估专家的委聘、减值测试的复核及审批等内部控制；</w:t>
            </w:r>
          </w:p>
          <w:p>
            <w:pPr>
              <w:pStyle w:val="Style2"/>
              <w:keepNext w:val="0"/>
              <w:keepLines w:val="0"/>
              <w:widowControl w:val="0"/>
              <w:shd w:val="clear" w:color="auto" w:fill="auto"/>
              <w:tabs>
                <w:tab w:pos="283" w:val="left"/>
              </w:tabs>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tab/>
            </w:r>
            <w:r>
              <w:rPr>
                <w:color w:val="000000"/>
                <w:spacing w:val="0"/>
                <w:w w:val="100"/>
                <w:position w:val="0"/>
                <w:sz w:val="17"/>
                <w:szCs w:val="17"/>
              </w:rPr>
              <w:t>分析管理层对商誉所属资产组的认定和进行商誉减值测试时采用 的关键假设和方法，检查相关的假设和方法的合理性；</w:t>
            </w:r>
          </w:p>
          <w:p>
            <w:pPr>
              <w:pStyle w:val="Style2"/>
              <w:keepNext w:val="0"/>
              <w:keepLines w:val="0"/>
              <w:widowControl w:val="0"/>
              <w:shd w:val="clear" w:color="auto" w:fill="auto"/>
              <w:tabs>
                <w:tab w:pos="288" w:val="left"/>
              </w:tabs>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tab/>
            </w:r>
            <w:r>
              <w:rPr>
                <w:color w:val="000000"/>
                <w:spacing w:val="0"/>
                <w:w w:val="100"/>
                <w:position w:val="0"/>
                <w:sz w:val="17"/>
                <w:szCs w:val="17"/>
              </w:rPr>
              <w:t>复核管理层编制的商誉所属资产组可收回金额的计算表；</w:t>
            </w:r>
          </w:p>
          <w:p>
            <w:pPr>
              <w:pStyle w:val="Style2"/>
              <w:keepNext w:val="0"/>
              <w:keepLines w:val="0"/>
              <w:widowControl w:val="0"/>
              <w:shd w:val="clear" w:color="auto" w:fill="auto"/>
              <w:tabs>
                <w:tab w:pos="302" w:val="left"/>
              </w:tabs>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tab/>
            </w:r>
            <w:r>
              <w:rPr>
                <w:color w:val="000000"/>
                <w:spacing w:val="0"/>
                <w:w w:val="100"/>
                <w:position w:val="0"/>
                <w:sz w:val="17"/>
                <w:szCs w:val="17"/>
              </w:rPr>
              <w:t>比较商誉所属资产组的账面价值与其可收回金额的差异，确认是 否存在商誉减值情况。</w:t>
            </w:r>
          </w:p>
        </w:tc>
      </w:tr>
    </w:tbl>
    <w:p>
      <w:pPr>
        <w:pStyle w:val="Style29"/>
        <w:keepNext w:val="0"/>
        <w:keepLines w:val="0"/>
        <w:widowControl w:val="0"/>
        <w:shd w:val="clear" w:color="auto" w:fill="auto"/>
        <w:tabs>
          <w:tab w:pos="344" w:val="left"/>
        </w:tabs>
        <w:bidi w:val="0"/>
        <w:spacing w:before="0" w:after="0" w:line="314" w:lineRule="exact"/>
        <w:ind w:left="0" w:right="0" w:firstLine="0"/>
        <w:jc w:val="both"/>
      </w:pPr>
      <w:bookmarkStart w:id="729" w:name="bookmark729"/>
      <w:r>
        <w:rPr>
          <w:rFonts w:ascii="Times New Roman" w:eastAsia="Times New Roman" w:hAnsi="Times New Roman" w:cs="Times New Roman"/>
          <w:b/>
          <w:bCs/>
          <w:color w:val="000000"/>
          <w:spacing w:val="0"/>
          <w:w w:val="100"/>
          <w:position w:val="0"/>
          <w:sz w:val="18"/>
          <w:szCs w:val="18"/>
        </w:rPr>
        <w:t>4</w:t>
      </w:r>
      <w:bookmarkEnd w:id="729"/>
      <w:r>
        <w:rPr>
          <w:b/>
          <w:bCs/>
          <w:color w:val="000000"/>
          <w:spacing w:val="0"/>
          <w:w w:val="100"/>
          <w:position w:val="0"/>
        </w:rPr>
        <w:t>、</w:t>
        <w:tab/>
        <w:t>其他信息</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万达信息管理层（以下简称管理层）对其他信息负责。其他信息包括万达信息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年年度报告中涵盖的信息，但不包括 财务报表和我们的审计报告。</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我们对财务报表发表的审计意见不涵盖其他信息，我们也不对其他信息发表任何形式的鉴证结论。</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29"/>
        <w:keepNext w:val="0"/>
        <w:keepLines w:val="0"/>
        <w:widowControl w:val="0"/>
        <w:shd w:val="clear" w:color="auto" w:fill="auto"/>
        <w:tabs>
          <w:tab w:pos="344" w:val="left"/>
        </w:tabs>
        <w:bidi w:val="0"/>
        <w:spacing w:before="0" w:after="0" w:line="314" w:lineRule="exact"/>
        <w:ind w:left="0" w:right="0" w:firstLine="0"/>
        <w:jc w:val="both"/>
      </w:pPr>
      <w:bookmarkStart w:id="730" w:name="bookmark730"/>
      <w:r>
        <w:rPr>
          <w:rFonts w:ascii="Times New Roman" w:eastAsia="Times New Roman" w:hAnsi="Times New Roman" w:cs="Times New Roman"/>
          <w:b/>
          <w:bCs/>
          <w:color w:val="000000"/>
          <w:spacing w:val="0"/>
          <w:w w:val="100"/>
          <w:position w:val="0"/>
          <w:sz w:val="18"/>
          <w:szCs w:val="18"/>
        </w:rPr>
        <w:t>5</w:t>
      </w:r>
      <w:bookmarkEnd w:id="730"/>
      <w:r>
        <w:rPr>
          <w:b/>
          <w:bCs/>
          <w:color w:val="000000"/>
          <w:spacing w:val="0"/>
          <w:w w:val="100"/>
          <w:position w:val="0"/>
        </w:rPr>
        <w:t>、</w:t>
        <w:tab/>
        <w:t>管理层和治理层对财务报表的责任</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在编制财务报表时，管理层负责评估万达信息的持续经营能力，披露与持续经营相关的事项（如适用），并运用持续经 营假设，除非计划进行清算、终止运营或别无其他现实的选择。</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治理层负责监督万达信息的财务报告过程。</w:t>
      </w:r>
    </w:p>
    <w:p>
      <w:pPr>
        <w:pStyle w:val="Style29"/>
        <w:keepNext w:val="0"/>
        <w:keepLines w:val="0"/>
        <w:widowControl w:val="0"/>
        <w:shd w:val="clear" w:color="auto" w:fill="auto"/>
        <w:tabs>
          <w:tab w:pos="344" w:val="left"/>
        </w:tabs>
        <w:bidi w:val="0"/>
        <w:spacing w:before="0" w:after="0" w:line="314" w:lineRule="exact"/>
        <w:ind w:left="0" w:right="0" w:firstLine="0"/>
        <w:jc w:val="both"/>
      </w:pPr>
      <w:bookmarkStart w:id="731" w:name="bookmark731"/>
      <w:r>
        <w:rPr>
          <w:rFonts w:ascii="Times New Roman" w:eastAsia="Times New Roman" w:hAnsi="Times New Roman" w:cs="Times New Roman"/>
          <w:b/>
          <w:bCs/>
          <w:color w:val="000000"/>
          <w:spacing w:val="0"/>
          <w:w w:val="100"/>
          <w:position w:val="0"/>
          <w:sz w:val="18"/>
          <w:szCs w:val="18"/>
        </w:rPr>
        <w:t>6</w:t>
      </w:r>
      <w:bookmarkEnd w:id="731"/>
      <w:r>
        <w:rPr>
          <w:b/>
          <w:bCs/>
          <w:color w:val="000000"/>
          <w:spacing w:val="0"/>
          <w:w w:val="100"/>
          <w:position w:val="0"/>
        </w:rPr>
        <w:t>、</w:t>
        <w:tab/>
        <w:t>注册会计师对财务报表审计的责任</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在按照审计准则执行审计工作的过程中，我们运用职业判断，并保持职业怀疑。同时，我们也执行以下工作：</w:t>
      </w:r>
    </w:p>
    <w:p>
      <w:pPr>
        <w:pStyle w:val="Style29"/>
        <w:keepNext w:val="0"/>
        <w:keepLines w:val="0"/>
        <w:widowControl w:val="0"/>
        <w:shd w:val="clear" w:color="auto" w:fill="auto"/>
        <w:tabs>
          <w:tab w:pos="973" w:val="left"/>
        </w:tabs>
        <w:bidi w:val="0"/>
        <w:spacing w:before="0" w:after="0" w:line="314" w:lineRule="exact"/>
        <w:ind w:left="0" w:right="0" w:firstLine="380"/>
        <w:jc w:val="both"/>
      </w:pPr>
      <w:bookmarkStart w:id="732" w:name="bookmark732"/>
      <w:r>
        <w:rPr>
          <w:color w:val="000000"/>
          <w:spacing w:val="0"/>
          <w:w w:val="100"/>
          <w:position w:val="0"/>
        </w:rPr>
        <w:t>（</w:t>
      </w:r>
      <w:bookmarkEnd w:id="732"/>
      <w:r>
        <w:rPr>
          <w:color w:val="000000"/>
          <w:spacing w:val="0"/>
          <w:w w:val="100"/>
          <w:position w:val="0"/>
        </w:rPr>
        <w:t>一）</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29"/>
        <w:keepNext w:val="0"/>
        <w:keepLines w:val="0"/>
        <w:widowControl w:val="0"/>
        <w:shd w:val="clear" w:color="auto" w:fill="auto"/>
        <w:tabs>
          <w:tab w:pos="897" w:val="left"/>
        </w:tabs>
        <w:bidi w:val="0"/>
        <w:spacing w:before="0" w:after="0" w:line="314" w:lineRule="exact"/>
        <w:ind w:left="0" w:right="0" w:firstLine="380"/>
        <w:jc w:val="both"/>
      </w:pPr>
      <w:bookmarkStart w:id="733" w:name="bookmark733"/>
      <w:r>
        <w:rPr>
          <w:color w:val="000000"/>
          <w:spacing w:val="0"/>
          <w:w w:val="100"/>
          <w:position w:val="0"/>
        </w:rPr>
        <w:t>（</w:t>
      </w:r>
      <w:bookmarkEnd w:id="733"/>
      <w:r>
        <w:rPr>
          <w:color w:val="000000"/>
          <w:spacing w:val="0"/>
          <w:w w:val="100"/>
          <w:position w:val="0"/>
        </w:rPr>
        <w:t>二）</w:t>
        <w:tab/>
        <w:t>了解与审计相关的内部控制，以设计恰当的审计程序，但目的并非对内部控制的有效性发表意见。</w:t>
      </w:r>
    </w:p>
    <w:p>
      <w:pPr>
        <w:pStyle w:val="Style29"/>
        <w:keepNext w:val="0"/>
        <w:keepLines w:val="0"/>
        <w:widowControl w:val="0"/>
        <w:shd w:val="clear" w:color="auto" w:fill="auto"/>
        <w:tabs>
          <w:tab w:pos="897" w:val="left"/>
        </w:tabs>
        <w:bidi w:val="0"/>
        <w:spacing w:before="0" w:after="0" w:line="314" w:lineRule="exact"/>
        <w:ind w:left="0" w:right="0" w:firstLine="380"/>
        <w:jc w:val="both"/>
      </w:pPr>
      <w:bookmarkStart w:id="734" w:name="bookmark734"/>
      <w:r>
        <w:rPr>
          <w:color w:val="000000"/>
          <w:spacing w:val="0"/>
          <w:w w:val="100"/>
          <w:position w:val="0"/>
        </w:rPr>
        <w:t>（</w:t>
      </w:r>
      <w:bookmarkEnd w:id="734"/>
      <w:r>
        <w:rPr>
          <w:color w:val="000000"/>
          <w:spacing w:val="0"/>
          <w:w w:val="100"/>
          <w:position w:val="0"/>
        </w:rPr>
        <w:t>三）</w:t>
        <w:tab/>
        <w:t>评价管理层选用会计政策的恰当性和作出会计估计及相关披露的合理性。</w:t>
      </w:r>
    </w:p>
    <w:p>
      <w:pPr>
        <w:pStyle w:val="Style29"/>
        <w:keepNext w:val="0"/>
        <w:keepLines w:val="0"/>
        <w:widowControl w:val="0"/>
        <w:shd w:val="clear" w:color="auto" w:fill="auto"/>
        <w:tabs>
          <w:tab w:pos="973" w:val="left"/>
        </w:tabs>
        <w:bidi w:val="0"/>
        <w:spacing w:before="0" w:after="0" w:line="314" w:lineRule="exact"/>
        <w:ind w:left="0" w:right="0" w:firstLine="380"/>
        <w:jc w:val="both"/>
      </w:pPr>
      <w:bookmarkStart w:id="735" w:name="bookmark735"/>
      <w:r>
        <w:rPr>
          <w:color w:val="000000"/>
          <w:spacing w:val="0"/>
          <w:w w:val="100"/>
          <w:position w:val="0"/>
        </w:rPr>
        <w:t>（</w:t>
      </w:r>
      <w:bookmarkEnd w:id="735"/>
      <w:r>
        <w:rPr>
          <w:color w:val="000000"/>
          <w:spacing w:val="0"/>
          <w:w w:val="100"/>
          <w:position w:val="0"/>
        </w:rPr>
        <w:t>四）</w:t>
        <w:tab/>
        <w:t>对管理层使用持续经营假设的恰当性得出结论。同时，根据获取的审计证据，就可能导致对万达信息持续经营能 力产生重大疑虑的事项或情况是否存在重大不确定性得出结论。如果我们得出结论认为存在重大不确定性，审计准则要求我 们在审计报告中提请报表使用者注意财务报表中的相关披露；如果披露不充分，我们应当发表非无保留意见。我们的结论基 于截至审计报告日可获得的信息。然而，未来的事项或情况可能导致万达信息不能持续经营。</w:t>
      </w:r>
    </w:p>
    <w:p>
      <w:pPr>
        <w:pStyle w:val="Style29"/>
        <w:keepNext w:val="0"/>
        <w:keepLines w:val="0"/>
        <w:widowControl w:val="0"/>
        <w:shd w:val="clear" w:color="auto" w:fill="auto"/>
        <w:tabs>
          <w:tab w:pos="897" w:val="left"/>
        </w:tabs>
        <w:bidi w:val="0"/>
        <w:spacing w:before="0" w:after="0" w:line="314" w:lineRule="exact"/>
        <w:ind w:left="0" w:right="0" w:firstLine="380"/>
        <w:jc w:val="both"/>
      </w:pPr>
      <w:bookmarkStart w:id="736" w:name="bookmark736"/>
      <w:r>
        <w:rPr>
          <w:color w:val="000000"/>
          <w:spacing w:val="0"/>
          <w:w w:val="100"/>
          <w:position w:val="0"/>
        </w:rPr>
        <w:t>（</w:t>
      </w:r>
      <w:bookmarkEnd w:id="736"/>
      <w:r>
        <w:rPr>
          <w:color w:val="000000"/>
          <w:spacing w:val="0"/>
          <w:w w:val="100"/>
          <w:position w:val="0"/>
        </w:rPr>
        <w:t>五）</w:t>
        <w:tab/>
        <w:t>评价财务报表的总体列报（包括披露）、结构和内容，并评价财务报表是否公允反映相关交易和事项。</w:t>
      </w:r>
    </w:p>
    <w:p>
      <w:pPr>
        <w:pStyle w:val="Style29"/>
        <w:keepNext w:val="0"/>
        <w:keepLines w:val="0"/>
        <w:widowControl w:val="0"/>
        <w:shd w:val="clear" w:color="auto" w:fill="auto"/>
        <w:tabs>
          <w:tab w:pos="968" w:val="left"/>
        </w:tabs>
        <w:bidi w:val="0"/>
        <w:spacing w:before="0" w:after="0" w:line="314" w:lineRule="exact"/>
        <w:ind w:left="0" w:right="0" w:firstLine="380"/>
        <w:jc w:val="both"/>
      </w:pPr>
      <w:bookmarkStart w:id="737" w:name="bookmark737"/>
      <w:r>
        <w:rPr>
          <w:color w:val="000000"/>
          <w:spacing w:val="0"/>
          <w:w w:val="100"/>
          <w:position w:val="0"/>
        </w:rPr>
        <w:t>（</w:t>
      </w:r>
      <w:bookmarkEnd w:id="737"/>
      <w:r>
        <w:rPr>
          <w:color w:val="000000"/>
          <w:spacing w:val="0"/>
          <w:w w:val="100"/>
          <w:position w:val="0"/>
        </w:rPr>
        <w:t>六）</w:t>
        <w:tab/>
        <w:t>就万达信息中实体或业务活动的财务信息获取充分、适当的审计证据，以对合并财务报表发表审计意见。我们负 责指导、监督和执行集团审计，并对审计意见承担全部责任。</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29"/>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29"/>
        <w:keepNext w:val="0"/>
        <w:keepLines w:val="0"/>
        <w:widowControl w:val="0"/>
        <w:shd w:val="clear" w:color="auto" w:fill="auto"/>
        <w:bidi w:val="0"/>
        <w:spacing w:before="0" w:after="380" w:line="314" w:lineRule="exact"/>
        <w:ind w:left="0" w:right="0" w:firstLine="36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24"/>
        <w:keepNext/>
        <w:keepLines/>
        <w:widowControl w:val="0"/>
        <w:shd w:val="clear" w:color="auto" w:fill="auto"/>
        <w:bidi w:val="0"/>
        <w:spacing w:before="0" w:after="260" w:line="240" w:lineRule="auto"/>
        <w:ind w:left="0" w:right="0" w:firstLine="0"/>
        <w:jc w:val="left"/>
      </w:pPr>
      <w:bookmarkStart w:id="738" w:name="bookmark738"/>
      <w:bookmarkStart w:id="739" w:name="bookmark739"/>
      <w:bookmarkStart w:id="740" w:name="bookmark740"/>
      <w:r>
        <w:rPr>
          <w:color w:val="000000"/>
          <w:spacing w:val="0"/>
          <w:w w:val="100"/>
          <w:position w:val="0"/>
        </w:rPr>
        <w:t>二、财务报表</w:t>
      </w:r>
      <w:bookmarkEnd w:id="738"/>
      <w:bookmarkEnd w:id="739"/>
      <w:bookmarkEnd w:id="740"/>
    </w:p>
    <w:p>
      <w:pPr>
        <w:pStyle w:val="Style29"/>
        <w:keepNext w:val="0"/>
        <w:keepLines w:val="0"/>
        <w:widowControl w:val="0"/>
        <w:shd w:val="clear" w:color="auto" w:fill="auto"/>
        <w:bidi w:val="0"/>
        <w:spacing w:before="0" w:after="380" w:line="314" w:lineRule="exact"/>
        <w:ind w:left="0" w:right="0" w:firstLine="0"/>
        <w:jc w:val="left"/>
      </w:pPr>
      <w:r>
        <w:rPr>
          <w:color w:val="000000"/>
          <w:spacing w:val="0"/>
          <w:w w:val="100"/>
          <w:position w:val="0"/>
        </w:rPr>
        <w:t>财务附注中报表的单位为：元</w:t>
      </w:r>
    </w:p>
    <w:p>
      <w:pPr>
        <w:pStyle w:val="Style33"/>
        <w:keepNext/>
        <w:keepLines/>
        <w:widowControl w:val="0"/>
        <w:shd w:val="clear" w:color="auto" w:fill="auto"/>
        <w:bidi w:val="0"/>
        <w:spacing w:before="0" w:after="260" w:line="240" w:lineRule="auto"/>
        <w:ind w:left="0" w:right="0" w:firstLine="0"/>
        <w:jc w:val="left"/>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1</w:t>
      </w:r>
      <w:bookmarkEnd w:id="743"/>
      <w:r>
        <w:rPr>
          <w:color w:val="000000"/>
          <w:spacing w:val="0"/>
          <w:w w:val="100"/>
          <w:position w:val="0"/>
        </w:rPr>
        <w:t>、合并资产负债表</w:t>
      </w:r>
      <w:bookmarkEnd w:id="741"/>
      <w:bookmarkEnd w:id="742"/>
      <w:bookmarkEnd w:id="744"/>
    </w:p>
    <w:p>
      <w:pPr>
        <w:pStyle w:val="Style29"/>
        <w:keepNext w:val="0"/>
        <w:keepLines w:val="0"/>
        <w:widowControl w:val="0"/>
        <w:shd w:val="clear" w:color="auto" w:fill="auto"/>
        <w:bidi w:val="0"/>
        <w:spacing w:before="0" w:after="140" w:line="314" w:lineRule="exact"/>
        <w:ind w:left="0" w:right="0" w:firstLine="0"/>
        <w:jc w:val="left"/>
      </w:pPr>
      <w:r>
        <w:rPr>
          <w:color w:val="000000"/>
          <w:spacing w:val="0"/>
          <w:w w:val="100"/>
          <w:position w:val="0"/>
        </w:rPr>
        <w:t>编制单位：万达信息股份有限公司</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256"/>
        <w:gridCol w:w="2270"/>
        <w:gridCol w:w="2064"/>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1,211,325,355.64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1,382,076,975.83</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5,487,054.93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7,476,119.50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12283,520.00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1,352,406.00</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632,523,425.79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689,423,679.05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21,345,376.47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35,987,078.24</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120,337,194.46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142,227,191.97</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854,228,733.94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771,132,165.58</w:t>
            </w:r>
          </w:p>
        </w:tc>
      </w:tr>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865,743,478.65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425,240,739.84</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172,995,386.24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172,857,099.93</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其他流动资产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40,537,401.19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67,451,269.48</w:t>
            </w:r>
          </w:p>
        </w:tc>
      </w:tr>
    </w:tbl>
    <w:p>
      <w:pPr>
        <w:widowControl w:val="0"/>
        <w:spacing w:line="1" w:lineRule="exact"/>
      </w:pPr>
      <w:r>
        <w:br w:type="page"/>
      </w:r>
    </w:p>
    <w:tbl>
      <w:tblPr>
        <w:tblOverlap w:val="never"/>
        <w:jc w:val="center"/>
        <w:tblLayout w:type="fixed"/>
      </w:tblPr>
      <w:tblGrid>
        <w:gridCol w:w="5256"/>
        <w:gridCol w:w="2270"/>
        <w:gridCol w:w="2064"/>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80" w:firstLine="0"/>
              <w:jc w:val="righ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80" w:firstLine="0"/>
              <w:jc w:val="righ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3,936,806,927.31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3,695,224,725.42</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499,552,670.93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597,366,962.31</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70 230,361.11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57,523,872.73</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403,505,386.63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368,421,968.59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19,883,534.38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20,950,664.14</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343,929,290.96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388,407,240.93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2,828,754.81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3,289,746.12</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68,302,420.75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374,147,961.98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598,085,805.69</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455,953,664.57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277,867,439.75</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935,914,465.84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935,914,465.84</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33,712,053.04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35257207.86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3,207,960,565.00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3,283,085,373.96</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7,144,767,492.31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6,978,310,099.38</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2,916,405,514.88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2,806,755,768.43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34,628,464.39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119,613,784.71</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422,769,895.75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427,635,379.16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合同负债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1,447,523,006.70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1,493,704,048.29</w:t>
            </w:r>
          </w:p>
        </w:tc>
      </w:tr>
    </w:tbl>
    <w:p>
      <w:pPr>
        <w:widowControl w:val="0"/>
        <w:spacing w:line="1" w:lineRule="exact"/>
      </w:pPr>
      <w:r>
        <w:br w:type="page"/>
      </w:r>
    </w:p>
    <w:tbl>
      <w:tblPr>
        <w:tblOverlap w:val="never"/>
        <w:jc w:val="center"/>
        <w:tblLayout w:type="fixed"/>
      </w:tblPr>
      <w:tblGrid>
        <w:gridCol w:w="5256"/>
        <w:gridCol w:w="2270"/>
        <w:gridCol w:w="2064"/>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80" w:firstLine="0"/>
              <w:jc w:val="righ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80" w:firstLine="0"/>
              <w:jc w:val="righ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1,924,964.28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1,542,397.13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152,211,527.95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124,203,034.69</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93,082,781.66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99,514,312.66</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2,351,825.34</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19,574,823.67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159,159,102.47</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92256212.59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73,796,301.71</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5,180,377,191.87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5,305,924,129.25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219,273,945.84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33,019,832.22</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59,509,120.32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58,917,335.31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60,433,702.95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15,444250.45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10,333,987.74</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72,660,122.16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82,411,707.81</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425,804,774.08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186,199,230.72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5,606,181,965.95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5,492,123,359.97</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1,187,584,762.00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1,187,584,762.00</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256"/>
        <w:gridCol w:w="2270"/>
        <w:gridCol w:w="2064"/>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46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2,217,999,967.62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2,189,126,952.17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29,984265.25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29,984,265.25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795,001.40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1,027,724.28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150,153,223.42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150,153,223.42</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-1,972,121,709.77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-2,033,778 2 93.70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1,554,426,979.42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1,464,130,102.92</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-15,841,453.06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22,056,636.49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1,538,585,526.36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1,486,186,739.41</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7,144,767,492.31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6,978,310,099.38</w:t>
            </w:r>
          </w:p>
        </w:tc>
      </w:tr>
    </w:tbl>
    <w:p>
      <w:pPr>
        <w:pStyle w:val="Style33"/>
        <w:keepNext/>
        <w:keepLines/>
        <w:widowControl w:val="0"/>
        <w:shd w:val="clear" w:color="auto" w:fill="auto"/>
        <w:bidi w:val="0"/>
        <w:spacing w:before="0" w:after="420" w:line="240" w:lineRule="auto"/>
        <w:ind w:left="0" w:right="0" w:firstLine="0"/>
        <w:jc w:val="left"/>
      </w:pPr>
      <w:r>
        <mc:AlternateContent>
          <mc:Choice Requires="wps">
            <w:drawing>
              <wp:anchor distT="152400" distB="0" distL="114300" distR="5155565" simplePos="0" relativeHeight="125829409" behindDoc="0" locked="0" layoutInCell="1" allowOverlap="1">
                <wp:simplePos x="0" y="0"/>
                <wp:positionH relativeFrom="page">
                  <wp:posOffset>701675</wp:posOffset>
                </wp:positionH>
                <wp:positionV relativeFrom="margin">
                  <wp:posOffset>3846830</wp:posOffset>
                </wp:positionV>
                <wp:extent cx="1054735" cy="149225"/>
                <wp:wrapTopAndBottom/>
                <wp:docPr id="40" name="Shape 40"/>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法定代表人：胡宏伟</w:t>
                            </w:r>
                          </w:p>
                        </w:txbxContent>
                      </wps:txbx>
                      <wps:bodyPr wrap="none" lIns="0" tIns="0" rIns="0" bIns="0">
                        <a:noAutoFit/>
                      </wps:bodyPr>
                    </wps:wsp>
                  </a:graphicData>
                </a:graphic>
              </wp:anchor>
            </w:drawing>
          </mc:Choice>
          <mc:Fallback>
            <w:pict>
              <v:shape id="_x0000_s1066" type="#_x0000_t202" style="position:absolute;margin-left:55.25pt;margin-top:302.90000000000003pt;width:83.049999999999997pt;height:11.75pt;z-index:-125829344;mso-wrap-distance-left:9.pt;mso-wrap-distance-top:12.pt;mso-wrap-distance-right:405.9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法定代表人：胡宏伟</w:t>
                      </w:r>
                    </w:p>
                  </w:txbxContent>
                </v:textbox>
                <w10:wrap type="topAndBottom" anchorx="page" anchory="margin"/>
              </v:shape>
            </w:pict>
          </mc:Fallback>
        </mc:AlternateContent>
      </w:r>
      <w:r>
        <mc:AlternateContent>
          <mc:Choice Requires="wps">
            <w:drawing>
              <wp:anchor distT="152400" distB="3175" distL="2299970" distR="2515870" simplePos="0" relativeHeight="125829411" behindDoc="0" locked="0" layoutInCell="1" allowOverlap="1">
                <wp:simplePos x="0" y="0"/>
                <wp:positionH relativeFrom="page">
                  <wp:posOffset>2887345</wp:posOffset>
                </wp:positionH>
                <wp:positionV relativeFrom="margin">
                  <wp:posOffset>3846830</wp:posOffset>
                </wp:positionV>
                <wp:extent cx="1508760" cy="146050"/>
                <wp:wrapTopAndBottom/>
                <wp:docPr id="42" name="Shape 42"/>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主管会计工作负责人：陈丽娜</w:t>
                            </w:r>
                          </w:p>
                        </w:txbxContent>
                      </wps:txbx>
                      <wps:bodyPr wrap="none" lIns="0" tIns="0" rIns="0" bIns="0">
                        <a:noAutoFit/>
                      </wps:bodyPr>
                    </wps:wsp>
                  </a:graphicData>
                </a:graphic>
              </wp:anchor>
            </w:drawing>
          </mc:Choice>
          <mc:Fallback>
            <w:pict>
              <v:shape id="_x0000_s1068" type="#_x0000_t202" style="position:absolute;margin-left:227.34999999999999pt;margin-top:302.90000000000003pt;width:118.8pt;height:11.5pt;z-index:-125829342;mso-wrap-distance-left:181.09999999999999pt;mso-wrap-distance-top:12.pt;mso-wrap-distance-right:198.09999999999999pt;mso-wrap-distance-bottom:0.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主管会计工作负责人：陈丽娜</w:t>
                      </w:r>
                    </w:p>
                  </w:txbxContent>
                </v:textbox>
                <w10:wrap type="topAndBottom" anchorx="page" anchory="margin"/>
              </v:shape>
            </w:pict>
          </mc:Fallback>
        </mc:AlternateContent>
      </w:r>
      <w:r>
        <mc:AlternateContent>
          <mc:Choice Requires="wps">
            <w:drawing>
              <wp:anchor distT="152400" distB="0" distL="4923790" distR="114300" simplePos="0" relativeHeight="125829413" behindDoc="0" locked="0" layoutInCell="1" allowOverlap="1">
                <wp:simplePos x="0" y="0"/>
                <wp:positionH relativeFrom="page">
                  <wp:posOffset>5511165</wp:posOffset>
                </wp:positionH>
                <wp:positionV relativeFrom="margin">
                  <wp:posOffset>3846830</wp:posOffset>
                </wp:positionV>
                <wp:extent cx="1286510" cy="149225"/>
                <wp:wrapTopAndBottom/>
                <wp:docPr id="44" name="Shape 44"/>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会计机构负责人：张望喜</w:t>
                            </w:r>
                          </w:p>
                        </w:txbxContent>
                      </wps:txbx>
                      <wps:bodyPr wrap="none" lIns="0" tIns="0" rIns="0" bIns="0">
                        <a:noAutoFit/>
                      </wps:bodyPr>
                    </wps:wsp>
                  </a:graphicData>
                </a:graphic>
              </wp:anchor>
            </w:drawing>
          </mc:Choice>
          <mc:Fallback>
            <w:pict>
              <v:shape id="_x0000_s1070" type="#_x0000_t202" style="position:absolute;margin-left:433.94999999999999pt;margin-top:302.90000000000003pt;width:101.3pt;height:11.75pt;z-index:-125829340;mso-wrap-distance-left:387.69999999999999pt;mso-wrap-distance-top:12.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会计机构负责人：张望喜</w:t>
                      </w:r>
                    </w:p>
                  </w:txbxContent>
                </v:textbox>
                <w10:wrap type="topAndBottom" anchorx="page" anchory="margin"/>
              </v:shape>
            </w:pict>
          </mc:Fallback>
        </mc:AlternateContent>
      </w: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2</w:t>
      </w:r>
      <w:bookmarkEnd w:id="747"/>
      <w:r>
        <w:rPr>
          <w:color w:val="000000"/>
          <w:spacing w:val="0"/>
          <w:w w:val="100"/>
          <w:position w:val="0"/>
        </w:rPr>
        <w:t>、母公司资产负债表</w:t>
      </w:r>
      <w:bookmarkEnd w:id="745"/>
      <w:bookmarkEnd w:id="746"/>
      <w:bookmarkEnd w:id="748"/>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5256"/>
        <w:gridCol w:w="2270"/>
        <w:gridCol w:w="2064"/>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46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793,829,379.39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973,273,281.59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12,283,520.00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1,352,406.00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718,040,834.63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709,698,042.91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17,732,567.31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12,348,970.46</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837,428,124.49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789,823,900.06</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93,000,000.00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568,142,615.90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592,099,638.68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641,917,959.94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292,134,735.40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一年内到期的非流动资产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6,883,969.49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7,841,450.54</w:t>
            </w:r>
          </w:p>
        </w:tc>
      </w:tr>
    </w:tbl>
    <w:p>
      <w:pPr>
        <w:widowControl w:val="0"/>
        <w:spacing w:line="1" w:lineRule="exact"/>
      </w:pPr>
      <w:r>
        <w:br w:type="page"/>
      </w:r>
    </w:p>
    <w:tbl>
      <w:tblPr>
        <w:tblOverlap w:val="never"/>
        <w:jc w:val="center"/>
        <w:tblLayout w:type="fixed"/>
      </w:tblPr>
      <w:tblGrid>
        <w:gridCol w:w="5256"/>
        <w:gridCol w:w="2270"/>
        <w:gridCol w:w="2064"/>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80" w:firstLine="0"/>
              <w:jc w:val="righ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80" w:firstLine="0"/>
              <w:jc w:val="righ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199,319.74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16,874,721.18</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3,596,458290.89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3,395,447,146.82</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12,828,193.08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13,188,982.41</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1,952,190,056.22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1,914,403,832.00</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403,490,386.63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368,421,968.59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16,020,062.54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16,828,910.06</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298,228,838.47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329,645,512.43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2,828,754.81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1,340,083.08</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55,300282.73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311,427,795.76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526,658,039.41</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453,123,294.17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272,379,195.40</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22,527278.96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31,916,883.36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3,527,964,943.37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3,474,783,406.74</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7,124,423234.26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6,870,230,553.56</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2,808,749,340.26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2,778,817,151.68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29,159,887.83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62,442,100.00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543,134,248.11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436,044,681.18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1,017,362,987.23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1,161,110,591.56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应交税费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136,100,018.99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112,560,001.38</w:t>
            </w:r>
          </w:p>
        </w:tc>
      </w:tr>
    </w:tbl>
    <w:p>
      <w:pPr>
        <w:widowControl w:val="0"/>
        <w:spacing w:line="1" w:lineRule="exact"/>
      </w:pPr>
      <w:r>
        <w:br w:type="page"/>
      </w:r>
    </w:p>
    <w:tbl>
      <w:tblPr>
        <w:tblOverlap w:val="never"/>
        <w:jc w:val="center"/>
        <w:tblLayout w:type="fixed"/>
      </w:tblPr>
      <w:tblGrid>
        <w:gridCol w:w="5256"/>
        <w:gridCol w:w="2270"/>
        <w:gridCol w:w="2064"/>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80" w:firstLine="0"/>
              <w:jc w:val="righ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80" w:firstLine="0"/>
              <w:jc w:val="righ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317,927,324.39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565,516,322.72</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16,593,924.11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115,175,694.46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51,610,020.36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28,753,668.34</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4,920,637,751.28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5,260,420211.32</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197,261,845.84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50,875,556.52</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51,187,861.13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52,397,138.74</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15,444250.45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10,333,987.74</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314,769,513.94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62,731,126.48</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5,235,407265.22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5,323,151,337.80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1,187,584,762.00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1,187,584,762.00</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2,319,377,891.68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2,319,377,891.68</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29,984265.25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29,984,265.25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2,363,526.48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2,363,526.48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150,153,223.42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150,153,223.42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-1,740,479,169.29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-2,082,415,922.57</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1,889,015,969.04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1,547,079,215.76</w:t>
            </w:r>
          </w:p>
        </w:tc>
      </w:tr>
    </w:tbl>
    <w:p>
      <w:pPr>
        <w:widowControl w:val="0"/>
        <w:spacing w:line="1" w:lineRule="exact"/>
      </w:pPr>
      <w:r>
        <w:br w:type="page"/>
      </w:r>
    </w:p>
    <w:tbl>
      <w:tblPr>
        <w:tblOverlap w:val="never"/>
        <w:jc w:val="center"/>
        <w:tblLayout w:type="fixed"/>
      </w:tblPr>
      <w:tblGrid>
        <w:gridCol w:w="5261"/>
        <w:gridCol w:w="2270"/>
        <w:gridCol w:w="2059"/>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7,124,423234.26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6,870,230,553.56</w:t>
            </w:r>
          </w:p>
        </w:tc>
      </w:tr>
    </w:tbl>
    <w:p>
      <w:pPr>
        <w:pStyle w:val="Style33"/>
        <w:keepNext/>
        <w:keepLines/>
        <w:widowControl w:val="0"/>
        <w:shd w:val="clear" w:color="auto" w:fill="auto"/>
        <w:bidi w:val="0"/>
        <w:spacing w:before="0" w:after="420" w:line="240" w:lineRule="auto"/>
        <w:ind w:left="0" w:right="0" w:firstLine="0"/>
        <w:jc w:val="left"/>
      </w:pPr>
      <w:r>
        <mc:AlternateContent>
          <mc:Choice Requires="wps">
            <w:drawing>
              <wp:anchor distT="152400" distB="0" distL="114300" distR="5155565" simplePos="0" relativeHeight="125829415" behindDoc="0" locked="0" layoutInCell="1" allowOverlap="1">
                <wp:simplePos x="0" y="0"/>
                <wp:positionH relativeFrom="page">
                  <wp:posOffset>701675</wp:posOffset>
                </wp:positionH>
                <wp:positionV relativeFrom="margin">
                  <wp:posOffset>780415</wp:posOffset>
                </wp:positionV>
                <wp:extent cx="1054735" cy="149225"/>
                <wp:wrapTopAndBottom/>
                <wp:docPr id="46" name="Shape 46"/>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法定代表人：胡宏伟</w:t>
                            </w:r>
                          </w:p>
                        </w:txbxContent>
                      </wps:txbx>
                      <wps:bodyPr wrap="none" lIns="0" tIns="0" rIns="0" bIns="0">
                        <a:noAutoFit/>
                      </wps:bodyPr>
                    </wps:wsp>
                  </a:graphicData>
                </a:graphic>
              </wp:anchor>
            </w:drawing>
          </mc:Choice>
          <mc:Fallback>
            <w:pict>
              <v:shape id="_x0000_s1072" type="#_x0000_t202" style="position:absolute;margin-left:55.25pt;margin-top:61.450000000000003pt;width:83.049999999999997pt;height:11.75pt;z-index:-125829338;mso-wrap-distance-left:9.pt;mso-wrap-distance-top:12.pt;mso-wrap-distance-right:405.9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法定代表人：胡宏伟</w:t>
                      </w:r>
                    </w:p>
                  </w:txbxContent>
                </v:textbox>
                <w10:wrap type="topAndBottom" anchorx="page" anchory="margin"/>
              </v:shape>
            </w:pict>
          </mc:Fallback>
        </mc:AlternateContent>
      </w:r>
      <w:r>
        <mc:AlternateContent>
          <mc:Choice Requires="wps">
            <w:drawing>
              <wp:anchor distT="152400" distB="3175" distL="2299970" distR="2515870" simplePos="0" relativeHeight="125829417" behindDoc="0" locked="0" layoutInCell="1" allowOverlap="1">
                <wp:simplePos x="0" y="0"/>
                <wp:positionH relativeFrom="page">
                  <wp:posOffset>2887345</wp:posOffset>
                </wp:positionH>
                <wp:positionV relativeFrom="margin">
                  <wp:posOffset>780415</wp:posOffset>
                </wp:positionV>
                <wp:extent cx="1508760" cy="146050"/>
                <wp:wrapTopAndBottom/>
                <wp:docPr id="48" name="Shape 48"/>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主管会计工作负责人：陈丽娜</w:t>
                            </w:r>
                          </w:p>
                        </w:txbxContent>
                      </wps:txbx>
                      <wps:bodyPr wrap="none" lIns="0" tIns="0" rIns="0" bIns="0">
                        <a:noAutoFit/>
                      </wps:bodyPr>
                    </wps:wsp>
                  </a:graphicData>
                </a:graphic>
              </wp:anchor>
            </w:drawing>
          </mc:Choice>
          <mc:Fallback>
            <w:pict>
              <v:shape id="_x0000_s1074" type="#_x0000_t202" style="position:absolute;margin-left:227.34999999999999pt;margin-top:61.450000000000003pt;width:118.8pt;height:11.5pt;z-index:-125829336;mso-wrap-distance-left:181.09999999999999pt;mso-wrap-distance-top:12.pt;mso-wrap-distance-right:198.09999999999999pt;mso-wrap-distance-bottom:0.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主管会计工作负责人：陈丽娜</w:t>
                      </w:r>
                    </w:p>
                  </w:txbxContent>
                </v:textbox>
                <w10:wrap type="topAndBottom" anchorx="page" anchory="margin"/>
              </v:shape>
            </w:pict>
          </mc:Fallback>
        </mc:AlternateContent>
      </w:r>
      <w:r>
        <mc:AlternateContent>
          <mc:Choice Requires="wps">
            <w:drawing>
              <wp:anchor distT="152400" distB="0" distL="4923790" distR="114300" simplePos="0" relativeHeight="125829419" behindDoc="0" locked="0" layoutInCell="1" allowOverlap="1">
                <wp:simplePos x="0" y="0"/>
                <wp:positionH relativeFrom="page">
                  <wp:posOffset>5511165</wp:posOffset>
                </wp:positionH>
                <wp:positionV relativeFrom="margin">
                  <wp:posOffset>780415</wp:posOffset>
                </wp:positionV>
                <wp:extent cx="1286510" cy="149225"/>
                <wp:wrapTopAndBottom/>
                <wp:docPr id="50" name="Shape 5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会计机构负责人：张望喜</w:t>
                            </w:r>
                          </w:p>
                        </w:txbxContent>
                      </wps:txbx>
                      <wps:bodyPr wrap="none" lIns="0" tIns="0" rIns="0" bIns="0">
                        <a:noAutoFit/>
                      </wps:bodyPr>
                    </wps:wsp>
                  </a:graphicData>
                </a:graphic>
              </wp:anchor>
            </w:drawing>
          </mc:Choice>
          <mc:Fallback>
            <w:pict>
              <v:shape id="_x0000_s1076" type="#_x0000_t202" style="position:absolute;margin-left:433.94999999999999pt;margin-top:61.450000000000003pt;width:101.3pt;height:11.75pt;z-index:-125829334;mso-wrap-distance-left:387.69999999999999pt;mso-wrap-distance-top:12.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会计机构负责人：张望喜</w:t>
                      </w:r>
                    </w:p>
                  </w:txbxContent>
                </v:textbox>
                <w10:wrap type="topAndBottom" anchorx="page" anchory="margin"/>
              </v:shape>
            </w:pict>
          </mc:Fallback>
        </mc:AlternateContent>
      </w:r>
      <w:bookmarkStart w:id="749" w:name="bookmark749"/>
      <w:bookmarkStart w:id="750" w:name="bookmark750"/>
      <w:bookmarkStart w:id="751" w:name="bookmark751"/>
      <w:bookmarkStart w:id="752" w:name="bookmark752"/>
      <w:r>
        <w:rPr>
          <w:rFonts w:ascii="Times New Roman" w:eastAsia="Times New Roman" w:hAnsi="Times New Roman" w:cs="Times New Roman"/>
          <w:color w:val="000000"/>
          <w:spacing w:val="0"/>
          <w:w w:val="100"/>
          <w:position w:val="0"/>
        </w:rPr>
        <w:t>3</w:t>
      </w:r>
      <w:bookmarkEnd w:id="751"/>
      <w:r>
        <w:rPr>
          <w:color w:val="000000"/>
          <w:spacing w:val="0"/>
          <w:w w:val="100"/>
          <w:position w:val="0"/>
        </w:rPr>
        <w:t>、合并利润表</w:t>
      </w:r>
      <w:bookmarkEnd w:id="749"/>
      <w:bookmarkEnd w:id="750"/>
      <w:bookmarkEnd w:id="75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256"/>
        <w:gridCol w:w="2270"/>
        <w:gridCol w:w="2064"/>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46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3,513,114,014.44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3,008,271,072.45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3,513,114,014.44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3,008,271,072.45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3,511,344,616.32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3,880,699,512.89</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2,336,425,182.94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2,531,481,878.56</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12,022,633.30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7,813,017.84</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146,809,687.54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149,463,314.74</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428,274,986.70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444,704,364.02</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471,832,564.80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641,113,753.48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115,979,561.04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106,123,184.25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136,501,990.92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149,285,008.30</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66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9,347,011.14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11,274,946.56</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55,726,400.02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54,691,897.37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13,085,671.81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-46,755,730.54</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其中：对联营企业和合营企业的投资收益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5,379,402.23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-51,102,683.41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256"/>
        <w:gridCol w:w="2270"/>
        <w:gridCol w:w="2064"/>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46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34,147,132.03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11,748,200.95</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-27,193,072.65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-23,694,995.41</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-16,306,312.57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-410,039,647.34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343,131.86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59,818.06</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61,572,348.62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-1,286,418,897.35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2,365,087.04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12,984,730.10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5,630,913.92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1,475,533.92</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58,306,521.74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-1,274,909,701.17</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14,950251.80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10,873,725.95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43,356269.94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-1,285,783,427.12</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（一）按经营持续性分类</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43,356269.94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-1,285,783,427.12</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（二）按所有权归属分类</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69241,554.98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-1,291,552,358.95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-25,885285.04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5,768,931.83</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-232,722.88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-692,875.10</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归属母公司所有者的其他综合收益的税后净额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-232,722.88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-692,875.10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（二）将重分类进损益的其他综合收益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-232,722.88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-692,875.10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-232,722.88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-692,875.10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归属于少数股东的其他综合收益的税后净额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256"/>
        <w:gridCol w:w="2270"/>
        <w:gridCol w:w="2064"/>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46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43,123,547.06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-1,286,476,302.22</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归属于母公司所有者的综合收益总额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69,008,832.10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-1,292,245234.05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-25,885285.04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5,768,931.83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八、每股收益：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tc>
      </w:tr>
    </w:tbl>
    <w:p>
      <w:pPr>
        <w:pStyle w:val="Style33"/>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55565" simplePos="0" relativeHeight="125829421" behindDoc="0" locked="0" layoutInCell="1" allowOverlap="1">
                <wp:simplePos x="0" y="0"/>
                <wp:positionH relativeFrom="page">
                  <wp:posOffset>701675</wp:posOffset>
                </wp:positionH>
                <wp:positionV relativeFrom="margin">
                  <wp:posOffset>2054225</wp:posOffset>
                </wp:positionV>
                <wp:extent cx="1054735" cy="149225"/>
                <wp:wrapTopAndBottom/>
                <wp:docPr id="52" name="Shape 52"/>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法定代表人：胡宏伟</w:t>
                            </w:r>
                          </w:p>
                        </w:txbxContent>
                      </wps:txbx>
                      <wps:bodyPr wrap="none" lIns="0" tIns="0" rIns="0" bIns="0">
                        <a:noAutoFit/>
                      </wps:bodyPr>
                    </wps:wsp>
                  </a:graphicData>
                </a:graphic>
              </wp:anchor>
            </w:drawing>
          </mc:Choice>
          <mc:Fallback>
            <w:pict>
              <v:shape id="_x0000_s1078" type="#_x0000_t202" style="position:absolute;margin-left:55.25pt;margin-top:161.75pt;width:83.049999999999997pt;height:11.75pt;z-index:-125829332;mso-wrap-distance-left:9.pt;mso-wrap-distance-top:12.pt;mso-wrap-distance-right:405.9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法定代表人：胡宏伟</w:t>
                      </w:r>
                    </w:p>
                  </w:txbxContent>
                </v:textbox>
                <w10:wrap type="topAndBottom" anchorx="page" anchory="margin"/>
              </v:shape>
            </w:pict>
          </mc:Fallback>
        </mc:AlternateContent>
      </w:r>
      <w:r>
        <mc:AlternateContent>
          <mc:Choice Requires="wps">
            <w:drawing>
              <wp:anchor distT="152400" distB="3175" distL="2299970" distR="2515870" simplePos="0" relativeHeight="125829423" behindDoc="0" locked="0" layoutInCell="1" allowOverlap="1">
                <wp:simplePos x="0" y="0"/>
                <wp:positionH relativeFrom="page">
                  <wp:posOffset>2887345</wp:posOffset>
                </wp:positionH>
                <wp:positionV relativeFrom="margin">
                  <wp:posOffset>2054225</wp:posOffset>
                </wp:positionV>
                <wp:extent cx="1508760" cy="146050"/>
                <wp:wrapTopAndBottom/>
                <wp:docPr id="54" name="Shape 54"/>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主管会计工作负责人：陈丽娜</w:t>
                            </w:r>
                          </w:p>
                        </w:txbxContent>
                      </wps:txbx>
                      <wps:bodyPr wrap="none" lIns="0" tIns="0" rIns="0" bIns="0">
                        <a:noAutoFit/>
                      </wps:bodyPr>
                    </wps:wsp>
                  </a:graphicData>
                </a:graphic>
              </wp:anchor>
            </w:drawing>
          </mc:Choice>
          <mc:Fallback>
            <w:pict>
              <v:shape id="_x0000_s1080" type="#_x0000_t202" style="position:absolute;margin-left:227.34999999999999pt;margin-top:161.75pt;width:118.8pt;height:11.5pt;z-index:-125829330;mso-wrap-distance-left:181.09999999999999pt;mso-wrap-distance-top:12.pt;mso-wrap-distance-right:198.09999999999999pt;mso-wrap-distance-bottom:0.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主管会计工作负责人：陈丽娜</w:t>
                      </w:r>
                    </w:p>
                  </w:txbxContent>
                </v:textbox>
                <w10:wrap type="topAndBottom" anchorx="page" anchory="margin"/>
              </v:shape>
            </w:pict>
          </mc:Fallback>
        </mc:AlternateContent>
      </w:r>
      <w:r>
        <mc:AlternateContent>
          <mc:Choice Requires="wps">
            <w:drawing>
              <wp:anchor distT="152400" distB="0" distL="4923790" distR="114300" simplePos="0" relativeHeight="125829425" behindDoc="0" locked="0" layoutInCell="1" allowOverlap="1">
                <wp:simplePos x="0" y="0"/>
                <wp:positionH relativeFrom="page">
                  <wp:posOffset>5511165</wp:posOffset>
                </wp:positionH>
                <wp:positionV relativeFrom="margin">
                  <wp:posOffset>2054225</wp:posOffset>
                </wp:positionV>
                <wp:extent cx="1286510" cy="149225"/>
                <wp:wrapTopAndBottom/>
                <wp:docPr id="56" name="Shape 56"/>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会计机构负责人：张望喜</w:t>
                            </w:r>
                          </w:p>
                        </w:txbxContent>
                      </wps:txbx>
                      <wps:bodyPr wrap="none" lIns="0" tIns="0" rIns="0" bIns="0">
                        <a:noAutoFit/>
                      </wps:bodyPr>
                    </wps:wsp>
                  </a:graphicData>
                </a:graphic>
              </wp:anchor>
            </w:drawing>
          </mc:Choice>
          <mc:Fallback>
            <w:pict>
              <v:shape id="_x0000_s1082" type="#_x0000_t202" style="position:absolute;margin-left:433.94999999999999pt;margin-top:161.75pt;width:101.3pt;height:11.75pt;z-index:-125829328;mso-wrap-distance-left:387.69999999999999pt;mso-wrap-distance-top:12.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会计机构负责人：张望喜</w:t>
                      </w:r>
                    </w:p>
                  </w:txbxContent>
                </v:textbox>
                <w10:wrap type="topAndBottom" anchorx="page" anchory="margin"/>
              </v:shape>
            </w:pict>
          </mc:Fallback>
        </mc:AlternateContent>
      </w: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4</w:t>
      </w:r>
      <w:bookmarkEnd w:id="755"/>
      <w:r>
        <w:rPr>
          <w:color w:val="000000"/>
          <w:spacing w:val="0"/>
          <w:w w:val="100"/>
          <w:position w:val="0"/>
        </w:rPr>
        <w:t>、母公司利润表</w:t>
      </w:r>
      <w:bookmarkEnd w:id="753"/>
      <w:bookmarkEnd w:id="754"/>
      <w:bookmarkEnd w:id="75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256"/>
        <w:gridCol w:w="2270"/>
        <w:gridCol w:w="2064"/>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46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2,666,077,508.84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2,391,251,190.36</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1,803,531,113.56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2,106,630,589.12</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8,854,423.85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5,008,002.98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86,583,485.97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121,458,443.26</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254,579,805.35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365,258,029.93</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279,040,396.90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480,500,536.66</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125,672,709.11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133,434,100.65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131,058,376.22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140,814,476.85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8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7,064,742.16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9,654,526.87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30,192,179.09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32,124,413.81</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208,121,612.50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-47,371,864.18</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其中：对联营企业和合营企业的投资收益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-2,479,027.84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-51,092,947.64</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34,068,418.04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10,836,217.59</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-11,280,232.83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-11,996,331.69</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-10,467,938.</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-395,311,282.81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360,026.69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65,966.36</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358,809,639.47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-1,232,691,393.16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4,223,916.83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858,675.51</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354,585,722.64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-1,233,550,068.67</w:t>
            </w:r>
          </w:p>
        </w:tc>
      </w:tr>
    </w:tbl>
    <w:p>
      <w:pPr>
        <w:widowControl w:val="0"/>
        <w:spacing w:line="1" w:lineRule="exact"/>
      </w:pPr>
      <w:r>
        <w:br w:type="page"/>
      </w:r>
    </w:p>
    <w:tbl>
      <w:tblPr>
        <w:tblOverlap w:val="never"/>
        <w:jc w:val="center"/>
        <w:tblLayout w:type="fixed"/>
      </w:tblPr>
      <w:tblGrid>
        <w:gridCol w:w="5256"/>
        <w:gridCol w:w="2270"/>
        <w:gridCol w:w="2064"/>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5,110262.71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2,172,372.79</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349,475,459.93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-1,235,722,441.46</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（一）持续经营净利润（净亏损以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349,475,459.93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-1,235,722,441.46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（二）终止经营净利润（净亏损以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349,475,459.93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-1,235,722,441.46</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keepLines/>
        <w:widowControl w:val="0"/>
        <w:shd w:val="clear" w:color="auto" w:fill="auto"/>
        <w:bidi w:val="0"/>
        <w:spacing w:before="0" w:after="420" w:line="240" w:lineRule="auto"/>
        <w:ind w:left="0" w:right="0" w:firstLine="0"/>
        <w:jc w:val="left"/>
      </w:pPr>
      <w:r>
        <mc:AlternateContent>
          <mc:Choice Requires="wps">
            <w:drawing>
              <wp:anchor distT="152400" distB="0" distL="114300" distR="5155565" simplePos="0" relativeHeight="125829427" behindDoc="0" locked="0" layoutInCell="1" allowOverlap="1">
                <wp:simplePos x="0" y="0"/>
                <wp:positionH relativeFrom="page">
                  <wp:posOffset>701675</wp:posOffset>
                </wp:positionH>
                <wp:positionV relativeFrom="margin">
                  <wp:posOffset>6400800</wp:posOffset>
                </wp:positionV>
                <wp:extent cx="1054735" cy="149225"/>
                <wp:wrapTopAndBottom/>
                <wp:docPr id="58" name="Shape 58"/>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法定代表人：胡宏伟</w:t>
                            </w:r>
                          </w:p>
                        </w:txbxContent>
                      </wps:txbx>
                      <wps:bodyPr wrap="none" lIns="0" tIns="0" rIns="0" bIns="0">
                        <a:noAutoFit/>
                      </wps:bodyPr>
                    </wps:wsp>
                  </a:graphicData>
                </a:graphic>
              </wp:anchor>
            </w:drawing>
          </mc:Choice>
          <mc:Fallback>
            <w:pict>
              <v:shape id="_x0000_s1084" type="#_x0000_t202" style="position:absolute;margin-left:55.25pt;margin-top:504.pt;width:83.049999999999997pt;height:11.75pt;z-index:-125829326;mso-wrap-distance-left:9.pt;mso-wrap-distance-top:12.pt;mso-wrap-distance-right:405.9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法定代表人：胡宏伟</w:t>
                      </w:r>
                    </w:p>
                  </w:txbxContent>
                </v:textbox>
                <w10:wrap type="topAndBottom" anchorx="page" anchory="margin"/>
              </v:shape>
            </w:pict>
          </mc:Fallback>
        </mc:AlternateContent>
      </w:r>
      <w:r>
        <mc:AlternateContent>
          <mc:Choice Requires="wps">
            <w:drawing>
              <wp:anchor distT="152400" distB="3175" distL="2299970" distR="2515870" simplePos="0" relativeHeight="125829429" behindDoc="0" locked="0" layoutInCell="1" allowOverlap="1">
                <wp:simplePos x="0" y="0"/>
                <wp:positionH relativeFrom="page">
                  <wp:posOffset>2887345</wp:posOffset>
                </wp:positionH>
                <wp:positionV relativeFrom="margin">
                  <wp:posOffset>6400800</wp:posOffset>
                </wp:positionV>
                <wp:extent cx="1508760" cy="146050"/>
                <wp:wrapTopAndBottom/>
                <wp:docPr id="60" name="Shape 60"/>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主管会计工作负责人：陈丽娜</w:t>
                            </w:r>
                          </w:p>
                        </w:txbxContent>
                      </wps:txbx>
                      <wps:bodyPr wrap="none" lIns="0" tIns="0" rIns="0" bIns="0">
                        <a:noAutoFit/>
                      </wps:bodyPr>
                    </wps:wsp>
                  </a:graphicData>
                </a:graphic>
              </wp:anchor>
            </w:drawing>
          </mc:Choice>
          <mc:Fallback>
            <w:pict>
              <v:shape id="_x0000_s1086" type="#_x0000_t202" style="position:absolute;margin-left:227.34999999999999pt;margin-top:504.pt;width:118.8pt;height:11.5pt;z-index:-125829324;mso-wrap-distance-left:181.09999999999999pt;mso-wrap-distance-top:12.pt;mso-wrap-distance-right:198.09999999999999pt;mso-wrap-distance-bottom:0.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主管会计工作负责人：陈丽娜</w:t>
                      </w:r>
                    </w:p>
                  </w:txbxContent>
                </v:textbox>
                <w10:wrap type="topAndBottom" anchorx="page" anchory="margin"/>
              </v:shape>
            </w:pict>
          </mc:Fallback>
        </mc:AlternateContent>
      </w:r>
      <w:r>
        <mc:AlternateContent>
          <mc:Choice Requires="wps">
            <w:drawing>
              <wp:anchor distT="152400" distB="0" distL="4923790" distR="114300" simplePos="0" relativeHeight="125829431" behindDoc="0" locked="0" layoutInCell="1" allowOverlap="1">
                <wp:simplePos x="0" y="0"/>
                <wp:positionH relativeFrom="page">
                  <wp:posOffset>5511165</wp:posOffset>
                </wp:positionH>
                <wp:positionV relativeFrom="margin">
                  <wp:posOffset>6400800</wp:posOffset>
                </wp:positionV>
                <wp:extent cx="1286510" cy="149225"/>
                <wp:wrapTopAndBottom/>
                <wp:docPr id="62" name="Shape 62"/>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会计机构负责人：张望喜</w:t>
                            </w:r>
                          </w:p>
                        </w:txbxContent>
                      </wps:txbx>
                      <wps:bodyPr wrap="none" lIns="0" tIns="0" rIns="0" bIns="0">
                        <a:noAutoFit/>
                      </wps:bodyPr>
                    </wps:wsp>
                  </a:graphicData>
                </a:graphic>
              </wp:anchor>
            </w:drawing>
          </mc:Choice>
          <mc:Fallback>
            <w:pict>
              <v:shape id="_x0000_s1088" type="#_x0000_t202" style="position:absolute;margin-left:433.94999999999999pt;margin-top:504.pt;width:101.3pt;height:11.75pt;z-index:-125829322;mso-wrap-distance-left:387.69999999999999pt;mso-wrap-distance-top:12.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会计机构负责人：张望喜</w:t>
                      </w:r>
                    </w:p>
                  </w:txbxContent>
                </v:textbox>
                <w10:wrap type="topAndBottom" anchorx="page" anchory="margin"/>
              </v:shape>
            </w:pict>
          </mc:Fallback>
        </mc:AlternateContent>
      </w: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5</w:t>
      </w:r>
      <w:bookmarkEnd w:id="759"/>
      <w:r>
        <w:rPr>
          <w:color w:val="000000"/>
          <w:spacing w:val="0"/>
          <w:w w:val="100"/>
          <w:position w:val="0"/>
        </w:rPr>
        <w:t>、合并现金流量表</w:t>
      </w:r>
      <w:bookmarkEnd w:id="757"/>
      <w:bookmarkEnd w:id="758"/>
      <w:bookmarkEnd w:id="760"/>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5256"/>
        <w:gridCol w:w="2270"/>
        <w:gridCol w:w="2064"/>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46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3,420,878,383.14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3,184,297,799.92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向其他金融机构拆入资金净增加额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256"/>
        <w:gridCol w:w="2270"/>
        <w:gridCol w:w="2064"/>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46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5,853,135.36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18,509,473.75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237,458,092.06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268,340,302.20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3,664,189,610.56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3,471,147,575.87</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1,724,573,767.18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1,409,962,763.50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1,505,408,599.48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1,345,208,878.18</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63,941,841.89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41,514,834.59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306,277,983.32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416,919,745.02</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3,600,202,191.87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3,213,606,221.29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63,987,418.69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257,541,354.58</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18,575,055.68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18,475,728.75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10,024,408.26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4,376,999.74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处置固定资产、无形资产和其他长期资产收回的现金净额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646,179.99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91,690.90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741,558.20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29,245,643.93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23,685,977.59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购建固定资产、无形资产和其他长期资产支付的现金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218,128,796.74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88,562,875.59</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10,170,000.00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取得子公司及其他营业单位支付的现金净额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2,041,238.35</w:t>
            </w:r>
          </w:p>
        </w:tc>
      </w:tr>
    </w:tbl>
    <w:p>
      <w:pPr>
        <w:widowControl w:val="0"/>
        <w:spacing w:line="1" w:lineRule="exact"/>
      </w:pPr>
      <w:r>
        <w:br w:type="page"/>
      </w:r>
    </w:p>
    <w:tbl>
      <w:tblPr>
        <w:tblOverlap w:val="never"/>
        <w:jc w:val="center"/>
        <w:tblLayout w:type="fixed"/>
      </w:tblPr>
      <w:tblGrid>
        <w:gridCol w:w="5256"/>
        <w:gridCol w:w="2270"/>
        <w:gridCol w:w="2064"/>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46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132,657.63</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246,766,454.37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100,774,113.94</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-217,520,810.44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-77,088,136.35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其中：子公司吸收少数股东投资收到的现金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4,262,856,174.62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3,662,000,000.00</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4,277,856,174.62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3,662,000,000.00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4,124,491,588.00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3,948,838,473.24</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分配股利、利润或偿付利息支付的现金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131,022,655.85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156,108,746.34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21,123,655.57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4,276,637,899.42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4,104,947,219.58</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1,218,275.20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-442,947,219.58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四、汇率变动对现金及现金等价物的影响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-80,775.67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-224,914.32</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-152,395,892.22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-262,718,915.67</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1,357,493,345.23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1,620,212,260.90</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1,205,097,453.01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1,357,493,345.23</w:t>
            </w:r>
          </w:p>
        </w:tc>
      </w:tr>
    </w:tbl>
    <w:p>
      <w:pPr>
        <w:pStyle w:val="Style33"/>
        <w:keepNext/>
        <w:keepLines/>
        <w:widowControl w:val="0"/>
        <w:shd w:val="clear" w:color="auto" w:fill="auto"/>
        <w:bidi w:val="0"/>
        <w:spacing w:before="0" w:after="420" w:line="240" w:lineRule="auto"/>
        <w:ind w:left="0" w:right="0" w:firstLine="0"/>
        <w:jc w:val="left"/>
      </w:pPr>
      <w:r>
        <mc:AlternateContent>
          <mc:Choice Requires="wps">
            <w:drawing>
              <wp:anchor distT="152400" distB="0" distL="114300" distR="5155565" simplePos="0" relativeHeight="125829433" behindDoc="0" locked="0" layoutInCell="1" allowOverlap="1">
                <wp:simplePos x="0" y="0"/>
                <wp:positionH relativeFrom="page">
                  <wp:posOffset>701675</wp:posOffset>
                </wp:positionH>
                <wp:positionV relativeFrom="margin">
                  <wp:posOffset>5379720</wp:posOffset>
                </wp:positionV>
                <wp:extent cx="1054735" cy="149225"/>
                <wp:wrapTopAndBottom/>
                <wp:docPr id="64" name="Shape 6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法定代表人：胡宏伟</w:t>
                            </w:r>
                          </w:p>
                        </w:txbxContent>
                      </wps:txbx>
                      <wps:bodyPr wrap="none" lIns="0" tIns="0" rIns="0" bIns="0">
                        <a:noAutoFit/>
                      </wps:bodyPr>
                    </wps:wsp>
                  </a:graphicData>
                </a:graphic>
              </wp:anchor>
            </w:drawing>
          </mc:Choice>
          <mc:Fallback>
            <w:pict>
              <v:shape id="_x0000_s1090" type="#_x0000_t202" style="position:absolute;margin-left:55.25pt;margin-top:423.60000000000002pt;width:83.049999999999997pt;height:11.75pt;z-index:-125829320;mso-wrap-distance-left:9.pt;mso-wrap-distance-top:12.pt;mso-wrap-distance-right:405.9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法定代表人：胡宏伟</w:t>
                      </w:r>
                    </w:p>
                  </w:txbxContent>
                </v:textbox>
                <w10:wrap type="topAndBottom" anchorx="page" anchory="margin"/>
              </v:shape>
            </w:pict>
          </mc:Fallback>
        </mc:AlternateContent>
      </w:r>
      <w:r>
        <mc:AlternateContent>
          <mc:Choice Requires="wps">
            <w:drawing>
              <wp:anchor distT="152400" distB="3175" distL="2299970" distR="2515870" simplePos="0" relativeHeight="125829435" behindDoc="0" locked="0" layoutInCell="1" allowOverlap="1">
                <wp:simplePos x="0" y="0"/>
                <wp:positionH relativeFrom="page">
                  <wp:posOffset>2887345</wp:posOffset>
                </wp:positionH>
                <wp:positionV relativeFrom="margin">
                  <wp:posOffset>5379720</wp:posOffset>
                </wp:positionV>
                <wp:extent cx="1508760" cy="146050"/>
                <wp:wrapTopAndBottom/>
                <wp:docPr id="66" name="Shape 66"/>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主管会计工作负责人：陈丽娜</w:t>
                            </w:r>
                          </w:p>
                        </w:txbxContent>
                      </wps:txbx>
                      <wps:bodyPr wrap="none" lIns="0" tIns="0" rIns="0" bIns="0">
                        <a:noAutoFit/>
                      </wps:bodyPr>
                    </wps:wsp>
                  </a:graphicData>
                </a:graphic>
              </wp:anchor>
            </w:drawing>
          </mc:Choice>
          <mc:Fallback>
            <w:pict>
              <v:shape id="_x0000_s1092" type="#_x0000_t202" style="position:absolute;margin-left:227.34999999999999pt;margin-top:423.60000000000002pt;width:118.8pt;height:11.5pt;z-index:-125829318;mso-wrap-distance-left:181.09999999999999pt;mso-wrap-distance-top:12.pt;mso-wrap-distance-right:198.09999999999999pt;mso-wrap-distance-bottom:0.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主管会计工作负责人：陈丽娜</w:t>
                      </w:r>
                    </w:p>
                  </w:txbxContent>
                </v:textbox>
                <w10:wrap type="topAndBottom" anchorx="page" anchory="margin"/>
              </v:shape>
            </w:pict>
          </mc:Fallback>
        </mc:AlternateContent>
      </w:r>
      <w:r>
        <mc:AlternateContent>
          <mc:Choice Requires="wps">
            <w:drawing>
              <wp:anchor distT="152400" distB="0" distL="4923790" distR="114300" simplePos="0" relativeHeight="125829437" behindDoc="0" locked="0" layoutInCell="1" allowOverlap="1">
                <wp:simplePos x="0" y="0"/>
                <wp:positionH relativeFrom="page">
                  <wp:posOffset>5511165</wp:posOffset>
                </wp:positionH>
                <wp:positionV relativeFrom="margin">
                  <wp:posOffset>5379720</wp:posOffset>
                </wp:positionV>
                <wp:extent cx="1286510" cy="149225"/>
                <wp:wrapTopAndBottom/>
                <wp:docPr id="68" name="Shape 6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会计机构负责人：张望喜</w:t>
                            </w:r>
                          </w:p>
                        </w:txbxContent>
                      </wps:txbx>
                      <wps:bodyPr wrap="none" lIns="0" tIns="0" rIns="0" bIns="0">
                        <a:noAutoFit/>
                      </wps:bodyPr>
                    </wps:wsp>
                  </a:graphicData>
                </a:graphic>
              </wp:anchor>
            </w:drawing>
          </mc:Choice>
          <mc:Fallback>
            <w:pict>
              <v:shape id="_x0000_s1094" type="#_x0000_t202" style="position:absolute;margin-left:433.94999999999999pt;margin-top:423.60000000000002pt;width:101.3pt;height:11.75pt;z-index:-125829316;mso-wrap-distance-left:387.69999999999999pt;mso-wrap-distance-top:12.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会计机构负责人：张望喜</w:t>
                      </w:r>
                    </w:p>
                  </w:txbxContent>
                </v:textbox>
                <w10:wrap type="topAndBottom" anchorx="page" anchory="margin"/>
              </v:shape>
            </w:pict>
          </mc:Fallback>
        </mc:AlternateContent>
      </w: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6</w:t>
      </w:r>
      <w:bookmarkEnd w:id="763"/>
      <w:r>
        <w:rPr>
          <w:color w:val="000000"/>
          <w:spacing w:val="0"/>
          <w:w w:val="100"/>
          <w:position w:val="0"/>
        </w:rPr>
        <w:t>、母公司现金流量表</w:t>
      </w:r>
      <w:bookmarkEnd w:id="761"/>
      <w:bookmarkEnd w:id="762"/>
      <w:bookmarkEnd w:id="764"/>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5256"/>
        <w:gridCol w:w="2270"/>
        <w:gridCol w:w="2064"/>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46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2,326,832,880.11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2,333,619,302.86</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14,960,706.35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569,016,665.11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728,119,250.85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2,895,849,545.22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3,076,699,260.06</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1,080,053,733.81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1,083,545,116.19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1,003,729,689.52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1,009,606,758.52</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30,362,157.23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4,295,414.40</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支付其他与经营活动有关的现金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1,016,244,954.45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419,890,082.41</w:t>
            </w:r>
          </w:p>
        </w:tc>
      </w:tr>
    </w:tbl>
    <w:p>
      <w:pPr>
        <w:widowControl w:val="0"/>
        <w:spacing w:line="1" w:lineRule="exact"/>
      </w:pPr>
      <w:r>
        <w:br w:type="page"/>
      </w:r>
    </w:p>
    <w:tbl>
      <w:tblPr>
        <w:tblOverlap w:val="never"/>
        <w:jc w:val="center"/>
        <w:tblLayout w:type="fixed"/>
      </w:tblPr>
      <w:tblGrid>
        <w:gridCol w:w="5256"/>
        <w:gridCol w:w="2270"/>
        <w:gridCol w:w="2064"/>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3,130,390,535.01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2,517,337,371.52</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-234,540,989.79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559,361,888.54</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36,449,426.79</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302,805,388.28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4,011,643.54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处置固定资产、无形资产和其他长期资产收回的现金净额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490,465.60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76,820.30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308,795,853.88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40,537,890.63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购建固定资产、无形资产和其他长期资产支付的现金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187,954,361.63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63,230,832.05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33265,000.00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105,064,940.00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221,219,361.63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168,295,772.05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87,576,492.25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-127,757,881.42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4,150,200,000.00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3,610,100,000.00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4,150,200,000.00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3,610,100,000.00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4,036,400,000.00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3,757,400,000.00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分配股利、利润或偿付利息支付的现金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127,436,658.72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147,654,802.89</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16,347,859.67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4,180,184,518.39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3,905,054,802.89</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-29,984,518.39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-294,954,802.89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四、汇率变动对现金及现金等价物的影响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-80,775.67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-224,914.32</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-177,029,791.60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136,424,289.91</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970,151,176.59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833,726,886.68</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793,121,384.99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970,151,176.59</w:t>
            </w:r>
          </w:p>
        </w:tc>
      </w:tr>
    </w:tbl>
    <w:p>
      <w:pPr>
        <w:pStyle w:val="Style33"/>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55565" simplePos="0" relativeHeight="125829439" behindDoc="0" locked="0" layoutInCell="1" allowOverlap="1">
                <wp:simplePos x="0" y="0"/>
                <wp:positionH relativeFrom="page">
                  <wp:posOffset>728980</wp:posOffset>
                </wp:positionH>
                <wp:positionV relativeFrom="margin">
                  <wp:posOffset>7933690</wp:posOffset>
                </wp:positionV>
                <wp:extent cx="1054735" cy="149225"/>
                <wp:wrapTopAndBottom/>
                <wp:docPr id="70" name="Shape 70"/>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法定代表人：胡宏伟</w:t>
                            </w:r>
                          </w:p>
                        </w:txbxContent>
                      </wps:txbx>
                      <wps:bodyPr wrap="none" lIns="0" tIns="0" rIns="0" bIns="0">
                        <a:noAutoFit/>
                      </wps:bodyPr>
                    </wps:wsp>
                  </a:graphicData>
                </a:graphic>
              </wp:anchor>
            </w:drawing>
          </mc:Choice>
          <mc:Fallback>
            <w:pict>
              <v:shape id="_x0000_s1096" type="#_x0000_t202" style="position:absolute;margin-left:57.399999999999999pt;margin-top:624.70000000000005pt;width:83.049999999999997pt;height:11.75pt;z-index:-125829314;mso-wrap-distance-left:9.pt;mso-wrap-distance-top:12.pt;mso-wrap-distance-right:405.9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法定代表人：胡宏伟</w:t>
                      </w:r>
                    </w:p>
                  </w:txbxContent>
                </v:textbox>
                <w10:wrap type="topAndBottom" anchorx="page" anchory="margin"/>
              </v:shape>
            </w:pict>
          </mc:Fallback>
        </mc:AlternateContent>
      </w:r>
      <w:r>
        <mc:AlternateContent>
          <mc:Choice Requires="wps">
            <w:drawing>
              <wp:anchor distT="152400" distB="3175" distL="2299970" distR="2515870" simplePos="0" relativeHeight="125829441" behindDoc="0" locked="0" layoutInCell="1" allowOverlap="1">
                <wp:simplePos x="0" y="0"/>
                <wp:positionH relativeFrom="page">
                  <wp:posOffset>2914650</wp:posOffset>
                </wp:positionH>
                <wp:positionV relativeFrom="margin">
                  <wp:posOffset>7933690</wp:posOffset>
                </wp:positionV>
                <wp:extent cx="1508760" cy="146050"/>
                <wp:wrapTopAndBottom/>
                <wp:docPr id="72" name="Shape 72"/>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主管会计工作负责人：陈丽娜</w:t>
                            </w:r>
                          </w:p>
                        </w:txbxContent>
                      </wps:txbx>
                      <wps:bodyPr wrap="none" lIns="0" tIns="0" rIns="0" bIns="0">
                        <a:noAutoFit/>
                      </wps:bodyPr>
                    </wps:wsp>
                  </a:graphicData>
                </a:graphic>
              </wp:anchor>
            </w:drawing>
          </mc:Choice>
          <mc:Fallback>
            <w:pict>
              <v:shape id="_x0000_s1098" type="#_x0000_t202" style="position:absolute;margin-left:229.5pt;margin-top:624.70000000000005pt;width:118.8pt;height:11.5pt;z-index:-125829312;mso-wrap-distance-left:181.09999999999999pt;mso-wrap-distance-top:12.pt;mso-wrap-distance-right:198.09999999999999pt;mso-wrap-distance-bottom:0.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主管会计工作负责人：陈丽娜</w:t>
                      </w:r>
                    </w:p>
                  </w:txbxContent>
                </v:textbox>
                <w10:wrap type="topAndBottom" anchorx="page" anchory="margin"/>
              </v:shape>
            </w:pict>
          </mc:Fallback>
        </mc:AlternateContent>
      </w:r>
      <w:r>
        <mc:AlternateContent>
          <mc:Choice Requires="wps">
            <w:drawing>
              <wp:anchor distT="152400" distB="0" distL="4923790" distR="114300" simplePos="0" relativeHeight="125829443" behindDoc="0" locked="0" layoutInCell="1" allowOverlap="1">
                <wp:simplePos x="0" y="0"/>
                <wp:positionH relativeFrom="page">
                  <wp:posOffset>5538470</wp:posOffset>
                </wp:positionH>
                <wp:positionV relativeFrom="margin">
                  <wp:posOffset>7933690</wp:posOffset>
                </wp:positionV>
                <wp:extent cx="1286510" cy="149225"/>
                <wp:wrapTopAndBottom/>
                <wp:docPr id="74" name="Shape 74"/>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会计机构负责人：张望喜</w:t>
                            </w:r>
                          </w:p>
                        </w:txbxContent>
                      </wps:txbx>
                      <wps:bodyPr wrap="none" lIns="0" tIns="0" rIns="0" bIns="0">
                        <a:noAutoFit/>
                      </wps:bodyPr>
                    </wps:wsp>
                  </a:graphicData>
                </a:graphic>
              </wp:anchor>
            </w:drawing>
          </mc:Choice>
          <mc:Fallback>
            <w:pict>
              <v:shape id="_x0000_s1100" type="#_x0000_t202" style="position:absolute;margin-left:436.10000000000002pt;margin-top:624.70000000000005pt;width:101.3pt;height:11.75pt;z-index:-125829310;mso-wrap-distance-left:387.69999999999999pt;mso-wrap-distance-top:12.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会计机构负责人：张望喜</w:t>
                      </w:r>
                    </w:p>
                  </w:txbxContent>
                </v:textbox>
                <w10:wrap type="topAndBottom" anchorx="page" anchory="margin"/>
              </v:shape>
            </w:pict>
          </mc:Fallback>
        </mc:AlternateContent>
      </w:r>
      <w:bookmarkStart w:id="765" w:name="bookmark765"/>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7</w:t>
      </w:r>
      <w:bookmarkEnd w:id="767"/>
      <w:r>
        <w:rPr>
          <w:color w:val="000000"/>
          <w:spacing w:val="0"/>
          <w:w w:val="100"/>
          <w:position w:val="0"/>
        </w:rPr>
        <w:t>、合并所有者权益变动表</w:t>
      </w:r>
      <w:bookmarkEnd w:id="765"/>
      <w:bookmarkEnd w:id="766"/>
      <w:bookmarkEnd w:id="768"/>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本期金额</w:t>
      </w:r>
      <w:r>
        <w:br w:type="page"/>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854"/>
        <w:gridCol w:w="288"/>
        <w:gridCol w:w="274"/>
        <w:gridCol w:w="312"/>
        <w:gridCol w:w="590"/>
        <w:gridCol w:w="590"/>
        <w:gridCol w:w="576"/>
        <w:gridCol w:w="586"/>
        <w:gridCol w:w="581"/>
        <w:gridCol w:w="586"/>
        <w:gridCol w:w="590"/>
        <w:gridCol w:w="576"/>
        <w:gridCol w:w="586"/>
        <w:gridCol w:w="590"/>
        <w:gridCol w:w="586"/>
      </w:tblGrid>
      <w:tr>
        <w:trPr>
          <w:trHeight w:val="41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r>
      <w:tr>
        <w:trPr>
          <w:trHeight w:val="394" w:hRule="exact"/>
        </w:trPr>
        <w:tc>
          <w:tcPr>
            <w:vMerge/>
            <w:tcBorders>
              <w:left w:val="single" w:sz="4"/>
            </w:tcBorders>
            <w:shd w:val="clear" w:color="auto" w:fill="D4D4D4"/>
            <w:vAlign w:val="center"/>
          </w:tcPr>
          <w:p>
            <w:pPr/>
          </w:p>
        </w:tc>
        <w:tc>
          <w:tcPr>
            <w:gridSpan w:val="1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少数</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股东</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权益</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所有 者权 益合 计</w:t>
            </w:r>
          </w:p>
        </w:tc>
      </w:tr>
      <w:tr>
        <w:trPr>
          <w:trHeight w:val="725"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其他权益 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综合</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专项</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盈余</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未分</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配利</w:t>
            </w:r>
          </w:p>
          <w:p>
            <w:pPr>
              <w:pStyle w:val="Style2"/>
              <w:keepNext w:val="0"/>
              <w:keepLines w:val="0"/>
              <w:widowControl w:val="0"/>
              <w:shd w:val="clear" w:color="auto" w:fill="auto"/>
              <w:bidi w:val="0"/>
              <w:spacing w:before="0" w:after="120" w:line="240" w:lineRule="auto"/>
              <w:ind w:left="0" w:right="180" w:firstLine="0"/>
              <w:jc w:val="right"/>
              <w:rPr>
                <w:sz w:val="17"/>
                <w:szCs w:val="17"/>
              </w:rPr>
            </w:pPr>
            <w:r>
              <w:rPr>
                <w:color w:val="000000"/>
                <w:spacing w:val="0"/>
                <w:w w:val="100"/>
                <w:position w:val="0"/>
                <w:sz w:val="17"/>
                <w:szCs w:val="17"/>
              </w:rPr>
              <w:t>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小计</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1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优</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先</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永</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续</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其 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1,187,584,</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126,95</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265.2</w:t>
            </w:r>
          </w:p>
          <w:p>
            <w:pPr>
              <w:pStyle w:val="Style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-2,033, </w:t>
            </w:r>
            <w:r>
              <w:rPr>
                <w:rFonts w:ascii="Times New Roman" w:eastAsia="Times New Roman" w:hAnsi="Times New Roman" w:cs="Times New Roman"/>
                <w:color w:val="000000"/>
                <w:spacing w:val="0"/>
                <w:w w:val="100"/>
                <w:position w:val="0"/>
                <w:sz w:val="18"/>
                <w:szCs w:val="18"/>
              </w:rPr>
              <w:t xml:space="preserve">778,29 </w:t>
            </w:r>
            <w:r>
              <w:rPr>
                <w:rFonts w:ascii="Times New Roman" w:eastAsia="Times New Roman" w:hAnsi="Times New Roman" w:cs="Times New Roman"/>
                <w:color w:val="000000"/>
                <w:spacing w:val="0"/>
                <w:w w:val="100"/>
                <w:position w:val="0"/>
                <w:sz w:val="18"/>
                <w:szCs w:val="18"/>
              </w:rPr>
              <w:t>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22,056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,636.4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jc w:val="both"/>
              <w:rPr>
                <w:sz w:val="17"/>
                <w:szCs w:val="17"/>
              </w:rPr>
            </w:pPr>
            <w:r>
              <w:rPr>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-7,584, 971.05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-7,584, 971.05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-7,573, 900.63</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760"/>
              <w:jc w:val="both"/>
              <w:rPr>
                <w:sz w:val="17"/>
                <w:szCs w:val="17"/>
              </w:rPr>
            </w:pPr>
            <w:r>
              <w:rPr>
                <w:color w:val="000000"/>
                <w:spacing w:val="0"/>
                <w:w w:val="100"/>
                <w:position w:val="0"/>
                <w:sz w:val="17"/>
                <w:szCs w:val="17"/>
              </w:rPr>
              <w:t>前期差</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760"/>
              <w:jc w:val="both"/>
              <w:rPr>
                <w:sz w:val="17"/>
                <w:szCs w:val="17"/>
              </w:rPr>
            </w:pPr>
            <w:r>
              <w:rPr>
                <w:color w:val="000000"/>
                <w:spacing w:val="0"/>
                <w:w w:val="100"/>
                <w:position w:val="0"/>
                <w:sz w:val="17"/>
                <w:szCs w:val="17"/>
              </w:rPr>
              <w:t>同一控</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1,187,584,</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126,95</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265.2</w:t>
            </w:r>
          </w:p>
          <w:p>
            <w:pPr>
              <w:pStyle w:val="Style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-2,041, </w:t>
            </w:r>
            <w:r>
              <w:rPr>
                <w:rFonts w:ascii="Times New Roman" w:eastAsia="Times New Roman" w:hAnsi="Times New Roman" w:cs="Times New Roman"/>
                <w:color w:val="000000"/>
                <w:spacing w:val="0"/>
                <w:w w:val="100"/>
                <w:position w:val="0"/>
                <w:sz w:val="18"/>
                <w:szCs w:val="18"/>
              </w:rPr>
              <w:t xml:space="preserve">363,26 </w:t>
            </w:r>
            <w:r>
              <w:rPr>
                <w:rFonts w:ascii="Times New Roman" w:eastAsia="Times New Roman" w:hAnsi="Times New Roman" w:cs="Times New Roman"/>
                <w:color w:val="000000"/>
                <w:spacing w:val="0"/>
                <w:w w:val="100"/>
                <w:position w:val="0"/>
                <w:sz w:val="18"/>
                <w:szCs w:val="18"/>
              </w:rPr>
              <w:t>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545,13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22,067</w:t>
            </w:r>
          </w:p>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,706.9</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612,83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w:t>
            </w:r>
          </w:p>
        </w:tc>
      </w:tr>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28,873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,015.4</w:t>
            </w:r>
          </w:p>
          <w:p>
            <w:pPr>
              <w:pStyle w:val="Style2"/>
              <w:keepNext w:val="0"/>
              <w:keepLines w:val="0"/>
              <w:widowControl w:val="0"/>
              <w:shd w:val="clear" w:color="auto" w:fill="auto"/>
              <w:bidi w:val="0"/>
              <w:spacing w:before="0" w:after="10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69241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97,881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,847.5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-37,90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9,159.</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59,972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69241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4"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69,008</w:t>
            </w:r>
          </w:p>
          <w:p>
            <w:pPr>
              <w:pStyle w:val="Style2"/>
              <w:keepNext w:val="0"/>
              <w:keepLines w:val="0"/>
              <w:widowControl w:val="0"/>
              <w:shd w:val="clear" w:color="auto" w:fill="auto"/>
              <w:bidi w:val="0"/>
              <w:spacing w:before="0" w:after="0" w:line="374"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,832.1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5,285.</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43,123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28,873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,015.4</w:t>
            </w:r>
          </w:p>
          <w:p>
            <w:pPr>
              <w:pStyle w:val="Style2"/>
              <w:keepNext w:val="0"/>
              <w:keepLines w:val="0"/>
              <w:widowControl w:val="0"/>
              <w:shd w:val="clear" w:color="auto" w:fill="auto"/>
              <w:bidi w:val="0"/>
              <w:spacing w:before="0" w:after="10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28,873 </w:t>
            </w:r>
            <w:r>
              <w:rPr>
                <w:rFonts w:ascii="Times New Roman" w:eastAsia="Times New Roman" w:hAnsi="Times New Roman" w:cs="Times New Roman"/>
                <w:color w:val="000000"/>
                <w:spacing w:val="0"/>
                <w:w w:val="100"/>
                <w:position w:val="0"/>
                <w:sz w:val="18"/>
                <w:szCs w:val="18"/>
              </w:rPr>
              <w:t xml:space="preserve">,015.4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3,874.</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16,849 </w:t>
            </w:r>
            <w:r>
              <w:rPr>
                <w:rFonts w:ascii="Times New Roman" w:eastAsia="Times New Roman" w:hAnsi="Times New Roman" w:cs="Times New Roman"/>
                <w:color w:val="000000"/>
                <w:spacing w:val="0"/>
                <w:w w:val="100"/>
                <w:position w:val="0"/>
                <w:sz w:val="18"/>
                <w:szCs w:val="18"/>
              </w:rPr>
              <w:t>,140.5</w:t>
            </w:r>
          </w:p>
          <w:p>
            <w:pPr>
              <w:pStyle w:val="Style2"/>
              <w:keepNext w:val="0"/>
              <w:keepLines w:val="0"/>
              <w:widowControl w:val="0"/>
              <w:shd w:val="clear" w:color="auto" w:fill="auto"/>
              <w:bidi w:val="0"/>
              <w:spacing w:before="0" w:after="0" w:line="34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.所有者投入的 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28,873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28,873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5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16,849 </w:t>
            </w:r>
            <w:r>
              <w:rPr>
                <w:rFonts w:ascii="Times New Roman" w:eastAsia="Times New Roman" w:hAnsi="Times New Roman" w:cs="Times New Roman"/>
                <w:color w:val="000000"/>
                <w:spacing w:val="0"/>
                <w:w w:val="100"/>
                <w:position w:val="0"/>
                <w:sz w:val="18"/>
                <w:szCs w:val="18"/>
              </w:rPr>
              <w:t>,140.5</w:t>
            </w:r>
          </w:p>
        </w:tc>
      </w:tr>
    </w:tbl>
    <w:p>
      <w:pPr>
        <w:widowControl w:val="0"/>
        <w:spacing w:line="1" w:lineRule="exact"/>
      </w:pPr>
      <w:r>
        <w:br w:type="page"/>
      </w:r>
    </w:p>
    <w:tbl>
      <w:tblPr>
        <w:tblOverlap w:val="never"/>
        <w:jc w:val="center"/>
        <w:tblLayout w:type="fixed"/>
      </w:tblPr>
      <w:tblGrid>
        <w:gridCol w:w="1426"/>
        <w:gridCol w:w="854"/>
        <w:gridCol w:w="288"/>
        <w:gridCol w:w="274"/>
        <w:gridCol w:w="312"/>
        <w:gridCol w:w="590"/>
        <w:gridCol w:w="590"/>
        <w:gridCol w:w="576"/>
        <w:gridCol w:w="586"/>
        <w:gridCol w:w="581"/>
        <w:gridCol w:w="586"/>
        <w:gridCol w:w="590"/>
        <w:gridCol w:w="576"/>
        <w:gridCol w:w="586"/>
        <w:gridCol w:w="590"/>
        <w:gridCol w:w="586"/>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r>
      <w:tr>
        <w:trPr>
          <w:trHeight w:val="408" w:hRule="exact"/>
        </w:trPr>
        <w:tc>
          <w:tcPr>
            <w:vMerge/>
            <w:tcBorders>
              <w:left w:val="single" w:sz="4"/>
            </w:tcBorders>
            <w:shd w:val="clear" w:color="auto" w:fill="D4D4D4"/>
            <w:vAlign w:val="center"/>
          </w:tcPr>
          <w:p>
            <w:pPr/>
          </w:p>
        </w:tc>
        <w:tc>
          <w:tcPr>
            <w:gridSpan w:val="1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少数</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股东</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权益</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所有 者权 益合 计</w:t>
            </w:r>
          </w:p>
        </w:tc>
      </w:tr>
      <w:tr>
        <w:trPr>
          <w:trHeight w:val="706"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其他权益 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其他</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综合</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专项</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盈余</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未分</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配利</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小计</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37"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优</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先</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永</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续</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 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36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设定受益计划 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.其他综合收益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1,187,584,</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-1,972, </w:t>
            </w:r>
            <w:r>
              <w:rPr>
                <w:rFonts w:ascii="Times New Roman" w:eastAsia="Times New Roman" w:hAnsi="Times New Roman" w:cs="Times New Roman"/>
                <w:color w:val="000000"/>
                <w:spacing w:val="0"/>
                <w:w w:val="100"/>
                <w:position w:val="0"/>
                <w:sz w:val="18"/>
                <w:szCs w:val="18"/>
              </w:rPr>
              <w:t xml:space="preserve">121,70 </w:t>
            </w:r>
            <w:r>
              <w:rPr>
                <w:rFonts w:ascii="Times New Roman" w:eastAsia="Times New Roman" w:hAnsi="Times New Roman" w:cs="Times New Roman"/>
                <w:color w:val="000000"/>
                <w:spacing w:val="0"/>
                <w:w w:val="100"/>
                <w:position w:val="0"/>
                <w:sz w:val="18"/>
                <w:szCs w:val="18"/>
              </w:rPr>
              <w:t>9.77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426,97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585,52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w:t>
            </w: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上期金额</w:t>
      </w:r>
    </w:p>
    <w:p>
      <w:pPr>
        <w:widowControl w:val="0"/>
        <w:spacing w:after="13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219"/>
        <w:gridCol w:w="494"/>
        <w:gridCol w:w="446"/>
        <w:gridCol w:w="456"/>
        <w:gridCol w:w="490"/>
        <w:gridCol w:w="581"/>
        <w:gridCol w:w="576"/>
        <w:gridCol w:w="576"/>
        <w:gridCol w:w="576"/>
        <w:gridCol w:w="576"/>
        <w:gridCol w:w="576"/>
        <w:gridCol w:w="590"/>
        <w:gridCol w:w="562"/>
        <w:gridCol w:w="576"/>
        <w:gridCol w:w="638"/>
        <w:gridCol w:w="65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w:t>
            </w:r>
          </w:p>
        </w:tc>
      </w:tr>
      <w:tr>
        <w:trPr>
          <w:trHeight w:val="408" w:hRule="exact"/>
        </w:trPr>
        <w:tc>
          <w:tcPr>
            <w:vMerge/>
            <w:tcBorders>
              <w:left w:val="single" w:sz="4"/>
            </w:tcBorders>
            <w:shd w:val="clear" w:color="auto" w:fill="D4D4D4"/>
            <w:vAlign w:val="center"/>
          </w:tcPr>
          <w:p>
            <w:pPr/>
          </w:p>
        </w:tc>
        <w:tc>
          <w:tcPr>
            <w:gridSpan w:val="1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少数股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东权益</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所有者</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权益合</w:t>
            </w:r>
          </w:p>
          <w:p>
            <w:pPr>
              <w:pStyle w:val="Style2"/>
              <w:keepNext w:val="0"/>
              <w:keepLines w:val="0"/>
              <w:widowControl w:val="0"/>
              <w:shd w:val="clear" w:color="auto" w:fill="auto"/>
              <w:bidi w:val="0"/>
              <w:spacing w:before="0" w:after="120" w:line="240" w:lineRule="auto"/>
              <w:ind w:left="0" w:right="220" w:firstLine="0"/>
              <w:jc w:val="right"/>
              <w:rPr>
                <w:sz w:val="17"/>
                <w:szCs w:val="17"/>
              </w:rPr>
            </w:pPr>
            <w:r>
              <w:rPr>
                <w:color w:val="000000"/>
                <w:spacing w:val="0"/>
                <w:w w:val="100"/>
                <w:position w:val="0"/>
                <w:sz w:val="17"/>
                <w:szCs w:val="17"/>
              </w:rPr>
              <w:t>计</w:t>
            </w:r>
          </w:p>
        </w:tc>
      </w:tr>
      <w:tr>
        <w:trPr>
          <w:trHeight w:val="394"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综合</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专项</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盈余</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未分</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配利</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25"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优先 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33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1,139</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,854, </w:t>
            </w:r>
            <w:r>
              <w:rPr>
                <w:rFonts w:ascii="Times New Roman" w:eastAsia="Times New Roman" w:hAnsi="Times New Roman" w:cs="Times New Roman"/>
                <w:color w:val="000000"/>
                <w:spacing w:val="0"/>
                <w:w w:val="100"/>
                <w:position w:val="0"/>
                <w:sz w:val="18"/>
                <w:szCs w:val="18"/>
              </w:rPr>
              <w:t>021.0</w:t>
            </w:r>
          </w:p>
          <w:p>
            <w:pPr>
              <w:pStyle w:val="Style2"/>
              <w:keepNext w:val="0"/>
              <w:keepLines w:val="0"/>
              <w:widowControl w:val="0"/>
              <w:shd w:val="clear" w:color="auto" w:fill="auto"/>
              <w:bidi w:val="0"/>
              <w:spacing w:before="0" w:after="0" w:line="36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1,602, 098,49</w:t>
            </w:r>
          </w:p>
          <w:p>
            <w:pPr>
              <w:pStyle w:val="Style2"/>
              <w:keepNext w:val="0"/>
              <w:keepLines w:val="0"/>
              <w:widowControl w:val="0"/>
              <w:shd w:val="clear" w:color="auto" w:fill="auto"/>
              <w:bidi w:val="0"/>
              <w:spacing w:before="0" w:after="0" w:line="346"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29,984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613,90</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20,491,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2,912,1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05,052.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r>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420"/>
              <w:jc w:val="both"/>
              <w:rPr>
                <w:sz w:val="17"/>
                <w:szCs w:val="17"/>
              </w:rPr>
            </w:pPr>
            <w:r>
              <w:rPr>
                <w:color w:val="000000"/>
                <w:spacing w:val="0"/>
                <w:w w:val="100"/>
                <w:position w:val="0"/>
                <w:sz w:val="17"/>
                <w:szCs w:val="17"/>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39,561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-644,7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39,561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-4,142,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-648,88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2,191.8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60"/>
              <w:jc w:val="both"/>
              <w:rPr>
                <w:sz w:val="17"/>
                <w:szCs w:val="17"/>
              </w:rPr>
            </w:pPr>
            <w:r>
              <w:rPr>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760"/>
              <w:jc w:val="both"/>
              <w:rPr>
                <w:sz w:val="17"/>
                <w:szCs w:val="17"/>
              </w:rPr>
            </w:pPr>
            <w:r>
              <w:rPr>
                <w:color w:val="000000"/>
                <w:spacing w:val="0"/>
                <w:w w:val="100"/>
                <w:position w:val="0"/>
                <w:sz w:val="17"/>
                <w:szCs w:val="17"/>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二、本年期初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1,139 ,854, </w:t>
            </w:r>
            <w:r>
              <w:rPr>
                <w:rFonts w:ascii="Times New Roman" w:eastAsia="Times New Roman" w:hAnsi="Times New Roman" w:cs="Times New Roman"/>
                <w:color w:val="000000"/>
                <w:spacing w:val="0"/>
                <w:w w:val="100"/>
                <w:position w:val="0"/>
                <w:sz w:val="18"/>
                <w:szCs w:val="18"/>
              </w:rPr>
              <w:t xml:space="preserve">021.0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1,602, 098,49</w:t>
            </w:r>
          </w:p>
          <w:p>
            <w:pPr>
              <w:pStyle w:val="Style2"/>
              <w:keepNext w:val="0"/>
              <w:keepLines w:val="0"/>
              <w:widowControl w:val="0"/>
              <w:shd w:val="clear" w:color="auto" w:fill="auto"/>
              <w:bidi w:val="0"/>
              <w:spacing w:before="0" w:after="0" w:line="36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29,984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25,934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874,34</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16,348,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22,861.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r>
      <w:tr>
        <w:trPr>
          <w:trHeight w:val="13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3" w:lineRule="exact"/>
              <w:ind w:left="0" w:right="0" w:firstLine="0"/>
              <w:jc w:val="both"/>
              <w:rPr>
                <w:sz w:val="17"/>
                <w:szCs w:val="17"/>
              </w:rPr>
            </w:pPr>
            <w:r>
              <w:rPr>
                <w:color w:val="000000"/>
                <w:spacing w:val="0"/>
                <w:w w:val="100"/>
                <w:position w:val="0"/>
                <w:sz w:val="17"/>
                <w:szCs w:val="17"/>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47,73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0,741</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587,02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8,455.</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-692,8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-1,291, </w:t>
            </w:r>
            <w:r>
              <w:rPr>
                <w:rFonts w:ascii="Times New Roman" w:eastAsia="Times New Roman" w:hAnsi="Times New Roman" w:cs="Times New Roman"/>
                <w:color w:val="000000"/>
                <w:spacing w:val="0"/>
                <w:w w:val="100"/>
                <w:position w:val="0"/>
                <w:sz w:val="18"/>
                <w:szCs w:val="18"/>
              </w:rPr>
              <w:t>552,35</w:t>
            </w:r>
          </w:p>
          <w:p>
            <w:pPr>
              <w:pStyle w:val="Style2"/>
              <w:keepNext w:val="0"/>
              <w:keepLines w:val="0"/>
              <w:widowControl w:val="0"/>
              <w:shd w:val="clear" w:color="auto" w:fill="auto"/>
              <w:bidi w:val="0"/>
              <w:spacing w:before="0" w:after="0" w:line="34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-782,7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44240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5,708,1</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-777,03</w:t>
            </w:r>
          </w:p>
          <w:p>
            <w:pPr>
              <w:pStyle w:val="Style2"/>
              <w:keepNext w:val="0"/>
              <w:keepLines w:val="0"/>
              <w:widowControl w:val="0"/>
              <w:shd w:val="clear" w:color="auto" w:fill="auto"/>
              <w:bidi w:val="0"/>
              <w:spacing w:before="0" w:after="1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6,121.6</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-692,8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-1,291, </w:t>
            </w:r>
            <w:r>
              <w:rPr>
                <w:rFonts w:ascii="Times New Roman" w:eastAsia="Times New Roman" w:hAnsi="Times New Roman" w:cs="Times New Roman"/>
                <w:color w:val="000000"/>
                <w:spacing w:val="0"/>
                <w:w w:val="100"/>
                <w:position w:val="0"/>
                <w:sz w:val="18"/>
                <w:szCs w:val="18"/>
              </w:rPr>
              <w:t>552,35</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245,23</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5,768,9</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476,302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r>
      <w:tr>
        <w:trPr>
          <w:trHeight w:val="10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（二）所有者 投入和减少资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47,73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0,741</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587,02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8,455.</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509,50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0,993.</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-60,812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509,440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,180.61</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47,73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0,741</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615,18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2,443.</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537,65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4,980.</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537,654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,980.61</w:t>
            </w:r>
          </w:p>
        </w:tc>
      </w:tr>
      <w:tr>
        <w:trPr>
          <w:trHeight w:val="104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股份支付计 入所有者权益 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-2821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4,800.</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-2821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4,800.</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r>
    </w:tbl>
    <w:p>
      <w:pPr>
        <w:widowControl w:val="0"/>
        <w:spacing w:line="1" w:lineRule="exact"/>
      </w:pPr>
      <w:r>
        <w:br w:type="page"/>
      </w:r>
    </w:p>
    <w:tbl>
      <w:tblPr>
        <w:tblOverlap w:val="never"/>
        <w:jc w:val="center"/>
        <w:tblLayout w:type="fixed"/>
      </w:tblPr>
      <w:tblGrid>
        <w:gridCol w:w="1219"/>
        <w:gridCol w:w="494"/>
        <w:gridCol w:w="446"/>
        <w:gridCol w:w="456"/>
        <w:gridCol w:w="490"/>
        <w:gridCol w:w="581"/>
        <w:gridCol w:w="576"/>
        <w:gridCol w:w="576"/>
        <w:gridCol w:w="576"/>
        <w:gridCol w:w="576"/>
        <w:gridCol w:w="576"/>
        <w:gridCol w:w="590"/>
        <w:gridCol w:w="562"/>
        <w:gridCol w:w="576"/>
        <w:gridCol w:w="638"/>
        <w:gridCol w:w="65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w:t>
            </w:r>
          </w:p>
        </w:tc>
      </w:tr>
      <w:tr>
        <w:trPr>
          <w:trHeight w:val="408" w:hRule="exact"/>
        </w:trPr>
        <w:tc>
          <w:tcPr>
            <w:vMerge/>
            <w:tcBorders>
              <w:left w:val="single" w:sz="4"/>
            </w:tcBorders>
            <w:shd w:val="clear" w:color="auto" w:fill="D4D4D4"/>
            <w:vAlign w:val="center"/>
          </w:tcPr>
          <w:p>
            <w:pPr/>
          </w:p>
        </w:tc>
        <w:tc>
          <w:tcPr>
            <w:gridSpan w:val="1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少数股</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东权益</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所有者</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权益合</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计</w:t>
            </w:r>
          </w:p>
        </w:tc>
      </w:tr>
      <w:tr>
        <w:trPr>
          <w:trHeight w:val="394"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其他</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综合</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专项</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盈余</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未分</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配利</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小计</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25"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优先 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w:t>
            </w:r>
          </w:p>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（四）所有者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24"/>
        <w:gridCol w:w="490"/>
        <w:gridCol w:w="446"/>
        <w:gridCol w:w="461"/>
        <w:gridCol w:w="485"/>
        <w:gridCol w:w="586"/>
        <w:gridCol w:w="576"/>
        <w:gridCol w:w="571"/>
        <w:gridCol w:w="576"/>
        <w:gridCol w:w="576"/>
        <w:gridCol w:w="576"/>
        <w:gridCol w:w="595"/>
        <w:gridCol w:w="557"/>
        <w:gridCol w:w="576"/>
        <w:gridCol w:w="643"/>
        <w:gridCol w:w="653"/>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w:t>
            </w:r>
          </w:p>
        </w:tc>
      </w:tr>
      <w:tr>
        <w:trPr>
          <w:trHeight w:val="408" w:hRule="exact"/>
        </w:trPr>
        <w:tc>
          <w:tcPr>
            <w:vMerge/>
            <w:tcBorders>
              <w:left w:val="single" w:sz="4"/>
            </w:tcBorders>
            <w:shd w:val="clear" w:color="auto" w:fill="D4D4D4"/>
            <w:vAlign w:val="center"/>
          </w:tcPr>
          <w:p>
            <w:pPr/>
          </w:p>
        </w:tc>
        <w:tc>
          <w:tcPr>
            <w:gridSpan w:val="1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少数股</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东权益</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所有者</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权益合</w:t>
            </w:r>
          </w:p>
          <w:p>
            <w:pPr>
              <w:pStyle w:val="Style2"/>
              <w:keepNext w:val="0"/>
              <w:keepLines w:val="0"/>
              <w:widowControl w:val="0"/>
              <w:shd w:val="clear" w:color="auto" w:fill="auto"/>
              <w:bidi w:val="0"/>
              <w:spacing w:before="0" w:after="120" w:line="240" w:lineRule="auto"/>
              <w:ind w:left="0" w:right="220" w:firstLine="0"/>
              <w:jc w:val="right"/>
              <w:rPr>
                <w:sz w:val="17"/>
                <w:szCs w:val="17"/>
              </w:rPr>
            </w:pPr>
            <w:r>
              <w:rPr>
                <w:color w:val="000000"/>
                <w:spacing w:val="0"/>
                <w:w w:val="100"/>
                <w:position w:val="0"/>
                <w:sz w:val="17"/>
                <w:szCs w:val="17"/>
              </w:rPr>
              <w:t>计</w:t>
            </w:r>
          </w:p>
        </w:tc>
      </w:tr>
      <w:tr>
        <w:trPr>
          <w:trHeight w:val="394"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其他</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综合</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专项</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盈余</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未分</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配利</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小计</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25"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优先 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5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1,187 ,584, </w:t>
            </w:r>
            <w:r>
              <w:rPr>
                <w:rFonts w:ascii="Times New Roman" w:eastAsia="Times New Roman" w:hAnsi="Times New Roman" w:cs="Times New Roman"/>
                <w:color w:val="000000"/>
                <w:spacing w:val="0"/>
                <w:w w:val="100"/>
                <w:position w:val="0"/>
                <w:sz w:val="18"/>
                <w:szCs w:val="18"/>
              </w:rPr>
              <w:t xml:space="preserve">762.0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126,95</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29,984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1,027,</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724.28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778,29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86,739.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bl>
    <w:p>
      <w:pPr>
        <w:pStyle w:val="Style33"/>
        <w:keepNext/>
        <w:keepLines/>
        <w:widowControl w:val="0"/>
        <w:shd w:val="clear" w:color="auto" w:fill="auto"/>
        <w:bidi w:val="0"/>
        <w:spacing w:before="0" w:after="420" w:line="240" w:lineRule="auto"/>
        <w:ind w:left="0" w:right="0" w:firstLine="0"/>
        <w:jc w:val="left"/>
      </w:pPr>
      <w:r>
        <mc:AlternateContent>
          <mc:Choice Requires="wps">
            <w:drawing>
              <wp:anchor distT="152400" distB="0" distL="114300" distR="5155565" simplePos="0" relativeHeight="125829445" behindDoc="0" locked="0" layoutInCell="1" allowOverlap="1">
                <wp:simplePos x="0" y="0"/>
                <wp:positionH relativeFrom="page">
                  <wp:posOffset>701675</wp:posOffset>
                </wp:positionH>
                <wp:positionV relativeFrom="margin">
                  <wp:posOffset>2597150</wp:posOffset>
                </wp:positionV>
                <wp:extent cx="1054735" cy="149225"/>
                <wp:wrapTopAndBottom/>
                <wp:docPr id="76" name="Shape 76"/>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法定代表人：胡宏伟</w:t>
                            </w:r>
                          </w:p>
                        </w:txbxContent>
                      </wps:txbx>
                      <wps:bodyPr wrap="none" lIns="0" tIns="0" rIns="0" bIns="0">
                        <a:noAutoFit/>
                      </wps:bodyPr>
                    </wps:wsp>
                  </a:graphicData>
                </a:graphic>
              </wp:anchor>
            </w:drawing>
          </mc:Choice>
          <mc:Fallback>
            <w:pict>
              <v:shape id="_x0000_s1102" type="#_x0000_t202" style="position:absolute;margin-left:55.25pt;margin-top:204.5pt;width:83.049999999999997pt;height:11.75pt;z-index:-125829308;mso-wrap-distance-left:9.pt;mso-wrap-distance-top:12.pt;mso-wrap-distance-right:405.9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法定代表人：胡宏伟</w:t>
                      </w:r>
                    </w:p>
                  </w:txbxContent>
                </v:textbox>
                <w10:wrap type="topAndBottom" anchorx="page" anchory="margin"/>
              </v:shape>
            </w:pict>
          </mc:Fallback>
        </mc:AlternateContent>
      </w:r>
      <w:r>
        <mc:AlternateContent>
          <mc:Choice Requires="wps">
            <w:drawing>
              <wp:anchor distT="152400" distB="3175" distL="2299970" distR="2515870" simplePos="0" relativeHeight="125829447" behindDoc="0" locked="0" layoutInCell="1" allowOverlap="1">
                <wp:simplePos x="0" y="0"/>
                <wp:positionH relativeFrom="page">
                  <wp:posOffset>2887345</wp:posOffset>
                </wp:positionH>
                <wp:positionV relativeFrom="margin">
                  <wp:posOffset>2597150</wp:posOffset>
                </wp:positionV>
                <wp:extent cx="1508760" cy="146050"/>
                <wp:wrapTopAndBottom/>
                <wp:docPr id="78" name="Shape 78"/>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主管会计工作负责人：陈丽娜</w:t>
                            </w:r>
                          </w:p>
                        </w:txbxContent>
                      </wps:txbx>
                      <wps:bodyPr wrap="none" lIns="0" tIns="0" rIns="0" bIns="0">
                        <a:noAutoFit/>
                      </wps:bodyPr>
                    </wps:wsp>
                  </a:graphicData>
                </a:graphic>
              </wp:anchor>
            </w:drawing>
          </mc:Choice>
          <mc:Fallback>
            <w:pict>
              <v:shape id="_x0000_s1104" type="#_x0000_t202" style="position:absolute;margin-left:227.34999999999999pt;margin-top:204.5pt;width:118.8pt;height:11.5pt;z-index:-125829306;mso-wrap-distance-left:181.09999999999999pt;mso-wrap-distance-top:12.pt;mso-wrap-distance-right:198.09999999999999pt;mso-wrap-distance-bottom:0.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主管会计工作负责人：陈丽娜</w:t>
                      </w:r>
                    </w:p>
                  </w:txbxContent>
                </v:textbox>
                <w10:wrap type="topAndBottom" anchorx="page" anchory="margin"/>
              </v:shape>
            </w:pict>
          </mc:Fallback>
        </mc:AlternateContent>
      </w:r>
      <w:r>
        <mc:AlternateContent>
          <mc:Choice Requires="wps">
            <w:drawing>
              <wp:anchor distT="152400" distB="0" distL="4923790" distR="114300" simplePos="0" relativeHeight="125829449" behindDoc="0" locked="0" layoutInCell="1" allowOverlap="1">
                <wp:simplePos x="0" y="0"/>
                <wp:positionH relativeFrom="page">
                  <wp:posOffset>5511165</wp:posOffset>
                </wp:positionH>
                <wp:positionV relativeFrom="margin">
                  <wp:posOffset>2597150</wp:posOffset>
                </wp:positionV>
                <wp:extent cx="1286510" cy="149225"/>
                <wp:wrapTopAndBottom/>
                <wp:docPr id="80" name="Shape 8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会计机构负责人：张望喜</w:t>
                            </w:r>
                          </w:p>
                        </w:txbxContent>
                      </wps:txbx>
                      <wps:bodyPr wrap="none" lIns="0" tIns="0" rIns="0" bIns="0">
                        <a:noAutoFit/>
                      </wps:bodyPr>
                    </wps:wsp>
                  </a:graphicData>
                </a:graphic>
              </wp:anchor>
            </w:drawing>
          </mc:Choice>
          <mc:Fallback>
            <w:pict>
              <v:shape id="_x0000_s1106" type="#_x0000_t202" style="position:absolute;margin-left:433.94999999999999pt;margin-top:204.5pt;width:101.3pt;height:11.75pt;z-index:-125829304;mso-wrap-distance-left:387.69999999999999pt;mso-wrap-distance-top:12.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会计机构负责人：张望喜</w:t>
                      </w:r>
                    </w:p>
                  </w:txbxContent>
                </v:textbox>
                <w10:wrap type="topAndBottom" anchorx="page" anchory="margin"/>
              </v:shape>
            </w:pict>
          </mc:Fallback>
        </mc:AlternateContent>
      </w:r>
      <w:bookmarkStart w:id="769" w:name="bookmark769"/>
      <w:bookmarkStart w:id="770" w:name="bookmark770"/>
      <w:bookmarkStart w:id="771" w:name="bookmark771"/>
      <w:bookmarkStart w:id="772" w:name="bookmark772"/>
      <w:r>
        <w:rPr>
          <w:rFonts w:ascii="Times New Roman" w:eastAsia="Times New Roman" w:hAnsi="Times New Roman" w:cs="Times New Roman"/>
          <w:color w:val="000000"/>
          <w:spacing w:val="0"/>
          <w:w w:val="100"/>
          <w:position w:val="0"/>
        </w:rPr>
        <w:t>8</w:t>
      </w:r>
      <w:bookmarkEnd w:id="771"/>
      <w:r>
        <w:rPr>
          <w:color w:val="000000"/>
          <w:spacing w:val="0"/>
          <w:w w:val="100"/>
          <w:position w:val="0"/>
        </w:rPr>
        <w:t>、母公司所有者权益变动表</w:t>
      </w:r>
      <w:bookmarkEnd w:id="769"/>
      <w:bookmarkEnd w:id="770"/>
      <w:bookmarkEnd w:id="772"/>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20"/>
        <w:gridCol w:w="1104"/>
        <w:gridCol w:w="418"/>
        <w:gridCol w:w="432"/>
        <w:gridCol w:w="485"/>
        <w:gridCol w:w="730"/>
        <w:gridCol w:w="720"/>
        <w:gridCol w:w="734"/>
        <w:gridCol w:w="720"/>
        <w:gridCol w:w="734"/>
        <w:gridCol w:w="610"/>
        <w:gridCol w:w="710"/>
        <w:gridCol w:w="874"/>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r>
      <w:tr>
        <w:trPr>
          <w:trHeight w:val="408"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专项储 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盈余公 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未分配 利润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所有者权 益合计</w:t>
            </w:r>
          </w:p>
        </w:tc>
      </w:tr>
      <w:tr>
        <w:trPr>
          <w:trHeight w:val="706"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优先 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1,187,584,762</w:t>
            </w:r>
          </w:p>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2,319,37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7,891.68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29,9842</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-2,082, </w:t>
            </w:r>
            <w:r>
              <w:rPr>
                <w:rFonts w:ascii="Times New Roman" w:eastAsia="Times New Roman" w:hAnsi="Times New Roman" w:cs="Times New Roman"/>
                <w:color w:val="000000"/>
                <w:spacing w:val="0"/>
                <w:w w:val="100"/>
                <w:position w:val="0"/>
                <w:sz w:val="18"/>
                <w:szCs w:val="18"/>
              </w:rPr>
              <w:t xml:space="preserve">415,92 </w:t>
            </w:r>
            <w:r>
              <w:rPr>
                <w:rFonts w:ascii="Times New Roman" w:eastAsia="Times New Roman" w:hAnsi="Times New Roman" w:cs="Times New Roman"/>
                <w:color w:val="000000"/>
                <w:spacing w:val="0"/>
                <w:w w:val="100"/>
                <w:position w:val="0"/>
                <w:sz w:val="18"/>
                <w:szCs w:val="18"/>
              </w:rPr>
              <w:t>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1,547,079,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215.76</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jc w:val="both"/>
              <w:rPr>
                <w:sz w:val="17"/>
                <w:szCs w:val="17"/>
              </w:rPr>
            </w:pPr>
            <w:r>
              <w:rPr>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9"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-7,538, 706.65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-7,538,706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60"/>
              <w:jc w:val="both"/>
              <w:rPr>
                <w:sz w:val="17"/>
                <w:szCs w:val="17"/>
              </w:rPr>
            </w:pPr>
            <w:r>
              <w:rPr>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1,187,584,762</w:t>
            </w:r>
          </w:p>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2,319,37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7,891.68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29,9842</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-2,089, </w:t>
            </w:r>
            <w:r>
              <w:rPr>
                <w:rFonts w:ascii="Times New Roman" w:eastAsia="Times New Roman" w:hAnsi="Times New Roman" w:cs="Times New Roman"/>
                <w:color w:val="000000"/>
                <w:spacing w:val="0"/>
                <w:w w:val="100"/>
                <w:position w:val="0"/>
                <w:sz w:val="18"/>
                <w:szCs w:val="18"/>
              </w:rPr>
              <w:t xml:space="preserve">954,62 </w:t>
            </w:r>
            <w:r>
              <w:rPr>
                <w:rFonts w:ascii="Times New Roman" w:eastAsia="Times New Roman" w:hAnsi="Times New Roman" w:cs="Times New Roman"/>
                <w:color w:val="000000"/>
                <w:spacing w:val="0"/>
                <w:w w:val="100"/>
                <w:position w:val="0"/>
                <w:sz w:val="18"/>
                <w:szCs w:val="18"/>
              </w:rPr>
              <w:t>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1,539,540,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509.11</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349,47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5,459.9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349,475,4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59.93</w:t>
            </w:r>
          </w:p>
        </w:tc>
      </w:tr>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349,47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5,459.9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349,475,4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59.93</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（二）所有者投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20"/>
        <w:gridCol w:w="1104"/>
        <w:gridCol w:w="418"/>
        <w:gridCol w:w="432"/>
        <w:gridCol w:w="485"/>
        <w:gridCol w:w="730"/>
        <w:gridCol w:w="720"/>
        <w:gridCol w:w="734"/>
        <w:gridCol w:w="720"/>
        <w:gridCol w:w="734"/>
        <w:gridCol w:w="610"/>
        <w:gridCol w:w="710"/>
        <w:gridCol w:w="874"/>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r>
      <w:tr>
        <w:trPr>
          <w:trHeight w:val="408"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专项储 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盈余公 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未分配 利润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所有者权 益合计</w:t>
            </w:r>
          </w:p>
        </w:tc>
      </w:tr>
      <w:tr>
        <w:trPr>
          <w:trHeight w:val="706"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优先 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37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20"/>
        <w:gridCol w:w="1104"/>
        <w:gridCol w:w="418"/>
        <w:gridCol w:w="432"/>
        <w:gridCol w:w="485"/>
        <w:gridCol w:w="730"/>
        <w:gridCol w:w="720"/>
        <w:gridCol w:w="734"/>
        <w:gridCol w:w="720"/>
        <w:gridCol w:w="734"/>
        <w:gridCol w:w="610"/>
        <w:gridCol w:w="710"/>
        <w:gridCol w:w="874"/>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r>
      <w:tr>
        <w:trPr>
          <w:trHeight w:val="408"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专项储 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盈余公 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未分配 利润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所有者权 益合计</w:t>
            </w:r>
          </w:p>
        </w:tc>
      </w:tr>
      <w:tr>
        <w:trPr>
          <w:trHeight w:val="706"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优先 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1,187,584,762</w:t>
            </w:r>
          </w:p>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2,319,37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7,891.68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29,9842</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65.25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479,16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1,889,015,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969.04</w:t>
            </w: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上期金额</w:t>
      </w:r>
    </w:p>
    <w:p>
      <w:pPr>
        <w:widowControl w:val="0"/>
        <w:spacing w:after="139" w:line="1" w:lineRule="exact"/>
      </w:pP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48"/>
        <w:gridCol w:w="586"/>
        <w:gridCol w:w="576"/>
        <w:gridCol w:w="566"/>
        <w:gridCol w:w="576"/>
        <w:gridCol w:w="686"/>
        <w:gridCol w:w="682"/>
        <w:gridCol w:w="686"/>
        <w:gridCol w:w="792"/>
        <w:gridCol w:w="662"/>
        <w:gridCol w:w="792"/>
        <w:gridCol w:w="806"/>
        <w:gridCol w:w="931"/>
      </w:tblGrid>
      <w:tr>
        <w:trPr>
          <w:trHeight w:val="41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w:t>
            </w:r>
          </w:p>
        </w:tc>
      </w:tr>
      <w:tr>
        <w:trPr>
          <w:trHeight w:val="398"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盈余公 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未分配利 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36" w:lineRule="exact"/>
              <w:ind w:left="0" w:right="0" w:firstLine="0"/>
              <w:jc w:val="center"/>
              <w:rPr>
                <w:sz w:val="17"/>
                <w:szCs w:val="17"/>
              </w:rPr>
            </w:pPr>
            <w:r>
              <w:rPr>
                <w:color w:val="000000"/>
                <w:spacing w:val="0"/>
                <w:w w:val="100"/>
                <w:position w:val="0"/>
                <w:sz w:val="17"/>
                <w:szCs w:val="17"/>
              </w:rPr>
              <w:t>所有者权 益合计</w:t>
            </w:r>
          </w:p>
        </w:tc>
      </w:tr>
      <w:tr>
        <w:trPr>
          <w:trHeight w:val="72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优先 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1,139, 854,02</w:t>
            </w:r>
          </w:p>
          <w:p>
            <w:pPr>
              <w:pStyle w:val="Style2"/>
              <w:keepNext w:val="0"/>
              <w:keepLines w:val="0"/>
              <w:widowControl w:val="0"/>
              <w:shd w:val="clear" w:color="auto" w:fill="auto"/>
              <w:bidi w:val="0"/>
              <w:spacing w:before="0" w:after="0" w:line="34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125,25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8,203.</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1,732,4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10248.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29,984,2</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150,153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-318,208,</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249.07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2,801,846,7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08.65</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420"/>
              <w:jc w:val="both"/>
              <w:rPr>
                <w:sz w:val="17"/>
                <w:szCs w:val="17"/>
              </w:rPr>
            </w:pPr>
            <w:r>
              <w:rPr>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-528,485,</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232.04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-528,485,23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60"/>
              <w:jc w:val="left"/>
              <w:rPr>
                <w:sz w:val="17"/>
                <w:szCs w:val="17"/>
              </w:rPr>
            </w:pPr>
            <w:r>
              <w:rPr>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854,02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125,25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8,203.</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1,732,4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10248.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29,984,2</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150,153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-846,693,</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481.11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2,273,361,4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76.61</w:t>
            </w:r>
          </w:p>
        </w:tc>
      </w:tr>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4" w:lineRule="exact"/>
              <w:ind w:left="0" w:right="0" w:firstLine="0"/>
              <w:jc w:val="both"/>
              <w:rPr>
                <w:sz w:val="17"/>
                <w:szCs w:val="17"/>
              </w:rPr>
            </w:pPr>
            <w:r>
              <w:rPr>
                <w:color w:val="000000"/>
                <w:spacing w:val="0"/>
                <w:w w:val="100"/>
                <w:position w:val="0"/>
                <w:sz w:val="17"/>
                <w:szCs w:val="17"/>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47,730 </w:t>
            </w:r>
            <w:r>
              <w:rPr>
                <w:rFonts w:ascii="Times New Roman" w:eastAsia="Times New Roman" w:hAnsi="Times New Roman" w:cs="Times New Roman"/>
                <w:color w:val="000000"/>
                <w:spacing w:val="0"/>
                <w:w w:val="100"/>
                <w:position w:val="0"/>
                <w:sz w:val="18"/>
                <w:szCs w:val="18"/>
              </w:rPr>
              <w:t xml:space="preserve">,741.0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58203</w:t>
            </w:r>
          </w:p>
          <w:p>
            <w:pPr>
              <w:pStyle w:val="Style2"/>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586,967 </w:t>
            </w:r>
            <w:r>
              <w:rPr>
                <w:rFonts w:ascii="Times New Roman" w:eastAsia="Times New Roman" w:hAnsi="Times New Roman" w:cs="Times New Roman"/>
                <w:color w:val="000000"/>
                <w:spacing w:val="0"/>
                <w:w w:val="100"/>
                <w:position w:val="0"/>
                <w:sz w:val="18"/>
                <w:szCs w:val="18"/>
              </w:rPr>
              <w:t>,643.23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-1,235,72</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2,441.46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-726,282,26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-1,235,72</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2,441.46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-1,235,722,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441.46</w:t>
            </w:r>
          </w:p>
        </w:tc>
      </w:tr>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47,730 </w:t>
            </w:r>
            <w:r>
              <w:rPr>
                <w:rFonts w:ascii="Times New Roman" w:eastAsia="Times New Roman" w:hAnsi="Times New Roman" w:cs="Times New Roman"/>
                <w:color w:val="000000"/>
                <w:spacing w:val="0"/>
                <w:w w:val="100"/>
                <w:position w:val="0"/>
                <w:sz w:val="18"/>
                <w:szCs w:val="18"/>
              </w:rPr>
              <w:t xml:space="preserve">,741.0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58203</w:t>
            </w:r>
          </w:p>
          <w:p>
            <w:pPr>
              <w:pStyle w:val="Style2"/>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586,967 </w:t>
            </w:r>
            <w:r>
              <w:rPr>
                <w:rFonts w:ascii="Times New Roman" w:eastAsia="Times New Roman" w:hAnsi="Times New Roman" w:cs="Times New Roman"/>
                <w:color w:val="000000"/>
                <w:spacing w:val="0"/>
                <w:w w:val="100"/>
                <w:position w:val="0"/>
                <w:sz w:val="18"/>
                <w:szCs w:val="18"/>
              </w:rPr>
              <w:t>,643.23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509,440,18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47,730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615,182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537,654,98</w:t>
            </w:r>
          </w:p>
        </w:tc>
      </w:tr>
    </w:tbl>
    <w:p>
      <w:pPr>
        <w:widowControl w:val="0"/>
        <w:spacing w:line="1" w:lineRule="exact"/>
      </w:pPr>
      <w:r>
        <w:br w:type="page"/>
      </w:r>
    </w:p>
    <w:tbl>
      <w:tblPr>
        <w:tblOverlap w:val="never"/>
        <w:jc w:val="center"/>
        <w:tblLayout w:type="fixed"/>
      </w:tblPr>
      <w:tblGrid>
        <w:gridCol w:w="1248"/>
        <w:gridCol w:w="586"/>
        <w:gridCol w:w="576"/>
        <w:gridCol w:w="566"/>
        <w:gridCol w:w="576"/>
        <w:gridCol w:w="686"/>
        <w:gridCol w:w="682"/>
        <w:gridCol w:w="686"/>
        <w:gridCol w:w="792"/>
        <w:gridCol w:w="662"/>
        <w:gridCol w:w="792"/>
        <w:gridCol w:w="806"/>
        <w:gridCol w:w="931"/>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w:t>
            </w:r>
          </w:p>
        </w:tc>
      </w:tr>
      <w:tr>
        <w:trPr>
          <w:trHeight w:val="408"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盈余公 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未分配利 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所有者权 益合计</w:t>
            </w:r>
          </w:p>
        </w:tc>
      </w:tr>
      <w:tr>
        <w:trPr>
          <w:trHeight w:val="706"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优先 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68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具持有者投入 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,741.0</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-28214,800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2,319,3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29,9842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150,153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1,547,079,2</w:t>
            </w:r>
          </w:p>
        </w:tc>
      </w:tr>
    </w:tbl>
    <w:p>
      <w:pPr>
        <w:widowControl w:val="0"/>
        <w:spacing w:line="1" w:lineRule="exact"/>
      </w:pPr>
    </w:p>
    <w:tbl>
      <w:tblPr>
        <w:tblOverlap w:val="never"/>
        <w:jc w:val="center"/>
        <w:tblLayout w:type="fixed"/>
      </w:tblPr>
      <w:tblGrid>
        <w:gridCol w:w="1253"/>
        <w:gridCol w:w="586"/>
        <w:gridCol w:w="571"/>
        <w:gridCol w:w="566"/>
        <w:gridCol w:w="576"/>
        <w:gridCol w:w="686"/>
        <w:gridCol w:w="686"/>
        <w:gridCol w:w="682"/>
        <w:gridCol w:w="792"/>
        <w:gridCol w:w="662"/>
        <w:gridCol w:w="792"/>
        <w:gridCol w:w="806"/>
        <w:gridCol w:w="931"/>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w:t>
            </w:r>
          </w:p>
        </w:tc>
      </w:tr>
      <w:tr>
        <w:trPr>
          <w:trHeight w:val="408"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盈余公 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未分配利 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所有者权 益合计</w:t>
            </w:r>
          </w:p>
        </w:tc>
      </w:tr>
      <w:tr>
        <w:trPr>
          <w:trHeight w:val="706"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优先 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682" w:hRule="exact"/>
        </w:trPr>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584,76</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65.25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5,922.57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w:t>
            </w:r>
          </w:p>
        </w:tc>
      </w:tr>
    </w:tbl>
    <w:p>
      <w:pPr>
        <w:pStyle w:val="Style26"/>
        <w:keepNext w:val="0"/>
        <w:keepLines w:val="0"/>
        <w:widowControl w:val="0"/>
        <w:shd w:val="clear" w:color="auto" w:fill="auto"/>
        <w:tabs>
          <w:tab w:pos="3437" w:val="left"/>
          <w:tab w:pos="7560" w:val="left"/>
        </w:tabs>
        <w:bidi w:val="0"/>
        <w:spacing w:before="0" w:after="0" w:line="240" w:lineRule="auto"/>
        <w:ind w:left="0" w:right="0" w:firstLine="0"/>
        <w:jc w:val="left"/>
        <w:rPr>
          <w:sz w:val="17"/>
          <w:szCs w:val="17"/>
        </w:rPr>
      </w:pPr>
      <w:bookmarkStart w:id="773" w:name="bookmark773"/>
      <w:r>
        <w:rPr>
          <w:rFonts w:ascii="SimSun" w:eastAsia="SimSun" w:hAnsi="SimSun" w:cs="SimSun"/>
          <w:color w:val="000000"/>
          <w:spacing w:val="0"/>
          <w:w w:val="100"/>
          <w:position w:val="0"/>
          <w:sz w:val="17"/>
          <w:szCs w:val="17"/>
        </w:rPr>
        <w:t>法定代表人：胡宏伟</w:t>
        <w:tab/>
        <w:t>主管会计工作负责人：陈丽娜</w:t>
        <w:tab/>
        <w:t>会计机构负责人：张望喜</w:t>
      </w:r>
      <w:bookmarkEnd w:id="773"/>
    </w:p>
    <w:p>
      <w:pPr>
        <w:widowControl w:val="0"/>
        <w:spacing w:after="919" w:line="1" w:lineRule="exact"/>
      </w:pP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万达信息股份有限公司（以下简称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）前身系上海万达信息系统有限公司，</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日经上海市人民政府以沪府体改审（</w:t>
      </w:r>
      <w:r>
        <w:rPr>
          <w:rFonts w:ascii="Times New Roman" w:eastAsia="Times New Roman" w:hAnsi="Times New Roman" w:cs="Times New Roman"/>
          <w:color w:val="000000"/>
          <w:spacing w:val="0"/>
          <w:w w:val="100"/>
          <w:position w:val="0"/>
        </w:rPr>
        <w:t>1998</w:t>
      </w:r>
      <w:r>
        <w:rPr>
          <w:color w:val="000000"/>
          <w:spacing w:val="0"/>
          <w:w w:val="100"/>
          <w:position w:val="0"/>
        </w:rPr>
        <w:t>）</w:t>
      </w:r>
      <w:r>
        <w:rPr>
          <w:rFonts w:ascii="Times New Roman" w:eastAsia="Times New Roman" w:hAnsi="Times New Roman" w:cs="Times New Roman"/>
          <w:color w:val="000000"/>
          <w:spacing w:val="0"/>
          <w:w w:val="100"/>
          <w:position w:val="0"/>
        </w:rPr>
        <w:t>073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关于同意设立上海万达信息股份有限公司的批复</w:t>
      </w:r>
      <w:r>
        <w:rPr>
          <w:rFonts w:ascii="Times New Roman" w:eastAsia="Times New Roman" w:hAnsi="Times New Roman" w:cs="Times New Roman"/>
          <w:color w:val="000000"/>
          <w:spacing w:val="0"/>
          <w:w w:val="100"/>
          <w:position w:val="0"/>
        </w:rPr>
        <w:t xml:space="preserve">” </w:t>
      </w:r>
      <w:r>
        <w:rPr>
          <w:color w:val="000000"/>
          <w:spacing w:val="0"/>
          <w:w w:val="100"/>
          <w:position w:val="0"/>
        </w:rPr>
        <w:t>批准，公司转制成为上海万达信息股份有限公司。公司统一社会信用代码：</w:t>
      </w:r>
      <w:r>
        <w:rPr>
          <w:rFonts w:ascii="Times New Roman" w:eastAsia="Times New Roman" w:hAnsi="Times New Roman" w:cs="Times New Roman"/>
          <w:color w:val="000000"/>
          <w:spacing w:val="0"/>
          <w:w w:val="100"/>
          <w:position w:val="0"/>
        </w:rPr>
        <w:t>91310000132653687M</w:t>
      </w:r>
      <w:r>
        <w:rPr>
          <w:color w:val="000000"/>
          <w:spacing w:val="0"/>
          <w:w w:val="100"/>
          <w:position w:val="0"/>
        </w:rPr>
        <w:t>。</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月在深圳证券交易所上市。所属行业为信息服务业类。</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日止，本公司累计发行股本总数</w:t>
      </w:r>
      <w:r>
        <w:rPr>
          <w:rFonts w:ascii="Times New Roman" w:eastAsia="Times New Roman" w:hAnsi="Times New Roman" w:cs="Times New Roman"/>
          <w:color w:val="000000"/>
          <w:spacing w:val="0"/>
          <w:w w:val="100"/>
          <w:position w:val="0"/>
        </w:rPr>
        <w:t>1,187,584,762.00</w:t>
      </w:r>
      <w:r>
        <w:rPr>
          <w:color w:val="000000"/>
          <w:spacing w:val="0"/>
          <w:w w:val="100"/>
          <w:position w:val="0"/>
        </w:rPr>
        <w:t>股，注册地：上海市桂平路</w:t>
      </w:r>
      <w:r>
        <w:rPr>
          <w:rFonts w:ascii="Times New Roman" w:eastAsia="Times New Roman" w:hAnsi="Times New Roman" w:cs="Times New Roman"/>
          <w:color w:val="000000"/>
          <w:spacing w:val="0"/>
          <w:w w:val="100"/>
          <w:position w:val="0"/>
        </w:rPr>
        <w:t>481</w:t>
      </w:r>
      <w:r>
        <w:rPr>
          <w:color w:val="000000"/>
          <w:spacing w:val="0"/>
          <w:w w:val="100"/>
          <w:position w:val="0"/>
        </w:rPr>
        <w:t xml:space="preserve">号 </w:t>
      </w:r>
      <w:r>
        <w:rPr>
          <w:rFonts w:ascii="Times New Roman" w:eastAsia="Times New Roman" w:hAnsi="Times New Roman" w:cs="Times New Roman"/>
          <w:color w:val="000000"/>
          <w:spacing w:val="0"/>
          <w:w w:val="100"/>
          <w:position w:val="0"/>
        </w:rPr>
        <w:t>20</w:t>
      </w:r>
      <w:r>
        <w:rPr>
          <w:color w:val="000000"/>
          <w:spacing w:val="0"/>
          <w:w w:val="100"/>
          <w:position w:val="0"/>
        </w:rPr>
        <w:t>号楼</w:t>
      </w:r>
      <w:r>
        <w:rPr>
          <w:rFonts w:ascii="Times New Roman" w:eastAsia="Times New Roman" w:hAnsi="Times New Roman" w:cs="Times New Roman"/>
          <w:color w:val="000000"/>
          <w:spacing w:val="0"/>
          <w:w w:val="100"/>
          <w:position w:val="0"/>
        </w:rPr>
        <w:t>5</w:t>
      </w:r>
      <w:r>
        <w:rPr>
          <w:color w:val="000000"/>
          <w:spacing w:val="0"/>
          <w:w w:val="100"/>
          <w:position w:val="0"/>
        </w:rPr>
        <w:t>层，总部地址：上海市闵行区联航路</w:t>
      </w:r>
      <w:r>
        <w:rPr>
          <w:rFonts w:ascii="Times New Roman" w:eastAsia="Times New Roman" w:hAnsi="Times New Roman" w:cs="Times New Roman"/>
          <w:color w:val="000000"/>
          <w:spacing w:val="0"/>
          <w:w w:val="100"/>
          <w:position w:val="0"/>
        </w:rPr>
        <w:t>1518</w:t>
      </w:r>
      <w:r>
        <w:rPr>
          <w:color w:val="000000"/>
          <w:spacing w:val="0"/>
          <w:w w:val="100"/>
          <w:position w:val="0"/>
        </w:rPr>
        <w:t>号。本公司经营范围为：一般项目：从事计算机科技、 计算机网络科技专业领域内的技术开发、技术转让、技术咨询、技术服务、技术交流、技术推广；软件开 发；网络与信息安全软件开发；安防设备销售；健康咨询服务（不含诊疗服务）；机械设备销售；信息咨 询服务（不含许可类信息咨询服务）；卫生用品和一次性使用医疗用品销售；专业设计服务；云计算装备 技术服务；计算机软硬件及辅助设备零售；办公用品销售；票务代理服务；互联网数据服务；日用百货销 售；电力电子元器件销售；人力资源服务（不含职业中介活动、劳务派遣服务）；信息安全设备销售；广 告制作；广告设计、代理；通讯设备销售；数字文化创意软件开发；广告发布（非广播电台、电视台、报 刊出版单位）；数字内容制作服务（不含出版发行）；电器机械设备销售；化妆品批发；远程健康管理服 务；信息系统集成服务；电子产品销售；化妆品零售；会议及展览服务；厨具卫具及日用杂品批发；计算 机软硬件及辅助设备批发；机械设备租赁；厨具卫具及日用杂品零售；体育用品及器材批发；体育用品及 器材零售；家用电器销售；家居用品销售；工艺美术品及礼仪用品销售（象牙及其制品除外）；互联网销 售（除销售需要许可的商品）；食用农产品批发；食用农产品零售；第一类医疗器械销售；第二类医疗器 械销售。（除依法须经批准的项目外，凭营业执照依法自主开展经营活动）许可项目：互联网信息服务； 第二类增值电信业务；药品互联网信息服务；建筑智能化系统设计；建设工程设计；建筑智能化工程施工； 各类工程建设活动；第一类增值电信业务；检验检测服务；医疗服务；旅游业务；货物进出口；技术进出 口；信息网络传播视听节目；网络文化经营；第三类医疗器械经营；食品经营；保健食品销售；药品零售。</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（依法须经批准的项目，经相关部门批准后方可开展经营活动，具体经营项目以相关部门批准文件或许可 证件为准）截至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日，本公司无控股股东、无实际控制人。</w:t>
      </w:r>
    </w:p>
    <w:p>
      <w:pPr>
        <w:pStyle w:val="Style18"/>
        <w:keepNext w:val="0"/>
        <w:keepLines w:val="0"/>
        <w:widowControl w:val="0"/>
        <w:shd w:val="clear" w:color="auto" w:fill="auto"/>
        <w:bidi w:val="0"/>
        <w:spacing w:before="0" w:after="260" w:line="312" w:lineRule="exact"/>
        <w:ind w:left="0" w:right="0" w:firstLine="440"/>
        <w:jc w:val="left"/>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日批准报出。</w:t>
      </w:r>
    </w:p>
    <w:p>
      <w:pPr>
        <w:pStyle w:val="Style18"/>
        <w:keepNext w:val="0"/>
        <w:keepLines w:val="0"/>
        <w:widowControl w:val="0"/>
        <w:shd w:val="clear" w:color="auto" w:fill="auto"/>
        <w:bidi w:val="0"/>
        <w:spacing w:before="0" w:after="0" w:line="342"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日止，本公司合并财务报表范围内子公司如下：</w:t>
      </w:r>
    </w:p>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42" w:lineRule="exact"/>
        <w:ind w:left="0" w:right="0" w:firstLine="4320"/>
        <w:jc w:val="both"/>
      </w:pPr>
      <w:r>
        <w:rPr>
          <w:color w:val="000000"/>
          <w:spacing w:val="0"/>
          <w:w w:val="100"/>
          <w:position w:val="0"/>
        </w:rPr>
        <w:t>子公司名称 宁波万达信息系统有限公司 杭州万达信息系统有限公司</w:t>
      </w:r>
    </w:p>
    <w:p>
      <w:pPr>
        <w:pStyle w:val="Style7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left"/>
      </w:pPr>
      <w:r>
        <w:rPr>
          <w:color w:val="000000"/>
          <w:spacing w:val="0"/>
          <w:w w:val="100"/>
          <w:position w:val="0"/>
        </w:rPr>
        <w:t>Wonders Info Corp.</w:t>
      </w:r>
      <w:r>
        <w:rPr>
          <w:rFonts w:ascii="SimSun" w:eastAsia="SimSun" w:hAnsi="SimSun" w:cs="SimSun"/>
          <w:color w:val="000000"/>
          <w:spacing w:val="0"/>
          <w:w w:val="100"/>
          <w:position w:val="0"/>
        </w:rPr>
        <w:t>美国万达信息有限公司</w:t>
      </w:r>
    </w:p>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342" w:lineRule="exact"/>
        <w:ind w:left="0" w:right="0" w:firstLine="0"/>
        <w:jc w:val="left"/>
      </w:pPr>
      <w:r>
        <w:rPr>
          <w:color w:val="000000"/>
          <w:spacing w:val="0"/>
          <w:w w:val="100"/>
          <w:position w:val="0"/>
        </w:rPr>
        <w:t>上海万达信息系统有限公司 上海褒发信息科技有限公司</w:t>
      </w:r>
      <w:r>
        <w:br w:type="page"/>
      </w:r>
    </w:p>
    <w:tbl>
      <w:tblPr>
        <w:tblOverlap w:val="never"/>
        <w:jc w:val="center"/>
        <w:tblLayout w:type="fixed"/>
      </w:tblPr>
      <w:tblGrid>
        <w:gridCol w:w="9686"/>
      </w:tblGrid>
      <w:tr>
        <w:trPr>
          <w:trHeight w:val="341"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r>
      <w:tr>
        <w:trPr>
          <w:trHeight w:val="350"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深圳市万达信息有限公司</w:t>
            </w:r>
          </w:p>
        </w:tc>
      </w:tr>
      <w:tr>
        <w:trPr>
          <w:trHeight w:val="33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上海爱递吉供应链管理服务有限公司</w:t>
            </w:r>
          </w:p>
        </w:tc>
      </w:tr>
      <w:tr>
        <w:trPr>
          <w:trHeight w:val="34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上海万达信息服务有限公司</w:t>
            </w:r>
          </w:p>
        </w:tc>
      </w:tr>
      <w:tr>
        <w:trPr>
          <w:trHeight w:val="33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上海卫生信息工程技术研究中心有限公司</w:t>
            </w:r>
          </w:p>
        </w:tc>
      </w:tr>
      <w:tr>
        <w:trPr>
          <w:trHeight w:val="350"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天津万达信息技术有限责任公司</w:t>
            </w:r>
          </w:p>
        </w:tc>
      </w:tr>
      <w:tr>
        <w:trPr>
          <w:trHeight w:val="33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上海格言管理有限公司</w:t>
            </w:r>
          </w:p>
        </w:tc>
      </w:tr>
      <w:tr>
        <w:trPr>
          <w:trHeight w:val="350"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四川浩特通信有限公司</w:t>
            </w:r>
          </w:p>
        </w:tc>
      </w:tr>
      <w:tr>
        <w:trPr>
          <w:trHeight w:val="33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四川万达智能安防数据有限公司</w:t>
            </w:r>
          </w:p>
        </w:tc>
      </w:tr>
      <w:tr>
        <w:trPr>
          <w:trHeight w:val="34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上海华奕医疗信息技术有限公司</w:t>
            </w:r>
          </w:p>
        </w:tc>
      </w:tr>
      <w:tr>
        <w:trPr>
          <w:trHeight w:val="33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宁波金唐软件有限公司</w:t>
            </w:r>
          </w:p>
        </w:tc>
      </w:tr>
      <w:tr>
        <w:trPr>
          <w:trHeight w:val="350"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杭州莱域科技有限公司</w:t>
            </w:r>
          </w:p>
        </w:tc>
      </w:tr>
      <w:tr>
        <w:trPr>
          <w:trHeight w:val="33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上海复高计算机科技有限公司</w:t>
            </w:r>
          </w:p>
        </w:tc>
      </w:tr>
      <w:tr>
        <w:trPr>
          <w:trHeight w:val="34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上海易可思信息技术有限公司</w:t>
            </w:r>
          </w:p>
        </w:tc>
      </w:tr>
      <w:tr>
        <w:trPr>
          <w:trHeight w:val="33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上海格金信息技术有限公司</w:t>
            </w:r>
          </w:p>
        </w:tc>
      </w:tr>
      <w:tr>
        <w:trPr>
          <w:trHeight w:val="350"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克拉玛依市复高计算机科技有限公司</w:t>
            </w:r>
          </w:p>
        </w:tc>
      </w:tr>
      <w:tr>
        <w:trPr>
          <w:trHeight w:val="33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湖南凯歌医疗信息技术有限公司</w:t>
            </w:r>
          </w:p>
        </w:tc>
      </w:tr>
      <w:tr>
        <w:trPr>
          <w:trHeight w:val="350"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上海市民信箱信息服务有限公司</w:t>
            </w:r>
          </w:p>
        </w:tc>
      </w:tr>
      <w:tr>
        <w:trPr>
          <w:trHeight w:val="33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湖南万达智慧城市信息技术有限公司</w:t>
            </w:r>
          </w:p>
        </w:tc>
      </w:tr>
      <w:tr>
        <w:trPr>
          <w:trHeight w:val="34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永州潇湘云技术有限公司</w:t>
            </w:r>
          </w:p>
        </w:tc>
      </w:tr>
      <w:tr>
        <w:trPr>
          <w:trHeight w:val="341"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万达云医疗科技健康产业（上海）有限公司</w:t>
            </w:r>
          </w:p>
        </w:tc>
      </w:tr>
      <w:tr>
        <w:trPr>
          <w:trHeight w:val="34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四川万达智城云数据有限公司</w:t>
            </w:r>
          </w:p>
        </w:tc>
      </w:tr>
      <w:tr>
        <w:trPr>
          <w:trHeight w:val="33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四川万达健康数据有限公司</w:t>
            </w:r>
          </w:p>
        </w:tc>
      </w:tr>
      <w:tr>
        <w:trPr>
          <w:trHeight w:val="34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宁波市万达数据应用服务有限公司</w:t>
            </w:r>
          </w:p>
        </w:tc>
      </w:tr>
      <w:tr>
        <w:trPr>
          <w:trHeight w:val="33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万达志翔医疗科技（北京）有限责任公司</w:t>
            </w:r>
          </w:p>
        </w:tc>
      </w:tr>
      <w:tr>
        <w:trPr>
          <w:trHeight w:val="350"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上海慈铭智能网络科技有限责任公司</w:t>
            </w:r>
          </w:p>
        </w:tc>
      </w:tr>
      <w:tr>
        <w:trPr>
          <w:trHeight w:val="33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上海爱可及医疗科技有限公司</w:t>
            </w:r>
          </w:p>
        </w:tc>
      </w:tr>
      <w:tr>
        <w:trPr>
          <w:trHeight w:val="350"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上海资哲企业管理有限责任公司</w:t>
            </w:r>
          </w:p>
        </w:tc>
      </w:tr>
      <w:tr>
        <w:trPr>
          <w:trHeight w:val="33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蛮牛健康管理服务有限公司</w:t>
            </w:r>
          </w:p>
        </w:tc>
      </w:tr>
      <w:tr>
        <w:trPr>
          <w:trHeight w:val="34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蛮牛健康（海南）管理服务有限公司</w:t>
            </w:r>
          </w:p>
        </w:tc>
      </w:tr>
      <w:tr>
        <w:trPr>
          <w:trHeight w:val="33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中山市慧来科技有限公司</w:t>
            </w:r>
          </w:p>
        </w:tc>
      </w:tr>
      <w:tr>
        <w:trPr>
          <w:trHeight w:val="350"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中山市正来咨询服务有限公司</w:t>
            </w:r>
          </w:p>
        </w:tc>
      </w:tr>
      <w:tr>
        <w:trPr>
          <w:trHeight w:val="33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上海蛮牛健康管理有限公司</w:t>
            </w:r>
          </w:p>
        </w:tc>
      </w:tr>
      <w:tr>
        <w:trPr>
          <w:trHeight w:val="34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浙江万信数字科技有限公司</w:t>
            </w:r>
          </w:p>
        </w:tc>
      </w:tr>
      <w:tr>
        <w:trPr>
          <w:trHeight w:val="33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四川万信数字科技有限公司</w:t>
            </w:r>
          </w:p>
        </w:tc>
      </w:tr>
      <w:tr>
        <w:trPr>
          <w:trHeight w:val="350"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河南万达软件技术有限公司（</w:t>
            </w:r>
            <w:r>
              <w:rPr>
                <w:rFonts w:ascii="Times New Roman" w:eastAsia="Times New Roman" w:hAnsi="Times New Roman" w:cs="Times New Roman"/>
                <w:color w:val="000000"/>
                <w:spacing w:val="0"/>
                <w:w w:val="100"/>
                <w:position w:val="0"/>
              </w:rPr>
              <w:t>2021</w:t>
            </w:r>
            <w:r>
              <w:rPr>
                <w:color w:val="000000"/>
                <w:spacing w:val="0"/>
                <w:w w:val="100"/>
                <w:position w:val="0"/>
              </w:rPr>
              <w:t>年度注销）</w:t>
            </w:r>
          </w:p>
        </w:tc>
      </w:tr>
      <w:tr>
        <w:trPr>
          <w:trHeight w:val="33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上海嘉达信息科技有限公司</w:t>
            </w:r>
          </w:p>
        </w:tc>
      </w:tr>
      <w:tr>
        <w:trPr>
          <w:trHeight w:val="350"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上海药荟商务咨询有限公司（</w:t>
            </w:r>
            <w:r>
              <w:rPr>
                <w:rFonts w:ascii="Times New Roman" w:eastAsia="Times New Roman" w:hAnsi="Times New Roman" w:cs="Times New Roman"/>
                <w:color w:val="000000"/>
                <w:spacing w:val="0"/>
                <w:w w:val="100"/>
                <w:position w:val="0"/>
              </w:rPr>
              <w:t>2021</w:t>
            </w:r>
            <w:r>
              <w:rPr>
                <w:color w:val="000000"/>
                <w:spacing w:val="0"/>
                <w:w w:val="100"/>
                <w:position w:val="0"/>
              </w:rPr>
              <w:t>年度注销）</w:t>
            </w:r>
          </w:p>
        </w:tc>
      </w:tr>
      <w:tr>
        <w:trPr>
          <w:trHeight w:val="33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上海万达恒安技术有限公司</w:t>
            </w:r>
          </w:p>
        </w:tc>
      </w:tr>
      <w:tr>
        <w:trPr>
          <w:trHeight w:val="355" w:hRule="exact"/>
        </w:trPr>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加数度数字科技有限公司</w:t>
            </w:r>
          </w:p>
        </w:tc>
      </w:tr>
    </w:tbl>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leader="underscore" w:pos="4315" w:val="left"/>
          <w:tab w:leader="underscore" w:pos="9634" w:val="left"/>
        </w:tabs>
        <w:bidi w:val="0"/>
        <w:spacing w:before="0" w:after="0" w:line="307" w:lineRule="exact"/>
        <w:ind w:left="0" w:right="0" w:firstLine="0"/>
        <w:jc w:val="left"/>
      </w:pPr>
      <w:r>
        <w:rPr>
          <w:color w:val="000000"/>
          <w:spacing w:val="0"/>
          <w:w w:val="100"/>
          <w:position w:val="0"/>
          <w:u w:val="single"/>
        </w:rPr>
        <w:tab/>
        <w:t>子公司名称</w:t>
        <w:tab/>
      </w:r>
    </w:p>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307" w:lineRule="exact"/>
        <w:ind w:left="0" w:right="0" w:firstLine="0"/>
        <w:jc w:val="left"/>
      </w:pPr>
      <w:r>
        <w:rPr>
          <w:color w:val="000000"/>
          <w:spacing w:val="0"/>
          <w:w w:val="100"/>
          <w:position w:val="0"/>
        </w:rPr>
        <w:t>健康云（上海）数字科技有限公司</w:t>
      </w:r>
    </w:p>
    <w:p>
      <w:pPr>
        <w:pStyle w:val="Style18"/>
        <w:keepNext w:val="0"/>
        <w:keepLines w:val="0"/>
        <w:widowControl w:val="0"/>
        <w:shd w:val="clear" w:color="auto" w:fill="auto"/>
        <w:bidi w:val="0"/>
        <w:spacing w:before="0" w:after="0" w:line="307" w:lineRule="exact"/>
        <w:ind w:left="0" w:right="0" w:firstLine="620"/>
        <w:jc w:val="left"/>
      </w:pPr>
      <w:r>
        <w:rPr>
          <w:color w:val="000000"/>
          <w:spacing w:val="0"/>
          <w:w w:val="100"/>
          <w:position w:val="0"/>
        </w:rPr>
        <w:t>本报告期合并范围变化情况详见本附注</w:t>
      </w:r>
      <w:r>
        <w:rPr>
          <w:rFonts w:ascii="Times New Roman" w:eastAsia="Times New Roman" w:hAnsi="Times New Roman" w:cs="Times New Roman"/>
          <w:color w:val="000000"/>
          <w:spacing w:val="0"/>
          <w:w w:val="100"/>
          <w:position w:val="0"/>
        </w:rPr>
        <w:t>“</w:t>
      </w:r>
      <w:r>
        <w:rPr>
          <w:color w:val="000000"/>
          <w:spacing w:val="0"/>
          <w:w w:val="100"/>
          <w:position w:val="0"/>
        </w:rPr>
        <w:t>八、合并范围的变更</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8"/>
        <w:keepNext w:val="0"/>
        <w:keepLines w:val="0"/>
        <w:widowControl w:val="0"/>
        <w:shd w:val="clear" w:color="auto" w:fill="auto"/>
        <w:bidi w:val="0"/>
        <w:spacing w:before="0" w:after="380" w:line="307" w:lineRule="exact"/>
        <w:ind w:left="0" w:right="0" w:firstLine="620"/>
        <w:jc w:val="left"/>
      </w:pPr>
      <w:r>
        <w:rPr>
          <w:color w:val="000000"/>
          <w:spacing w:val="0"/>
          <w:w w:val="100"/>
          <w:position w:val="0"/>
        </w:rPr>
        <w:t>本公司子公司的相关信息详见本附注</w:t>
      </w:r>
      <w:r>
        <w:rPr>
          <w:rFonts w:ascii="Times New Roman" w:eastAsia="Times New Roman" w:hAnsi="Times New Roman" w:cs="Times New Roman"/>
          <w:color w:val="000000"/>
          <w:spacing w:val="0"/>
          <w:w w:val="100"/>
          <w:position w:val="0"/>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4"/>
        <w:keepNext/>
        <w:keepLines/>
        <w:widowControl w:val="0"/>
        <w:shd w:val="clear" w:color="auto" w:fill="auto"/>
        <w:tabs>
          <w:tab w:pos="498" w:val="left"/>
        </w:tabs>
        <w:bidi w:val="0"/>
        <w:spacing w:before="0" w:after="300" w:line="240" w:lineRule="auto"/>
        <w:ind w:left="0" w:right="0" w:firstLine="0"/>
        <w:jc w:val="left"/>
      </w:pPr>
      <w:bookmarkStart w:id="774" w:name="bookmark774"/>
      <w:bookmarkStart w:id="775" w:name="bookmark775"/>
      <w:bookmarkStart w:id="776" w:name="bookmark776"/>
      <w:bookmarkStart w:id="777" w:name="bookmark777"/>
      <w:r>
        <w:rPr>
          <w:color w:val="000000"/>
          <w:spacing w:val="0"/>
          <w:w w:val="100"/>
          <w:position w:val="0"/>
        </w:rPr>
        <w:t>四</w:t>
      </w:r>
      <w:bookmarkEnd w:id="776"/>
      <w:r>
        <w:rPr>
          <w:color w:val="000000"/>
          <w:spacing w:val="0"/>
          <w:w w:val="100"/>
          <w:position w:val="0"/>
        </w:rPr>
        <w:t>、</w:t>
        <w:tab/>
        <w:t>财务报表的编制基础</w:t>
      </w:r>
      <w:bookmarkEnd w:id="774"/>
      <w:bookmarkEnd w:id="775"/>
      <w:bookmarkEnd w:id="777"/>
    </w:p>
    <w:p>
      <w:pPr>
        <w:pStyle w:val="Style33"/>
        <w:keepNext/>
        <w:keepLines/>
        <w:widowControl w:val="0"/>
        <w:shd w:val="clear" w:color="auto" w:fill="auto"/>
        <w:tabs>
          <w:tab w:pos="358" w:val="left"/>
        </w:tabs>
        <w:bidi w:val="0"/>
        <w:spacing w:before="0" w:after="300" w:line="307" w:lineRule="exact"/>
        <w:ind w:left="0" w:right="0" w:firstLine="0"/>
        <w:jc w:val="left"/>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1</w:t>
      </w:r>
      <w:bookmarkEnd w:id="780"/>
      <w:r>
        <w:rPr>
          <w:color w:val="000000"/>
          <w:spacing w:val="0"/>
          <w:w w:val="100"/>
          <w:position w:val="0"/>
        </w:rPr>
        <w:t>、</w:t>
        <w:tab/>
        <w:t>编制基础</w:t>
      </w:r>
      <w:bookmarkEnd w:id="778"/>
      <w:bookmarkEnd w:id="779"/>
      <w:bookmarkEnd w:id="781"/>
    </w:p>
    <w:p>
      <w:pPr>
        <w:pStyle w:val="Style18"/>
        <w:keepNext w:val="0"/>
        <w:keepLines w:val="0"/>
        <w:widowControl w:val="0"/>
        <w:shd w:val="clear" w:color="auto" w:fill="auto"/>
        <w:bidi w:val="0"/>
        <w:spacing w:before="0" w:after="300" w:line="307" w:lineRule="exact"/>
        <w:ind w:left="0" w:right="0" w:firstLine="0"/>
        <w:jc w:val="left"/>
      </w:pPr>
      <w:r>
        <w:rPr>
          <w:color w:val="000000"/>
          <w:spacing w:val="0"/>
          <w:w w:val="100"/>
          <w:position w:val="0"/>
        </w:rPr>
        <w:t>本财务报表按照财政部颁布的《企业会计准则一基本准则》和各项具体会计准则、企业会计准则应用指 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），以及中国证券监督管理委员会《公 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号一财务报告的一般规定》的相关规定编制。</w:t>
      </w:r>
    </w:p>
    <w:p>
      <w:pPr>
        <w:pStyle w:val="Style33"/>
        <w:keepNext/>
        <w:keepLines/>
        <w:widowControl w:val="0"/>
        <w:shd w:val="clear" w:color="auto" w:fill="auto"/>
        <w:tabs>
          <w:tab w:pos="368" w:val="left"/>
        </w:tabs>
        <w:bidi w:val="0"/>
        <w:spacing w:before="0" w:after="300" w:line="307" w:lineRule="exact"/>
        <w:ind w:left="0" w:right="0" w:firstLine="0"/>
        <w:jc w:val="left"/>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2</w:t>
      </w:r>
      <w:bookmarkEnd w:id="784"/>
      <w:r>
        <w:rPr>
          <w:color w:val="000000"/>
          <w:spacing w:val="0"/>
          <w:w w:val="100"/>
          <w:position w:val="0"/>
        </w:rPr>
        <w:t>、</w:t>
        <w:tab/>
        <w:t>持续经营</w:t>
      </w:r>
      <w:bookmarkEnd w:id="782"/>
      <w:bookmarkEnd w:id="783"/>
      <w:bookmarkEnd w:id="785"/>
    </w:p>
    <w:p>
      <w:pPr>
        <w:pStyle w:val="Style18"/>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本财务报表以持续经营为基础编制。</w:t>
      </w:r>
    </w:p>
    <w:p>
      <w:pPr>
        <w:pStyle w:val="Style24"/>
        <w:keepNext/>
        <w:keepLines/>
        <w:widowControl w:val="0"/>
        <w:shd w:val="clear" w:color="auto" w:fill="auto"/>
        <w:tabs>
          <w:tab w:pos="517" w:val="left"/>
        </w:tabs>
        <w:bidi w:val="0"/>
        <w:spacing w:before="0" w:after="380" w:line="240" w:lineRule="auto"/>
        <w:ind w:left="0" w:right="0" w:firstLine="0"/>
        <w:jc w:val="left"/>
      </w:pPr>
      <w:bookmarkStart w:id="786" w:name="bookmark786"/>
      <w:bookmarkStart w:id="787" w:name="bookmark787"/>
      <w:bookmarkStart w:id="788" w:name="bookmark788"/>
      <w:bookmarkStart w:id="789" w:name="bookmark789"/>
      <w:r>
        <w:rPr>
          <w:color w:val="000000"/>
          <w:spacing w:val="0"/>
          <w:w w:val="100"/>
          <w:position w:val="0"/>
        </w:rPr>
        <w:t>五</w:t>
      </w:r>
      <w:bookmarkEnd w:id="788"/>
      <w:r>
        <w:rPr>
          <w:color w:val="000000"/>
          <w:spacing w:val="0"/>
          <w:w w:val="100"/>
          <w:position w:val="0"/>
        </w:rPr>
        <w:t>、</w:t>
        <w:tab/>
        <w:t>重要会计政策及会计估计</w:t>
      </w:r>
      <w:bookmarkEnd w:id="786"/>
      <w:bookmarkEnd w:id="787"/>
      <w:bookmarkEnd w:id="789"/>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具体会计政策和会计估计提示：</w:t>
      </w:r>
    </w:p>
    <w:p>
      <w:pPr>
        <w:pStyle w:val="Style18"/>
        <w:keepNext w:val="0"/>
        <w:keepLines w:val="0"/>
        <w:widowControl w:val="0"/>
        <w:shd w:val="clear" w:color="auto" w:fill="auto"/>
        <w:bidi w:val="0"/>
        <w:spacing w:before="0" w:after="620" w:line="298" w:lineRule="exact"/>
        <w:ind w:left="0" w:right="0" w:firstLine="0"/>
        <w:jc w:val="left"/>
      </w:pPr>
      <w:r>
        <w:rPr>
          <w:color w:val="000000"/>
          <w:spacing w:val="0"/>
          <w:w w:val="100"/>
          <w:position w:val="0"/>
        </w:rPr>
        <w:t>以下披露内容已涵盖了本公司根据实际生产经营特点制定的具体会计政策和会计估计。详见本附注</w:t>
      </w:r>
      <w:r>
        <w:rPr>
          <w:rFonts w:ascii="Times New Roman" w:eastAsia="Times New Roman" w:hAnsi="Times New Roman" w:cs="Times New Roman"/>
          <w:color w:val="000000"/>
          <w:spacing w:val="0"/>
          <w:w w:val="100"/>
          <w:position w:val="0"/>
        </w:rPr>
        <w:t>“</w:t>
      </w:r>
      <w:r>
        <w:rPr>
          <w:color w:val="000000"/>
          <w:spacing w:val="0"/>
          <w:w w:val="100"/>
          <w:position w:val="0"/>
        </w:rPr>
        <w:t xml:space="preserve">五、 </w:t>
      </w:r>
      <w:r>
        <w:rPr>
          <w:rFonts w:ascii="Times New Roman" w:eastAsia="Times New Roman" w:hAnsi="Times New Roman" w:cs="Times New Roman"/>
          <w:color w:val="000000"/>
          <w:spacing w:val="0"/>
          <w:w w:val="100"/>
          <w:position w:val="0"/>
        </w:rPr>
        <w:t>30</w:t>
      </w:r>
      <w:r>
        <w:rPr>
          <w:color w:val="000000"/>
          <w:spacing w:val="0"/>
          <w:w w:val="100"/>
          <w:position w:val="0"/>
        </w:rPr>
        <w:t>无形资产</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五、</w:t>
      </w:r>
      <w:r>
        <w:rPr>
          <w:rFonts w:ascii="Times New Roman" w:eastAsia="Times New Roman" w:hAnsi="Times New Roman" w:cs="Times New Roman"/>
          <w:color w:val="000000"/>
          <w:spacing w:val="0"/>
          <w:w w:val="100"/>
          <w:position w:val="0"/>
        </w:rPr>
        <w:t>39</w:t>
      </w:r>
      <w:r>
        <w:rPr>
          <w:color w:val="000000"/>
          <w:spacing w:val="0"/>
          <w:w w:val="100"/>
          <w:position w:val="0"/>
        </w:rPr>
        <w:t>收入</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3"/>
        <w:keepNext/>
        <w:keepLines/>
        <w:widowControl w:val="0"/>
        <w:shd w:val="clear" w:color="auto" w:fill="auto"/>
        <w:tabs>
          <w:tab w:pos="358" w:val="left"/>
        </w:tabs>
        <w:bidi w:val="0"/>
        <w:spacing w:before="0" w:after="300" w:line="307" w:lineRule="exact"/>
        <w:ind w:left="0" w:right="0" w:firstLine="0"/>
        <w:jc w:val="left"/>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1</w:t>
      </w:r>
      <w:bookmarkEnd w:id="792"/>
      <w:r>
        <w:rPr>
          <w:color w:val="000000"/>
          <w:spacing w:val="0"/>
          <w:w w:val="100"/>
          <w:position w:val="0"/>
        </w:rPr>
        <w:t>、</w:t>
        <w:tab/>
        <w:t>遵循企业会计准则的声明</w:t>
      </w:r>
      <w:bookmarkEnd w:id="790"/>
      <w:bookmarkEnd w:id="791"/>
      <w:bookmarkEnd w:id="793"/>
    </w:p>
    <w:p>
      <w:pPr>
        <w:pStyle w:val="Style18"/>
        <w:keepNext w:val="0"/>
        <w:keepLines w:val="0"/>
        <w:widowControl w:val="0"/>
        <w:shd w:val="clear" w:color="auto" w:fill="auto"/>
        <w:bidi w:val="0"/>
        <w:spacing w:before="0" w:after="300" w:line="307" w:lineRule="exact"/>
        <w:ind w:left="0" w:right="0" w:firstLine="0"/>
        <w:jc w:val="left"/>
      </w:pPr>
      <w:r>
        <w:rPr>
          <w:color w:val="000000"/>
          <w:spacing w:val="0"/>
          <w:w w:val="100"/>
          <w:position w:val="0"/>
        </w:rPr>
        <w:t>本财务报表符合财政部颁布的企业会计准则的要求，真实、完整地反映了本公司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 母公司财务状况以及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年度的合并及母公司经营成果和现金流量。</w:t>
      </w:r>
    </w:p>
    <w:p>
      <w:pPr>
        <w:pStyle w:val="Style33"/>
        <w:keepNext/>
        <w:keepLines/>
        <w:widowControl w:val="0"/>
        <w:shd w:val="clear" w:color="auto" w:fill="auto"/>
        <w:tabs>
          <w:tab w:pos="368" w:val="left"/>
        </w:tabs>
        <w:bidi w:val="0"/>
        <w:spacing w:before="0" w:after="300" w:line="307" w:lineRule="exact"/>
        <w:ind w:left="0" w:right="0" w:firstLine="0"/>
        <w:jc w:val="left"/>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2</w:t>
      </w:r>
      <w:bookmarkEnd w:id="796"/>
      <w:r>
        <w:rPr>
          <w:color w:val="000000"/>
          <w:spacing w:val="0"/>
          <w:w w:val="100"/>
          <w:position w:val="0"/>
        </w:rPr>
        <w:t>、</w:t>
        <w:tab/>
        <w:t>会计期间</w:t>
      </w:r>
      <w:bookmarkEnd w:id="794"/>
      <w:bookmarkEnd w:id="795"/>
      <w:bookmarkEnd w:id="797"/>
    </w:p>
    <w:p>
      <w:pPr>
        <w:pStyle w:val="Style18"/>
        <w:keepNext w:val="0"/>
        <w:keepLines w:val="0"/>
        <w:widowControl w:val="0"/>
        <w:shd w:val="clear" w:color="auto" w:fill="auto"/>
        <w:bidi w:val="0"/>
        <w:spacing w:before="0" w:after="300" w:line="307" w:lineRule="exact"/>
        <w:ind w:left="0" w:right="0" w:firstLine="0"/>
        <w:jc w:val="left"/>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33"/>
        <w:keepNext/>
        <w:keepLines/>
        <w:widowControl w:val="0"/>
        <w:shd w:val="clear" w:color="auto" w:fill="auto"/>
        <w:tabs>
          <w:tab w:pos="368" w:val="left"/>
        </w:tabs>
        <w:bidi w:val="0"/>
        <w:spacing w:before="0" w:after="300" w:line="307" w:lineRule="exact"/>
        <w:ind w:left="0" w:right="0" w:firstLine="0"/>
        <w:jc w:val="left"/>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3</w:t>
      </w:r>
      <w:bookmarkEnd w:id="800"/>
      <w:r>
        <w:rPr>
          <w:color w:val="000000"/>
          <w:spacing w:val="0"/>
          <w:w w:val="100"/>
          <w:position w:val="0"/>
        </w:rPr>
        <w:t>、</w:t>
        <w:tab/>
        <w:t>营业周期</w:t>
      </w:r>
      <w:bookmarkEnd w:id="798"/>
      <w:bookmarkEnd w:id="799"/>
      <w:bookmarkEnd w:id="801"/>
    </w:p>
    <w:p>
      <w:pPr>
        <w:pStyle w:val="Style18"/>
        <w:keepNext w:val="0"/>
        <w:keepLines w:val="0"/>
        <w:widowControl w:val="0"/>
        <w:shd w:val="clear" w:color="auto" w:fill="auto"/>
        <w:bidi w:val="0"/>
        <w:spacing w:before="0" w:after="300" w:line="307" w:lineRule="exact"/>
        <w:ind w:left="0" w:right="0" w:firstLine="0"/>
        <w:jc w:val="left"/>
      </w:pPr>
      <w:r>
        <w:rPr>
          <w:color w:val="000000"/>
          <w:spacing w:val="0"/>
          <w:w w:val="100"/>
          <w:position w:val="0"/>
        </w:rPr>
        <w:t>本公司营业周期为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33"/>
        <w:keepNext/>
        <w:keepLines/>
        <w:widowControl w:val="0"/>
        <w:shd w:val="clear" w:color="auto" w:fill="auto"/>
        <w:tabs>
          <w:tab w:pos="368" w:val="left"/>
        </w:tabs>
        <w:bidi w:val="0"/>
        <w:spacing w:before="0" w:after="300" w:line="307" w:lineRule="exact"/>
        <w:ind w:left="0" w:right="0" w:firstLine="0"/>
        <w:jc w:val="left"/>
      </w:pPr>
      <w:bookmarkStart w:id="802" w:name="bookmark802"/>
      <w:bookmarkStart w:id="803" w:name="bookmark803"/>
      <w:bookmarkStart w:id="804" w:name="bookmark804"/>
      <w:bookmarkStart w:id="805" w:name="bookmark805"/>
      <w:r>
        <w:rPr>
          <w:rFonts w:ascii="Times New Roman" w:eastAsia="Times New Roman" w:hAnsi="Times New Roman" w:cs="Times New Roman"/>
          <w:color w:val="000000"/>
          <w:spacing w:val="0"/>
          <w:w w:val="100"/>
          <w:position w:val="0"/>
        </w:rPr>
        <w:t>4</w:t>
      </w:r>
      <w:bookmarkEnd w:id="804"/>
      <w:r>
        <w:rPr>
          <w:color w:val="000000"/>
          <w:spacing w:val="0"/>
          <w:w w:val="100"/>
          <w:position w:val="0"/>
        </w:rPr>
        <w:t>、</w:t>
        <w:tab/>
        <w:t>记账本位币</w:t>
      </w:r>
      <w:bookmarkEnd w:id="802"/>
      <w:bookmarkEnd w:id="803"/>
      <w:bookmarkEnd w:id="805"/>
    </w:p>
    <w:p>
      <w:pPr>
        <w:pStyle w:val="Style18"/>
        <w:keepNext w:val="0"/>
        <w:keepLines w:val="0"/>
        <w:widowControl w:val="0"/>
        <w:shd w:val="clear" w:color="auto" w:fill="auto"/>
        <w:bidi w:val="0"/>
        <w:spacing w:before="0" w:after="300" w:line="307" w:lineRule="exact"/>
        <w:ind w:left="0" w:right="0" w:firstLine="0"/>
        <w:jc w:val="left"/>
      </w:pPr>
      <w:r>
        <w:rPr>
          <w:color w:val="000000"/>
          <w:spacing w:val="0"/>
          <w:w w:val="100"/>
          <w:position w:val="0"/>
        </w:rPr>
        <w:t>本公司采用人民币为记账本位币。</w:t>
      </w:r>
    </w:p>
    <w:p>
      <w:pPr>
        <w:pStyle w:val="Style33"/>
        <w:keepNext/>
        <w:keepLines/>
        <w:widowControl w:val="0"/>
        <w:shd w:val="clear" w:color="auto" w:fill="auto"/>
        <w:tabs>
          <w:tab w:pos="368" w:val="left"/>
        </w:tabs>
        <w:bidi w:val="0"/>
        <w:spacing w:before="0" w:after="300" w:line="307" w:lineRule="exact"/>
        <w:ind w:left="0" w:right="0" w:firstLine="0"/>
        <w:jc w:val="left"/>
      </w:pPr>
      <w:bookmarkStart w:id="806" w:name="bookmark806"/>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rPr>
        <w:t>5</w:t>
      </w:r>
      <w:bookmarkEnd w:id="808"/>
      <w:r>
        <w:rPr>
          <w:color w:val="000000"/>
          <w:spacing w:val="0"/>
          <w:w w:val="100"/>
          <w:position w:val="0"/>
        </w:rPr>
        <w:t>、</w:t>
        <w:tab/>
        <w:t>同一控制下和非同一控制下企业合并的会计处理方法</w:t>
      </w:r>
      <w:bookmarkEnd w:id="806"/>
      <w:bookmarkEnd w:id="807"/>
      <w:bookmarkEnd w:id="809"/>
    </w:p>
    <w:p>
      <w:pPr>
        <w:pStyle w:val="Style18"/>
        <w:keepNext w:val="0"/>
        <w:keepLines w:val="0"/>
        <w:widowControl w:val="0"/>
        <w:shd w:val="clear" w:color="auto" w:fill="auto"/>
        <w:bidi w:val="0"/>
        <w:spacing w:before="0" w:after="0" w:line="317" w:lineRule="exact"/>
        <w:ind w:left="0" w:right="0" w:firstLine="200"/>
        <w:jc w:val="both"/>
      </w:pPr>
      <w:r>
        <w:rPr>
          <w:color w:val="000000"/>
          <w:spacing w:val="0"/>
          <w:w w:val="100"/>
          <w:position w:val="0"/>
        </w:rPr>
        <w:t xml:space="preserve">同一控制下企业合并：合并方在企业合并中取得的资产和负债（包括最终控制方收购被合并方而形成的 商誉），按照合并日被合并方资产、负债在最终控制方合并财务报表中的账面价值为基础计量。在合并中 </w:t>
      </w:r>
      <w:r>
        <w:rPr>
          <w:color w:val="000000"/>
          <w:spacing w:val="0"/>
          <w:w w:val="100"/>
          <w:position w:val="0"/>
        </w:rPr>
        <w:t>取得的净资产账面价值与支付的合并对价账面价值（或发行股份面值总额）的差额，调整资本公积中的股 本溢价，资本公积中的股本溢价不足冲减的，调整留存收益。</w:t>
      </w:r>
    </w:p>
    <w:p>
      <w:pPr>
        <w:pStyle w:val="Style18"/>
        <w:keepNext w:val="0"/>
        <w:keepLines w:val="0"/>
        <w:widowControl w:val="0"/>
        <w:shd w:val="clear" w:color="auto" w:fill="auto"/>
        <w:bidi w:val="0"/>
        <w:spacing w:before="0" w:after="0" w:line="312" w:lineRule="exact"/>
        <w:ind w:left="0" w:right="0" w:firstLine="200"/>
        <w:jc w:val="both"/>
      </w:pPr>
      <w:r>
        <w:rPr>
          <w:color w:val="000000"/>
          <w:spacing w:val="0"/>
          <w:w w:val="100"/>
          <w:position w:val="0"/>
        </w:rPr>
        <w:t>非同一控制下企业合并：合并成本为购买方在购买日为取得被购买方的控制权而付出的资产、发生或承 担的负债以及发行的权益性证券的公允价值。合并成本大于合并中取得的被购买方可辨认净资产公允价值 份额的差额，确认为商誉；合并成本小于合并中取得的被购买方可辨认净资产公允价值份额的差额，计入 当期损益。在合并中取得的被购买方符合确认条件的各项可辨认资产、负债及或有负债在购买日按公允价 值计量。</w:t>
      </w:r>
    </w:p>
    <w:p>
      <w:pPr>
        <w:pStyle w:val="Style18"/>
        <w:keepNext w:val="0"/>
        <w:keepLines w:val="0"/>
        <w:widowControl w:val="0"/>
        <w:shd w:val="clear" w:color="auto" w:fill="auto"/>
        <w:bidi w:val="0"/>
        <w:spacing w:before="0" w:after="600" w:line="312" w:lineRule="exact"/>
        <w:ind w:left="0" w:right="0" w:firstLine="200"/>
        <w:jc w:val="both"/>
      </w:pPr>
      <w:r>
        <w:rPr>
          <w:color w:val="000000"/>
          <w:spacing w:val="0"/>
          <w:w w:val="100"/>
          <w:position w:val="0"/>
        </w:rPr>
        <w:t>为企业合并发生的直接相关费用于发生时计入当期损益；为企业合并而发行权益性证券或债务性证券的 交易费用，计入权益性证券或债务性证券的初始确认金额</w:t>
      </w:r>
    </w:p>
    <w:p>
      <w:pPr>
        <w:pStyle w:val="Style33"/>
        <w:keepNext/>
        <w:keepLines/>
        <w:widowControl w:val="0"/>
        <w:shd w:val="clear" w:color="auto" w:fill="auto"/>
        <w:bidi w:val="0"/>
        <w:spacing w:before="0" w:after="300" w:line="310" w:lineRule="exact"/>
        <w:ind w:left="0" w:right="0" w:firstLine="0"/>
        <w:jc w:val="left"/>
      </w:pPr>
      <w:bookmarkStart w:id="810" w:name="bookmark810"/>
      <w:bookmarkStart w:id="811" w:name="bookmark811"/>
      <w:bookmarkStart w:id="812" w:name="bookmark812"/>
      <w:bookmarkStart w:id="813" w:name="bookmark813"/>
      <w:r>
        <w:rPr>
          <w:rFonts w:ascii="Times New Roman" w:eastAsia="Times New Roman" w:hAnsi="Times New Roman" w:cs="Times New Roman"/>
          <w:color w:val="000000"/>
          <w:spacing w:val="0"/>
          <w:w w:val="100"/>
          <w:position w:val="0"/>
        </w:rPr>
        <w:t>6</w:t>
      </w:r>
      <w:bookmarkEnd w:id="812"/>
      <w:r>
        <w:rPr>
          <w:color w:val="000000"/>
          <w:spacing w:val="0"/>
          <w:w w:val="100"/>
          <w:position w:val="0"/>
        </w:rPr>
        <w:t>、合并财务报表的编制方法</w:t>
      </w:r>
      <w:bookmarkEnd w:id="810"/>
      <w:bookmarkEnd w:id="811"/>
      <w:bookmarkEnd w:id="813"/>
    </w:p>
    <w:p>
      <w:pPr>
        <w:pStyle w:val="Style33"/>
        <w:keepNext/>
        <w:keepLines/>
        <w:widowControl w:val="0"/>
        <w:shd w:val="clear" w:color="auto" w:fill="auto"/>
        <w:tabs>
          <w:tab w:pos="326" w:val="left"/>
        </w:tabs>
        <w:bidi w:val="0"/>
        <w:spacing w:before="0" w:after="0" w:line="312" w:lineRule="exact"/>
        <w:ind w:left="0" w:right="0" w:firstLine="0"/>
        <w:jc w:val="left"/>
      </w:pPr>
      <w:bookmarkStart w:id="810" w:name="bookmark810"/>
      <w:bookmarkStart w:id="811" w:name="bookmark811"/>
      <w:bookmarkStart w:id="814" w:name="bookmark814"/>
      <w:r>
        <w:rPr>
          <w:rFonts w:ascii="Times New Roman" w:eastAsia="Times New Roman" w:hAnsi="Times New Roman" w:cs="Times New Roman"/>
          <w:color w:val="000000"/>
          <w:spacing w:val="0"/>
          <w:w w:val="100"/>
          <w:position w:val="0"/>
        </w:rPr>
        <w:t>1</w:t>
      </w:r>
      <w:bookmarkEnd w:id="814"/>
      <w:r>
        <w:rPr>
          <w:color w:val="000000"/>
          <w:spacing w:val="0"/>
          <w:w w:val="100"/>
          <w:position w:val="0"/>
        </w:rPr>
        <w:t>、</w:t>
        <w:tab/>
        <w:t>合并范围</w:t>
      </w:r>
      <w:bookmarkEnd w:id="810"/>
      <w:bookmarkEnd w:id="811"/>
    </w:p>
    <w:p>
      <w:pPr>
        <w:pStyle w:val="Style18"/>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合并财务报表的合并范围以控制为基础确定，合并范围包括本公司及全部子公司。控制，是指公司拥 有对被投资方的权力，通过参与被投资方的相关活动而享有可变回报，并且有能力运用对被投资方的权力 影响其回报金额。</w:t>
      </w:r>
    </w:p>
    <w:p>
      <w:pPr>
        <w:pStyle w:val="Style18"/>
        <w:keepNext w:val="0"/>
        <w:keepLines w:val="0"/>
        <w:widowControl w:val="0"/>
        <w:shd w:val="clear" w:color="auto" w:fill="auto"/>
        <w:tabs>
          <w:tab w:pos="336" w:val="left"/>
        </w:tabs>
        <w:bidi w:val="0"/>
        <w:spacing w:before="0" w:after="0" w:line="310" w:lineRule="exact"/>
        <w:ind w:left="0" w:right="0" w:firstLine="0"/>
        <w:jc w:val="left"/>
      </w:pPr>
      <w:bookmarkStart w:id="815" w:name="bookmark815"/>
      <w:r>
        <w:rPr>
          <w:rFonts w:ascii="Times New Roman" w:eastAsia="Times New Roman" w:hAnsi="Times New Roman" w:cs="Times New Roman"/>
          <w:b/>
          <w:bCs/>
          <w:color w:val="000000"/>
          <w:spacing w:val="0"/>
          <w:w w:val="100"/>
          <w:position w:val="0"/>
        </w:rPr>
        <w:t>2</w:t>
      </w:r>
      <w:bookmarkEnd w:id="815"/>
      <w:r>
        <w:rPr>
          <w:b/>
          <w:bCs/>
          <w:color w:val="000000"/>
          <w:spacing w:val="0"/>
          <w:w w:val="100"/>
          <w:position w:val="0"/>
        </w:rPr>
        <w:t>、</w:t>
        <w:tab/>
        <w:t>合并程序</w:t>
      </w:r>
    </w:p>
    <w:p>
      <w:pPr>
        <w:pStyle w:val="Style18"/>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本公司将整个企业集团视为一个会计主体，按照统一的会计政策编制合并财务报表，反映本企业集团 整体财务状况、经营成果和现金流量。本公司与子公司、子公司相互之间发生的内部交易的影响予以抵销。 内部交易表明相关资产发生减值损失的，全额确认该部分损失。如子公司采用的会计政策、会计期间与本 公司不一致的，在编制合并财务报表时，按本公司的会计政策、会计期间进行必要的调整。</w:t>
      </w:r>
    </w:p>
    <w:p>
      <w:pPr>
        <w:pStyle w:val="Style18"/>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子公司所有者权益、当期净损益和当期综合收益中属于少数股东的份额分别在合并资产负债表中所有 者权益项目下、合并利润表中净利润项目下和综合收益总额项目下单独列示。子公司少数股东分担的当期 亏损超过了少数股东在该子公司期初所有者权益中所享有份额而形成的余额，冲减少数股东权益。</w:t>
      </w:r>
    </w:p>
    <w:p>
      <w:pPr>
        <w:pStyle w:val="Style18"/>
        <w:keepNext w:val="0"/>
        <w:keepLines w:val="0"/>
        <w:widowControl w:val="0"/>
        <w:shd w:val="clear" w:color="auto" w:fill="auto"/>
        <w:bidi w:val="0"/>
        <w:spacing w:before="0" w:after="0" w:line="310" w:lineRule="exact"/>
        <w:ind w:left="0" w:right="0" w:firstLine="180"/>
        <w:jc w:val="left"/>
      </w:pPr>
      <w:bookmarkStart w:id="816" w:name="bookmark816"/>
      <w:r>
        <w:rPr>
          <w:color w:val="000000"/>
          <w:spacing w:val="0"/>
          <w:w w:val="100"/>
          <w:position w:val="0"/>
        </w:rPr>
        <w:t>（</w:t>
      </w:r>
      <w:bookmarkEnd w:id="816"/>
      <w:r>
        <w:rPr>
          <w:rFonts w:ascii="Times New Roman" w:eastAsia="Times New Roman" w:hAnsi="Times New Roman" w:cs="Times New Roman"/>
          <w:color w:val="000000"/>
          <w:spacing w:val="0"/>
          <w:w w:val="100"/>
          <w:position w:val="0"/>
        </w:rPr>
        <w:t>1</w:t>
      </w:r>
      <w:r>
        <w:rPr>
          <w:color w:val="000000"/>
          <w:spacing w:val="0"/>
          <w:w w:val="100"/>
          <w:position w:val="0"/>
        </w:rPr>
        <w:t>）增加子公司或业务</w:t>
      </w:r>
    </w:p>
    <w:p>
      <w:pPr>
        <w:pStyle w:val="Style18"/>
        <w:keepNext w:val="0"/>
        <w:keepLines w:val="0"/>
        <w:widowControl w:val="0"/>
        <w:shd w:val="clear" w:color="auto" w:fill="auto"/>
        <w:bidi w:val="0"/>
        <w:spacing w:before="0" w:after="0" w:line="310" w:lineRule="exact"/>
        <w:ind w:left="0" w:right="0" w:firstLine="440"/>
        <w:jc w:val="left"/>
      </w:pPr>
      <w:r>
        <w:rPr>
          <w:color w:val="000000"/>
          <w:spacing w:val="0"/>
          <w:w w:val="100"/>
          <w:position w:val="0"/>
        </w:rPr>
        <w:t>在报告期内，因同一控制下企业合并增加子公司或业务的，将子公司或业务合并当期期初至报告期末 的经营成果和现金流量纳入合并财务报表，同时对合并财务报表的期初数和比较报表的相关项目进行调整， 视同合并后的报告主体自最终控制方开始控制时点起一直存在。</w:t>
      </w:r>
    </w:p>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因追加投资等原因能够对同一控制下的被投资方实施控制的，在取得被合并方控制权之前持有的股权投资， 在取得原股权之日与合并方和被合并方同处于同一控制之日孰晚日起至合并日之间已确认有关损益、其他 综合收益以及其他净资产变动，分别冲减比较报表期间的期初留存收益或当期损益。</w:t>
      </w:r>
    </w:p>
    <w:p>
      <w:pPr>
        <w:pStyle w:val="Style18"/>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在报告期内，因非同一控制下企业合并增加子公司或业务的，以购买日确定的各项可辨认资产、负债 及或有负债的公允价值为基础自购买日起纳入合并财务报表。</w:t>
      </w:r>
    </w:p>
    <w:p>
      <w:pPr>
        <w:pStyle w:val="Style18"/>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因追加投资等原因能够对非同一控制下的被投资方实施控制的，对于购买日之前持有的被购买方的股 权，按照该股权在购买日的公允价值进行重新计量，公允价值与其账面价值的差额计入当期投资收益。购 买日之前持有的被购买方的股权涉及的以后可重分类进损益的其他综合收益、权益法核算下的其他所有者 权益变动转为购买日所属当期投资收益。</w:t>
      </w:r>
    </w:p>
    <w:p>
      <w:pPr>
        <w:pStyle w:val="Style18"/>
        <w:keepNext w:val="0"/>
        <w:keepLines w:val="0"/>
        <w:widowControl w:val="0"/>
        <w:shd w:val="clear" w:color="auto" w:fill="auto"/>
        <w:bidi w:val="0"/>
        <w:spacing w:before="0" w:after="0" w:line="310" w:lineRule="exact"/>
        <w:ind w:left="0" w:right="0" w:firstLine="0"/>
        <w:jc w:val="left"/>
      </w:pPr>
      <w:bookmarkStart w:id="817" w:name="bookmark817"/>
      <w:r>
        <w:rPr>
          <w:color w:val="000000"/>
          <w:spacing w:val="0"/>
          <w:w w:val="100"/>
          <w:position w:val="0"/>
        </w:rPr>
        <w:t>（</w:t>
      </w:r>
      <w:bookmarkEnd w:id="817"/>
      <w:r>
        <w:rPr>
          <w:rFonts w:ascii="Times New Roman" w:eastAsia="Times New Roman" w:hAnsi="Times New Roman" w:cs="Times New Roman"/>
          <w:color w:val="000000"/>
          <w:spacing w:val="0"/>
          <w:w w:val="100"/>
          <w:position w:val="0"/>
        </w:rPr>
        <w:t>2</w:t>
      </w:r>
      <w:r>
        <w:rPr>
          <w:color w:val="000000"/>
          <w:spacing w:val="0"/>
          <w:w w:val="100"/>
          <w:position w:val="0"/>
        </w:rPr>
        <w:t>）处置子公司</w:t>
      </w:r>
    </w:p>
    <w:p>
      <w:pPr>
        <w:pStyle w:val="Style18"/>
        <w:keepNext w:val="0"/>
        <w:keepLines w:val="0"/>
        <w:widowControl w:val="0"/>
        <w:shd w:val="clear" w:color="auto" w:fill="auto"/>
        <w:bidi w:val="0"/>
        <w:spacing w:before="0" w:after="0" w:line="310" w:lineRule="exact"/>
        <w:ind w:left="0" w:right="0" w:firstLine="440"/>
        <w:jc w:val="left"/>
      </w:pPr>
      <w:r>
        <w:rPr>
          <w:color w:val="000000"/>
          <w:spacing w:val="0"/>
          <w:w w:val="100"/>
          <w:position w:val="0"/>
        </w:rPr>
        <w:t>①一般处理方法</w:t>
      </w:r>
    </w:p>
    <w:p>
      <w:pPr>
        <w:pStyle w:val="Style18"/>
        <w:keepNext w:val="0"/>
        <w:keepLines w:val="0"/>
        <w:widowControl w:val="0"/>
        <w:shd w:val="clear" w:color="auto" w:fill="auto"/>
        <w:bidi w:val="0"/>
        <w:spacing w:before="0" w:after="0" w:line="310" w:lineRule="exact"/>
        <w:ind w:left="0" w:right="0" w:firstLine="440"/>
        <w:jc w:val="both"/>
      </w:pPr>
      <w:r>
        <w:rPr>
          <w:color w:val="000000"/>
          <w:spacing w:val="0"/>
          <w:w w:val="100"/>
          <w:position w:val="0"/>
        </w:rPr>
        <w:t xml:space="preserve">因处置部分股权投资或其他原因丧失了对被投资方控制权时，对于处置后的剩余股权投资，按照其在 丧失控制权日的公允价值进行重新计量。处置股权取得的对价与剩余股权公允价值之和，减去按原持股比 例计算应享有原有子公司自购买日或合并日开始持续计算的净资产的份额与商誉之和的差额，计入丧失控 </w:t>
      </w:r>
      <w:r>
        <w:rPr>
          <w:color w:val="000000"/>
          <w:spacing w:val="0"/>
          <w:w w:val="100"/>
          <w:position w:val="0"/>
        </w:rPr>
        <w:t>制权当期的投资收益。与原有子公司股权投资相关的以后可重分类进损益的其他综合收益、权益法核算下 的其他所有者权益变动，在丧失控制权时转为当期投资收益。</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②分步处置子公司</w:t>
      </w:r>
    </w:p>
    <w:p>
      <w:pPr>
        <w:pStyle w:val="Style18"/>
        <w:keepNext w:val="0"/>
        <w:keepLines w:val="0"/>
        <w:widowControl w:val="0"/>
        <w:shd w:val="clear" w:color="auto" w:fill="auto"/>
        <w:bidi w:val="0"/>
        <w:spacing w:before="0" w:after="60" w:line="312" w:lineRule="exact"/>
        <w:ind w:left="0" w:right="0" w:firstLine="440"/>
        <w:jc w:val="both"/>
      </w:pPr>
      <w:r>
        <w:rPr>
          <w:color w:val="000000"/>
          <w:spacing w:val="0"/>
          <w:w w:val="100"/>
          <w:position w:val="0"/>
        </w:rPr>
        <w:t>通过多次交易分步处置对子公司股权投资直至丧失控制权的，处置对子公司股权投资的各项交易的条 款、条件以及经济影响符合以下一种或多种情况，通常表明该多次交易事项为一揽子交易：</w:t>
      </w:r>
    </w:p>
    <w:p>
      <w:pPr>
        <w:pStyle w:val="Style18"/>
        <w:keepNext w:val="0"/>
        <w:keepLines w:val="0"/>
        <w:widowControl w:val="0"/>
        <w:numPr>
          <w:ilvl w:val="0"/>
          <w:numId w:val="13"/>
        </w:numPr>
        <w:shd w:val="clear" w:color="auto" w:fill="auto"/>
        <w:bidi w:val="0"/>
        <w:spacing w:before="0" w:after="0" w:line="326" w:lineRule="auto"/>
        <w:ind w:left="0" w:right="0" w:firstLine="660"/>
        <w:jc w:val="left"/>
      </w:pPr>
      <w:bookmarkStart w:id="818" w:name="bookmark818"/>
      <w:bookmarkEnd w:id="818"/>
      <w:r>
        <w:rPr>
          <w:color w:val="000000"/>
          <w:spacing w:val="0"/>
          <w:w w:val="100"/>
          <w:position w:val="0"/>
        </w:rPr>
        <w:t>这些交易是同时或者在考虑了彼此影响的情况下订立的；</w:t>
      </w:r>
    </w:p>
    <w:p>
      <w:pPr>
        <w:pStyle w:val="Style18"/>
        <w:keepNext w:val="0"/>
        <w:keepLines w:val="0"/>
        <w:widowControl w:val="0"/>
        <w:shd w:val="clear" w:color="auto" w:fill="auto"/>
        <w:bidi w:val="0"/>
        <w:spacing w:before="0" w:after="0" w:line="326" w:lineRule="auto"/>
        <w:ind w:left="0" w:right="0" w:firstLine="660"/>
        <w:jc w:val="left"/>
      </w:pPr>
      <w:r>
        <w:rPr>
          <w:rFonts w:ascii="Times New Roman" w:eastAsia="Times New Roman" w:hAnsi="Times New Roman" w:cs="Times New Roman"/>
          <w:color w:val="000000"/>
          <w:spacing w:val="0"/>
          <w:w w:val="100"/>
          <w:position w:val="0"/>
        </w:rPr>
        <w:t>ii.</w:t>
      </w:r>
      <w:r>
        <w:rPr>
          <w:color w:val="000000"/>
          <w:spacing w:val="0"/>
          <w:w w:val="100"/>
          <w:position w:val="0"/>
        </w:rPr>
        <w:t>这些交易整体才能达成一项完整的商业结果；</w:t>
      </w:r>
    </w:p>
    <w:p>
      <w:pPr>
        <w:pStyle w:val="Style18"/>
        <w:keepNext w:val="0"/>
        <w:keepLines w:val="0"/>
        <w:widowControl w:val="0"/>
        <w:shd w:val="clear" w:color="auto" w:fill="auto"/>
        <w:bidi w:val="0"/>
        <w:spacing w:before="0" w:after="60" w:line="312" w:lineRule="exact"/>
        <w:ind w:left="0" w:right="0" w:firstLine="660"/>
        <w:jc w:val="left"/>
      </w:pPr>
      <w:r>
        <w:rPr>
          <w:color w:val="000000"/>
          <w:spacing w:val="0"/>
          <w:w w:val="100"/>
          <w:position w:val="0"/>
        </w:rPr>
        <w:t>苗.一项交易的发生取决于其他至少一项交易的发生；</w:t>
      </w:r>
    </w:p>
    <w:p>
      <w:pPr>
        <w:pStyle w:val="Style18"/>
        <w:keepNext w:val="0"/>
        <w:keepLines w:val="0"/>
        <w:widowControl w:val="0"/>
        <w:shd w:val="clear" w:color="auto" w:fill="auto"/>
        <w:bidi w:val="0"/>
        <w:spacing w:before="0" w:after="0" w:line="326" w:lineRule="auto"/>
        <w:ind w:left="0" w:right="0" w:firstLine="660"/>
        <w:jc w:val="left"/>
      </w:pPr>
      <w:r>
        <w:rPr>
          <w:rFonts w:ascii="Times New Roman" w:eastAsia="Times New Roman" w:hAnsi="Times New Roman" w:cs="Times New Roman"/>
          <w:color w:val="000000"/>
          <w:spacing w:val="0"/>
          <w:w w:val="100"/>
          <w:position w:val="0"/>
        </w:rPr>
        <w:t xml:space="preserve">iv. </w:t>
      </w:r>
      <w:r>
        <w:rPr>
          <w:color w:val="000000"/>
          <w:spacing w:val="0"/>
          <w:w w:val="100"/>
          <w:position w:val="0"/>
        </w:rPr>
        <w:t>一项交易单独看是不经济的，但是和其他交易一并考虑时是经济的。</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各项交易属于一揽子交易的，将各项交易作为一项处置子公司并丧失控制权的交易进行会计处理；在 丧失控制权之前每一次处置价款与处置投资对应的享有该子公司净资产份额的差额，在合并财务报表中确 认为其他综合收益，在丧失控制权时一并转入丧失控制权当期的损益。</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各项交易不属于一揽子交易的，在丧失控制权之前，按不丧失控制权的情况下部分处置对子公司的股 权投资进行会计处理；在丧失控制权时，按处置子公司一般处理方法进行会计处理。</w:t>
      </w:r>
    </w:p>
    <w:p>
      <w:pPr>
        <w:pStyle w:val="Style18"/>
        <w:keepNext w:val="0"/>
        <w:keepLines w:val="0"/>
        <w:widowControl w:val="0"/>
        <w:shd w:val="clear" w:color="auto" w:fill="auto"/>
        <w:tabs>
          <w:tab w:pos="493" w:val="left"/>
        </w:tabs>
        <w:bidi w:val="0"/>
        <w:spacing w:before="0" w:after="0" w:line="312" w:lineRule="exact"/>
        <w:ind w:left="0" w:right="0" w:firstLine="0"/>
        <w:jc w:val="left"/>
      </w:pPr>
      <w:bookmarkStart w:id="819" w:name="bookmark819"/>
      <w:r>
        <w:rPr>
          <w:color w:val="000000"/>
          <w:spacing w:val="0"/>
          <w:w w:val="100"/>
          <w:position w:val="0"/>
        </w:rPr>
        <w:t>（</w:t>
      </w:r>
      <w:bookmarkEnd w:id="819"/>
      <w:r>
        <w:rPr>
          <w:rFonts w:ascii="Times New Roman" w:eastAsia="Times New Roman" w:hAnsi="Times New Roman" w:cs="Times New Roman"/>
          <w:color w:val="000000"/>
          <w:spacing w:val="0"/>
          <w:w w:val="100"/>
          <w:position w:val="0"/>
        </w:rPr>
        <w:t>3</w:t>
      </w:r>
      <w:r>
        <w:rPr>
          <w:color w:val="000000"/>
          <w:spacing w:val="0"/>
          <w:w w:val="100"/>
          <w:position w:val="0"/>
        </w:rPr>
        <w:t>）</w:t>
        <w:tab/>
        <w:t>购买子公司少数股权</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因购买少数股权新取得的长期股权投资与按照新增持股比例计算应享有子公司自购买日或合并日开 始持续计算的净资产份额之间的差额，调整合并资产负债表中的资本公积中的股本溢价，资本公积中的股 本溢价不足冲减的，调整留存收益。</w:t>
      </w:r>
    </w:p>
    <w:p>
      <w:pPr>
        <w:pStyle w:val="Style18"/>
        <w:keepNext w:val="0"/>
        <w:keepLines w:val="0"/>
        <w:widowControl w:val="0"/>
        <w:shd w:val="clear" w:color="auto" w:fill="auto"/>
        <w:tabs>
          <w:tab w:pos="493" w:val="left"/>
        </w:tabs>
        <w:bidi w:val="0"/>
        <w:spacing w:before="0" w:after="0" w:line="312" w:lineRule="exact"/>
        <w:ind w:left="0" w:right="0" w:firstLine="0"/>
        <w:jc w:val="left"/>
      </w:pPr>
      <w:bookmarkStart w:id="820" w:name="bookmark820"/>
      <w:r>
        <w:rPr>
          <w:color w:val="000000"/>
          <w:spacing w:val="0"/>
          <w:w w:val="100"/>
          <w:position w:val="0"/>
        </w:rPr>
        <w:t>（</w:t>
      </w:r>
      <w:bookmarkEnd w:id="820"/>
      <w:r>
        <w:rPr>
          <w:rFonts w:ascii="Times New Roman" w:eastAsia="Times New Roman" w:hAnsi="Times New Roman" w:cs="Times New Roman"/>
          <w:color w:val="000000"/>
          <w:spacing w:val="0"/>
          <w:w w:val="100"/>
          <w:position w:val="0"/>
        </w:rPr>
        <w:t>4</w:t>
      </w:r>
      <w:r>
        <w:rPr>
          <w:color w:val="000000"/>
          <w:spacing w:val="0"/>
          <w:w w:val="100"/>
          <w:position w:val="0"/>
        </w:rPr>
        <w:t>）</w:t>
        <w:tab/>
        <w:t>不丧失控制权的情况下部分处置对子公司的股权投资</w:t>
      </w:r>
    </w:p>
    <w:p>
      <w:pPr>
        <w:pStyle w:val="Style18"/>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处置价款与处置长期股权投资相对应享有子公司自购买日或合并日开始持续计算的净资产份额之间 的差额，调整合并资产负债表中的资本公积中的股本溢价，资本公积中的股本溢价不足冲减的，调整留存 收益。</w:t>
      </w:r>
    </w:p>
    <w:p>
      <w:pPr>
        <w:pStyle w:val="Style33"/>
        <w:keepNext/>
        <w:keepLines/>
        <w:widowControl w:val="0"/>
        <w:shd w:val="clear" w:color="auto" w:fill="auto"/>
        <w:tabs>
          <w:tab w:pos="381" w:val="left"/>
        </w:tabs>
        <w:bidi w:val="0"/>
        <w:spacing w:before="0" w:after="200" w:line="326" w:lineRule="auto"/>
        <w:ind w:left="0" w:right="0" w:firstLine="0"/>
        <w:jc w:val="both"/>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7</w:t>
      </w:r>
      <w:bookmarkEnd w:id="823"/>
      <w:r>
        <w:rPr>
          <w:color w:val="000000"/>
          <w:spacing w:val="0"/>
          <w:w w:val="100"/>
          <w:position w:val="0"/>
        </w:rPr>
        <w:t>、</w:t>
        <w:tab/>
        <w:t>合营安排分类及共同经营会计处理方法</w:t>
      </w:r>
      <w:bookmarkEnd w:id="821"/>
      <w:bookmarkEnd w:id="822"/>
      <w:bookmarkEnd w:id="824"/>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合营安排分为共同经营和合营企业。</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共同经营，是指合营方享有该安排相关资产且承担该安排相关负债的合营安排。</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本公司确认与共同经营中利益份额相关的下列项目：</w:t>
      </w:r>
    </w:p>
    <w:p>
      <w:pPr>
        <w:pStyle w:val="Style18"/>
        <w:keepNext w:val="0"/>
        <w:keepLines w:val="0"/>
        <w:widowControl w:val="0"/>
        <w:shd w:val="clear" w:color="auto" w:fill="auto"/>
        <w:bidi w:val="0"/>
        <w:spacing w:before="0" w:after="0" w:line="312" w:lineRule="exact"/>
        <w:ind w:left="0" w:right="0" w:firstLine="0"/>
        <w:jc w:val="both"/>
      </w:pPr>
      <w:bookmarkStart w:id="825" w:name="bookmark825"/>
      <w:r>
        <w:rPr>
          <w:color w:val="000000"/>
          <w:spacing w:val="0"/>
          <w:w w:val="100"/>
          <w:position w:val="0"/>
        </w:rPr>
        <w:t>（</w:t>
      </w:r>
      <w:bookmarkEnd w:id="825"/>
      <w:r>
        <w:rPr>
          <w:rFonts w:ascii="Times New Roman" w:eastAsia="Times New Roman" w:hAnsi="Times New Roman" w:cs="Times New Roman"/>
          <w:color w:val="000000"/>
          <w:spacing w:val="0"/>
          <w:w w:val="100"/>
          <w:position w:val="0"/>
        </w:rPr>
        <w:t>1</w:t>
      </w:r>
      <w:r>
        <w:rPr>
          <w:color w:val="000000"/>
          <w:spacing w:val="0"/>
          <w:w w:val="100"/>
          <w:position w:val="0"/>
        </w:rPr>
        <w:t>） 确认本公司单独所持有的资产，以及按本公司份额确认共同持有的资产；</w:t>
      </w:r>
    </w:p>
    <w:p>
      <w:pPr>
        <w:pStyle w:val="Style18"/>
        <w:keepNext w:val="0"/>
        <w:keepLines w:val="0"/>
        <w:widowControl w:val="0"/>
        <w:shd w:val="clear" w:color="auto" w:fill="auto"/>
        <w:tabs>
          <w:tab w:pos="493" w:val="left"/>
        </w:tabs>
        <w:bidi w:val="0"/>
        <w:spacing w:before="0" w:after="0" w:line="312" w:lineRule="exact"/>
        <w:ind w:left="0" w:right="0" w:firstLine="0"/>
        <w:jc w:val="both"/>
      </w:pPr>
      <w:bookmarkStart w:id="826" w:name="bookmark826"/>
      <w:r>
        <w:rPr>
          <w:color w:val="000000"/>
          <w:spacing w:val="0"/>
          <w:w w:val="100"/>
          <w:position w:val="0"/>
        </w:rPr>
        <w:t>（</w:t>
      </w:r>
      <w:bookmarkEnd w:id="826"/>
      <w:r>
        <w:rPr>
          <w:rFonts w:ascii="Times New Roman" w:eastAsia="Times New Roman" w:hAnsi="Times New Roman" w:cs="Times New Roman"/>
          <w:color w:val="000000"/>
          <w:spacing w:val="0"/>
          <w:w w:val="100"/>
          <w:position w:val="0"/>
        </w:rPr>
        <w:t>2</w:t>
      </w:r>
      <w:r>
        <w:rPr>
          <w:color w:val="000000"/>
          <w:spacing w:val="0"/>
          <w:w w:val="100"/>
          <w:position w:val="0"/>
        </w:rPr>
        <w:t>）</w:t>
        <w:tab/>
        <w:t>确认本公司单独所承担的负债，以及按本公司份额确认共同承担的负债；</w:t>
      </w:r>
    </w:p>
    <w:p>
      <w:pPr>
        <w:pStyle w:val="Style18"/>
        <w:keepNext w:val="0"/>
        <w:keepLines w:val="0"/>
        <w:widowControl w:val="0"/>
        <w:shd w:val="clear" w:color="auto" w:fill="auto"/>
        <w:tabs>
          <w:tab w:pos="493" w:val="left"/>
        </w:tabs>
        <w:bidi w:val="0"/>
        <w:spacing w:before="0" w:after="0" w:line="312" w:lineRule="exact"/>
        <w:ind w:left="0" w:right="0" w:firstLine="0"/>
        <w:jc w:val="both"/>
      </w:pPr>
      <w:bookmarkStart w:id="827" w:name="bookmark827"/>
      <w:r>
        <w:rPr>
          <w:color w:val="000000"/>
          <w:spacing w:val="0"/>
          <w:w w:val="100"/>
          <w:position w:val="0"/>
        </w:rPr>
        <w:t>（</w:t>
      </w:r>
      <w:bookmarkEnd w:id="827"/>
      <w:r>
        <w:rPr>
          <w:rFonts w:ascii="Times New Roman" w:eastAsia="Times New Roman" w:hAnsi="Times New Roman" w:cs="Times New Roman"/>
          <w:color w:val="000000"/>
          <w:spacing w:val="0"/>
          <w:w w:val="100"/>
          <w:position w:val="0"/>
        </w:rPr>
        <w:t>3</w:t>
      </w:r>
      <w:r>
        <w:rPr>
          <w:color w:val="000000"/>
          <w:spacing w:val="0"/>
          <w:w w:val="100"/>
          <w:position w:val="0"/>
        </w:rPr>
        <w:t>）</w:t>
        <w:tab/>
        <w:t>确认出售本公司享有的共同经营产出份额所产生的收入；</w:t>
      </w:r>
    </w:p>
    <w:p>
      <w:pPr>
        <w:pStyle w:val="Style18"/>
        <w:keepNext w:val="0"/>
        <w:keepLines w:val="0"/>
        <w:widowControl w:val="0"/>
        <w:shd w:val="clear" w:color="auto" w:fill="auto"/>
        <w:tabs>
          <w:tab w:pos="493" w:val="left"/>
        </w:tabs>
        <w:bidi w:val="0"/>
        <w:spacing w:before="0" w:after="0" w:line="312" w:lineRule="exact"/>
        <w:ind w:left="0" w:right="0" w:firstLine="0"/>
        <w:jc w:val="both"/>
      </w:pPr>
      <w:bookmarkStart w:id="828" w:name="bookmark828"/>
      <w:r>
        <w:rPr>
          <w:color w:val="000000"/>
          <w:spacing w:val="0"/>
          <w:w w:val="100"/>
          <w:position w:val="0"/>
        </w:rPr>
        <w:t>（</w:t>
      </w:r>
      <w:bookmarkEnd w:id="828"/>
      <w:r>
        <w:rPr>
          <w:rFonts w:ascii="Times New Roman" w:eastAsia="Times New Roman" w:hAnsi="Times New Roman" w:cs="Times New Roman"/>
          <w:color w:val="000000"/>
          <w:spacing w:val="0"/>
          <w:w w:val="100"/>
          <w:position w:val="0"/>
        </w:rPr>
        <w:t>4</w:t>
      </w:r>
      <w:r>
        <w:rPr>
          <w:color w:val="000000"/>
          <w:spacing w:val="0"/>
          <w:w w:val="100"/>
          <w:position w:val="0"/>
        </w:rPr>
        <w:t>）</w:t>
        <w:tab/>
        <w:t>按本公司份额确认共同经营因出售产出所产生的收入；</w:t>
      </w:r>
    </w:p>
    <w:p>
      <w:pPr>
        <w:pStyle w:val="Style18"/>
        <w:keepNext w:val="0"/>
        <w:keepLines w:val="0"/>
        <w:widowControl w:val="0"/>
        <w:shd w:val="clear" w:color="auto" w:fill="auto"/>
        <w:tabs>
          <w:tab w:pos="493" w:val="left"/>
        </w:tabs>
        <w:bidi w:val="0"/>
        <w:spacing w:before="0" w:after="380" w:line="312" w:lineRule="exact"/>
        <w:ind w:left="0" w:right="0" w:firstLine="0"/>
        <w:jc w:val="both"/>
      </w:pPr>
      <w:bookmarkStart w:id="829" w:name="bookmark829"/>
      <w:r>
        <w:rPr>
          <w:color w:val="000000"/>
          <w:spacing w:val="0"/>
          <w:w w:val="100"/>
          <w:position w:val="0"/>
        </w:rPr>
        <w:t>（</w:t>
      </w:r>
      <w:bookmarkEnd w:id="829"/>
      <w:r>
        <w:rPr>
          <w:rFonts w:ascii="Times New Roman" w:eastAsia="Times New Roman" w:hAnsi="Times New Roman" w:cs="Times New Roman"/>
          <w:color w:val="000000"/>
          <w:spacing w:val="0"/>
          <w:w w:val="100"/>
          <w:position w:val="0"/>
        </w:rPr>
        <w:t>5</w:t>
      </w:r>
      <w:r>
        <w:rPr>
          <w:color w:val="000000"/>
          <w:spacing w:val="0"/>
          <w:w w:val="100"/>
          <w:position w:val="0"/>
        </w:rPr>
        <w:t>）</w:t>
        <w:tab/>
        <w:t>确认单独所发生的费用，以及按本公司份额确认共同经营发生的费用</w:t>
      </w:r>
    </w:p>
    <w:p>
      <w:pPr>
        <w:pStyle w:val="Style33"/>
        <w:keepNext/>
        <w:keepLines/>
        <w:widowControl w:val="0"/>
        <w:shd w:val="clear" w:color="auto" w:fill="auto"/>
        <w:tabs>
          <w:tab w:pos="381" w:val="left"/>
        </w:tabs>
        <w:bidi w:val="0"/>
        <w:spacing w:before="0" w:after="200" w:line="326" w:lineRule="auto"/>
        <w:ind w:left="0" w:right="0" w:firstLine="0"/>
        <w:jc w:val="both"/>
      </w:pPr>
      <w:bookmarkStart w:id="830" w:name="bookmark830"/>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8</w:t>
      </w:r>
      <w:bookmarkEnd w:id="832"/>
      <w:r>
        <w:rPr>
          <w:color w:val="000000"/>
          <w:spacing w:val="0"/>
          <w:w w:val="100"/>
          <w:position w:val="0"/>
        </w:rPr>
        <w:t>、</w:t>
        <w:tab/>
        <w:t>现金及现金等价物的确定标准</w:t>
      </w:r>
      <w:bookmarkEnd w:id="830"/>
      <w:bookmarkEnd w:id="831"/>
      <w:bookmarkEnd w:id="833"/>
    </w:p>
    <w:p>
      <w:pPr>
        <w:pStyle w:val="Style18"/>
        <w:keepNext w:val="0"/>
        <w:keepLines w:val="0"/>
        <w:widowControl w:val="0"/>
        <w:shd w:val="clear" w:color="auto" w:fill="auto"/>
        <w:bidi w:val="0"/>
        <w:spacing w:before="0" w:after="380" w:line="307" w:lineRule="exact"/>
        <w:ind w:left="0" w:right="0" w:firstLine="0"/>
        <w:jc w:val="both"/>
      </w:pPr>
      <w:r>
        <w:rPr>
          <w:color w:val="000000"/>
          <w:spacing w:val="0"/>
          <w:w w:val="100"/>
          <w:position w:val="0"/>
        </w:rPr>
        <w:t>现金，是指本公司的库存现金以及可以随时用于支付的存款。现金等价物，是指本公司持有的期限短、流 动性强、易于转换为已知金额的现金、价值变动风险很小的投资</w:t>
      </w:r>
      <w:r>
        <w:rPr>
          <w:rFonts w:ascii="Times New Roman" w:eastAsia="Times New Roman" w:hAnsi="Times New Roman" w:cs="Times New Roman"/>
          <w:color w:val="000000"/>
          <w:spacing w:val="0"/>
          <w:w w:val="100"/>
          <w:position w:val="0"/>
        </w:rPr>
        <w:t>.</w:t>
      </w:r>
    </w:p>
    <w:p>
      <w:pPr>
        <w:pStyle w:val="Style33"/>
        <w:keepNext/>
        <w:keepLines/>
        <w:widowControl w:val="0"/>
        <w:shd w:val="clear" w:color="auto" w:fill="auto"/>
        <w:tabs>
          <w:tab w:pos="381" w:val="left"/>
        </w:tabs>
        <w:bidi w:val="0"/>
        <w:spacing w:before="0" w:after="300" w:line="326" w:lineRule="auto"/>
        <w:ind w:left="0" w:right="0" w:firstLine="0"/>
        <w:jc w:val="both"/>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9</w:t>
      </w:r>
      <w:bookmarkEnd w:id="836"/>
      <w:r>
        <w:rPr>
          <w:color w:val="000000"/>
          <w:spacing w:val="0"/>
          <w:w w:val="100"/>
          <w:position w:val="0"/>
        </w:rPr>
        <w:t>、</w:t>
        <w:tab/>
        <w:t>外币业务和外币报表折算</w:t>
      </w:r>
      <w:bookmarkEnd w:id="834"/>
      <w:bookmarkEnd w:id="835"/>
      <w:bookmarkEnd w:id="837"/>
    </w:p>
    <w:p>
      <w:pPr>
        <w:pStyle w:val="Style33"/>
        <w:keepNext/>
        <w:keepLines/>
        <w:widowControl w:val="0"/>
        <w:shd w:val="clear" w:color="auto" w:fill="auto"/>
        <w:bidi w:val="0"/>
        <w:spacing w:before="0" w:after="0" w:line="326" w:lineRule="auto"/>
        <w:ind w:left="0" w:right="0" w:firstLine="0"/>
        <w:jc w:val="both"/>
      </w:pPr>
      <w:bookmarkStart w:id="834" w:name="bookmark834"/>
      <w:bookmarkStart w:id="835" w:name="bookmark835"/>
      <w:bookmarkStart w:id="838" w:name="bookmark838"/>
      <w:r>
        <w:rPr>
          <w:rFonts w:ascii="Times New Roman" w:eastAsia="Times New Roman" w:hAnsi="Times New Roman" w:cs="Times New Roman"/>
          <w:color w:val="000000"/>
          <w:spacing w:val="0"/>
          <w:w w:val="100"/>
          <w:position w:val="0"/>
        </w:rPr>
        <w:t>1</w:t>
      </w:r>
      <w:bookmarkEnd w:id="838"/>
      <w:r>
        <w:rPr>
          <w:color w:val="000000"/>
          <w:spacing w:val="0"/>
          <w:w w:val="100"/>
          <w:position w:val="0"/>
        </w:rPr>
        <w:t>、外币业务</w:t>
      </w:r>
      <w:bookmarkEnd w:id="834"/>
      <w:bookmarkEnd w:id="835"/>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外币业务采用交易发生日的即期汇率作为折算汇率将外币金额折合成人民币记账。</w:t>
      </w:r>
    </w:p>
    <w:p>
      <w:pPr>
        <w:pStyle w:val="Style1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 xml:space="preserve">资产负债表日外币货币性项目余额按资产负债表日即期汇率折算，由此产生的汇兑差额，除属于与购建符 合资本化条件的资产相关的外币专门借款产生的汇兑差额按照借款费用资本化的原则处理外，均计入当期 </w:t>
      </w:r>
      <w:r>
        <w:rPr>
          <w:color w:val="000000"/>
          <w:spacing w:val="0"/>
          <w:w w:val="100"/>
          <w:position w:val="0"/>
        </w:rPr>
        <w:t>损益。</w:t>
      </w:r>
    </w:p>
    <w:p>
      <w:pPr>
        <w:pStyle w:val="Style18"/>
        <w:keepNext w:val="0"/>
        <w:keepLines w:val="0"/>
        <w:widowControl w:val="0"/>
        <w:shd w:val="clear" w:color="auto" w:fill="auto"/>
        <w:bidi w:val="0"/>
        <w:spacing w:before="0" w:after="0" w:line="312" w:lineRule="exact"/>
        <w:ind w:left="0" w:right="0" w:firstLine="0"/>
        <w:jc w:val="left"/>
      </w:pPr>
      <w:bookmarkStart w:id="839" w:name="bookmark839"/>
      <w:r>
        <w:rPr>
          <w:rFonts w:ascii="Times New Roman" w:eastAsia="Times New Roman" w:hAnsi="Times New Roman" w:cs="Times New Roman"/>
          <w:b/>
          <w:bCs/>
          <w:color w:val="000000"/>
          <w:spacing w:val="0"/>
          <w:w w:val="100"/>
          <w:position w:val="0"/>
        </w:rPr>
        <w:t>2</w:t>
      </w:r>
      <w:bookmarkEnd w:id="839"/>
      <w:r>
        <w:rPr>
          <w:b/>
          <w:bCs/>
          <w:color w:val="000000"/>
          <w:spacing w:val="0"/>
          <w:w w:val="100"/>
          <w:position w:val="0"/>
        </w:rPr>
        <w:t>、外币财务报表的折算</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 目外，其他项目采用发生时的即期汇率折算。利润表中的收入和费用项目，采用交易发生日的即期汇率折 算。</w:t>
      </w:r>
    </w:p>
    <w:p>
      <w:pPr>
        <w:pStyle w:val="Style1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处置境外经营时，将与该境外经营相关的外币财务报表折算差额，自所有者权益项目转入处置当期损益。</w:t>
      </w:r>
    </w:p>
    <w:p>
      <w:pPr>
        <w:pStyle w:val="Style33"/>
        <w:keepNext/>
        <w:keepLines/>
        <w:widowControl w:val="0"/>
        <w:shd w:val="clear" w:color="auto" w:fill="auto"/>
        <w:bidi w:val="0"/>
        <w:spacing w:before="0" w:after="300" w:line="315" w:lineRule="exact"/>
        <w:ind w:left="0" w:right="0" w:firstLine="0"/>
        <w:jc w:val="both"/>
      </w:pPr>
      <w:bookmarkStart w:id="840" w:name="bookmark840"/>
      <w:bookmarkStart w:id="841" w:name="bookmark841"/>
      <w:bookmarkStart w:id="842" w:name="bookmark842"/>
      <w:bookmarkStart w:id="843" w:name="bookmark843"/>
      <w:r>
        <w:rPr>
          <w:rFonts w:ascii="Times New Roman" w:eastAsia="Times New Roman" w:hAnsi="Times New Roman" w:cs="Times New Roman"/>
          <w:color w:val="000000"/>
          <w:spacing w:val="0"/>
          <w:w w:val="100"/>
          <w:position w:val="0"/>
        </w:rPr>
        <w:t>1</w:t>
      </w:r>
      <w:bookmarkEnd w:id="842"/>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40"/>
      <w:bookmarkEnd w:id="841"/>
      <w:bookmarkEnd w:id="843"/>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本公司在成为金融工具合同的一方时，确认一项金融资产、金融负债或权益工具。</w:t>
      </w:r>
    </w:p>
    <w:p>
      <w:pPr>
        <w:pStyle w:val="Style18"/>
        <w:keepNext w:val="0"/>
        <w:keepLines w:val="0"/>
        <w:widowControl w:val="0"/>
        <w:shd w:val="clear" w:color="auto" w:fill="auto"/>
        <w:bidi w:val="0"/>
        <w:spacing w:before="0" w:after="0" w:line="315" w:lineRule="exact"/>
        <w:ind w:left="0" w:right="0" w:firstLine="0"/>
        <w:jc w:val="both"/>
      </w:pPr>
      <w:bookmarkStart w:id="844" w:name="bookmark844"/>
      <w:r>
        <w:rPr>
          <w:rFonts w:ascii="Times New Roman" w:eastAsia="Times New Roman" w:hAnsi="Times New Roman" w:cs="Times New Roman"/>
          <w:b/>
          <w:bCs/>
          <w:color w:val="000000"/>
          <w:spacing w:val="0"/>
          <w:w w:val="100"/>
          <w:position w:val="0"/>
        </w:rPr>
        <w:t>2</w:t>
      </w:r>
      <w:bookmarkEnd w:id="844"/>
      <w:r>
        <w:rPr>
          <w:b/>
          <w:bCs/>
          <w:color w:val="000000"/>
          <w:spacing w:val="0"/>
          <w:w w:val="100"/>
          <w:position w:val="0"/>
        </w:rPr>
        <w:t>、金融工具的分类</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根据本公司管理金融资产的业务模式和金融资产的合同现金流量特征，金融资产于初始确认时分类为：以 摊余成本计量的金融资产、以公允价值计量且其变动计入其他综合收益的金融资产和以公允价值计量且其 变动计入当期损益的金融资产。</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本公司将同时符合下列条件且未被指定为以公允价值计量且其变动计入当期损益的金融资产，分类为以摊 余成本计量的金融资产：</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-业务模式是以收取合同现金流量为目标；</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-合同现金流量仅为对本金和以未偿付本金金额为基础的利息的支付。</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本公司将同时符合下列条件且未被指定为以公允价值计量且其变动计入当期损益的金融资产，分类为以公 允价值计量且其变动计入其他综合收益的金融资产（债务工具）：</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-业务模式既以收取合同现金流量又以出售该金融资产为目标；</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-合同现金流量仅为对本金和以未偿付本金金额为基础的利息的支付。</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对于非交易性权益工具投资，本公司可以在初始确认时将其不可撤销地指定为以公允价值计量且其变动计 入其他综合收益的金融资产（权益工具）。该指定在单项投资的基础上作出，且相关投资从发行者的角度 符合权益工具的定义。</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除上述以摊余成本计量和以公允价值计量且其变动计入其他综合收益的金融资产外，本公司将其余所有的 金融资产分类为以公允价值计量且其变动计入当期损益的金融资产。在初始确认时，如果能够消除或显著 减少会计错配，本公司可以将本应分类为摊余成本计量或以公允价值计量且其变动计入其他综合收益的金 融资产不可撤销地指定为以公允价值计量且其变动计入当期损益的金融资产。</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金融负债于初始确认时分类为：以公允价值计量且其变动计入当期损益的金融负债和以摊余成本计量的金 融负债。</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符合以下条件之一的金融负债可在初始计量时指定为以公允价值计量且其变动计入当期损益的金融负债：</w:t>
      </w:r>
    </w:p>
    <w:p>
      <w:pPr>
        <w:pStyle w:val="Style18"/>
        <w:keepNext w:val="0"/>
        <w:keepLines w:val="0"/>
        <w:widowControl w:val="0"/>
        <w:shd w:val="clear" w:color="auto" w:fill="auto"/>
        <w:tabs>
          <w:tab w:pos="373" w:val="left"/>
        </w:tabs>
        <w:bidi w:val="0"/>
        <w:spacing w:before="0" w:after="0" w:line="315" w:lineRule="exact"/>
        <w:ind w:left="0" w:right="0" w:firstLine="0"/>
        <w:jc w:val="both"/>
      </w:pPr>
      <w:bookmarkStart w:id="845" w:name="bookmark845"/>
      <w:r>
        <w:rPr>
          <w:rFonts w:ascii="Times New Roman" w:eastAsia="Times New Roman" w:hAnsi="Times New Roman" w:cs="Times New Roman"/>
          <w:color w:val="000000"/>
          <w:spacing w:val="0"/>
          <w:w w:val="100"/>
          <w:position w:val="0"/>
        </w:rPr>
        <w:t>1</w:t>
      </w:r>
      <w:bookmarkEnd w:id="845"/>
      <w:r>
        <w:rPr>
          <w:color w:val="000000"/>
          <w:spacing w:val="0"/>
          <w:w w:val="100"/>
          <w:position w:val="0"/>
        </w:rPr>
        <w:t>）</w:t>
        <w:tab/>
        <w:t>该项指定能够消除或显著减少会计错配。</w:t>
      </w:r>
    </w:p>
    <w:p>
      <w:pPr>
        <w:pStyle w:val="Style18"/>
        <w:keepNext w:val="0"/>
        <w:keepLines w:val="0"/>
        <w:widowControl w:val="0"/>
        <w:shd w:val="clear" w:color="auto" w:fill="auto"/>
        <w:tabs>
          <w:tab w:pos="397" w:val="left"/>
        </w:tabs>
        <w:bidi w:val="0"/>
        <w:spacing w:before="0" w:after="0" w:line="315" w:lineRule="exact"/>
        <w:ind w:left="0" w:right="0" w:firstLine="0"/>
        <w:jc w:val="both"/>
      </w:pPr>
      <w:bookmarkStart w:id="846" w:name="bookmark846"/>
      <w:r>
        <w:rPr>
          <w:rFonts w:ascii="Times New Roman" w:eastAsia="Times New Roman" w:hAnsi="Times New Roman" w:cs="Times New Roman"/>
          <w:color w:val="000000"/>
          <w:spacing w:val="0"/>
          <w:w w:val="100"/>
          <w:position w:val="0"/>
        </w:rPr>
        <w:t>2</w:t>
      </w:r>
      <w:bookmarkEnd w:id="846"/>
      <w:r>
        <w:rPr>
          <w:color w:val="000000"/>
          <w:spacing w:val="0"/>
          <w:w w:val="100"/>
          <w:position w:val="0"/>
        </w:rPr>
        <w:t>）</w:t>
        <w:tab/>
        <w:t>根据正式书面文件载明的企业风险管理或投资策略，以公允价值为基础对金融负债组合或金融资产和 金融负债组合进行管理和业绩评价，并在企业内部以此为基础向关键管理人员报告。</w:t>
      </w:r>
    </w:p>
    <w:p>
      <w:pPr>
        <w:pStyle w:val="Style18"/>
        <w:keepNext w:val="0"/>
        <w:keepLines w:val="0"/>
        <w:widowControl w:val="0"/>
        <w:shd w:val="clear" w:color="auto" w:fill="auto"/>
        <w:tabs>
          <w:tab w:pos="392" w:val="left"/>
        </w:tabs>
        <w:bidi w:val="0"/>
        <w:spacing w:before="0" w:after="300" w:line="315" w:lineRule="exact"/>
        <w:ind w:left="0" w:right="0" w:firstLine="0"/>
        <w:jc w:val="both"/>
      </w:pPr>
      <w:bookmarkStart w:id="847" w:name="bookmark847"/>
      <w:r>
        <w:rPr>
          <w:rFonts w:ascii="Times New Roman" w:eastAsia="Times New Roman" w:hAnsi="Times New Roman" w:cs="Times New Roman"/>
          <w:color w:val="000000"/>
          <w:spacing w:val="0"/>
          <w:w w:val="100"/>
          <w:position w:val="0"/>
        </w:rPr>
        <w:t>3</w:t>
      </w:r>
      <w:bookmarkEnd w:id="847"/>
      <w:r>
        <w:rPr>
          <w:color w:val="000000"/>
          <w:spacing w:val="0"/>
          <w:w w:val="100"/>
          <w:position w:val="0"/>
        </w:rPr>
        <w:t>）</w:t>
        <w:tab/>
        <w:t>该金融负债包含需单独分拆的嵌入衍生工具。</w:t>
      </w:r>
    </w:p>
    <w:p>
      <w:pPr>
        <w:pStyle w:val="Style18"/>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b/>
          <w:bCs/>
          <w:color w:val="000000"/>
          <w:spacing w:val="0"/>
          <w:w w:val="100"/>
          <w:position w:val="0"/>
        </w:rPr>
        <w:t>2</w:t>
      </w:r>
      <w:r>
        <w:rPr>
          <w:b/>
          <w:bCs/>
          <w:color w:val="000000"/>
          <w:spacing w:val="0"/>
          <w:w w:val="100"/>
          <w:position w:val="0"/>
        </w:rPr>
        <w:t>、金融工具的确认依据和计量方法</w:t>
      </w:r>
    </w:p>
    <w:p>
      <w:pPr>
        <w:pStyle w:val="Style18"/>
        <w:keepNext w:val="0"/>
        <w:keepLines w:val="0"/>
        <w:widowControl w:val="0"/>
        <w:shd w:val="clear" w:color="auto" w:fill="auto"/>
        <w:bidi w:val="0"/>
        <w:spacing w:before="0" w:after="0" w:line="314" w:lineRule="exact"/>
        <w:ind w:left="0" w:right="0" w:firstLine="0"/>
        <w:jc w:val="both"/>
      </w:pPr>
      <w:bookmarkStart w:id="848" w:name="bookmark848"/>
      <w:r>
        <w:rPr>
          <w:color w:val="000000"/>
          <w:spacing w:val="0"/>
          <w:w w:val="100"/>
          <w:position w:val="0"/>
        </w:rPr>
        <w:t>（</w:t>
      </w:r>
      <w:bookmarkEnd w:id="848"/>
      <w:r>
        <w:rPr>
          <w:rFonts w:ascii="Times New Roman" w:eastAsia="Times New Roman" w:hAnsi="Times New Roman" w:cs="Times New Roman"/>
          <w:color w:val="000000"/>
          <w:spacing w:val="0"/>
          <w:w w:val="100"/>
          <w:position w:val="0"/>
        </w:rPr>
        <w:t>1</w:t>
      </w:r>
      <w:r>
        <w:rPr>
          <w:color w:val="000000"/>
          <w:spacing w:val="0"/>
          <w:w w:val="100"/>
          <w:position w:val="0"/>
        </w:rPr>
        <w:t>）以摊余成本计量的金融资产</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以摊余成本计量的金融资产包括应收票据、应收账款、其他应收款、长期应收款、债权投资等，按公允价 值进行初始计量，相关交易费用计入初始确认金额；不包含重大融资成分的应收账款以及本公司决定不考 虑不超过一年的融资成分的应收账款，以合同交易价格进行初始计量。</w:t>
      </w:r>
    </w:p>
    <w:p>
      <w:pPr>
        <w:pStyle w:val="Style18"/>
        <w:keepNext w:val="0"/>
        <w:keepLines w:val="0"/>
        <w:widowControl w:val="0"/>
        <w:shd w:val="clear" w:color="auto" w:fill="auto"/>
        <w:bidi w:val="0"/>
        <w:spacing w:before="0" w:after="300" w:line="314" w:lineRule="exact"/>
        <w:ind w:left="0" w:right="0" w:firstLine="0"/>
        <w:jc w:val="both"/>
      </w:pPr>
      <w:r>
        <w:rPr>
          <w:color w:val="000000"/>
          <w:spacing w:val="0"/>
          <w:w w:val="100"/>
          <w:position w:val="0"/>
        </w:rPr>
        <w:t>持有期间采用实际利率法计算的利息计入当期损益。</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收回或处置时，将取得的价款与该金融资产账面价值之间的差额计入当期损益。</w:t>
      </w:r>
    </w:p>
    <w:p>
      <w:pPr>
        <w:pStyle w:val="Style18"/>
        <w:keepNext w:val="0"/>
        <w:keepLines w:val="0"/>
        <w:widowControl w:val="0"/>
        <w:shd w:val="clear" w:color="auto" w:fill="auto"/>
        <w:tabs>
          <w:tab w:pos="493" w:val="left"/>
        </w:tabs>
        <w:bidi w:val="0"/>
        <w:spacing w:before="0" w:after="0" w:line="311" w:lineRule="exact"/>
        <w:ind w:left="0" w:right="0" w:firstLine="0"/>
        <w:jc w:val="both"/>
      </w:pPr>
      <w:bookmarkStart w:id="849" w:name="bookmark849"/>
      <w:r>
        <w:rPr>
          <w:color w:val="000000"/>
          <w:spacing w:val="0"/>
          <w:w w:val="100"/>
          <w:position w:val="0"/>
        </w:rPr>
        <w:t>（</w:t>
      </w:r>
      <w:bookmarkEnd w:id="849"/>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以公允价值计量且其变动计入其他综合收益的金融资产（债务工具）</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以公允价值计量且其变动计入其他综合收益的金融资产（债务工具）包括应收款项融资、其他债权投资等， 按公允价值进行初始计量，相关交易费用计入初始确认金额。该金融资产按公允价值进行后续计量，公允 价值变动除采用实际利率法计算的利息、减值损失或利得和汇兑损益之外，均计入其他综合收益。</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终止确认时，之前计入其他综合收益的累计利得或损失从其他综合收益中转出，计入当期损益。</w:t>
      </w:r>
    </w:p>
    <w:p>
      <w:pPr>
        <w:pStyle w:val="Style18"/>
        <w:keepNext w:val="0"/>
        <w:keepLines w:val="0"/>
        <w:widowControl w:val="0"/>
        <w:shd w:val="clear" w:color="auto" w:fill="auto"/>
        <w:tabs>
          <w:tab w:pos="493" w:val="left"/>
        </w:tabs>
        <w:bidi w:val="0"/>
        <w:spacing w:before="0" w:after="0" w:line="311" w:lineRule="exact"/>
        <w:ind w:left="0" w:right="0" w:firstLine="0"/>
        <w:jc w:val="both"/>
      </w:pPr>
      <w:bookmarkStart w:id="850" w:name="bookmark850"/>
      <w:r>
        <w:rPr>
          <w:color w:val="000000"/>
          <w:spacing w:val="0"/>
          <w:w w:val="100"/>
          <w:position w:val="0"/>
        </w:rPr>
        <w:t>（</w:t>
      </w:r>
      <w:bookmarkEnd w:id="850"/>
      <w:r>
        <w:rPr>
          <w:rFonts w:ascii="Times New Roman" w:eastAsia="Times New Roman" w:hAnsi="Times New Roman" w:cs="Times New Roman"/>
          <w:color w:val="000000"/>
          <w:spacing w:val="0"/>
          <w:w w:val="100"/>
          <w:position w:val="0"/>
        </w:rPr>
        <w:t>3</w:t>
      </w:r>
      <w:r>
        <w:rPr>
          <w:color w:val="000000"/>
          <w:spacing w:val="0"/>
          <w:w w:val="100"/>
          <w:position w:val="0"/>
        </w:rPr>
        <w:t>）</w:t>
        <w:tab/>
        <w:t>以公允价值计量且其变动计入其他综合收益的金融资产（权益工具）</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以公允价值计量且其变动计入其他综合收益的金融资产（权益工具）包括其他权益工具投资等，按公允价 值进行初始计量，相关交易费用计入初始确认金额。该金融资产按公允价值进行后续计量，公允价值变动 计入其他综合收益。取得的股利计入当期损益。</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终止确认时，之前计入其他综合收益的累计利得或损失从其他综合收益中转出，计入留存收益。</w:t>
      </w:r>
    </w:p>
    <w:p>
      <w:pPr>
        <w:pStyle w:val="Style18"/>
        <w:keepNext w:val="0"/>
        <w:keepLines w:val="0"/>
        <w:widowControl w:val="0"/>
        <w:shd w:val="clear" w:color="auto" w:fill="auto"/>
        <w:tabs>
          <w:tab w:pos="493" w:val="left"/>
        </w:tabs>
        <w:bidi w:val="0"/>
        <w:spacing w:before="0" w:after="0" w:line="311" w:lineRule="exact"/>
        <w:ind w:left="0" w:right="0" w:firstLine="0"/>
        <w:jc w:val="both"/>
      </w:pPr>
      <w:bookmarkStart w:id="851" w:name="bookmark851"/>
      <w:r>
        <w:rPr>
          <w:color w:val="000000"/>
          <w:spacing w:val="0"/>
          <w:w w:val="100"/>
          <w:position w:val="0"/>
        </w:rPr>
        <w:t>（</w:t>
      </w:r>
      <w:bookmarkEnd w:id="851"/>
      <w:r>
        <w:rPr>
          <w:rFonts w:ascii="Times New Roman" w:eastAsia="Times New Roman" w:hAnsi="Times New Roman" w:cs="Times New Roman"/>
          <w:color w:val="000000"/>
          <w:spacing w:val="0"/>
          <w:w w:val="100"/>
          <w:position w:val="0"/>
        </w:rPr>
        <w:t>4</w:t>
      </w:r>
      <w:r>
        <w:rPr>
          <w:color w:val="000000"/>
          <w:spacing w:val="0"/>
          <w:w w:val="100"/>
          <w:position w:val="0"/>
        </w:rPr>
        <w:t>）</w:t>
        <w:tab/>
        <w:t>以公允价值计量且其变动计入当期损益的金融资产</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以公允价值计量且其变动计入当期损益的金融资产包括交易性金融资产、衍生金融资产、其他非流动金融 资产等，按公允价值进行初始计量，相关交易费用计入当期损益。该金融资产按公允价值进行后续计量， 公允价值变动计入当期损益。</w:t>
      </w:r>
    </w:p>
    <w:p>
      <w:pPr>
        <w:pStyle w:val="Style18"/>
        <w:keepNext w:val="0"/>
        <w:keepLines w:val="0"/>
        <w:widowControl w:val="0"/>
        <w:shd w:val="clear" w:color="auto" w:fill="auto"/>
        <w:tabs>
          <w:tab w:pos="493" w:val="left"/>
        </w:tabs>
        <w:bidi w:val="0"/>
        <w:spacing w:before="0" w:after="0" w:line="311" w:lineRule="exact"/>
        <w:ind w:left="0" w:right="0" w:firstLine="0"/>
        <w:jc w:val="both"/>
      </w:pPr>
      <w:bookmarkStart w:id="852" w:name="bookmark852"/>
      <w:r>
        <w:rPr>
          <w:color w:val="000000"/>
          <w:spacing w:val="0"/>
          <w:w w:val="100"/>
          <w:position w:val="0"/>
        </w:rPr>
        <w:t>（</w:t>
      </w:r>
      <w:bookmarkEnd w:id="852"/>
      <w:r>
        <w:rPr>
          <w:rFonts w:ascii="Times New Roman" w:eastAsia="Times New Roman" w:hAnsi="Times New Roman" w:cs="Times New Roman"/>
          <w:color w:val="000000"/>
          <w:spacing w:val="0"/>
          <w:w w:val="100"/>
          <w:position w:val="0"/>
        </w:rPr>
        <w:t>5</w:t>
      </w:r>
      <w:r>
        <w:rPr>
          <w:color w:val="000000"/>
          <w:spacing w:val="0"/>
          <w:w w:val="100"/>
          <w:position w:val="0"/>
        </w:rPr>
        <w:t>）</w:t>
        <w:tab/>
        <w:t>以公允价值计量且其变动计入当期损益的金融负债</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以公允价值计量且其变动计入当期损益的金融负债包括交易性金融负债、衍生金融负债等，按公允价值进 行初始计量，相关交易费用计入当期损益。该金融负债按公允价值进行后续计量，公允价值变动计入当期 损益。</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终止确认时，其账面价值与支付的对价之间的差额计入当期损益。</w:t>
      </w:r>
    </w:p>
    <w:p>
      <w:pPr>
        <w:pStyle w:val="Style18"/>
        <w:keepNext w:val="0"/>
        <w:keepLines w:val="0"/>
        <w:widowControl w:val="0"/>
        <w:shd w:val="clear" w:color="auto" w:fill="auto"/>
        <w:tabs>
          <w:tab w:pos="493" w:val="left"/>
        </w:tabs>
        <w:bidi w:val="0"/>
        <w:spacing w:before="0" w:after="0" w:line="311" w:lineRule="exact"/>
        <w:ind w:left="0" w:right="0" w:firstLine="0"/>
        <w:jc w:val="both"/>
      </w:pPr>
      <w:bookmarkStart w:id="853" w:name="bookmark853"/>
      <w:r>
        <w:rPr>
          <w:color w:val="000000"/>
          <w:spacing w:val="0"/>
          <w:w w:val="100"/>
          <w:position w:val="0"/>
        </w:rPr>
        <w:t>（</w:t>
      </w:r>
      <w:bookmarkEnd w:id="853"/>
      <w:r>
        <w:rPr>
          <w:rFonts w:ascii="Times New Roman" w:eastAsia="Times New Roman" w:hAnsi="Times New Roman" w:cs="Times New Roman"/>
          <w:color w:val="000000"/>
          <w:spacing w:val="0"/>
          <w:w w:val="100"/>
          <w:position w:val="0"/>
        </w:rPr>
        <w:t>6</w:t>
      </w:r>
      <w:r>
        <w:rPr>
          <w:color w:val="000000"/>
          <w:spacing w:val="0"/>
          <w:w w:val="100"/>
          <w:position w:val="0"/>
        </w:rPr>
        <w:t>）</w:t>
        <w:tab/>
        <w:t>以摊余成本计量的金融负债</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以摊余成本计量的金融负债包括短期借款、应付票据、应付账款、其他应付款、长期借款、应付债券、长 期应付款，按公允价值进行初始计量，相关交易费用计入初始确认金额。</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持有期间采用实际利率法计算的利息计入当期损益。</w:t>
      </w:r>
    </w:p>
    <w:p>
      <w:pPr>
        <w:pStyle w:val="Style18"/>
        <w:keepNext w:val="0"/>
        <w:keepLines w:val="0"/>
        <w:widowControl w:val="0"/>
        <w:shd w:val="clear" w:color="auto" w:fill="auto"/>
        <w:bidi w:val="0"/>
        <w:spacing w:before="0" w:after="380" w:line="311" w:lineRule="exact"/>
        <w:ind w:left="0" w:right="0" w:firstLine="0"/>
        <w:jc w:val="both"/>
      </w:pPr>
      <w:r>
        <w:rPr>
          <w:color w:val="000000"/>
          <w:spacing w:val="0"/>
          <w:w w:val="100"/>
          <w:position w:val="0"/>
        </w:rPr>
        <w:t>终止确认时，将支付的对价与该金融负债账面价值之间的差额计入当期损益。</w:t>
      </w:r>
    </w:p>
    <w:p>
      <w:pPr>
        <w:pStyle w:val="Style18"/>
        <w:keepNext w:val="0"/>
        <w:keepLines w:val="0"/>
        <w:widowControl w:val="0"/>
        <w:shd w:val="clear" w:color="auto" w:fill="auto"/>
        <w:bidi w:val="0"/>
        <w:spacing w:before="0" w:after="0" w:line="331" w:lineRule="auto"/>
        <w:ind w:left="0" w:right="0" w:firstLine="0"/>
        <w:jc w:val="both"/>
      </w:pPr>
      <w:bookmarkStart w:id="854" w:name="bookmark854"/>
      <w:r>
        <w:rPr>
          <w:rFonts w:ascii="Times New Roman" w:eastAsia="Times New Roman" w:hAnsi="Times New Roman" w:cs="Times New Roman"/>
          <w:b/>
          <w:bCs/>
          <w:color w:val="000000"/>
          <w:spacing w:val="0"/>
          <w:w w:val="100"/>
          <w:position w:val="0"/>
        </w:rPr>
        <w:t>3</w:t>
      </w:r>
      <w:bookmarkEnd w:id="854"/>
      <w:r>
        <w:rPr>
          <w:b/>
          <w:bCs/>
          <w:color w:val="000000"/>
          <w:spacing w:val="0"/>
          <w:w w:val="100"/>
          <w:position w:val="0"/>
        </w:rPr>
        <w:t>、金融资产终止确认和金融资产转移</w:t>
      </w:r>
    </w:p>
    <w:p>
      <w:pPr>
        <w:pStyle w:val="Style18"/>
        <w:keepNext w:val="0"/>
        <w:keepLines w:val="0"/>
        <w:widowControl w:val="0"/>
        <w:shd w:val="clear" w:color="auto" w:fill="auto"/>
        <w:bidi w:val="0"/>
        <w:spacing w:before="0" w:after="0" w:line="318" w:lineRule="exact"/>
        <w:ind w:left="0" w:right="0" w:firstLine="0"/>
        <w:jc w:val="both"/>
      </w:pPr>
      <w:r>
        <w:rPr>
          <w:color w:val="000000"/>
          <w:spacing w:val="0"/>
          <w:w w:val="100"/>
          <w:position w:val="0"/>
        </w:rPr>
        <w:t>满足下列条件之一时，本公司终止确认金融资产：</w:t>
      </w:r>
    </w:p>
    <w:p>
      <w:pPr>
        <w:pStyle w:val="Style18"/>
        <w:keepNext w:val="0"/>
        <w:keepLines w:val="0"/>
        <w:widowControl w:val="0"/>
        <w:shd w:val="clear" w:color="auto" w:fill="auto"/>
        <w:bidi w:val="0"/>
        <w:spacing w:before="0" w:after="0" w:line="318" w:lineRule="exact"/>
        <w:ind w:left="0" w:right="0" w:firstLine="0"/>
        <w:jc w:val="both"/>
      </w:pPr>
      <w:r>
        <w:rPr>
          <w:color w:val="000000"/>
          <w:spacing w:val="0"/>
          <w:w w:val="100"/>
          <w:position w:val="0"/>
        </w:rPr>
        <w:t>-收取金融资产现金流量的合同权利终止；</w:t>
      </w:r>
    </w:p>
    <w:p>
      <w:pPr>
        <w:pStyle w:val="Style18"/>
        <w:keepNext w:val="0"/>
        <w:keepLines w:val="0"/>
        <w:widowControl w:val="0"/>
        <w:shd w:val="clear" w:color="auto" w:fill="auto"/>
        <w:bidi w:val="0"/>
        <w:spacing w:before="0" w:after="0" w:line="318" w:lineRule="exact"/>
        <w:ind w:left="0" w:right="0" w:firstLine="0"/>
        <w:jc w:val="both"/>
      </w:pPr>
      <w:r>
        <w:rPr>
          <w:color w:val="000000"/>
          <w:spacing w:val="0"/>
          <w:w w:val="100"/>
          <w:position w:val="0"/>
        </w:rPr>
        <w:t>-金融资产已转移，且已将金融资产所有权上几乎所有的风险和报酬转移给转入方；</w:t>
      </w:r>
    </w:p>
    <w:p>
      <w:pPr>
        <w:pStyle w:val="Style18"/>
        <w:keepNext w:val="0"/>
        <w:keepLines w:val="0"/>
        <w:widowControl w:val="0"/>
        <w:shd w:val="clear" w:color="auto" w:fill="auto"/>
        <w:bidi w:val="0"/>
        <w:spacing w:before="0" w:after="0" w:line="318" w:lineRule="exact"/>
        <w:ind w:left="0" w:right="0" w:firstLine="0"/>
        <w:jc w:val="both"/>
      </w:pPr>
      <w:r>
        <w:rPr>
          <w:color w:val="000000"/>
          <w:spacing w:val="0"/>
          <w:w w:val="100"/>
          <w:position w:val="0"/>
        </w:rPr>
        <w:t>-金融资产已转移，虽然本公司既没有转移也没有保留金融资产所有权上几乎所有的风险和报酬，但是 未保留对金融资产的控制。</w:t>
      </w:r>
    </w:p>
    <w:p>
      <w:pPr>
        <w:pStyle w:val="Style18"/>
        <w:keepNext w:val="0"/>
        <w:keepLines w:val="0"/>
        <w:widowControl w:val="0"/>
        <w:shd w:val="clear" w:color="auto" w:fill="auto"/>
        <w:bidi w:val="0"/>
        <w:spacing w:before="0" w:after="0" w:line="318" w:lineRule="exact"/>
        <w:ind w:left="0" w:right="0" w:firstLine="0"/>
        <w:jc w:val="both"/>
      </w:pPr>
      <w:r>
        <w:rPr>
          <w:color w:val="000000"/>
          <w:spacing w:val="0"/>
          <w:w w:val="100"/>
          <w:position w:val="0"/>
        </w:rPr>
        <w:t>发生金融资产转移时，如保留了金融资产所有权上几乎所有的风险和报酬的，则不终止确认该金融资产。 在判断金融资产转移是否满足上述金融资产终止确认条件时，采用实质重于形式的原则。</w:t>
      </w:r>
    </w:p>
    <w:p>
      <w:pPr>
        <w:pStyle w:val="Style18"/>
        <w:keepNext w:val="0"/>
        <w:keepLines w:val="0"/>
        <w:widowControl w:val="0"/>
        <w:shd w:val="clear" w:color="auto" w:fill="auto"/>
        <w:bidi w:val="0"/>
        <w:spacing w:before="0" w:after="0" w:line="318" w:lineRule="exact"/>
        <w:ind w:left="0" w:right="0" w:firstLine="0"/>
        <w:jc w:val="both"/>
      </w:pPr>
      <w:r>
        <w:rPr>
          <w:color w:val="000000"/>
          <w:spacing w:val="0"/>
          <w:w w:val="100"/>
          <w:position w:val="0"/>
        </w:rPr>
        <w:t>公司将金融资产转移区分为金融资产整体转移和部分转移。金融资产整体转移满足终止确认条件的，将下 列两项金额的差额计入当期损益：</w:t>
      </w:r>
    </w:p>
    <w:p>
      <w:pPr>
        <w:pStyle w:val="Style18"/>
        <w:keepNext w:val="0"/>
        <w:keepLines w:val="0"/>
        <w:widowControl w:val="0"/>
        <w:shd w:val="clear" w:color="auto" w:fill="auto"/>
        <w:tabs>
          <w:tab w:pos="493" w:val="left"/>
        </w:tabs>
        <w:bidi w:val="0"/>
        <w:spacing w:before="0" w:after="0" w:line="318" w:lineRule="exact"/>
        <w:ind w:left="0" w:right="0" w:firstLine="0"/>
        <w:jc w:val="both"/>
      </w:pPr>
      <w:bookmarkStart w:id="855" w:name="bookmark855"/>
      <w:r>
        <w:rPr>
          <w:color w:val="000000"/>
          <w:spacing w:val="0"/>
          <w:w w:val="100"/>
          <w:position w:val="0"/>
        </w:rPr>
        <w:t>（</w:t>
      </w:r>
      <w:bookmarkEnd w:id="855"/>
      <w:r>
        <w:rPr>
          <w:rFonts w:ascii="Times New Roman" w:eastAsia="Times New Roman" w:hAnsi="Times New Roman" w:cs="Times New Roman"/>
          <w:color w:val="000000"/>
          <w:spacing w:val="0"/>
          <w:w w:val="100"/>
          <w:position w:val="0"/>
        </w:rPr>
        <w:t>1</w:t>
      </w:r>
      <w:r>
        <w:rPr>
          <w:color w:val="000000"/>
          <w:spacing w:val="0"/>
          <w:w w:val="100"/>
          <w:position w:val="0"/>
        </w:rPr>
        <w:t>）</w:t>
        <w:tab/>
        <w:t>所转移金融资产的账面价值；</w:t>
      </w:r>
    </w:p>
    <w:p>
      <w:pPr>
        <w:pStyle w:val="Style18"/>
        <w:keepNext w:val="0"/>
        <w:keepLines w:val="0"/>
        <w:widowControl w:val="0"/>
        <w:shd w:val="clear" w:color="auto" w:fill="auto"/>
        <w:tabs>
          <w:tab w:pos="603" w:val="left"/>
        </w:tabs>
        <w:bidi w:val="0"/>
        <w:spacing w:before="0" w:after="0" w:line="318" w:lineRule="exact"/>
        <w:ind w:left="0" w:right="0" w:firstLine="0"/>
        <w:jc w:val="both"/>
      </w:pPr>
      <w:bookmarkStart w:id="856" w:name="bookmark856"/>
      <w:r>
        <w:rPr>
          <w:color w:val="000000"/>
          <w:spacing w:val="0"/>
          <w:w w:val="100"/>
          <w:position w:val="0"/>
        </w:rPr>
        <w:t>（</w:t>
      </w:r>
      <w:bookmarkEnd w:id="856"/>
      <w:r>
        <w:rPr>
          <w:rFonts w:ascii="Times New Roman" w:eastAsia="Times New Roman" w:hAnsi="Times New Roman" w:cs="Times New Roman"/>
          <w:color w:val="000000"/>
          <w:spacing w:val="0"/>
          <w:w w:val="100"/>
          <w:position w:val="0"/>
        </w:rPr>
        <w:t>2</w:t>
      </w:r>
      <w:r>
        <w:rPr>
          <w:color w:val="000000"/>
          <w:spacing w:val="0"/>
          <w:w w:val="100"/>
          <w:position w:val="0"/>
        </w:rPr>
        <w:t>）</w:t>
        <w:tab/>
        <w:t>因转移而收到的对价，与原直接计入所有者权益的公允价值变动累计额（涉及转移的金融资产为以 公允价值计量且其变动计入其他综合收益的金融资产（债务工具）的情形）之和。</w:t>
      </w:r>
    </w:p>
    <w:p>
      <w:pPr>
        <w:pStyle w:val="Style18"/>
        <w:keepNext w:val="0"/>
        <w:keepLines w:val="0"/>
        <w:widowControl w:val="0"/>
        <w:shd w:val="clear" w:color="auto" w:fill="auto"/>
        <w:bidi w:val="0"/>
        <w:spacing w:before="0" w:after="0" w:line="318" w:lineRule="exact"/>
        <w:ind w:left="0" w:right="0" w:firstLine="0"/>
        <w:jc w:val="both"/>
      </w:pPr>
      <w:r>
        <w:rPr>
          <w:color w:val="000000"/>
          <w:spacing w:val="0"/>
          <w:w w:val="100"/>
          <w:position w:val="0"/>
        </w:rPr>
        <w:t>金融资产部分转移满足终止确认条件的，将所转移金融资产整体的账面价值，在终止确认部分和未终止确 认部分之间，按照各自的相对公允价值进行分摊，并将下列两项金额的差额计入当期损益：</w:t>
      </w:r>
    </w:p>
    <w:p>
      <w:pPr>
        <w:pStyle w:val="Style18"/>
        <w:keepNext w:val="0"/>
        <w:keepLines w:val="0"/>
        <w:widowControl w:val="0"/>
        <w:shd w:val="clear" w:color="auto" w:fill="auto"/>
        <w:tabs>
          <w:tab w:pos="493" w:val="left"/>
        </w:tabs>
        <w:bidi w:val="0"/>
        <w:spacing w:before="0" w:after="0" w:line="318" w:lineRule="exact"/>
        <w:ind w:left="0" w:right="0" w:firstLine="0"/>
        <w:jc w:val="both"/>
      </w:pPr>
      <w:bookmarkStart w:id="857" w:name="bookmark857"/>
      <w:r>
        <w:rPr>
          <w:color w:val="000000"/>
          <w:spacing w:val="0"/>
          <w:w w:val="100"/>
          <w:position w:val="0"/>
        </w:rPr>
        <w:t>（</w:t>
      </w:r>
      <w:bookmarkEnd w:id="857"/>
      <w:r>
        <w:rPr>
          <w:rFonts w:ascii="Times New Roman" w:eastAsia="Times New Roman" w:hAnsi="Times New Roman" w:cs="Times New Roman"/>
          <w:color w:val="000000"/>
          <w:spacing w:val="0"/>
          <w:w w:val="100"/>
          <w:position w:val="0"/>
        </w:rPr>
        <w:t>1</w:t>
      </w:r>
      <w:r>
        <w:rPr>
          <w:color w:val="000000"/>
          <w:spacing w:val="0"/>
          <w:w w:val="100"/>
          <w:position w:val="0"/>
        </w:rPr>
        <w:t>）</w:t>
        <w:tab/>
        <w:t>终止确认部分的账面价值；</w:t>
      </w:r>
    </w:p>
    <w:p>
      <w:pPr>
        <w:pStyle w:val="Style18"/>
        <w:keepNext w:val="0"/>
        <w:keepLines w:val="0"/>
        <w:widowControl w:val="0"/>
        <w:shd w:val="clear" w:color="auto" w:fill="auto"/>
        <w:bidi w:val="0"/>
        <w:spacing w:before="0" w:after="0" w:line="318" w:lineRule="exact"/>
        <w:ind w:left="0" w:right="0" w:firstLine="0"/>
        <w:jc w:val="both"/>
      </w:pPr>
      <w:bookmarkStart w:id="858" w:name="bookmark858"/>
      <w:r>
        <w:rPr>
          <w:color w:val="000000"/>
          <w:spacing w:val="0"/>
          <w:w w:val="100"/>
          <w:position w:val="0"/>
        </w:rPr>
        <w:t>（</w:t>
      </w:r>
      <w:bookmarkEnd w:id="858"/>
      <w:r>
        <w:rPr>
          <w:rFonts w:ascii="Times New Roman" w:eastAsia="Times New Roman" w:hAnsi="Times New Roman" w:cs="Times New Roman"/>
          <w:color w:val="000000"/>
          <w:spacing w:val="0"/>
          <w:w w:val="100"/>
          <w:position w:val="0"/>
        </w:rPr>
        <w:t>2</w:t>
      </w:r>
      <w:r>
        <w:rPr>
          <w:color w:val="000000"/>
          <w:spacing w:val="0"/>
          <w:w w:val="100"/>
          <w:position w:val="0"/>
        </w:rPr>
        <w:t xml:space="preserve">） 终止确认部分的对价，与原直接计入所有者权益的公允价值变动累计额中对应终止确认部分的金额 （涉及转移的金融资产为以公允价值计量且其变动计入其他综合收益的金融资产（债务工具）的情形）之 </w:t>
      </w:r>
      <w:r>
        <w:rPr>
          <w:color w:val="000000"/>
          <w:spacing w:val="0"/>
          <w:w w:val="100"/>
          <w:position w:val="0"/>
        </w:rPr>
        <w:t>和。</w:t>
      </w:r>
    </w:p>
    <w:p>
      <w:pPr>
        <w:pStyle w:val="Style18"/>
        <w:keepNext w:val="0"/>
        <w:keepLines w:val="0"/>
        <w:widowControl w:val="0"/>
        <w:shd w:val="clear" w:color="auto" w:fill="auto"/>
        <w:bidi w:val="0"/>
        <w:spacing w:before="0" w:after="380" w:line="313" w:lineRule="exact"/>
        <w:ind w:left="0" w:right="0" w:firstLine="0"/>
        <w:jc w:val="both"/>
      </w:pPr>
      <w:r>
        <w:rPr>
          <w:color w:val="000000"/>
          <w:spacing w:val="0"/>
          <w:w w:val="100"/>
          <w:position w:val="0"/>
        </w:rPr>
        <w:t>金融资产转移不满足终止确认条件的，继续确认该金融资产，所收到的对价确认为一项金融负债。</w:t>
      </w:r>
    </w:p>
    <w:p>
      <w:pPr>
        <w:pStyle w:val="Style18"/>
        <w:keepNext w:val="0"/>
        <w:keepLines w:val="0"/>
        <w:widowControl w:val="0"/>
        <w:shd w:val="clear" w:color="auto" w:fill="auto"/>
        <w:tabs>
          <w:tab w:pos="341" w:val="left"/>
        </w:tabs>
        <w:bidi w:val="0"/>
        <w:spacing w:before="0" w:after="0" w:line="326" w:lineRule="auto"/>
        <w:ind w:left="0" w:right="0" w:firstLine="0"/>
        <w:jc w:val="both"/>
      </w:pPr>
      <w:bookmarkStart w:id="859" w:name="bookmark859"/>
      <w:r>
        <w:rPr>
          <w:rFonts w:ascii="Times New Roman" w:eastAsia="Times New Roman" w:hAnsi="Times New Roman" w:cs="Times New Roman"/>
          <w:b/>
          <w:bCs/>
          <w:color w:val="000000"/>
          <w:spacing w:val="0"/>
          <w:w w:val="100"/>
          <w:position w:val="0"/>
        </w:rPr>
        <w:t>4</w:t>
      </w:r>
      <w:bookmarkEnd w:id="859"/>
      <w:r>
        <w:rPr>
          <w:b/>
          <w:bCs/>
          <w:color w:val="000000"/>
          <w:spacing w:val="0"/>
          <w:w w:val="100"/>
          <w:position w:val="0"/>
        </w:rPr>
        <w:t>、</w:t>
        <w:tab/>
        <w:t>金融负债终止确认</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金融负债的现时义务全部或部分已经解除的，则终止确认该金融负债或其一部分；本公司若与债权人签定 协议，以承担新金融负债方式替换现存金融负债，且新金融负债与现存金融负债的合同条款实质上不同的， 则终止确认现存金融负债，并同时确认新金融负债。</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对现存金融负债全部或部分合同条款作出实质性修改的，则终止确认现存金融负债或其一部分，同时将修 改条款后的金融负债确认为一项新金融负债。</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金融负债全部或部分终止确认时，终止确认的金融负债账面价值与支付对价（包括转出的非现金资产或承 担的新金融负债）之间的差额，计入当期损益。</w:t>
      </w:r>
    </w:p>
    <w:p>
      <w:pPr>
        <w:pStyle w:val="Style18"/>
        <w:keepNext w:val="0"/>
        <w:keepLines w:val="0"/>
        <w:widowControl w:val="0"/>
        <w:shd w:val="clear" w:color="auto" w:fill="auto"/>
        <w:bidi w:val="0"/>
        <w:spacing w:before="0" w:after="380" w:line="313" w:lineRule="exact"/>
        <w:ind w:left="0" w:right="0" w:firstLine="0"/>
        <w:jc w:val="both"/>
      </w:pPr>
      <w:r>
        <w:rPr>
          <w:color w:val="000000"/>
          <w:spacing w:val="0"/>
          <w:w w:val="100"/>
          <w:position w:val="0"/>
        </w:rPr>
        <w:t>本公司若回购部分金融负债的，在回购日按照继续确认部分与终止确认部分的相对公允价值，将该金融负 债整体的账面价值进行分配。分配给终止确认部分的账面价值与支付的对价（包括转出的非现金资产或承 担的新金融负债）之间的差额，计入当期损益。</w:t>
      </w:r>
    </w:p>
    <w:p>
      <w:pPr>
        <w:pStyle w:val="Style18"/>
        <w:keepNext w:val="0"/>
        <w:keepLines w:val="0"/>
        <w:widowControl w:val="0"/>
        <w:shd w:val="clear" w:color="auto" w:fill="auto"/>
        <w:tabs>
          <w:tab w:pos="341" w:val="left"/>
        </w:tabs>
        <w:bidi w:val="0"/>
        <w:spacing w:before="0" w:after="0" w:line="329" w:lineRule="auto"/>
        <w:ind w:left="0" w:right="0" w:firstLine="0"/>
        <w:jc w:val="both"/>
      </w:pPr>
      <w:bookmarkStart w:id="860" w:name="bookmark860"/>
      <w:r>
        <w:rPr>
          <w:rFonts w:ascii="Times New Roman" w:eastAsia="Times New Roman" w:hAnsi="Times New Roman" w:cs="Times New Roman"/>
          <w:b/>
          <w:bCs/>
          <w:color w:val="000000"/>
          <w:spacing w:val="0"/>
          <w:w w:val="100"/>
          <w:position w:val="0"/>
        </w:rPr>
        <w:t>5</w:t>
      </w:r>
      <w:bookmarkEnd w:id="860"/>
      <w:r>
        <w:rPr>
          <w:b/>
          <w:bCs/>
          <w:color w:val="000000"/>
          <w:spacing w:val="0"/>
          <w:w w:val="100"/>
          <w:position w:val="0"/>
        </w:rPr>
        <w:t>、</w:t>
        <w:tab/>
        <w:t>金融资产和金融负债的公允价值的确定方法</w:t>
      </w:r>
    </w:p>
    <w:p>
      <w:pPr>
        <w:pStyle w:val="Style18"/>
        <w:keepNext w:val="0"/>
        <w:keepLines w:val="0"/>
        <w:widowControl w:val="0"/>
        <w:shd w:val="clear" w:color="auto" w:fill="auto"/>
        <w:bidi w:val="0"/>
        <w:spacing w:before="0" w:after="380" w:line="316" w:lineRule="exact"/>
        <w:ind w:left="0" w:right="0" w:firstLine="0"/>
        <w:jc w:val="both"/>
      </w:pPr>
      <w:r>
        <w:rPr>
          <w:color w:val="000000"/>
          <w:spacing w:val="0"/>
          <w:w w:val="100"/>
          <w:position w:val="0"/>
        </w:rPr>
        <w:t>存在活跃市场的金融工具，以活跃市场中的报价确定其公允价值。不存在活跃市场的金融工具，采用估值 技术确定其公允价值。在估值时，本公司采用在当前情况下适用并且有足够可利用数据和其他信息支持的 估值技术，选择与市场参与者在相关资产或负债的交易中所考虑的资产或负债特征相一致的输入值，并优 先使用相关可观察输入值。只有在相关可观察输入值无法取得或取得不切实可行的情况下，才使用不可观 察输入值。</w:t>
      </w:r>
    </w:p>
    <w:p>
      <w:pPr>
        <w:pStyle w:val="Style18"/>
        <w:keepNext w:val="0"/>
        <w:keepLines w:val="0"/>
        <w:widowControl w:val="0"/>
        <w:shd w:val="clear" w:color="auto" w:fill="auto"/>
        <w:tabs>
          <w:tab w:pos="341" w:val="left"/>
        </w:tabs>
        <w:bidi w:val="0"/>
        <w:spacing w:before="0" w:after="0" w:line="326" w:lineRule="auto"/>
        <w:ind w:left="0" w:right="0" w:firstLine="0"/>
        <w:jc w:val="both"/>
      </w:pPr>
      <w:bookmarkStart w:id="861" w:name="bookmark861"/>
      <w:r>
        <w:rPr>
          <w:rFonts w:ascii="Times New Roman" w:eastAsia="Times New Roman" w:hAnsi="Times New Roman" w:cs="Times New Roman"/>
          <w:b/>
          <w:bCs/>
          <w:color w:val="000000"/>
          <w:spacing w:val="0"/>
          <w:w w:val="100"/>
          <w:position w:val="0"/>
        </w:rPr>
        <w:t>6</w:t>
      </w:r>
      <w:bookmarkEnd w:id="861"/>
      <w:r>
        <w:rPr>
          <w:b/>
          <w:bCs/>
          <w:color w:val="000000"/>
          <w:spacing w:val="0"/>
          <w:w w:val="100"/>
          <w:position w:val="0"/>
        </w:rPr>
        <w:t>、</w:t>
        <w:tab/>
        <w:t>金融资产减值的测试方法及会计处理方法</w:t>
      </w:r>
    </w:p>
    <w:p>
      <w:pPr>
        <w:pStyle w:val="Style18"/>
        <w:keepNext w:val="0"/>
        <w:keepLines w:val="0"/>
        <w:widowControl w:val="0"/>
        <w:shd w:val="clear" w:color="auto" w:fill="auto"/>
        <w:bidi w:val="0"/>
        <w:spacing w:before="0" w:after="0" w:line="350" w:lineRule="exact"/>
        <w:ind w:left="0" w:right="0" w:firstLine="0"/>
        <w:jc w:val="both"/>
      </w:pPr>
      <w:r>
        <w:rPr>
          <w:color w:val="000000"/>
          <w:spacing w:val="0"/>
          <w:w w:val="100"/>
          <w:position w:val="0"/>
        </w:rPr>
        <w:t>本公司以单项或组合的方式对以摊余成本计量的金融资产、以公允价值计量且其变动计入其他综合收益的 金融资产（债务工具）和财务担保合同等的预期信用损失进行估计。</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本公司考虑有关过去事项、当前状况以及对未来经济状况的预测等合理且有依据的信息，以发生违约的风 险为权重，计算合同应收的现金流量与预期能收到的现金流量之间差额的现值的概率加权金额，确认预期 信用损失。</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如果该金融工具的信用风险自初始确认后已显著增加，本公司按照相当于该金融工具整个存续期内预期信 用损失的金额计量其损失准备；如果该金融工具的信用风险自初始确认后并未显著增加，本公司按照相当 于该金融工具未来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个月内预期信用损失的金额计量其损失准备。由此形成的损失准备的增加或转回金额， 作为减值损失或利得计入当期损益。</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本公司通过比较金融工具在资产负债表日发生违约的风险与在初始确认日发生违约的风险，以确定金融工 具预计存续期内发生违约风险的相对变化，以评估金融工具的信用风险自初始确认后是否已显著增加。通 常逾期超过</w:t>
      </w:r>
      <w:r>
        <w:rPr>
          <w:rFonts w:ascii="Times New Roman" w:eastAsia="Times New Roman" w:hAnsi="Times New Roman" w:cs="Times New Roman"/>
          <w:color w:val="000000"/>
          <w:spacing w:val="0"/>
          <w:w w:val="100"/>
          <w:position w:val="0"/>
        </w:rPr>
        <w:t>30</w:t>
      </w:r>
      <w:r>
        <w:rPr>
          <w:color w:val="000000"/>
          <w:spacing w:val="0"/>
          <w:w w:val="100"/>
          <w:position w:val="0"/>
        </w:rPr>
        <w:t>日，本公司即认为该金融工具的信用风险已显著增加，除非有确凿证据证明该金融工具的信 用风险自初始确认后并未显著增加。</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如果金融工具于资产负债表日的信用风险较低，本公司即认为该金融工具的信用风险自初始确认后并未显 著增加。</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如果有客观证据表明某项金融资产已经发生信用减值，则本公司在单项基础上对该金融资产计提减值准备。 对于由《企业会计准则第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w:t>
      </w:r>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规范的交易形成的应收款项和合同资产，无论是否包含重 大融资成分，本公司始终按照相当于整个存续期内预期信用损失的金额计量其损失准备。</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对于租赁应收款，本公司选择始终按照相当于整个存续期内预期信用损失的金额计量其损失准备。</w:t>
      </w:r>
    </w:p>
    <w:p>
      <w:pPr>
        <w:pStyle w:val="Style18"/>
        <w:keepNext w:val="0"/>
        <w:keepLines w:val="0"/>
        <w:widowControl w:val="0"/>
        <w:shd w:val="clear" w:color="auto" w:fill="auto"/>
        <w:bidi w:val="0"/>
        <w:spacing w:before="0" w:after="200" w:line="313" w:lineRule="exact"/>
        <w:ind w:left="0" w:right="0" w:firstLine="0"/>
        <w:jc w:val="both"/>
      </w:pPr>
      <w:r>
        <w:rPr>
          <w:color w:val="000000"/>
          <w:spacing w:val="0"/>
          <w:w w:val="100"/>
          <w:position w:val="0"/>
        </w:rPr>
        <w:t>对于公司通过销售商品或提供劳务形成的长期应收款，本公司选择始终按照相当于整个存续期内预期信用 损失的金额计量其损失准备。</w:t>
      </w:r>
      <w:r>
        <w:br w:type="page"/>
      </w:r>
    </w:p>
    <w:p>
      <w:pPr>
        <w:pStyle w:val="Style26"/>
        <w:keepNext w:val="0"/>
        <w:keepLines w:val="0"/>
        <w:widowControl w:val="0"/>
        <w:shd w:val="clear" w:color="auto" w:fill="auto"/>
        <w:bidi w:val="0"/>
        <w:spacing w:before="0" w:after="0" w:line="314" w:lineRule="exact"/>
        <w:ind w:left="5" w:right="0" w:firstLine="0"/>
        <w:jc w:val="left"/>
        <w:rPr>
          <w:sz w:val="20"/>
          <w:szCs w:val="20"/>
        </w:rPr>
      </w:pPr>
      <w:r>
        <w:rPr>
          <w:rFonts w:ascii="SimSun" w:eastAsia="SimSun" w:hAnsi="SimSun" w:cs="SimSun"/>
          <w:color w:val="000000"/>
          <w:spacing w:val="0"/>
          <w:w w:val="100"/>
          <w:position w:val="0"/>
          <w:sz w:val="20"/>
          <w:szCs w:val="20"/>
        </w:rPr>
        <w:t>当单项应收票据、应收账款和其他应收款无法以合理成本评估预期信用损失的信息时，本公司依据信用风 险特征将应收票据、应收账款和其他应收款以划分为了若干组合，在组合基础上计算预期信用损失，确定 组合的依据如下：</w:t>
      </w:r>
    </w:p>
    <w:p>
      <w:pPr>
        <w:pStyle w:val="Style26"/>
        <w:keepNext w:val="0"/>
        <w:keepLines w:val="0"/>
        <w:widowControl w:val="0"/>
        <w:shd w:val="clear" w:color="auto" w:fill="auto"/>
        <w:bidi w:val="0"/>
        <w:spacing w:before="0" w:after="0" w:line="314" w:lineRule="exact"/>
        <w:ind w:left="5" w:right="0" w:firstLine="0"/>
        <w:jc w:val="left"/>
        <w:rPr>
          <w:sz w:val="20"/>
          <w:szCs w:val="20"/>
        </w:rPr>
      </w:pPr>
      <w:r>
        <w:rPr>
          <w:rFonts w:ascii="SimSun" w:eastAsia="SimSun" w:hAnsi="SimSun" w:cs="SimSun"/>
          <w:color w:val="000000"/>
          <w:spacing w:val="0"/>
          <w:w w:val="100"/>
          <w:position w:val="0"/>
          <w:sz w:val="20"/>
          <w:szCs w:val="20"/>
        </w:rPr>
        <w:t>应收票据组合，根据承兑人信用风险划分确定组合的依据：</w:t>
      </w:r>
    </w:p>
    <w:tbl>
      <w:tblPr>
        <w:tblOverlap w:val="never"/>
        <w:jc w:val="center"/>
        <w:tblLayout w:type="fixed"/>
      </w:tblPr>
      <w:tblGrid>
        <w:gridCol w:w="4090"/>
        <w:gridCol w:w="5626"/>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商业承兑汇票组合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商业承兑汇票</w:t>
            </w:r>
          </w:p>
        </w:tc>
      </w:tr>
    </w:tbl>
    <w:p>
      <w:pPr>
        <w:pStyle w:val="Style26"/>
        <w:keepNext w:val="0"/>
        <w:keepLines w:val="0"/>
        <w:widowControl w:val="0"/>
        <w:shd w:val="clear" w:color="auto" w:fill="auto"/>
        <w:bidi w:val="0"/>
        <w:spacing w:before="0" w:after="0" w:line="312" w:lineRule="exact"/>
        <w:ind w:left="5" w:right="0" w:firstLine="0"/>
        <w:jc w:val="left"/>
        <w:rPr>
          <w:sz w:val="20"/>
          <w:szCs w:val="20"/>
        </w:rPr>
      </w:pPr>
      <w:r>
        <w:rPr>
          <w:rFonts w:ascii="SimSun" w:eastAsia="SimSun" w:hAnsi="SimSun" w:cs="SimSun"/>
          <w:color w:val="000000"/>
          <w:spacing w:val="0"/>
          <w:w w:val="100"/>
          <w:position w:val="0"/>
          <w:sz w:val="20"/>
          <w:szCs w:val="20"/>
        </w:rPr>
        <w:t>对于银行承兑汇票组合，本公司认为持有银行承兑汇票不存在重大的信用风险，不会因承兑人违约而产生 重大损失，不计提预期信用损失。</w:t>
      </w:r>
    </w:p>
    <w:p>
      <w:pPr>
        <w:pStyle w:val="Style26"/>
        <w:keepNext w:val="0"/>
        <w:keepLines w:val="0"/>
        <w:widowControl w:val="0"/>
        <w:shd w:val="clear" w:color="auto" w:fill="auto"/>
        <w:bidi w:val="0"/>
        <w:spacing w:before="0" w:after="0" w:line="312" w:lineRule="exact"/>
        <w:ind w:left="5" w:right="0" w:firstLine="0"/>
        <w:jc w:val="left"/>
        <w:rPr>
          <w:sz w:val="20"/>
          <w:szCs w:val="20"/>
        </w:rPr>
      </w:pPr>
      <w:r>
        <w:rPr>
          <w:rFonts w:ascii="SimSun" w:eastAsia="SimSun" w:hAnsi="SimSun" w:cs="SimSun"/>
          <w:color w:val="000000"/>
          <w:spacing w:val="0"/>
          <w:w w:val="100"/>
          <w:position w:val="0"/>
          <w:sz w:val="20"/>
          <w:szCs w:val="20"/>
        </w:rPr>
        <w:t>对于商业承兑汇票组合，参考历史信用损失经验，结合当前状况以及对未来经济状况的预测，根据承兑人 的信用风险特征划分，与</w:t>
      </w:r>
      <w:r>
        <w:rPr>
          <w:rFonts w:ascii="Times New Roman" w:eastAsia="Times New Roman" w:hAnsi="Times New Roman" w:cs="Times New Roman"/>
          <w:color w:val="000000"/>
          <w:spacing w:val="0"/>
          <w:w w:val="100"/>
          <w:position w:val="0"/>
          <w:sz w:val="20"/>
          <w:szCs w:val="20"/>
        </w:rPr>
        <w:t>“</w:t>
      </w:r>
      <w:r>
        <w:rPr>
          <w:rFonts w:ascii="SimSun" w:eastAsia="SimSun" w:hAnsi="SimSun" w:cs="SimSun"/>
          <w:color w:val="000000"/>
          <w:spacing w:val="0"/>
          <w:w w:val="100"/>
          <w:position w:val="0"/>
          <w:sz w:val="20"/>
          <w:szCs w:val="20"/>
        </w:rPr>
        <w:t>应收账款</w:t>
      </w:r>
      <w:r>
        <w:rPr>
          <w:rFonts w:ascii="Times New Roman" w:eastAsia="Times New Roman" w:hAnsi="Times New Roman" w:cs="Times New Roman"/>
          <w:color w:val="000000"/>
          <w:spacing w:val="0"/>
          <w:w w:val="100"/>
          <w:position w:val="0"/>
          <w:sz w:val="20"/>
          <w:szCs w:val="20"/>
        </w:rPr>
        <w:t>”</w:t>
      </w:r>
      <w:r>
        <w:rPr>
          <w:rFonts w:ascii="SimSun" w:eastAsia="SimSun" w:hAnsi="SimSun" w:cs="SimSun"/>
          <w:color w:val="000000"/>
          <w:spacing w:val="0"/>
          <w:w w:val="100"/>
          <w:position w:val="0"/>
          <w:sz w:val="20"/>
          <w:szCs w:val="20"/>
        </w:rPr>
        <w:t>组合划分相同。</w:t>
      </w:r>
    </w:p>
    <w:p>
      <w:pPr>
        <w:widowControl w:val="0"/>
        <w:spacing w:after="2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5" w:right="0" w:firstLine="0"/>
        <w:jc w:val="left"/>
        <w:rPr>
          <w:sz w:val="20"/>
          <w:szCs w:val="20"/>
        </w:rPr>
      </w:pPr>
      <w:r>
        <w:rPr>
          <w:rFonts w:ascii="SimSun" w:eastAsia="SimSun" w:hAnsi="SimSun" w:cs="SimSun"/>
          <w:color w:val="000000"/>
          <w:spacing w:val="0"/>
          <w:w w:val="100"/>
          <w:position w:val="0"/>
          <w:sz w:val="20"/>
          <w:szCs w:val="20"/>
        </w:rPr>
        <w:t>应收账款组合，根据信用风险特征作为确定组合的依据;</w:t>
      </w:r>
    </w:p>
    <w:tbl>
      <w:tblPr>
        <w:tblOverlap w:val="never"/>
        <w:jc w:val="center"/>
        <w:tblLayout w:type="fixed"/>
      </w:tblPr>
      <w:tblGrid>
        <w:gridCol w:w="4128"/>
        <w:gridCol w:w="5587"/>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合并范围内关联方的应收账款</w:t>
            </w:r>
          </w:p>
        </w:tc>
      </w:tr>
      <w:tr>
        <w:trPr>
          <w:trHeight w:val="3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除合并范围内关联方组合之外的应收账款</w:t>
            </w:r>
          </w:p>
        </w:tc>
      </w:tr>
    </w:tbl>
    <w:p>
      <w:pPr>
        <w:widowControl w:val="0"/>
        <w:spacing w:line="1" w:lineRule="exact"/>
      </w:pPr>
    </w:p>
    <w:p>
      <w:pPr>
        <w:pStyle w:val="Style26"/>
        <w:keepNext w:val="0"/>
        <w:keepLines w:val="0"/>
        <w:widowControl w:val="0"/>
        <w:shd w:val="clear" w:color="auto" w:fill="auto"/>
        <w:bidi w:val="0"/>
        <w:spacing w:before="0" w:after="0" w:line="312" w:lineRule="exact"/>
        <w:ind w:left="5" w:right="0" w:firstLine="0"/>
        <w:jc w:val="left"/>
        <w:rPr>
          <w:sz w:val="20"/>
          <w:szCs w:val="20"/>
        </w:rPr>
      </w:pPr>
      <w:r>
        <w:rPr>
          <w:rFonts w:ascii="SimSun" w:eastAsia="SimSun" w:hAnsi="SimSun" w:cs="SimSun"/>
          <w:color w:val="000000"/>
          <w:spacing w:val="0"/>
          <w:w w:val="100"/>
          <w:position w:val="0"/>
          <w:sz w:val="20"/>
          <w:szCs w:val="20"/>
        </w:rPr>
        <w:t>对于划分为合并范围内关联方组合的应收账款，本公司参考历史信用损失经验，判断收回风险极低，不计 提预期信用损失。</w:t>
      </w:r>
    </w:p>
    <w:p>
      <w:pPr>
        <w:pStyle w:val="Style26"/>
        <w:keepNext w:val="0"/>
        <w:keepLines w:val="0"/>
        <w:widowControl w:val="0"/>
        <w:shd w:val="clear" w:color="auto" w:fill="auto"/>
        <w:bidi w:val="0"/>
        <w:spacing w:before="0" w:after="0" w:line="312" w:lineRule="exact"/>
        <w:ind w:left="5" w:right="0" w:firstLine="0"/>
        <w:jc w:val="left"/>
        <w:rPr>
          <w:sz w:val="20"/>
          <w:szCs w:val="20"/>
        </w:rPr>
      </w:pPr>
      <w:r>
        <w:rPr>
          <w:rFonts w:ascii="SimSun" w:eastAsia="SimSun" w:hAnsi="SimSun" w:cs="SimSun"/>
          <w:color w:val="000000"/>
          <w:spacing w:val="0"/>
          <w:w w:val="100"/>
          <w:position w:val="0"/>
          <w:sz w:val="20"/>
          <w:szCs w:val="20"/>
        </w:rPr>
        <w:t>对于划分为账龄组合的应收账款，参考历史信用损失经验，结合当前状况以及对未来经济状况的预测，编 制应收账款账龄与整个存续期预期信用损失率对照表，计算预期信用损失：</w:t>
      </w:r>
    </w:p>
    <w:tbl>
      <w:tblPr>
        <w:tblOverlap w:val="never"/>
        <w:jc w:val="center"/>
        <w:tblLayout w:type="fixed"/>
      </w:tblPr>
      <w:tblGrid>
        <w:gridCol w:w="5098"/>
        <w:gridCol w:w="4589"/>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预期信用损失率</w:t>
            </w:r>
            <w:r>
              <w:rPr>
                <w:rFonts w:ascii="Times New Roman" w:eastAsia="Times New Roman" w:hAnsi="Times New Roman" w:cs="Times New Roman"/>
                <w:color w:val="000000"/>
                <w:spacing w:val="0"/>
                <w:w w:val="100"/>
                <w:position w:val="0"/>
              </w:rPr>
              <w:t>（%）</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个月以内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个月</w:t>
            </w:r>
            <w:r>
              <w:rPr>
                <w:rFonts w:ascii="Times New Roman" w:eastAsia="Times New Roman" w:hAnsi="Times New Roman" w:cs="Times New Roman"/>
                <w:color w:val="000000"/>
                <w:spacing w:val="0"/>
                <w:w w:val="100"/>
                <w:position w:val="0"/>
              </w:rPr>
              <w:t>-1</w:t>
            </w:r>
            <w:r>
              <w:rPr>
                <w:color w:val="000000"/>
                <w:spacing w:val="0"/>
                <w:w w:val="100"/>
                <w:position w:val="0"/>
              </w:rPr>
              <w:t>年（含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3.00</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年（含</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5.00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年（含</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10.00</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年（含</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20.00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年（含</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50.00</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bl>
    <w:p>
      <w:pPr>
        <w:widowControl w:val="0"/>
        <w:spacing w:after="2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427" w:right="0" w:firstLine="0"/>
        <w:jc w:val="left"/>
        <w:rPr>
          <w:sz w:val="20"/>
          <w:szCs w:val="20"/>
        </w:rPr>
      </w:pPr>
      <w:r>
        <w:rPr>
          <w:rFonts w:ascii="SimSun" w:eastAsia="SimSun" w:hAnsi="SimSun" w:cs="SimSun"/>
          <w:color w:val="000000"/>
          <w:spacing w:val="0"/>
          <w:w w:val="100"/>
          <w:position w:val="0"/>
          <w:sz w:val="20"/>
          <w:szCs w:val="20"/>
        </w:rPr>
        <w:t>合同资产组合，根据信用风险特征作为确定组合的依据;</w:t>
      </w:r>
    </w:p>
    <w:tbl>
      <w:tblPr>
        <w:tblOverlap w:val="never"/>
        <w:jc w:val="center"/>
        <w:tblLayout w:type="fixed"/>
      </w:tblPr>
      <w:tblGrid>
        <w:gridCol w:w="4128"/>
        <w:gridCol w:w="5558"/>
      </w:tblGrid>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组合名称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合并范围内关联方的合同资产</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除合并范围内关联方组合之外的合同资产</w:t>
            </w:r>
          </w:p>
        </w:tc>
      </w:tr>
    </w:tbl>
    <w:p>
      <w:pPr>
        <w:pStyle w:val="Style26"/>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对于划分为合并范围内关联方组合的合同资产，本公司判断收回风险极低，不计提资产减值损失。</w:t>
      </w:r>
    </w:p>
    <w:p>
      <w:pPr>
        <w:pStyle w:val="Style18"/>
        <w:keepNext w:val="0"/>
        <w:keepLines w:val="0"/>
        <w:widowControl w:val="0"/>
        <w:shd w:val="clear" w:color="auto" w:fill="auto"/>
        <w:bidi w:val="0"/>
        <w:spacing w:before="0" w:after="0" w:line="307" w:lineRule="exact"/>
        <w:ind w:left="0" w:right="0" w:firstLine="440"/>
        <w:jc w:val="left"/>
      </w:pPr>
      <w:r>
        <w:rPr>
          <w:color w:val="000000"/>
          <w:spacing w:val="0"/>
          <w:w w:val="100"/>
          <w:position w:val="0"/>
        </w:rPr>
        <w:t>对于划分为其他组合的合同资产，本公司参考历史信用损失经验，结合当前状况以及对未来经济状况 的预测，通过违约风险敞口与整个存续期预期信用损失率，按</w:t>
      </w:r>
      <w:r>
        <w:rPr>
          <w:rFonts w:ascii="Times New Roman" w:eastAsia="Times New Roman" w:hAnsi="Times New Roman" w:cs="Times New Roman"/>
          <w:color w:val="000000"/>
          <w:spacing w:val="0"/>
          <w:w w:val="100"/>
          <w:position w:val="0"/>
        </w:rPr>
        <w:t>3%</w:t>
      </w:r>
      <w:r>
        <w:rPr>
          <w:color w:val="000000"/>
          <w:spacing w:val="0"/>
          <w:w w:val="100"/>
          <w:position w:val="0"/>
        </w:rPr>
        <w:t>计算资产减值损失。</w:t>
      </w:r>
    </w:p>
    <w:p>
      <w:pPr>
        <w:pStyle w:val="Style18"/>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其他应收款组合，根据信用风险作为确定组合的依据：</w:t>
      </w:r>
    </w:p>
    <w:p>
      <w:pPr>
        <w:pStyle w:val="Style26"/>
        <w:keepNext w:val="0"/>
        <w:keepLines w:val="0"/>
        <w:widowControl w:val="0"/>
        <w:shd w:val="clear" w:color="auto" w:fill="auto"/>
        <w:bidi w:val="0"/>
        <w:spacing w:before="0" w:after="0" w:line="302" w:lineRule="exact"/>
        <w:ind w:left="10" w:right="0" w:firstLine="0"/>
        <w:jc w:val="left"/>
        <w:rPr>
          <w:sz w:val="20"/>
          <w:szCs w:val="20"/>
        </w:rPr>
      </w:pPr>
      <w:r>
        <w:rPr>
          <w:rFonts w:ascii="SimSun" w:eastAsia="SimSun" w:hAnsi="SimSun" w:cs="SimSun"/>
          <w:color w:val="000000"/>
          <w:spacing w:val="0"/>
          <w:w w:val="100"/>
          <w:position w:val="0"/>
          <w:sz w:val="20"/>
          <w:szCs w:val="20"/>
        </w:rPr>
        <w:t>对于划分为组合的其他应收款，本公司参考历史信用损失经验，结合当前状况以及对未来经济状况的 预测，通过违约风险敞口和未来</w:t>
      </w:r>
      <w:r>
        <w:rPr>
          <w:rFonts w:ascii="Times New Roman" w:eastAsia="Times New Roman" w:hAnsi="Times New Roman" w:cs="Times New Roman"/>
          <w:color w:val="000000"/>
          <w:spacing w:val="0"/>
          <w:w w:val="100"/>
          <w:position w:val="0"/>
          <w:sz w:val="20"/>
          <w:szCs w:val="20"/>
        </w:rPr>
        <w:t>12</w:t>
      </w:r>
      <w:r>
        <w:rPr>
          <w:rFonts w:ascii="SimSun" w:eastAsia="SimSun" w:hAnsi="SimSun" w:cs="SimSun"/>
          <w:color w:val="000000"/>
          <w:spacing w:val="0"/>
          <w:w w:val="100"/>
          <w:position w:val="0"/>
          <w:sz w:val="20"/>
          <w:szCs w:val="20"/>
        </w:rPr>
        <w:t>个月内或整个存续期预期信用损失率，计算预期信用损失。</w:t>
      </w:r>
    </w:p>
    <w:tbl>
      <w:tblPr>
        <w:tblOverlap w:val="never"/>
        <w:jc w:val="center"/>
        <w:tblLayout w:type="fixed"/>
      </w:tblPr>
      <w:tblGrid>
        <w:gridCol w:w="3298"/>
        <w:gridCol w:w="6389"/>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合并范围内关联方的其他应收款</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银行保函组合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银行保函保证金</w:t>
            </w:r>
          </w:p>
        </w:tc>
      </w:tr>
    </w:tbl>
    <w:p>
      <w:pPr>
        <w:pStyle w:val="Style18"/>
        <w:keepNext w:val="0"/>
        <w:keepLines w:val="0"/>
        <w:widowControl w:val="0"/>
        <w:shd w:val="clear" w:color="auto" w:fill="auto"/>
        <w:tabs>
          <w:tab w:pos="3274" w:val="left"/>
        </w:tabs>
        <w:bidi w:val="0"/>
        <w:spacing w:before="0" w:after="0" w:line="305" w:lineRule="exact"/>
        <w:ind w:left="0" w:right="0" w:firstLine="0"/>
        <w:jc w:val="left"/>
      </w:pPr>
      <w:r>
        <w:rPr>
          <w:color w:val="000000"/>
          <w:spacing w:val="0"/>
          <w:w w:val="100"/>
          <w:position w:val="0"/>
        </w:rPr>
        <w:t>其他组合</w:t>
        <w:tab/>
        <w:t>除合并范围内关联方组合和银行保函组合之外的其他应收款</w:t>
      </w:r>
    </w:p>
    <w:p>
      <w:pPr>
        <w:pStyle w:val="Style18"/>
        <w:keepNext w:val="0"/>
        <w:keepLines w:val="0"/>
        <w:widowControl w:val="0"/>
        <w:shd w:val="clear" w:color="auto" w:fill="auto"/>
        <w:bidi w:val="0"/>
        <w:spacing w:before="0" w:after="0" w:line="305" w:lineRule="exact"/>
        <w:ind w:left="0" w:right="0" w:firstLine="440"/>
        <w:jc w:val="both"/>
      </w:pPr>
      <w:r>
        <w:rPr>
          <w:color w:val="000000"/>
          <w:spacing w:val="0"/>
          <w:w w:val="100"/>
          <w:position w:val="0"/>
        </w:rPr>
        <w:t>对于划分为合并范围内关联方组合和银行保函组合的其他应收款，本公司参考历史信用损失经验，判 断收回风险极低，不计提预期信用损失。</w:t>
      </w:r>
    </w:p>
    <w:p>
      <w:pPr>
        <w:pStyle w:val="Style18"/>
        <w:keepNext w:val="0"/>
        <w:keepLines w:val="0"/>
        <w:widowControl w:val="0"/>
        <w:shd w:val="clear" w:color="auto" w:fill="auto"/>
        <w:bidi w:val="0"/>
        <w:spacing w:before="0" w:after="0" w:line="305" w:lineRule="exact"/>
        <w:ind w:left="0" w:right="0" w:firstLine="440"/>
        <w:jc w:val="both"/>
      </w:pPr>
      <w:r>
        <w:rPr>
          <w:color w:val="000000"/>
          <w:spacing w:val="0"/>
          <w:w w:val="100"/>
          <w:position w:val="0"/>
        </w:rPr>
        <w:t>对于划分为其他组合的其他应收款，本公司参考历史信用损失经验，结合当前状况以及对未来经济状 况的预测，通过违约风险敞口和未来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个月内或整个存续期预期信用损失率，计算预期信用损失。</w:t>
      </w:r>
    </w:p>
    <w:p>
      <w:pPr>
        <w:pStyle w:val="Style18"/>
        <w:keepNext w:val="0"/>
        <w:keepLines w:val="0"/>
        <w:widowControl w:val="0"/>
        <w:shd w:val="clear" w:color="auto" w:fill="auto"/>
        <w:bidi w:val="0"/>
        <w:spacing w:before="0" w:after="380" w:line="305" w:lineRule="exact"/>
        <w:ind w:left="0" w:right="0" w:firstLine="0"/>
        <w:jc w:val="left"/>
      </w:pPr>
      <w:r>
        <w:rPr>
          <w:color w:val="000000"/>
          <w:spacing w:val="0"/>
          <w:w w:val="100"/>
          <w:position w:val="0"/>
        </w:rPr>
        <w:t>本公司不再合理预期金融资产合同现金流量能够全部或部分收回的，直接减记该金融资产的账面余额。</w:t>
      </w:r>
    </w:p>
    <w:p>
      <w:pPr>
        <w:pStyle w:val="Style33"/>
        <w:keepNext/>
        <w:keepLines/>
        <w:widowControl w:val="0"/>
        <w:shd w:val="clear" w:color="auto" w:fill="auto"/>
        <w:tabs>
          <w:tab w:pos="469" w:val="left"/>
        </w:tabs>
        <w:bidi w:val="0"/>
        <w:spacing w:before="0" w:after="320" w:line="319" w:lineRule="auto"/>
        <w:ind w:left="0" w:right="0" w:firstLine="0"/>
        <w:jc w:val="left"/>
      </w:pPr>
      <w:bookmarkStart w:id="862" w:name="bookmark862"/>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1</w:t>
      </w:r>
      <w:bookmarkEnd w:id="864"/>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62"/>
      <w:bookmarkEnd w:id="863"/>
      <w:bookmarkEnd w:id="865"/>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具体详见第十一节财务报告、五、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p>
    <w:p>
      <w:pPr>
        <w:pStyle w:val="Style33"/>
        <w:keepNext/>
        <w:keepLines/>
        <w:widowControl w:val="0"/>
        <w:shd w:val="clear" w:color="auto" w:fill="auto"/>
        <w:tabs>
          <w:tab w:pos="469" w:val="left"/>
        </w:tabs>
        <w:bidi w:val="0"/>
        <w:spacing w:before="0" w:after="320" w:line="319" w:lineRule="auto"/>
        <w:ind w:left="0" w:right="0" w:firstLine="0"/>
        <w:jc w:val="left"/>
      </w:pPr>
      <w:bookmarkStart w:id="866" w:name="bookmark866"/>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1</w:t>
      </w:r>
      <w:bookmarkEnd w:id="868"/>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66"/>
      <w:bookmarkEnd w:id="867"/>
      <w:bookmarkEnd w:id="869"/>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具体详见第十一节财务报告、五、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p>
    <w:p>
      <w:pPr>
        <w:pStyle w:val="Style33"/>
        <w:keepNext/>
        <w:keepLines/>
        <w:widowControl w:val="0"/>
        <w:shd w:val="clear" w:color="auto" w:fill="auto"/>
        <w:tabs>
          <w:tab w:pos="469" w:val="left"/>
        </w:tabs>
        <w:bidi w:val="0"/>
        <w:spacing w:before="0" w:after="320" w:line="326" w:lineRule="auto"/>
        <w:ind w:left="0" w:right="0" w:firstLine="0"/>
        <w:jc w:val="left"/>
      </w:pPr>
      <w:bookmarkStart w:id="870" w:name="bookmark870"/>
      <w:bookmarkStart w:id="871" w:name="bookmark871"/>
      <w:bookmarkStart w:id="872" w:name="bookmark872"/>
      <w:bookmarkStart w:id="873" w:name="bookmark873"/>
      <w:r>
        <w:rPr>
          <w:rFonts w:ascii="Times New Roman" w:eastAsia="Times New Roman" w:hAnsi="Times New Roman" w:cs="Times New Roman"/>
          <w:color w:val="000000"/>
          <w:spacing w:val="0"/>
          <w:w w:val="100"/>
          <w:position w:val="0"/>
        </w:rPr>
        <w:t>1</w:t>
      </w:r>
      <w:bookmarkEnd w:id="872"/>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70"/>
      <w:bookmarkEnd w:id="871"/>
      <w:bookmarkEnd w:id="873"/>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具体详见第十一节财务报告、五、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p>
    <w:p>
      <w:pPr>
        <w:pStyle w:val="Style33"/>
        <w:keepNext/>
        <w:keepLines/>
        <w:widowControl w:val="0"/>
        <w:shd w:val="clear" w:color="auto" w:fill="auto"/>
        <w:tabs>
          <w:tab w:pos="469" w:val="left"/>
        </w:tabs>
        <w:bidi w:val="0"/>
        <w:spacing w:before="0" w:after="320" w:line="326" w:lineRule="auto"/>
        <w:ind w:left="0" w:right="0" w:firstLine="0"/>
        <w:jc w:val="left"/>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1</w:t>
      </w:r>
      <w:bookmarkEnd w:id="876"/>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74"/>
      <w:bookmarkEnd w:id="875"/>
      <w:bookmarkEnd w:id="877"/>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其他应收款的预期信用损失的确定方法及会计处理方法</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具体详见第十一节财务报告、五、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p>
    <w:p>
      <w:pPr>
        <w:pStyle w:val="Style33"/>
        <w:keepNext/>
        <w:keepLines/>
        <w:widowControl w:val="0"/>
        <w:shd w:val="clear" w:color="auto" w:fill="auto"/>
        <w:tabs>
          <w:tab w:pos="469" w:val="left"/>
        </w:tabs>
        <w:bidi w:val="0"/>
        <w:spacing w:before="0" w:after="320" w:line="326" w:lineRule="auto"/>
        <w:ind w:left="0" w:right="0" w:firstLine="0"/>
        <w:jc w:val="left"/>
      </w:pPr>
      <w:bookmarkStart w:id="878" w:name="bookmark878"/>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rPr>
        <w:t>1</w:t>
      </w:r>
      <w:bookmarkEnd w:id="880"/>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78"/>
      <w:bookmarkEnd w:id="879"/>
      <w:bookmarkEnd w:id="881"/>
    </w:p>
    <w:p>
      <w:pPr>
        <w:pStyle w:val="Style33"/>
        <w:keepNext/>
        <w:keepLines/>
        <w:widowControl w:val="0"/>
        <w:shd w:val="clear" w:color="auto" w:fill="auto"/>
        <w:tabs>
          <w:tab w:pos="358" w:val="left"/>
        </w:tabs>
        <w:bidi w:val="0"/>
        <w:spacing w:before="0" w:after="0" w:line="326" w:lineRule="auto"/>
        <w:ind w:left="0" w:right="0" w:firstLine="0"/>
        <w:jc w:val="left"/>
      </w:pPr>
      <w:bookmarkStart w:id="878" w:name="bookmark878"/>
      <w:bookmarkStart w:id="879" w:name="bookmark879"/>
      <w:bookmarkStart w:id="882" w:name="bookmark882"/>
      <w:r>
        <w:rPr>
          <w:rFonts w:ascii="Times New Roman" w:eastAsia="Times New Roman" w:hAnsi="Times New Roman" w:cs="Times New Roman"/>
          <w:color w:val="000000"/>
          <w:spacing w:val="0"/>
          <w:w w:val="100"/>
          <w:position w:val="0"/>
        </w:rPr>
        <w:t>1</w:t>
      </w:r>
      <w:bookmarkEnd w:id="882"/>
      <w:r>
        <w:rPr>
          <w:color w:val="000000"/>
          <w:spacing w:val="0"/>
          <w:w w:val="100"/>
          <w:position w:val="0"/>
        </w:rPr>
        <w:t>、</w:t>
        <w:tab/>
        <w:t>存货的分类和成本</w:t>
      </w:r>
      <w:bookmarkEnd w:id="878"/>
      <w:bookmarkEnd w:id="879"/>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存货分类为：原材料、低值易耗品、库存商品、开发成本等。</w:t>
      </w:r>
    </w:p>
    <w:p>
      <w:pPr>
        <w:pStyle w:val="Style18"/>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存货按成本进行初始计量，存货成本包括采购成本、加工成本和其他使存货达到目前场所和状态所发 生的支出。</w:t>
      </w:r>
    </w:p>
    <w:p>
      <w:pPr>
        <w:pStyle w:val="Style18"/>
        <w:keepNext w:val="0"/>
        <w:keepLines w:val="0"/>
        <w:widowControl w:val="0"/>
        <w:shd w:val="clear" w:color="auto" w:fill="auto"/>
        <w:tabs>
          <w:tab w:pos="368" w:val="left"/>
        </w:tabs>
        <w:bidi w:val="0"/>
        <w:spacing w:before="0" w:after="0" w:line="326" w:lineRule="auto"/>
        <w:ind w:left="0" w:right="0" w:firstLine="0"/>
        <w:jc w:val="left"/>
      </w:pPr>
      <w:bookmarkStart w:id="883" w:name="bookmark883"/>
      <w:r>
        <w:rPr>
          <w:rFonts w:ascii="Times New Roman" w:eastAsia="Times New Roman" w:hAnsi="Times New Roman" w:cs="Times New Roman"/>
          <w:b/>
          <w:bCs/>
          <w:color w:val="000000"/>
          <w:spacing w:val="0"/>
          <w:w w:val="100"/>
          <w:position w:val="0"/>
        </w:rPr>
        <w:t>2</w:t>
      </w:r>
      <w:bookmarkEnd w:id="883"/>
      <w:r>
        <w:rPr>
          <w:b/>
          <w:bCs/>
          <w:color w:val="000000"/>
          <w:spacing w:val="0"/>
          <w:w w:val="100"/>
          <w:position w:val="0"/>
        </w:rPr>
        <w:t>、</w:t>
        <w:tab/>
        <w:t>发出存货的计价方法</w:t>
      </w:r>
    </w:p>
    <w:p>
      <w:pPr>
        <w:pStyle w:val="Style18"/>
        <w:keepNext w:val="0"/>
        <w:keepLines w:val="0"/>
        <w:widowControl w:val="0"/>
        <w:shd w:val="clear" w:color="auto" w:fill="auto"/>
        <w:bidi w:val="0"/>
        <w:spacing w:before="0" w:after="320" w:line="313" w:lineRule="exact"/>
        <w:ind w:left="0" w:right="0" w:firstLine="440"/>
        <w:jc w:val="both"/>
      </w:pPr>
      <w:r>
        <w:rPr>
          <w:color w:val="000000"/>
          <w:spacing w:val="0"/>
          <w:w w:val="100"/>
          <w:position w:val="0"/>
        </w:rPr>
        <w:t>存货发出时按个别认定法计价。</w:t>
      </w:r>
    </w:p>
    <w:p>
      <w:pPr>
        <w:pStyle w:val="Style18"/>
        <w:keepNext w:val="0"/>
        <w:keepLines w:val="0"/>
        <w:widowControl w:val="0"/>
        <w:shd w:val="clear" w:color="auto" w:fill="auto"/>
        <w:tabs>
          <w:tab w:pos="368" w:val="left"/>
        </w:tabs>
        <w:bidi w:val="0"/>
        <w:spacing w:before="0" w:after="0" w:line="313" w:lineRule="exact"/>
        <w:ind w:left="0" w:right="0" w:firstLine="0"/>
        <w:jc w:val="left"/>
      </w:pPr>
      <w:bookmarkStart w:id="884" w:name="bookmark884"/>
      <w:r>
        <w:rPr>
          <w:rFonts w:ascii="Times New Roman" w:eastAsia="Times New Roman" w:hAnsi="Times New Roman" w:cs="Times New Roman"/>
          <w:b/>
          <w:bCs/>
          <w:color w:val="000000"/>
          <w:spacing w:val="0"/>
          <w:w w:val="100"/>
          <w:position w:val="0"/>
        </w:rPr>
        <w:t>3</w:t>
      </w:r>
      <w:bookmarkEnd w:id="884"/>
      <w:r>
        <w:rPr>
          <w:b/>
          <w:bCs/>
          <w:color w:val="000000"/>
          <w:spacing w:val="0"/>
          <w:w w:val="100"/>
          <w:position w:val="0"/>
        </w:rPr>
        <w:t>、</w:t>
        <w:tab/>
        <w:t>不同类别存货可变现净值的确定依据</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资产负债表日，存货应当按照成本与可变现净值孰低计量。当存货成本高于其可变现净值的，应当计 提存货跌价准备。可变现净值，是指在日常活动中，存货的估计售价减去至完工时估计将要发生的成本、 估计的销售费用以及相关税费后的金额。</w:t>
      </w:r>
    </w:p>
    <w:p>
      <w:pPr>
        <w:pStyle w:val="Style18"/>
        <w:keepNext w:val="0"/>
        <w:keepLines w:val="0"/>
        <w:widowControl w:val="0"/>
        <w:shd w:val="clear" w:color="auto" w:fill="auto"/>
        <w:bidi w:val="0"/>
        <w:spacing w:before="0" w:after="320" w:line="313" w:lineRule="exact"/>
        <w:ind w:left="0" w:right="0" w:firstLine="440"/>
        <w:jc w:val="both"/>
      </w:pPr>
      <w:r>
        <w:rPr>
          <w:color w:val="000000"/>
          <w:spacing w:val="0"/>
          <w:w w:val="100"/>
          <w:position w:val="0"/>
        </w:rPr>
        <w:t>产成品、库存商品和用于出售的材料等直接用于出售的商品存货，在正常生产经营过程中，以该存货 的估计售价减去估计的销售费用和相关税费后的金额，确定其可变现净值；需要经过加工的材料存货，在 正常生产经营过程中，以所生产的产成品的估计售价减去至完工时估计将要发生的成本、估计的销售费用 和相关税费后的金额，确定其可变现净值；为执行销售合同或者劳务合同而持有的存货，其可变现净值以 合同价格为基础计算，若持有存货的数量多于销售合同订购数量的，超出部分的存货的可变现净值以一般 销售价格为基础计算。</w:t>
      </w:r>
    </w:p>
    <w:p>
      <w:pPr>
        <w:pStyle w:val="Style18"/>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计提存货跌价准备后，如果以前减记存货价值的影响因素已经消失，导致存货的可变现净值高于其账 面价值的，在原已计提的存货跌价准备金额内予以转回，转回的金额计入当期损益。</w:t>
      </w:r>
    </w:p>
    <w:p>
      <w:pPr>
        <w:pStyle w:val="Style18"/>
        <w:keepNext w:val="0"/>
        <w:keepLines w:val="0"/>
        <w:widowControl w:val="0"/>
        <w:shd w:val="clear" w:color="auto" w:fill="auto"/>
        <w:tabs>
          <w:tab w:pos="368" w:val="left"/>
        </w:tabs>
        <w:bidi w:val="0"/>
        <w:spacing w:before="0" w:after="0" w:line="324" w:lineRule="auto"/>
        <w:ind w:left="0" w:right="0" w:firstLine="0"/>
        <w:jc w:val="left"/>
      </w:pPr>
      <w:bookmarkStart w:id="885" w:name="bookmark885"/>
      <w:r>
        <w:rPr>
          <w:rFonts w:ascii="Times New Roman" w:eastAsia="Times New Roman" w:hAnsi="Times New Roman" w:cs="Times New Roman"/>
          <w:b/>
          <w:bCs/>
          <w:color w:val="000000"/>
          <w:spacing w:val="0"/>
          <w:w w:val="100"/>
          <w:position w:val="0"/>
        </w:rPr>
        <w:t>4</w:t>
      </w:r>
      <w:bookmarkEnd w:id="885"/>
      <w:r>
        <w:rPr>
          <w:b/>
          <w:bCs/>
          <w:color w:val="000000"/>
          <w:spacing w:val="0"/>
          <w:w w:val="100"/>
          <w:position w:val="0"/>
        </w:rPr>
        <w:t>、</w:t>
        <w:tab/>
        <w:t>存货的盘存制度</w:t>
      </w:r>
    </w:p>
    <w:p>
      <w:pPr>
        <w:pStyle w:val="Style18"/>
        <w:keepNext w:val="0"/>
        <w:keepLines w:val="0"/>
        <w:widowControl w:val="0"/>
        <w:shd w:val="clear" w:color="auto" w:fill="auto"/>
        <w:bidi w:val="0"/>
        <w:spacing w:before="0" w:after="380" w:line="311" w:lineRule="exact"/>
        <w:ind w:left="0" w:right="0" w:firstLine="440"/>
        <w:jc w:val="both"/>
      </w:pPr>
      <w:r>
        <w:rPr>
          <w:color w:val="000000"/>
          <w:spacing w:val="0"/>
          <w:w w:val="100"/>
          <w:position w:val="0"/>
        </w:rPr>
        <w:t>采用永续盘存制。</w:t>
      </w:r>
    </w:p>
    <w:p>
      <w:pPr>
        <w:pStyle w:val="Style18"/>
        <w:keepNext w:val="0"/>
        <w:keepLines w:val="0"/>
        <w:widowControl w:val="0"/>
        <w:shd w:val="clear" w:color="auto" w:fill="auto"/>
        <w:tabs>
          <w:tab w:pos="368" w:val="left"/>
        </w:tabs>
        <w:bidi w:val="0"/>
        <w:spacing w:before="0" w:after="0" w:line="324" w:lineRule="auto"/>
        <w:ind w:left="0" w:right="0" w:firstLine="0"/>
        <w:jc w:val="left"/>
      </w:pPr>
      <w:bookmarkStart w:id="886" w:name="bookmark886"/>
      <w:r>
        <w:rPr>
          <w:rFonts w:ascii="Times New Roman" w:eastAsia="Times New Roman" w:hAnsi="Times New Roman" w:cs="Times New Roman"/>
          <w:b/>
          <w:bCs/>
          <w:color w:val="000000"/>
          <w:spacing w:val="0"/>
          <w:w w:val="100"/>
          <w:position w:val="0"/>
        </w:rPr>
        <w:t>5</w:t>
      </w:r>
      <w:bookmarkEnd w:id="886"/>
      <w:r>
        <w:rPr>
          <w:b/>
          <w:bCs/>
          <w:color w:val="000000"/>
          <w:spacing w:val="0"/>
          <w:w w:val="100"/>
          <w:position w:val="0"/>
        </w:rPr>
        <w:t>、</w:t>
        <w:tab/>
        <w:t>低值易耗品和包装物的摊销方法</w:t>
      </w:r>
    </w:p>
    <w:p>
      <w:pPr>
        <w:pStyle w:val="Style18"/>
        <w:keepNext w:val="0"/>
        <w:keepLines w:val="0"/>
        <w:widowControl w:val="0"/>
        <w:shd w:val="clear" w:color="auto" w:fill="auto"/>
        <w:tabs>
          <w:tab w:pos="493" w:val="left"/>
        </w:tabs>
        <w:bidi w:val="0"/>
        <w:spacing w:before="0" w:after="0" w:line="311" w:lineRule="exact"/>
        <w:ind w:left="0" w:right="0" w:firstLine="0"/>
        <w:jc w:val="left"/>
      </w:pPr>
      <w:bookmarkStart w:id="887" w:name="bookmark887"/>
      <w:r>
        <w:rPr>
          <w:color w:val="000000"/>
          <w:spacing w:val="0"/>
          <w:w w:val="100"/>
          <w:position w:val="0"/>
        </w:rPr>
        <w:t>（</w:t>
      </w:r>
      <w:bookmarkEnd w:id="887"/>
      <w:r>
        <w:rPr>
          <w:rFonts w:ascii="Times New Roman" w:eastAsia="Times New Roman" w:hAnsi="Times New Roman" w:cs="Times New Roman"/>
          <w:color w:val="000000"/>
          <w:spacing w:val="0"/>
          <w:w w:val="100"/>
          <w:position w:val="0"/>
        </w:rPr>
        <w:t>1</w:t>
      </w:r>
      <w:r>
        <w:rPr>
          <w:color w:val="000000"/>
          <w:spacing w:val="0"/>
          <w:w w:val="100"/>
          <w:position w:val="0"/>
        </w:rPr>
        <w:t>）</w:t>
        <w:tab/>
        <w:t>低值易耗品采用一次转销法；</w:t>
      </w:r>
    </w:p>
    <w:p>
      <w:pPr>
        <w:pStyle w:val="Style18"/>
        <w:keepNext w:val="0"/>
        <w:keepLines w:val="0"/>
        <w:widowControl w:val="0"/>
        <w:shd w:val="clear" w:color="auto" w:fill="auto"/>
        <w:tabs>
          <w:tab w:pos="493" w:val="left"/>
        </w:tabs>
        <w:bidi w:val="0"/>
        <w:spacing w:before="0" w:after="380" w:line="311" w:lineRule="exact"/>
        <w:ind w:left="0" w:right="0" w:firstLine="0"/>
        <w:jc w:val="left"/>
      </w:pPr>
      <w:bookmarkStart w:id="888" w:name="bookmark888"/>
      <w:r>
        <w:rPr>
          <w:color w:val="000000"/>
          <w:spacing w:val="0"/>
          <w:w w:val="100"/>
          <w:position w:val="0"/>
        </w:rPr>
        <w:t>（</w:t>
      </w:r>
      <w:bookmarkEnd w:id="888"/>
      <w:r>
        <w:rPr>
          <w:rFonts w:ascii="Times New Roman" w:eastAsia="Times New Roman" w:hAnsi="Times New Roman" w:cs="Times New Roman"/>
          <w:color w:val="000000"/>
          <w:spacing w:val="0"/>
          <w:w w:val="100"/>
          <w:position w:val="0"/>
        </w:rPr>
        <w:t>2</w:t>
      </w:r>
      <w:r>
        <w:rPr>
          <w:color w:val="000000"/>
          <w:spacing w:val="0"/>
          <w:w w:val="100"/>
          <w:position w:val="0"/>
        </w:rPr>
        <w:t>）</w:t>
        <w:tab/>
        <w:t>包装物采用一次转销法。</w:t>
      </w:r>
    </w:p>
    <w:p>
      <w:pPr>
        <w:pStyle w:val="Style33"/>
        <w:keepNext/>
        <w:keepLines/>
        <w:widowControl w:val="0"/>
        <w:shd w:val="clear" w:color="auto" w:fill="auto"/>
        <w:tabs>
          <w:tab w:pos="469" w:val="left"/>
        </w:tabs>
        <w:bidi w:val="0"/>
        <w:spacing w:before="0" w:after="200" w:line="324" w:lineRule="auto"/>
        <w:ind w:left="0" w:right="0" w:firstLine="0"/>
        <w:jc w:val="left"/>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1</w:t>
      </w:r>
      <w:bookmarkEnd w:id="891"/>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89"/>
      <w:bookmarkEnd w:id="890"/>
      <w:bookmarkEnd w:id="892"/>
    </w:p>
    <w:p>
      <w:pPr>
        <w:pStyle w:val="Style33"/>
        <w:keepNext/>
        <w:keepLines/>
        <w:widowControl w:val="0"/>
        <w:shd w:val="clear" w:color="auto" w:fill="auto"/>
        <w:bidi w:val="0"/>
        <w:spacing w:before="0" w:after="0" w:line="315" w:lineRule="exact"/>
        <w:ind w:left="0" w:right="0" w:firstLine="0"/>
        <w:jc w:val="left"/>
      </w:pPr>
      <w:bookmarkStart w:id="889" w:name="bookmark889"/>
      <w:bookmarkStart w:id="890" w:name="bookmark890"/>
      <w:r>
        <w:rPr>
          <w:color w:val="000000"/>
          <w:spacing w:val="0"/>
          <w:w w:val="100"/>
          <w:position w:val="0"/>
        </w:rPr>
        <w:t>合同资产的确认方法及标准</w:t>
      </w:r>
      <w:bookmarkEnd w:id="889"/>
      <w:bookmarkEnd w:id="890"/>
    </w:p>
    <w:p>
      <w:pPr>
        <w:pStyle w:val="Style18"/>
        <w:keepNext w:val="0"/>
        <w:keepLines w:val="0"/>
        <w:widowControl w:val="0"/>
        <w:shd w:val="clear" w:color="auto" w:fill="auto"/>
        <w:bidi w:val="0"/>
        <w:spacing w:before="0" w:after="300" w:line="315" w:lineRule="exact"/>
        <w:ind w:left="0" w:right="0" w:firstLine="440"/>
        <w:jc w:val="both"/>
      </w:pPr>
      <w:r>
        <w:rPr>
          <w:color w:val="000000"/>
          <w:spacing w:val="0"/>
          <w:w w:val="100"/>
          <w:position w:val="0"/>
        </w:rPr>
        <w:t>本公司根据履行履约义务与客户付款之间的关系在资产负债表中列示合同资产或合同负债。本公司已 向客户转让商品或提供服务而有权收取对价的权利（且该权利取决于时间流逝之外的其他因素）列示为合 同资产。同一合同下的合同资产和合同负债以净额列示。本公司拥有的、无条件（仅取决于时间流逝）向 客户收取对价的权利作为应收款项单独列示</w:t>
      </w:r>
    </w:p>
    <w:p>
      <w:pPr>
        <w:pStyle w:val="Style18"/>
        <w:keepNext w:val="0"/>
        <w:keepLines w:val="0"/>
        <w:widowControl w:val="0"/>
        <w:shd w:val="clear" w:color="auto" w:fill="auto"/>
        <w:bidi w:val="0"/>
        <w:spacing w:before="0" w:after="380" w:line="311" w:lineRule="exact"/>
        <w:ind w:left="0" w:right="0" w:firstLine="440"/>
        <w:jc w:val="left"/>
      </w:pPr>
      <w:r>
        <w:rPr>
          <w:color w:val="000000"/>
          <w:spacing w:val="0"/>
          <w:w w:val="100"/>
          <w:position w:val="0"/>
        </w:rPr>
        <w:t>合同资产的预期信用损失的确定方法及会计处理方法详见第十一节财务报告、五、</w:t>
      </w:r>
      <w:r>
        <w:rPr>
          <w:rFonts w:ascii="Arial" w:eastAsia="Arial" w:hAnsi="Arial" w:cs="Arial"/>
          <w:color w:val="000000"/>
          <w:spacing w:val="0"/>
          <w:w w:val="100"/>
          <w:position w:val="0"/>
          <w:sz w:val="18"/>
          <w:szCs w:val="18"/>
        </w:rPr>
        <w:t>10</w:t>
      </w:r>
      <w:r>
        <w:rPr>
          <w:color w:val="000000"/>
          <w:spacing w:val="0"/>
          <w:w w:val="100"/>
          <w:position w:val="0"/>
        </w:rPr>
        <w:t>、金融工具</w:t>
      </w:r>
    </w:p>
    <w:p>
      <w:pPr>
        <w:pStyle w:val="Style33"/>
        <w:keepNext/>
        <w:keepLines/>
        <w:widowControl w:val="0"/>
        <w:shd w:val="clear" w:color="auto" w:fill="auto"/>
        <w:tabs>
          <w:tab w:pos="469" w:val="left"/>
        </w:tabs>
        <w:bidi w:val="0"/>
        <w:spacing w:before="0" w:after="200" w:line="324" w:lineRule="auto"/>
        <w:ind w:left="0" w:right="0" w:firstLine="0"/>
        <w:jc w:val="left"/>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1</w:t>
      </w:r>
      <w:bookmarkEnd w:id="895"/>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93"/>
      <w:bookmarkEnd w:id="894"/>
      <w:bookmarkEnd w:id="896"/>
    </w:p>
    <w:p>
      <w:pPr>
        <w:pStyle w:val="Style18"/>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合同成本包括合同履约成本与合同取得成本。</w:t>
      </w:r>
    </w:p>
    <w:p>
      <w:pPr>
        <w:pStyle w:val="Style18"/>
        <w:keepNext w:val="0"/>
        <w:keepLines w:val="0"/>
        <w:widowControl w:val="0"/>
        <w:shd w:val="clear" w:color="auto" w:fill="auto"/>
        <w:bidi w:val="0"/>
        <w:spacing w:before="0" w:after="80" w:line="311" w:lineRule="exact"/>
        <w:ind w:left="0" w:right="0" w:firstLine="440"/>
        <w:jc w:val="both"/>
      </w:pPr>
      <w:r>
        <w:rPr>
          <w:color w:val="000000"/>
          <w:spacing w:val="0"/>
          <w:w w:val="100"/>
          <w:position w:val="0"/>
        </w:rPr>
        <w:t>本公司为履行合同而发生的成本，不属于存货、固定资产或无形资产等相关准则规范范围的，在满足 下列条件时作为合同履约成本确认为一项资产：</w:t>
      </w:r>
    </w:p>
    <w:p>
      <w:pPr>
        <w:pStyle w:val="Style18"/>
        <w:keepNext w:val="0"/>
        <w:keepLines w:val="0"/>
        <w:widowControl w:val="0"/>
        <w:numPr>
          <w:ilvl w:val="0"/>
          <w:numId w:val="15"/>
        </w:numPr>
        <w:shd w:val="clear" w:color="auto" w:fill="auto"/>
        <w:tabs>
          <w:tab w:pos="1397" w:val="left"/>
        </w:tabs>
        <w:bidi w:val="0"/>
        <w:spacing w:before="0" w:after="0" w:line="324" w:lineRule="auto"/>
        <w:ind w:left="0" w:right="0" w:firstLine="960"/>
        <w:jc w:val="both"/>
      </w:pPr>
      <w:bookmarkStart w:id="897" w:name="bookmark897"/>
      <w:bookmarkEnd w:id="897"/>
      <w:r>
        <w:rPr>
          <w:color w:val="000000"/>
          <w:spacing w:val="0"/>
          <w:w w:val="100"/>
          <w:position w:val="0"/>
        </w:rPr>
        <w:t>该成本与一份当前或预期取得的合同直接相关。</w:t>
      </w:r>
    </w:p>
    <w:p>
      <w:pPr>
        <w:pStyle w:val="Style18"/>
        <w:keepNext w:val="0"/>
        <w:keepLines w:val="0"/>
        <w:widowControl w:val="0"/>
        <w:numPr>
          <w:ilvl w:val="0"/>
          <w:numId w:val="15"/>
        </w:numPr>
        <w:shd w:val="clear" w:color="auto" w:fill="auto"/>
        <w:tabs>
          <w:tab w:pos="1397" w:val="left"/>
        </w:tabs>
        <w:bidi w:val="0"/>
        <w:spacing w:before="0" w:after="0" w:line="324" w:lineRule="auto"/>
        <w:ind w:left="0" w:right="0" w:firstLine="960"/>
        <w:jc w:val="both"/>
      </w:pPr>
      <w:bookmarkStart w:id="898" w:name="bookmark898"/>
      <w:bookmarkEnd w:id="898"/>
      <w:r>
        <w:rPr>
          <w:color w:val="000000"/>
          <w:spacing w:val="0"/>
          <w:w w:val="100"/>
          <w:position w:val="0"/>
        </w:rPr>
        <w:t>该成本增加了本公司未来用于履行履约义务的资源。</w:t>
      </w:r>
    </w:p>
    <w:p>
      <w:pPr>
        <w:pStyle w:val="Style18"/>
        <w:keepNext w:val="0"/>
        <w:keepLines w:val="0"/>
        <w:widowControl w:val="0"/>
        <w:numPr>
          <w:ilvl w:val="0"/>
          <w:numId w:val="15"/>
        </w:numPr>
        <w:shd w:val="clear" w:color="auto" w:fill="auto"/>
        <w:tabs>
          <w:tab w:pos="1397" w:val="left"/>
        </w:tabs>
        <w:bidi w:val="0"/>
        <w:spacing w:before="0" w:after="0" w:line="324" w:lineRule="auto"/>
        <w:ind w:left="0" w:right="0" w:firstLine="960"/>
        <w:jc w:val="both"/>
      </w:pPr>
      <w:bookmarkStart w:id="899" w:name="bookmark899"/>
      <w:bookmarkEnd w:id="899"/>
      <w:r>
        <w:rPr>
          <w:color w:val="000000"/>
          <w:spacing w:val="0"/>
          <w:w w:val="100"/>
          <w:position w:val="0"/>
        </w:rPr>
        <w:t>该成本预期能够收回。</w:t>
      </w:r>
    </w:p>
    <w:p>
      <w:pPr>
        <w:pStyle w:val="Style18"/>
        <w:keepNext w:val="0"/>
        <w:keepLines w:val="0"/>
        <w:widowControl w:val="0"/>
        <w:shd w:val="clear" w:color="auto" w:fill="auto"/>
        <w:bidi w:val="0"/>
        <w:spacing w:before="0" w:after="0" w:line="311" w:lineRule="exact"/>
        <w:ind w:left="0" w:right="0" w:firstLine="440"/>
        <w:jc w:val="left"/>
      </w:pPr>
      <w:r>
        <w:rPr>
          <w:color w:val="000000"/>
          <w:spacing w:val="0"/>
          <w:w w:val="100"/>
          <w:position w:val="0"/>
        </w:rPr>
        <w:t>本公司为取得合同发生的增量成本预期能够收回的，作为合同取得成本确认为一项资产。</w:t>
      </w:r>
    </w:p>
    <w:p>
      <w:pPr>
        <w:pStyle w:val="Style1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与合同成本有关的资产采用与该资产相关的商品或服务收入确认相同的基础进行摊销；但是对于合同 取得成本摊销期限未超过一年的，本公司在发生时将其计入当期损益。</w:t>
      </w:r>
    </w:p>
    <w:p>
      <w:pPr>
        <w:pStyle w:val="Style18"/>
        <w:keepNext w:val="0"/>
        <w:keepLines w:val="0"/>
        <w:widowControl w:val="0"/>
        <w:shd w:val="clear" w:color="auto" w:fill="auto"/>
        <w:bidi w:val="0"/>
        <w:spacing w:before="0" w:after="80" w:line="311" w:lineRule="exact"/>
        <w:ind w:left="0" w:right="0" w:firstLine="440"/>
        <w:jc w:val="both"/>
      </w:pPr>
      <w:r>
        <w:rPr>
          <w:color w:val="000000"/>
          <w:spacing w:val="0"/>
          <w:w w:val="100"/>
          <w:position w:val="0"/>
        </w:rPr>
        <w:t>与合同成本有关的资产，其账面价值高于下列两项的差额的，本公司对超出部分计提减值准备，并确 认为资产减值损失：</w:t>
      </w:r>
    </w:p>
    <w:p>
      <w:pPr>
        <w:pStyle w:val="Style18"/>
        <w:keepNext w:val="0"/>
        <w:keepLines w:val="0"/>
        <w:widowControl w:val="0"/>
        <w:shd w:val="clear" w:color="auto" w:fill="auto"/>
        <w:tabs>
          <w:tab w:pos="1094" w:val="left"/>
        </w:tabs>
        <w:bidi w:val="0"/>
        <w:spacing w:before="0" w:after="0" w:line="324" w:lineRule="auto"/>
        <w:ind w:left="0" w:right="0" w:firstLine="740"/>
        <w:jc w:val="both"/>
      </w:pPr>
      <w:bookmarkStart w:id="900" w:name="bookmark900"/>
      <w:r>
        <w:rPr>
          <w:rFonts w:ascii="Times New Roman" w:eastAsia="Times New Roman" w:hAnsi="Times New Roman" w:cs="Times New Roman"/>
          <w:color w:val="000000"/>
          <w:spacing w:val="0"/>
          <w:w w:val="100"/>
          <w:position w:val="0"/>
        </w:rPr>
        <w:t>1</w:t>
      </w:r>
      <w:bookmarkEnd w:id="900"/>
      <w:r>
        <w:rPr>
          <w:color w:val="000000"/>
          <w:spacing w:val="0"/>
          <w:w w:val="100"/>
          <w:position w:val="0"/>
        </w:rPr>
        <w:t>、</w:t>
        <w:tab/>
        <w:t>因转让与该资产相关的商品或服务预期能够取得的剩余对价；</w:t>
      </w:r>
    </w:p>
    <w:p>
      <w:pPr>
        <w:pStyle w:val="Style18"/>
        <w:keepNext w:val="0"/>
        <w:keepLines w:val="0"/>
        <w:widowControl w:val="0"/>
        <w:shd w:val="clear" w:color="auto" w:fill="auto"/>
        <w:tabs>
          <w:tab w:pos="1118" w:val="left"/>
        </w:tabs>
        <w:bidi w:val="0"/>
        <w:spacing w:before="0" w:after="0" w:line="324" w:lineRule="auto"/>
        <w:ind w:left="0" w:right="0" w:firstLine="740"/>
        <w:jc w:val="both"/>
      </w:pPr>
      <w:bookmarkStart w:id="901" w:name="bookmark901"/>
      <w:r>
        <w:rPr>
          <w:rFonts w:ascii="Times New Roman" w:eastAsia="Times New Roman" w:hAnsi="Times New Roman" w:cs="Times New Roman"/>
          <w:color w:val="000000"/>
          <w:spacing w:val="0"/>
          <w:w w:val="100"/>
          <w:position w:val="0"/>
        </w:rPr>
        <w:t>2</w:t>
      </w:r>
      <w:bookmarkEnd w:id="901"/>
      <w:r>
        <w:rPr>
          <w:color w:val="000000"/>
          <w:spacing w:val="0"/>
          <w:w w:val="100"/>
          <w:position w:val="0"/>
        </w:rPr>
        <w:t>、</w:t>
        <w:tab/>
        <w:t>为转让该相关商品或服务估计将要发生的成本。</w:t>
      </w:r>
    </w:p>
    <w:p>
      <w:pPr>
        <w:pStyle w:val="Style18"/>
        <w:keepNext w:val="0"/>
        <w:keepLines w:val="0"/>
        <w:widowControl w:val="0"/>
        <w:shd w:val="clear" w:color="auto" w:fill="auto"/>
        <w:bidi w:val="0"/>
        <w:spacing w:before="0" w:after="380" w:line="311" w:lineRule="exact"/>
        <w:ind w:left="0" w:right="0" w:firstLine="440"/>
        <w:jc w:val="both"/>
      </w:pPr>
      <w:r>
        <w:rPr>
          <w:color w:val="000000"/>
          <w:spacing w:val="0"/>
          <w:w w:val="100"/>
          <w:position w:val="0"/>
        </w:rPr>
        <w:t>以前期间减值的因素之后发生变化，使得前述差额高于该资产账面价值的，本公司转回原已计提的减 值准备，并计入当期损益，但转回后的资产账面价值不超过假定不计提减值准备情况下该资产在转回日的 账面价值。</w:t>
      </w:r>
    </w:p>
    <w:p>
      <w:pPr>
        <w:pStyle w:val="Style33"/>
        <w:keepNext/>
        <w:keepLines/>
        <w:widowControl w:val="0"/>
        <w:shd w:val="clear" w:color="auto" w:fill="auto"/>
        <w:tabs>
          <w:tab w:pos="469" w:val="left"/>
        </w:tabs>
        <w:bidi w:val="0"/>
        <w:spacing w:before="0" w:after="200" w:line="324" w:lineRule="auto"/>
        <w:ind w:left="0" w:right="0" w:firstLine="0"/>
        <w:jc w:val="left"/>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1</w:t>
      </w:r>
      <w:bookmarkEnd w:id="904"/>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902"/>
      <w:bookmarkEnd w:id="903"/>
      <w:bookmarkEnd w:id="905"/>
    </w:p>
    <w:p>
      <w:pPr>
        <w:pStyle w:val="Style1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主要通过出售（包括具有商业实质的非货币性资产交换）而非持续使用一项非流动资产或处置组收回 其账面价值的，划分为持有待售类别。</w:t>
      </w:r>
    </w:p>
    <w:p>
      <w:pPr>
        <w:pStyle w:val="Style18"/>
        <w:keepNext w:val="0"/>
        <w:keepLines w:val="0"/>
        <w:widowControl w:val="0"/>
        <w:shd w:val="clear" w:color="auto" w:fill="auto"/>
        <w:bidi w:val="0"/>
        <w:spacing w:before="0" w:after="0" w:line="317" w:lineRule="exact"/>
        <w:ind w:left="0" w:right="0" w:firstLine="440"/>
        <w:jc w:val="left"/>
      </w:pPr>
      <w:r>
        <w:rPr>
          <w:color w:val="000000"/>
          <w:spacing w:val="0"/>
          <w:w w:val="100"/>
          <w:position w:val="0"/>
        </w:rPr>
        <w:t>本公司将同时满足下列条件的非流动资产或处置组划分为持有待售类别：</w:t>
      </w:r>
    </w:p>
    <w:p>
      <w:pPr>
        <w:pStyle w:val="Style18"/>
        <w:keepNext w:val="0"/>
        <w:keepLines w:val="0"/>
        <w:widowControl w:val="0"/>
        <w:shd w:val="clear" w:color="auto" w:fill="auto"/>
        <w:bidi w:val="0"/>
        <w:spacing w:before="0" w:after="260" w:line="317" w:lineRule="exact"/>
        <w:ind w:left="0" w:right="0" w:firstLine="440"/>
        <w:jc w:val="left"/>
      </w:pPr>
      <w:bookmarkStart w:id="906" w:name="bookmark906"/>
      <w:r>
        <w:rPr>
          <w:color w:val="000000"/>
          <w:spacing w:val="0"/>
          <w:w w:val="100"/>
          <w:position w:val="0"/>
        </w:rPr>
        <w:t>（</w:t>
      </w:r>
      <w:bookmarkEnd w:id="906"/>
      <w:r>
        <w:rPr>
          <w:rFonts w:ascii="Times New Roman" w:eastAsia="Times New Roman" w:hAnsi="Times New Roman" w:cs="Times New Roman"/>
          <w:color w:val="000000"/>
          <w:spacing w:val="0"/>
          <w:w w:val="100"/>
          <w:position w:val="0"/>
        </w:rPr>
        <w:t>1</w:t>
      </w:r>
      <w:r>
        <w:rPr>
          <w:color w:val="000000"/>
          <w:spacing w:val="0"/>
          <w:w w:val="100"/>
          <w:position w:val="0"/>
        </w:rPr>
        <w:t>）根据类似交易中出售此类资产或处置组的惯例，在当前状况下即可立即出售；</w:t>
      </w:r>
    </w:p>
    <w:p>
      <w:pPr>
        <w:pStyle w:val="Style18"/>
        <w:keepNext w:val="0"/>
        <w:keepLines w:val="0"/>
        <w:widowControl w:val="0"/>
        <w:shd w:val="clear" w:color="auto" w:fill="auto"/>
        <w:bidi w:val="0"/>
        <w:spacing w:before="0" w:after="0" w:line="315" w:lineRule="exact"/>
        <w:ind w:left="0" w:right="0" w:firstLine="440"/>
        <w:jc w:val="left"/>
      </w:pPr>
      <w:bookmarkStart w:id="907" w:name="bookmark907"/>
      <w:r>
        <w:rPr>
          <w:color w:val="000000"/>
          <w:spacing w:val="0"/>
          <w:w w:val="100"/>
          <w:position w:val="0"/>
        </w:rPr>
        <w:t>（</w:t>
      </w:r>
      <w:bookmarkEnd w:id="907"/>
      <w:r>
        <w:rPr>
          <w:rFonts w:ascii="Times New Roman" w:eastAsia="Times New Roman" w:hAnsi="Times New Roman" w:cs="Times New Roman"/>
          <w:color w:val="000000"/>
          <w:spacing w:val="0"/>
          <w:w w:val="100"/>
          <w:position w:val="0"/>
        </w:rPr>
        <w:t>2</w:t>
      </w:r>
      <w:r>
        <w:rPr>
          <w:color w:val="000000"/>
          <w:spacing w:val="0"/>
          <w:w w:val="100"/>
          <w:position w:val="0"/>
        </w:rPr>
        <w:t>）出售极可能发生，即本公司已经就一项出售计划作出决议且获得确定的购买承诺，预计出售将 在一年内完成。有关规定要求本公司相关权力机构或者监管部门批准后方可出售的，已经获得批准。</w:t>
      </w:r>
    </w:p>
    <w:p>
      <w:pPr>
        <w:pStyle w:val="Style18"/>
        <w:keepNext w:val="0"/>
        <w:keepLines w:val="0"/>
        <w:widowControl w:val="0"/>
        <w:shd w:val="clear" w:color="auto" w:fill="auto"/>
        <w:bidi w:val="0"/>
        <w:spacing w:before="0" w:after="300" w:line="315" w:lineRule="exact"/>
        <w:ind w:left="0" w:right="0" w:firstLine="440"/>
        <w:jc w:val="left"/>
      </w:pPr>
      <w:r>
        <w:rPr>
          <w:color w:val="000000"/>
          <w:spacing w:val="0"/>
          <w:w w:val="100"/>
          <w:position w:val="0"/>
        </w:rPr>
        <w:t>划分为持有待售的非流动资产（不包括金融资产、递延所得税资产、职工薪酬形成的资产）或处置组， 其账面价值高于公允价值减去出售费用后的净额的，账面价值减记至公允价值减去出售费用后的净额，减 记的金额确认为资产减值损失，计入当期损益，同时计提持有待售资产减值准备。</w:t>
      </w:r>
    </w:p>
    <w:p>
      <w:pPr>
        <w:pStyle w:val="Style33"/>
        <w:keepNext/>
        <w:keepLines/>
        <w:widowControl w:val="0"/>
        <w:shd w:val="clear" w:color="auto" w:fill="auto"/>
        <w:tabs>
          <w:tab w:pos="469" w:val="left"/>
        </w:tabs>
        <w:bidi w:val="0"/>
        <w:spacing w:before="0" w:after="400" w:line="314" w:lineRule="exact"/>
        <w:ind w:left="0" w:right="0" w:firstLine="0"/>
        <w:jc w:val="left"/>
      </w:pPr>
      <w:bookmarkStart w:id="908" w:name="bookmark908"/>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rPr>
        <w:t>1</w:t>
      </w:r>
      <w:bookmarkEnd w:id="910"/>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908"/>
      <w:bookmarkEnd w:id="909"/>
      <w:bookmarkEnd w:id="911"/>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78" w:val="left"/>
        </w:tabs>
        <w:bidi w:val="0"/>
        <w:spacing w:before="0" w:after="400" w:line="314" w:lineRule="exact"/>
        <w:ind w:left="0" w:right="0" w:firstLine="0"/>
        <w:jc w:val="left"/>
      </w:pPr>
      <w:bookmarkStart w:id="912" w:name="bookmark912"/>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rPr>
        <w:t>2</w:t>
      </w:r>
      <w:bookmarkEnd w:id="914"/>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912"/>
      <w:bookmarkEnd w:id="913"/>
      <w:bookmarkEnd w:id="915"/>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78" w:val="left"/>
        </w:tabs>
        <w:bidi w:val="0"/>
        <w:spacing w:before="0" w:after="400" w:line="314" w:lineRule="exact"/>
        <w:ind w:left="0" w:right="0" w:firstLine="0"/>
        <w:jc w:val="left"/>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2</w:t>
      </w:r>
      <w:bookmarkEnd w:id="918"/>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916"/>
      <w:bookmarkEnd w:id="917"/>
      <w:bookmarkEnd w:id="919"/>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具体详见第十一节财务报告、五、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p>
    <w:p>
      <w:pPr>
        <w:pStyle w:val="Style33"/>
        <w:keepNext/>
        <w:keepLines/>
        <w:widowControl w:val="0"/>
        <w:shd w:val="clear" w:color="auto" w:fill="auto"/>
        <w:tabs>
          <w:tab w:pos="478" w:val="left"/>
        </w:tabs>
        <w:bidi w:val="0"/>
        <w:spacing w:before="0" w:after="300" w:line="314" w:lineRule="exact"/>
        <w:ind w:left="0" w:right="0" w:firstLine="0"/>
        <w:jc w:val="left"/>
      </w:pPr>
      <w:bookmarkStart w:id="920" w:name="bookmark920"/>
      <w:bookmarkStart w:id="921" w:name="bookmark921"/>
      <w:bookmarkStart w:id="922" w:name="bookmark922"/>
      <w:bookmarkStart w:id="923" w:name="bookmark923"/>
      <w:r>
        <w:rPr>
          <w:rFonts w:ascii="Times New Roman" w:eastAsia="Times New Roman" w:hAnsi="Times New Roman" w:cs="Times New Roman"/>
          <w:color w:val="000000"/>
          <w:spacing w:val="0"/>
          <w:w w:val="100"/>
          <w:position w:val="0"/>
        </w:rPr>
        <w:t>2</w:t>
      </w:r>
      <w:bookmarkEnd w:id="922"/>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920"/>
      <w:bookmarkEnd w:id="921"/>
      <w:bookmarkEnd w:id="923"/>
    </w:p>
    <w:p>
      <w:pPr>
        <w:pStyle w:val="Style33"/>
        <w:keepNext/>
        <w:keepLines/>
        <w:widowControl w:val="0"/>
        <w:shd w:val="clear" w:color="auto" w:fill="auto"/>
        <w:tabs>
          <w:tab w:pos="366" w:val="left"/>
        </w:tabs>
        <w:bidi w:val="0"/>
        <w:spacing w:before="0" w:after="0" w:line="293" w:lineRule="exact"/>
        <w:ind w:left="0" w:right="0" w:firstLine="0"/>
        <w:jc w:val="left"/>
      </w:pPr>
      <w:bookmarkStart w:id="920" w:name="bookmark920"/>
      <w:bookmarkStart w:id="921" w:name="bookmark921"/>
      <w:bookmarkStart w:id="924" w:name="bookmark924"/>
      <w:r>
        <w:rPr>
          <w:rFonts w:ascii="Times New Roman" w:eastAsia="Times New Roman" w:hAnsi="Times New Roman" w:cs="Times New Roman"/>
          <w:color w:val="000000"/>
          <w:spacing w:val="0"/>
          <w:w w:val="100"/>
          <w:position w:val="0"/>
        </w:rPr>
        <w:t>1</w:t>
      </w:r>
      <w:bookmarkEnd w:id="924"/>
      <w:r>
        <w:rPr>
          <w:color w:val="000000"/>
          <w:spacing w:val="0"/>
          <w:w w:val="100"/>
          <w:position w:val="0"/>
        </w:rPr>
        <w:t>、</w:t>
        <w:tab/>
        <w:t>共同控制、重大影响的判断标准</w:t>
      </w:r>
      <w:bookmarkEnd w:id="920"/>
      <w:bookmarkEnd w:id="921"/>
    </w:p>
    <w:p>
      <w:pPr>
        <w:pStyle w:val="Style18"/>
        <w:keepNext w:val="0"/>
        <w:keepLines w:val="0"/>
        <w:widowControl w:val="0"/>
        <w:shd w:val="clear" w:color="auto" w:fill="auto"/>
        <w:bidi w:val="0"/>
        <w:spacing w:before="0" w:after="0" w:line="293" w:lineRule="exact"/>
        <w:ind w:left="0" w:right="0" w:firstLine="440"/>
        <w:jc w:val="both"/>
      </w:pPr>
      <w:r>
        <w:rPr>
          <w:color w:val="000000"/>
          <w:spacing w:val="0"/>
          <w:w w:val="100"/>
          <w:position w:val="0"/>
        </w:rPr>
        <w:t>共同控制，是指按照相关约定对某项安排所共有的控制，并且该安排的相关活动必须经过分享控制权 的参与方一致同意后才能决策。本公司与其他合营方一同对被投资单位实施共同控制且对被投资单位净资 产享有权利的，被投资单位为本公司的合营企业。</w:t>
      </w:r>
    </w:p>
    <w:p>
      <w:pPr>
        <w:pStyle w:val="Style18"/>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重大影响，是指对被投资单位的财务和经营决策有参与决策的权力，但并不能够控制或者与其他方一 起共同控制这些政策的制定。本公司能够对被投资单位施加重大影响的，被投资单位为本公司联营企业。</w:t>
      </w:r>
    </w:p>
    <w:p>
      <w:pPr>
        <w:pStyle w:val="Style18"/>
        <w:keepNext w:val="0"/>
        <w:keepLines w:val="0"/>
        <w:widowControl w:val="0"/>
        <w:shd w:val="clear" w:color="auto" w:fill="auto"/>
        <w:tabs>
          <w:tab w:pos="368" w:val="left"/>
        </w:tabs>
        <w:bidi w:val="0"/>
        <w:spacing w:before="0" w:after="0" w:line="314" w:lineRule="exact"/>
        <w:ind w:left="0" w:right="0" w:firstLine="0"/>
        <w:jc w:val="left"/>
      </w:pPr>
      <w:bookmarkStart w:id="925" w:name="bookmark925"/>
      <w:r>
        <w:rPr>
          <w:rFonts w:ascii="Times New Roman" w:eastAsia="Times New Roman" w:hAnsi="Times New Roman" w:cs="Times New Roman"/>
          <w:b/>
          <w:bCs/>
          <w:color w:val="000000"/>
          <w:spacing w:val="0"/>
          <w:w w:val="100"/>
          <w:position w:val="0"/>
        </w:rPr>
        <w:t>2</w:t>
      </w:r>
      <w:bookmarkEnd w:id="925"/>
      <w:r>
        <w:rPr>
          <w:b/>
          <w:bCs/>
          <w:color w:val="000000"/>
          <w:spacing w:val="0"/>
          <w:w w:val="100"/>
          <w:position w:val="0"/>
        </w:rPr>
        <w:t>、</w:t>
        <w:tab/>
        <w:t>初始投资成本的确定</w:t>
      </w:r>
    </w:p>
    <w:p>
      <w:pPr>
        <w:pStyle w:val="Style18"/>
        <w:keepNext w:val="0"/>
        <w:keepLines w:val="0"/>
        <w:widowControl w:val="0"/>
        <w:shd w:val="clear" w:color="auto" w:fill="auto"/>
        <w:tabs>
          <w:tab w:pos="493" w:val="left"/>
        </w:tabs>
        <w:bidi w:val="0"/>
        <w:spacing w:before="0" w:after="0" w:line="314" w:lineRule="exact"/>
        <w:ind w:left="0" w:right="0" w:firstLine="0"/>
        <w:jc w:val="left"/>
      </w:pPr>
      <w:bookmarkStart w:id="926" w:name="bookmark926"/>
      <w:r>
        <w:rPr>
          <w:color w:val="000000"/>
          <w:spacing w:val="0"/>
          <w:w w:val="100"/>
          <w:position w:val="0"/>
        </w:rPr>
        <w:t>（</w:t>
      </w:r>
      <w:bookmarkEnd w:id="926"/>
      <w:r>
        <w:rPr>
          <w:rFonts w:ascii="Times New Roman" w:eastAsia="Times New Roman" w:hAnsi="Times New Roman" w:cs="Times New Roman"/>
          <w:color w:val="000000"/>
          <w:spacing w:val="0"/>
          <w:w w:val="100"/>
          <w:position w:val="0"/>
        </w:rPr>
        <w:t>1</w:t>
      </w:r>
      <w:r>
        <w:rPr>
          <w:color w:val="000000"/>
          <w:spacing w:val="0"/>
          <w:w w:val="100"/>
          <w:position w:val="0"/>
        </w:rPr>
        <w:t>）</w:t>
        <w:tab/>
        <w:t>企业合并形成的长期股权投资</w:t>
      </w:r>
    </w:p>
    <w:p>
      <w:pPr>
        <w:pStyle w:val="Style18"/>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对于同一控制下的企业合并形成的对子公司的长期股权投资，在合并日按照取得被合并方所有者权益 在最终控制方合并财务报表中的账面价值的份额作为长期股权投资的初始投资成本。长期股权投资初始投 资成本与支付对价账面价值之间的差额，调整资本公积中的股本溢价；资本公积中的股本溢价不足冲减时， 调整留存收益。因追加投资等原因能够对同一控制下的被投资单位实施控制的，按上述原则确认的长期股 权投资的初始投资成本与达到合并前的长期股权投资账面价值加上合并日进一步取得股份新支付对价的 账面价值之和的差额，调整股本溢价，股本溢价不足冲减的，冲减留存收益。</w:t>
      </w:r>
    </w:p>
    <w:p>
      <w:pPr>
        <w:pStyle w:val="Style18"/>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对于非同一控制下的企业合并形成的对子公司的长期股权投资，按照购买日确定的合并成本作为长期 股权投资的初始投资成本。因追加投资等原因能够对非同一控制下的被投资单位实施控制的，按照原持有 的股权投资账面价值加上新增投资成本之和作为初始投资成本。</w:t>
      </w:r>
    </w:p>
    <w:p>
      <w:pPr>
        <w:pStyle w:val="Style18"/>
        <w:keepNext w:val="0"/>
        <w:keepLines w:val="0"/>
        <w:widowControl w:val="0"/>
        <w:shd w:val="clear" w:color="auto" w:fill="auto"/>
        <w:tabs>
          <w:tab w:pos="493" w:val="left"/>
        </w:tabs>
        <w:bidi w:val="0"/>
        <w:spacing w:before="0" w:after="0" w:line="314" w:lineRule="exact"/>
        <w:ind w:left="0" w:right="0" w:firstLine="0"/>
        <w:jc w:val="left"/>
      </w:pPr>
      <w:bookmarkStart w:id="927" w:name="bookmark927"/>
      <w:r>
        <w:rPr>
          <w:color w:val="000000"/>
          <w:spacing w:val="0"/>
          <w:w w:val="100"/>
          <w:position w:val="0"/>
        </w:rPr>
        <w:t>（</w:t>
      </w:r>
      <w:bookmarkEnd w:id="927"/>
      <w:r>
        <w:rPr>
          <w:rFonts w:ascii="Times New Roman" w:eastAsia="Times New Roman" w:hAnsi="Times New Roman" w:cs="Times New Roman"/>
          <w:color w:val="000000"/>
          <w:spacing w:val="0"/>
          <w:w w:val="100"/>
          <w:position w:val="0"/>
        </w:rPr>
        <w:t>2</w:t>
      </w:r>
      <w:r>
        <w:rPr>
          <w:color w:val="000000"/>
          <w:spacing w:val="0"/>
          <w:w w:val="100"/>
          <w:position w:val="0"/>
        </w:rPr>
        <w:t>）</w:t>
        <w:tab/>
        <w:t>通过企业合并以外的其他方式取得的长期股权投资</w:t>
      </w:r>
    </w:p>
    <w:p>
      <w:pPr>
        <w:pStyle w:val="Style18"/>
        <w:keepNext w:val="0"/>
        <w:keepLines w:val="0"/>
        <w:widowControl w:val="0"/>
        <w:shd w:val="clear" w:color="auto" w:fill="auto"/>
        <w:bidi w:val="0"/>
        <w:spacing w:before="0" w:after="0" w:line="314" w:lineRule="exact"/>
        <w:ind w:left="0" w:right="0" w:firstLine="440"/>
        <w:jc w:val="left"/>
      </w:pPr>
      <w:r>
        <w:rPr>
          <w:color w:val="000000"/>
          <w:spacing w:val="0"/>
          <w:w w:val="100"/>
          <w:position w:val="0"/>
        </w:rPr>
        <w:t>以支付现金方式取得的长期股权投资，按照实际支付的购买价款作为初始投资成本。</w:t>
      </w:r>
    </w:p>
    <w:p>
      <w:pPr>
        <w:pStyle w:val="Style18"/>
        <w:keepNext w:val="0"/>
        <w:keepLines w:val="0"/>
        <w:widowControl w:val="0"/>
        <w:shd w:val="clear" w:color="auto" w:fill="auto"/>
        <w:bidi w:val="0"/>
        <w:spacing w:before="0" w:after="300" w:line="314" w:lineRule="exact"/>
        <w:ind w:left="0" w:right="0" w:firstLine="440"/>
        <w:jc w:val="left"/>
      </w:pPr>
      <w:r>
        <w:rPr>
          <w:color w:val="000000"/>
          <w:spacing w:val="0"/>
          <w:w w:val="100"/>
          <w:position w:val="0"/>
        </w:rPr>
        <w:t>以发行权益性证券取得的长期股权投资，按照发行权益性证券的公允价值作为初始投资成本。</w:t>
      </w:r>
    </w:p>
    <w:p>
      <w:pPr>
        <w:pStyle w:val="Style18"/>
        <w:keepNext w:val="0"/>
        <w:keepLines w:val="0"/>
        <w:widowControl w:val="0"/>
        <w:shd w:val="clear" w:color="auto" w:fill="auto"/>
        <w:tabs>
          <w:tab w:pos="368" w:val="left"/>
        </w:tabs>
        <w:bidi w:val="0"/>
        <w:spacing w:before="0" w:after="0" w:line="314" w:lineRule="exact"/>
        <w:ind w:left="0" w:right="0" w:firstLine="0"/>
        <w:jc w:val="left"/>
      </w:pPr>
      <w:bookmarkStart w:id="928" w:name="bookmark928"/>
      <w:r>
        <w:rPr>
          <w:rFonts w:ascii="Times New Roman" w:eastAsia="Times New Roman" w:hAnsi="Times New Roman" w:cs="Times New Roman"/>
          <w:b/>
          <w:bCs/>
          <w:color w:val="000000"/>
          <w:spacing w:val="0"/>
          <w:w w:val="100"/>
          <w:position w:val="0"/>
        </w:rPr>
        <w:t>3</w:t>
      </w:r>
      <w:bookmarkEnd w:id="928"/>
      <w:r>
        <w:rPr>
          <w:b/>
          <w:bCs/>
          <w:color w:val="000000"/>
          <w:spacing w:val="0"/>
          <w:w w:val="100"/>
          <w:position w:val="0"/>
        </w:rPr>
        <w:t>、</w:t>
        <w:tab/>
        <w:t>后续计量及损益确认方法</w:t>
      </w:r>
    </w:p>
    <w:p>
      <w:pPr>
        <w:pStyle w:val="Style18"/>
        <w:keepNext w:val="0"/>
        <w:keepLines w:val="0"/>
        <w:widowControl w:val="0"/>
        <w:shd w:val="clear" w:color="auto" w:fill="auto"/>
        <w:bidi w:val="0"/>
        <w:spacing w:before="0" w:after="0" w:line="314" w:lineRule="exact"/>
        <w:ind w:left="0" w:right="0" w:firstLine="0"/>
        <w:jc w:val="left"/>
      </w:pPr>
      <w:bookmarkStart w:id="929" w:name="bookmark929"/>
      <w:r>
        <w:rPr>
          <w:color w:val="000000"/>
          <w:spacing w:val="0"/>
          <w:w w:val="100"/>
          <w:position w:val="0"/>
        </w:rPr>
        <w:t>（</w:t>
      </w:r>
      <w:bookmarkEnd w:id="929"/>
      <w:r>
        <w:rPr>
          <w:rFonts w:ascii="Times New Roman" w:eastAsia="Times New Roman" w:hAnsi="Times New Roman" w:cs="Times New Roman"/>
          <w:color w:val="000000"/>
          <w:spacing w:val="0"/>
          <w:w w:val="100"/>
          <w:position w:val="0"/>
        </w:rPr>
        <w:t>1</w:t>
      </w:r>
      <w:r>
        <w:rPr>
          <w:color w:val="000000"/>
          <w:spacing w:val="0"/>
          <w:w w:val="100"/>
          <w:position w:val="0"/>
        </w:rPr>
        <w:t>）成本法核算的长期股权投资</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 xml:space="preserve">公司对子公司的长期股权投资，采用成本法核算，除非投资符合持有待售的条件。除取得投资时实际 </w:t>
      </w:r>
      <w:r>
        <w:rPr>
          <w:color w:val="000000"/>
          <w:spacing w:val="0"/>
          <w:w w:val="100"/>
          <w:position w:val="0"/>
        </w:rPr>
        <w:t>支付的价款或对价中包含的已宣告但尚未发放的现金股利或利润外，公司按照享有被投资单位宣告发放的 现金股利或利润确认当期投资收益。</w:t>
      </w:r>
    </w:p>
    <w:p>
      <w:pPr>
        <w:pStyle w:val="Style18"/>
        <w:keepNext w:val="0"/>
        <w:keepLines w:val="0"/>
        <w:widowControl w:val="0"/>
        <w:shd w:val="clear" w:color="auto" w:fill="auto"/>
        <w:tabs>
          <w:tab w:pos="449" w:val="left"/>
        </w:tabs>
        <w:bidi w:val="0"/>
        <w:spacing w:before="0" w:after="0" w:line="312" w:lineRule="exact"/>
        <w:ind w:left="0" w:right="0" w:firstLine="0"/>
        <w:jc w:val="left"/>
      </w:pPr>
      <w:bookmarkStart w:id="930" w:name="bookmark930"/>
      <w:r>
        <w:rPr>
          <w:color w:val="000000"/>
          <w:spacing w:val="0"/>
          <w:w w:val="100"/>
          <w:position w:val="0"/>
        </w:rPr>
        <w:t>（</w:t>
      </w:r>
      <w:bookmarkEnd w:id="930"/>
      <w:r>
        <w:rPr>
          <w:rFonts w:ascii="Times New Roman" w:eastAsia="Times New Roman" w:hAnsi="Times New Roman" w:cs="Times New Roman"/>
          <w:color w:val="000000"/>
          <w:spacing w:val="0"/>
          <w:w w:val="100"/>
          <w:position w:val="0"/>
        </w:rPr>
        <w:t>2</w:t>
      </w:r>
      <w:r>
        <w:rPr>
          <w:color w:val="000000"/>
          <w:spacing w:val="0"/>
          <w:w w:val="100"/>
          <w:position w:val="0"/>
        </w:rPr>
        <w:t>）</w:t>
        <w:tab/>
        <w:t>权益法核算的长期股权投资</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对联营企业和合营企业的长期股权投资，采用权益法核算。初始投资成本大于投资时应享有被投资单 位可辨认净资产公允价值份额的差额，不调整长期股权投资的初始投资成本；初始投资成本小于投资时应 享有被投资单位可辨认净资产公允价值份额的差额，计入当期损益，同时调整长期股权投资的成本。</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公司按照应享有或应分担的被投资单位实现的净损益和其他综合收益的份额，分别确认投资收益和其 他综合收益，同时调整长期股权投资的账面价值；按照被投资单位宣告分派的利润或现金股利计算应享有 的部分，相应减少长期股权投资的账面价值；对于被投资单位除净损益、其他综合收益和利润分配以外所 有者权益的其他变动（简称</w:t>
      </w:r>
      <w:r>
        <w:rPr>
          <w:rFonts w:ascii="Times New Roman" w:eastAsia="Times New Roman" w:hAnsi="Times New Roman" w:cs="Times New Roman"/>
          <w:color w:val="000000"/>
          <w:spacing w:val="0"/>
          <w:w w:val="100"/>
          <w:position w:val="0"/>
        </w:rPr>
        <w:t>“</w:t>
      </w:r>
      <w:r>
        <w:rPr>
          <w:color w:val="000000"/>
          <w:spacing w:val="0"/>
          <w:w w:val="100"/>
          <w:position w:val="0"/>
        </w:rPr>
        <w:t>其他所有者权益变动</w:t>
      </w:r>
      <w:r>
        <w:rPr>
          <w:rFonts w:ascii="Times New Roman" w:eastAsia="Times New Roman" w:hAnsi="Times New Roman" w:cs="Times New Roman"/>
          <w:color w:val="000000"/>
          <w:spacing w:val="0"/>
          <w:w w:val="100"/>
          <w:position w:val="0"/>
        </w:rPr>
        <w:t>”</w:t>
      </w:r>
      <w:r>
        <w:rPr>
          <w:color w:val="000000"/>
          <w:spacing w:val="0"/>
          <w:w w:val="100"/>
          <w:position w:val="0"/>
        </w:rPr>
        <w:t>），调整长期股权投资的账面价值并计入所有者权益。</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在确认应享有被投资单位净损益、其他综合收益及其他所有者权益变动的份额时，以取得投资时被投 资单位可辨认净资产的公允价值为基础，并按照公司的会计政策及会计期间，对被投资单位的净利润和其 他综合收益等进行调整后确认。</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公司与联营企业、合营企业之间发生的未实现内部交易损益按照应享有的比例计算归属于公司的部分， 予以抵销，在此基础上确认投资收益，但投出或出售的资产构成业务的除外。与被投资单位发生的未实现 内部交易损失，属于资产减值损失的，全额确认。</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公司对合营企业或联营企业发生的净亏损，除负有承担额外损失义务外，以长期股权投资的账面价值 以及其他实质上构成对合营企业或联营企业净投资的长期权益减记至零为限。合营企业或联营企业以后实 现净利润的，公司在收益分享额弥补未确认的亏损分担额后，恢复确认收益分享额。</w:t>
      </w:r>
    </w:p>
    <w:p>
      <w:pPr>
        <w:pStyle w:val="Style18"/>
        <w:keepNext w:val="0"/>
        <w:keepLines w:val="0"/>
        <w:widowControl w:val="0"/>
        <w:shd w:val="clear" w:color="auto" w:fill="auto"/>
        <w:tabs>
          <w:tab w:pos="449" w:val="left"/>
        </w:tabs>
        <w:bidi w:val="0"/>
        <w:spacing w:before="0" w:after="0" w:line="312" w:lineRule="exact"/>
        <w:ind w:left="0" w:right="0" w:firstLine="0"/>
        <w:jc w:val="left"/>
      </w:pPr>
      <w:bookmarkStart w:id="931" w:name="bookmark931"/>
      <w:r>
        <w:rPr>
          <w:color w:val="000000"/>
          <w:spacing w:val="0"/>
          <w:w w:val="100"/>
          <w:position w:val="0"/>
        </w:rPr>
        <w:t>（</w:t>
      </w:r>
      <w:bookmarkEnd w:id="931"/>
      <w:r>
        <w:rPr>
          <w:rFonts w:ascii="Times New Roman" w:eastAsia="Times New Roman" w:hAnsi="Times New Roman" w:cs="Times New Roman"/>
          <w:color w:val="000000"/>
          <w:spacing w:val="0"/>
          <w:w w:val="100"/>
          <w:position w:val="0"/>
        </w:rPr>
        <w:t>3</w:t>
      </w:r>
      <w:r>
        <w:rPr>
          <w:color w:val="000000"/>
          <w:spacing w:val="0"/>
          <w:w w:val="100"/>
          <w:position w:val="0"/>
        </w:rPr>
        <w:t>）</w:t>
        <w:tab/>
        <w:t>长期股权投资的处置</w:t>
      </w:r>
    </w:p>
    <w:p>
      <w:pPr>
        <w:pStyle w:val="Style1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处置长期股权投资，其账面价值与实际取得价款的差额，计入当期损益。</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部分处置权益法核算的长期股权投资，剩余股权仍采用权益法核算的，原权益法核算确认的其他综合 收益采用与被投资单位直接处置相关资产或负债相同的基础按相应比例结转，其他所有者权益变动按比例 结转入当期损益。</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因处置股权投资等原因丧失了对被投资单位的共同控制或重大影响的，原股权投资因采用权益法核算 而确认的其他综合收益，在终止采用权益法核算时采用与被投资单位直接处置相关资产或负债相同的基础 进行会计处理，其他所有者权益变动在终止采用权益法核算时全部转入当期损益。</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因处置部分股权投资等原因丧失了对被投资单位控制权的，在编制个别财务报表时，剩余股权能够对 被投资单位实施共同控制或重大影响的，改按权益法核算，并对该剩余股权视同自取得时即采用权益法核 算进行调整，对于取得被投资单位控制权之前确认的其他综合收益采用与被投资单位直接处置相关资产或 负债相同的基础按比例结转，因采用权益法核算确认的其他所有者权益变动按比例结转入当期损益；剩余 股权不能对被投资单位实施共同控制或施加重大影响的，确认为金融资产，其在丧失控制之日的公允价值 与账面价值间的差额计入当期损益，对于取得被投资单位控制权之前确认的其他综合收益和其他所有者权 益变动全部结转。</w:t>
      </w:r>
    </w:p>
    <w:p>
      <w:pPr>
        <w:pStyle w:val="Style18"/>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通过多次交易分步处置对子公司股权投资直至丧失控制权，属于一揽子交易的，各项交易作为一项处 置子公司股权投资并丧失控制权的交易进行会计处理；在丧失控制权之前每一次处置价款与所处置的股权 对应得长期股权投资账面价值之间的差额，在个别财务报表中，先确认为其他综合收益，到丧失控制权时 再一并转人丧失控制权的当期损益。不属于一揽子交易的，对每一项交易分别进行会计处理。</w:t>
      </w:r>
    </w:p>
    <w:p>
      <w:pPr>
        <w:pStyle w:val="Style33"/>
        <w:keepNext/>
        <w:keepLines/>
        <w:widowControl w:val="0"/>
        <w:shd w:val="clear" w:color="auto" w:fill="auto"/>
        <w:bidi w:val="0"/>
        <w:spacing w:before="0" w:after="320" w:line="326" w:lineRule="auto"/>
        <w:ind w:left="0" w:right="0" w:firstLine="0"/>
        <w:jc w:val="left"/>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2</w:t>
      </w:r>
      <w:bookmarkEnd w:id="934"/>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932"/>
      <w:bookmarkEnd w:id="933"/>
      <w:bookmarkEnd w:id="935"/>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投资性房地产计量模式</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成本法计量</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折旧或摊销方法</w:t>
      </w:r>
    </w:p>
    <w:p>
      <w:pPr>
        <w:pStyle w:val="Style1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投资性房地产是指为赚取租金或资本增值，或两者兼有而持有的房地产，包括已出租的土地使用权、 持有并准备增值后转让的土地使用权、已出租的建筑物(含自行建造或开发活动完成后用于出租的建筑物 以及正在建造或开发过程中将来用于出租的建筑物)。</w:t>
      </w:r>
    </w:p>
    <w:p>
      <w:pPr>
        <w:pStyle w:val="Style1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与投资性房地产有关的后续支出，在相关的经济利益很可能流入且其成本能够可靠的计量时，计入投 资性房地产成本；否则，于发生时计入当期损益。</w:t>
      </w:r>
    </w:p>
    <w:p>
      <w:pPr>
        <w:pStyle w:val="Style18"/>
        <w:keepNext w:val="0"/>
        <w:keepLines w:val="0"/>
        <w:widowControl w:val="0"/>
        <w:shd w:val="clear" w:color="auto" w:fill="auto"/>
        <w:bidi w:val="0"/>
        <w:spacing w:before="0" w:after="360" w:line="313" w:lineRule="exact"/>
        <w:ind w:left="720" w:right="0" w:firstLine="0"/>
        <w:jc w:val="both"/>
      </w:pPr>
      <w:r>
        <w:rPr>
          <w:color w:val="000000"/>
          <w:spacing w:val="0"/>
          <w:w w:val="100"/>
          <w:position w:val="0"/>
        </w:rPr>
        <w:t>本公司对现有投资性房地产采用成本模式计量。对按照成本模式计量的投资性房地产一出租用建 筑物采用与本公司固定资产相同的折旧政策，出租用土地使用权按与无形资产相同的摊销政策执 行。</w:t>
      </w:r>
    </w:p>
    <w:p>
      <w:pPr>
        <w:pStyle w:val="Style33"/>
        <w:keepNext/>
        <w:keepLines/>
        <w:widowControl w:val="0"/>
        <w:shd w:val="clear" w:color="auto" w:fill="auto"/>
        <w:bidi w:val="0"/>
        <w:spacing w:before="0" w:after="220" w:line="326" w:lineRule="auto"/>
        <w:ind w:left="0" w:right="0" w:firstLine="0"/>
        <w:jc w:val="left"/>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2</w:t>
      </w:r>
      <w:bookmarkEnd w:id="938"/>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936"/>
      <w:bookmarkEnd w:id="937"/>
      <w:bookmarkEnd w:id="939"/>
    </w:p>
    <w:p>
      <w:pPr>
        <w:pStyle w:val="Style61"/>
        <w:keepNext/>
        <w:keepLines/>
        <w:widowControl w:val="0"/>
        <w:numPr>
          <w:ilvl w:val="0"/>
          <w:numId w:val="17"/>
        </w:numPr>
        <w:shd w:val="clear" w:color="auto" w:fill="auto"/>
        <w:bidi w:val="0"/>
        <w:spacing w:before="0" w:after="260" w:line="313" w:lineRule="exact"/>
        <w:ind w:left="0" w:right="0" w:firstLine="0"/>
        <w:jc w:val="left"/>
      </w:pPr>
      <w:bookmarkStart w:id="940" w:name="bookmark940"/>
      <w:bookmarkStart w:id="941" w:name="bookmark941"/>
      <w:bookmarkStart w:id="942" w:name="bookmark942"/>
      <w:bookmarkStart w:id="943" w:name="bookmark943"/>
      <w:bookmarkEnd w:id="942"/>
      <w:r>
        <w:rPr>
          <w:color w:val="000000"/>
          <w:spacing w:val="0"/>
          <w:w w:val="100"/>
          <w:position w:val="0"/>
        </w:rPr>
        <w:t>确认条件</w:t>
      </w:r>
      <w:bookmarkEnd w:id="940"/>
      <w:bookmarkEnd w:id="941"/>
      <w:bookmarkEnd w:id="943"/>
    </w:p>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固定资产指为生产商品、提供劳务、出租或经营管理而持有，并且使用寿命超过一个会计年度的有形资产。固定资产在同时 满足下列条件时予以确认：</w:t>
      </w:r>
    </w:p>
    <w:p>
      <w:pPr>
        <w:pStyle w:val="Style29"/>
        <w:keepNext w:val="0"/>
        <w:keepLines w:val="0"/>
        <w:widowControl w:val="0"/>
        <w:numPr>
          <w:ilvl w:val="0"/>
          <w:numId w:val="19"/>
        </w:numPr>
        <w:shd w:val="clear" w:color="auto" w:fill="auto"/>
        <w:tabs>
          <w:tab w:pos="435" w:val="left"/>
        </w:tabs>
        <w:bidi w:val="0"/>
        <w:spacing w:before="0" w:after="0" w:line="322" w:lineRule="exact"/>
        <w:ind w:left="0" w:right="0" w:firstLine="0"/>
        <w:jc w:val="left"/>
      </w:pPr>
      <w:bookmarkStart w:id="944" w:name="bookmark944"/>
      <w:bookmarkEnd w:id="944"/>
      <w:r>
        <w:rPr>
          <w:color w:val="000000"/>
          <w:spacing w:val="0"/>
          <w:w w:val="100"/>
          <w:position w:val="0"/>
        </w:rPr>
        <w:t>与该固定资产有关的经济利益很可能流入企业；</w:t>
      </w:r>
    </w:p>
    <w:p>
      <w:pPr>
        <w:pStyle w:val="Style29"/>
        <w:keepNext w:val="0"/>
        <w:keepLines w:val="0"/>
        <w:widowControl w:val="0"/>
        <w:numPr>
          <w:ilvl w:val="0"/>
          <w:numId w:val="19"/>
        </w:numPr>
        <w:shd w:val="clear" w:color="auto" w:fill="auto"/>
        <w:tabs>
          <w:tab w:pos="435" w:val="left"/>
        </w:tabs>
        <w:bidi w:val="0"/>
        <w:spacing w:before="0" w:after="0" w:line="322" w:lineRule="exact"/>
        <w:ind w:left="0" w:right="0" w:firstLine="0"/>
        <w:jc w:val="left"/>
      </w:pPr>
      <w:bookmarkStart w:id="945" w:name="bookmark945"/>
      <w:bookmarkEnd w:id="945"/>
      <w:r>
        <w:rPr>
          <w:color w:val="000000"/>
          <w:spacing w:val="0"/>
          <w:w w:val="100"/>
          <w:position w:val="0"/>
        </w:rPr>
        <w:t>该固定资产的成本能够可靠地计量。</w:t>
      </w:r>
    </w:p>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固定资产按成本(并考虑预计弃置费用因素的影响)进行初始计量。</w:t>
      </w:r>
    </w:p>
    <w:p>
      <w:pPr>
        <w:pStyle w:val="Style29"/>
        <w:keepNext w:val="0"/>
        <w:keepLines w:val="0"/>
        <w:widowControl w:val="0"/>
        <w:shd w:val="clear" w:color="auto" w:fill="auto"/>
        <w:bidi w:val="0"/>
        <w:spacing w:before="0" w:after="360"/>
        <w:ind w:left="0" w:right="0" w:firstLine="0"/>
        <w:jc w:val="left"/>
      </w:pPr>
      <w:r>
        <w:rPr>
          <w:color w:val="000000"/>
          <w:spacing w:val="0"/>
          <w:w w:val="100"/>
          <w:position w:val="0"/>
        </w:rPr>
        <w:t>与固定资产有关的后续支出，在与其有关的经济利益很可能流入且其成本能够可靠计量时，计入固定资产成本；对于被替换 的部分，终止确认其账面价值；所有其他后续支出于发生时计入当期损益。</w:t>
      </w:r>
    </w:p>
    <w:p>
      <w:pPr>
        <w:pStyle w:val="Style26"/>
        <w:keepNext w:val="0"/>
        <w:keepLines w:val="0"/>
        <w:widowControl w:val="0"/>
        <w:shd w:val="clear" w:color="auto" w:fill="auto"/>
        <w:bidi w:val="0"/>
        <w:spacing w:before="0" w:after="0" w:line="240" w:lineRule="auto"/>
        <w:ind w:left="110" w:right="0" w:firstLine="0"/>
        <w:jc w:val="left"/>
        <w:rPr>
          <w:sz w:val="20"/>
          <w:szCs w:val="20"/>
        </w:rPr>
      </w:pPr>
      <w:bookmarkStart w:id="946" w:name="bookmark946"/>
      <w:r>
        <w:rPr>
          <w:rFonts w:ascii="SimSun" w:eastAsia="SimSun" w:hAnsi="SimSun" w:cs="SimSun"/>
          <w:b/>
          <w:bCs/>
          <w:color w:val="000000"/>
          <w:spacing w:val="0"/>
          <w:w w:val="100"/>
          <w:position w:val="0"/>
          <w:sz w:val="20"/>
          <w:szCs w:val="20"/>
        </w:rPr>
        <w:t>⑵折旧方法</w:t>
      </w:r>
      <w:bookmarkEnd w:id="946"/>
    </w:p>
    <w:tbl>
      <w:tblPr>
        <w:tblOverlap w:val="never"/>
        <w:jc w:val="center"/>
        <w:tblLayout w:type="fixed"/>
      </w:tblPr>
      <w:tblGrid>
        <w:gridCol w:w="1930"/>
        <w:gridCol w:w="1910"/>
        <w:gridCol w:w="1920"/>
        <w:gridCol w:w="1910"/>
        <w:gridCol w:w="1934"/>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折旧方法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折旧年限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残值率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年折旧率</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19.20%-32.00%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19.20%</w:t>
            </w:r>
          </w:p>
        </w:tc>
      </w:tr>
    </w:tbl>
    <w:p>
      <w:pPr>
        <w:pStyle w:val="Style18"/>
        <w:keepNext w:val="0"/>
        <w:keepLines w:val="0"/>
        <w:widowControl w:val="0"/>
        <w:shd w:val="clear" w:color="auto" w:fill="auto"/>
        <w:bidi w:val="0"/>
        <w:spacing w:before="0" w:after="0" w:line="312" w:lineRule="exact"/>
        <w:ind w:left="0" w:right="0" w:firstLine="200"/>
        <w:jc w:val="both"/>
      </w:pPr>
      <w:r>
        <w:rPr>
          <w:color w:val="000000"/>
          <w:spacing w:val="0"/>
          <w:w w:val="100"/>
          <w:position w:val="0"/>
        </w:rPr>
        <w:t>固定资产折旧采用年限平均法分类计提，根据固定资产类别、预计使用寿命和预计净残值率确定折旧率。 对计提了减值准备的固定资产，则在未来期间按扣除减值准备后的账面价值及依据尚可使用年限确定折旧 额。如固定资产各组成部分的使用寿命不同或者以不同方式为企业提供经济利益，则选择不同折旧率或折 旧方法，分别计提折旧。</w:t>
      </w:r>
    </w:p>
    <w:p>
      <w:pPr>
        <w:pStyle w:val="Style18"/>
        <w:keepNext w:val="0"/>
        <w:keepLines w:val="0"/>
        <w:widowControl w:val="0"/>
        <w:shd w:val="clear" w:color="auto" w:fill="auto"/>
        <w:bidi w:val="0"/>
        <w:spacing w:before="0" w:after="260" w:line="312" w:lineRule="exact"/>
        <w:ind w:left="0" w:right="0" w:firstLine="200"/>
        <w:jc w:val="both"/>
      </w:pPr>
      <w:r>
        <w:rPr>
          <w:color w:val="000000"/>
          <w:spacing w:val="0"/>
          <w:w w:val="100"/>
          <w:position w:val="0"/>
        </w:rPr>
        <w:t>当固定资产被处置、或者预期通过使用或处置不能产生经济利益时，终止确认该固定资产。固定资产出 售、转让、报废或毁损的处置收入扣除其账面价值和相关税费后的金额计入当期损益。</w:t>
      </w:r>
    </w:p>
    <w:p>
      <w:pPr>
        <w:pStyle w:val="Style61"/>
        <w:keepNext/>
        <w:keepLines/>
        <w:widowControl w:val="0"/>
        <w:numPr>
          <w:ilvl w:val="0"/>
          <w:numId w:val="19"/>
        </w:numPr>
        <w:shd w:val="clear" w:color="auto" w:fill="auto"/>
        <w:bidi w:val="0"/>
        <w:spacing w:before="0" w:after="420" w:line="312" w:lineRule="exact"/>
        <w:ind w:left="0" w:right="0" w:firstLine="0"/>
        <w:jc w:val="left"/>
      </w:pPr>
      <w:bookmarkStart w:id="947" w:name="bookmark947"/>
      <w:bookmarkStart w:id="948" w:name="bookmark948"/>
      <w:bookmarkStart w:id="949" w:name="bookmark949"/>
      <w:bookmarkStart w:id="950" w:name="bookmark950"/>
      <w:bookmarkEnd w:id="949"/>
      <w:r>
        <w:rPr>
          <w:color w:val="000000"/>
          <w:spacing w:val="0"/>
          <w:w w:val="100"/>
          <w:position w:val="0"/>
        </w:rPr>
        <w:t>融资租入固定资产的认定依据、计价和折旧方法</w:t>
      </w:r>
      <w:bookmarkEnd w:id="947"/>
      <w:bookmarkEnd w:id="948"/>
      <w:bookmarkEnd w:id="950"/>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公司与租赁方所签订的租赁协议条款中规定了下列条件之一的，确认为融资租入资产：</w:t>
      </w:r>
    </w:p>
    <w:p>
      <w:pPr>
        <w:pStyle w:val="Style29"/>
        <w:keepNext w:val="0"/>
        <w:keepLines w:val="0"/>
        <w:widowControl w:val="0"/>
        <w:numPr>
          <w:ilvl w:val="0"/>
          <w:numId w:val="21"/>
        </w:numPr>
        <w:shd w:val="clear" w:color="auto" w:fill="auto"/>
        <w:tabs>
          <w:tab w:pos="344" w:val="left"/>
        </w:tabs>
        <w:bidi w:val="0"/>
        <w:spacing w:before="0" w:after="140" w:line="240" w:lineRule="auto"/>
        <w:ind w:left="0" w:right="0" w:firstLine="0"/>
        <w:jc w:val="left"/>
      </w:pPr>
      <w:bookmarkStart w:id="951" w:name="bookmark951"/>
      <w:bookmarkEnd w:id="951"/>
      <w:r>
        <w:rPr>
          <w:color w:val="000000"/>
          <w:spacing w:val="0"/>
          <w:w w:val="100"/>
          <w:position w:val="0"/>
        </w:rPr>
        <w:t>租赁期满后租赁资产的所有权归属于本公司；</w:t>
      </w:r>
    </w:p>
    <w:p>
      <w:pPr>
        <w:pStyle w:val="Style29"/>
        <w:keepNext w:val="0"/>
        <w:keepLines w:val="0"/>
        <w:widowControl w:val="0"/>
        <w:numPr>
          <w:ilvl w:val="0"/>
          <w:numId w:val="21"/>
        </w:numPr>
        <w:shd w:val="clear" w:color="auto" w:fill="auto"/>
        <w:tabs>
          <w:tab w:pos="363" w:val="left"/>
        </w:tabs>
        <w:bidi w:val="0"/>
        <w:spacing w:before="0" w:after="140" w:line="240" w:lineRule="auto"/>
        <w:ind w:left="0" w:right="0" w:firstLine="0"/>
        <w:jc w:val="left"/>
      </w:pPr>
      <w:bookmarkStart w:id="952" w:name="bookmark952"/>
      <w:bookmarkEnd w:id="952"/>
      <w:r>
        <w:rPr>
          <w:color w:val="000000"/>
          <w:spacing w:val="0"/>
          <w:w w:val="100"/>
          <w:position w:val="0"/>
        </w:rPr>
        <w:t>公司具有购买资产的选择权，购买价款远低于行使选择权时该资产的公允价值；</w:t>
      </w:r>
    </w:p>
    <w:p>
      <w:pPr>
        <w:pStyle w:val="Style29"/>
        <w:keepNext w:val="0"/>
        <w:keepLines w:val="0"/>
        <w:widowControl w:val="0"/>
        <w:numPr>
          <w:ilvl w:val="0"/>
          <w:numId w:val="21"/>
        </w:numPr>
        <w:shd w:val="clear" w:color="auto" w:fill="auto"/>
        <w:tabs>
          <w:tab w:pos="363" w:val="left"/>
        </w:tabs>
        <w:bidi w:val="0"/>
        <w:spacing w:before="0" w:after="180" w:line="240" w:lineRule="auto"/>
        <w:ind w:left="0" w:right="0" w:firstLine="0"/>
        <w:jc w:val="left"/>
      </w:pPr>
      <w:bookmarkStart w:id="953" w:name="bookmark953"/>
      <w:bookmarkEnd w:id="953"/>
      <w:r>
        <w:rPr>
          <w:color w:val="000000"/>
          <w:spacing w:val="0"/>
          <w:w w:val="100"/>
          <w:position w:val="0"/>
        </w:rPr>
        <w:t>租赁期占所租赁资产使用寿命的大部分；</w:t>
      </w:r>
    </w:p>
    <w:p>
      <w:pPr>
        <w:pStyle w:val="Style29"/>
        <w:keepNext w:val="0"/>
        <w:keepLines w:val="0"/>
        <w:widowControl w:val="0"/>
        <w:shd w:val="clear" w:color="auto" w:fill="auto"/>
        <w:tabs>
          <w:tab w:pos="363" w:val="left"/>
        </w:tabs>
        <w:bidi w:val="0"/>
        <w:spacing w:before="0" w:after="0" w:line="322" w:lineRule="exact"/>
        <w:ind w:left="0" w:right="0" w:firstLine="0"/>
        <w:jc w:val="left"/>
      </w:pPr>
      <w:bookmarkStart w:id="954" w:name="bookmark954"/>
      <w:r>
        <w:rPr>
          <w:rFonts w:ascii="Times New Roman" w:eastAsia="Times New Roman" w:hAnsi="Times New Roman" w:cs="Times New Roman"/>
          <w:color w:val="000000"/>
          <w:spacing w:val="0"/>
          <w:w w:val="100"/>
          <w:position w:val="0"/>
          <w:sz w:val="18"/>
          <w:szCs w:val="18"/>
        </w:rPr>
        <w:t>4</w:t>
      </w:r>
      <w:bookmarkEnd w:id="954"/>
      <w:r>
        <w:rPr>
          <w:color w:val="000000"/>
          <w:spacing w:val="0"/>
          <w:w w:val="100"/>
          <w:position w:val="0"/>
        </w:rPr>
        <w:t>）</w:t>
        <w:tab/>
        <w:t>租赁开始日的最低租赁付款额现值，与该资产的公允价值不存在较大的差异。</w:t>
      </w:r>
    </w:p>
    <w:p>
      <w:pPr>
        <w:pStyle w:val="Style29"/>
        <w:keepNext w:val="0"/>
        <w:keepLines w:val="0"/>
        <w:widowControl w:val="0"/>
        <w:shd w:val="clear" w:color="auto" w:fill="auto"/>
        <w:tabs>
          <w:tab w:pos="363" w:val="left"/>
        </w:tabs>
        <w:bidi w:val="0"/>
        <w:spacing w:before="0" w:after="0" w:line="322" w:lineRule="exact"/>
        <w:ind w:left="0" w:right="0" w:firstLine="0"/>
        <w:jc w:val="left"/>
      </w:pPr>
      <w:bookmarkStart w:id="955" w:name="bookmark955"/>
      <w:r>
        <w:rPr>
          <w:rFonts w:ascii="Times New Roman" w:eastAsia="Times New Roman" w:hAnsi="Times New Roman" w:cs="Times New Roman"/>
          <w:color w:val="000000"/>
          <w:spacing w:val="0"/>
          <w:w w:val="100"/>
          <w:position w:val="0"/>
          <w:sz w:val="18"/>
          <w:szCs w:val="18"/>
        </w:rPr>
        <w:t>5</w:t>
      </w:r>
      <w:bookmarkEnd w:id="955"/>
      <w:r>
        <w:rPr>
          <w:color w:val="000000"/>
          <w:spacing w:val="0"/>
          <w:w w:val="100"/>
          <w:position w:val="0"/>
        </w:rPr>
        <w:t>）</w:t>
        <w:tab/>
        <w:t>租赁资产性质特殊，如果不作较大改造，只有承租人才能使用。</w:t>
      </w:r>
    </w:p>
    <w:p>
      <w:pPr>
        <w:pStyle w:val="Style29"/>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公司在承租开始日，将租赁资产公允价值与最低租赁付款额现值两者中较低者作为租入资产的入账价值，将最低租赁付款额 作为长期应付款的入账价值，其差额作为未确认的融资费。</w:t>
      </w:r>
    </w:p>
    <w:p>
      <w:pPr>
        <w:pStyle w:val="Style33"/>
        <w:keepNext/>
        <w:keepLines/>
        <w:widowControl w:val="0"/>
        <w:shd w:val="clear" w:color="auto" w:fill="auto"/>
        <w:tabs>
          <w:tab w:pos="478" w:val="left"/>
        </w:tabs>
        <w:bidi w:val="0"/>
        <w:spacing w:before="0" w:after="220" w:line="329" w:lineRule="auto"/>
        <w:ind w:left="0" w:right="0" w:firstLine="0"/>
        <w:jc w:val="left"/>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2</w:t>
      </w:r>
      <w:bookmarkEnd w:id="958"/>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956"/>
      <w:bookmarkEnd w:id="957"/>
      <w:bookmarkEnd w:id="959"/>
    </w:p>
    <w:p>
      <w:pPr>
        <w:pStyle w:val="Style1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在建工程按实际发生的成本计量。实际成本包括建筑成本、安装成本、符合资本化条件的借款费用以及其 他为使在建工程达到预定可使用状态前所发生的必要支出。在建工程在达到预定可使用状态时，转入固定 资产并自次月起开始计提折旧。</w:t>
      </w:r>
    </w:p>
    <w:p>
      <w:pPr>
        <w:pStyle w:val="Style33"/>
        <w:keepNext/>
        <w:keepLines/>
        <w:widowControl w:val="0"/>
        <w:shd w:val="clear" w:color="auto" w:fill="auto"/>
        <w:tabs>
          <w:tab w:pos="478" w:val="left"/>
        </w:tabs>
        <w:bidi w:val="0"/>
        <w:spacing w:before="0" w:after="220" w:line="329" w:lineRule="auto"/>
        <w:ind w:left="0" w:right="0" w:firstLine="0"/>
        <w:jc w:val="left"/>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2</w:t>
      </w:r>
      <w:bookmarkEnd w:id="962"/>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960"/>
      <w:bookmarkEnd w:id="961"/>
      <w:bookmarkEnd w:id="963"/>
    </w:p>
    <w:p>
      <w:pPr>
        <w:pStyle w:val="Style33"/>
        <w:keepNext/>
        <w:keepLines/>
        <w:widowControl w:val="0"/>
        <w:shd w:val="clear" w:color="auto" w:fill="auto"/>
        <w:tabs>
          <w:tab w:pos="358" w:val="left"/>
        </w:tabs>
        <w:bidi w:val="0"/>
        <w:spacing w:before="0" w:after="0" w:line="312" w:lineRule="exact"/>
        <w:ind w:left="0" w:right="0" w:firstLine="0"/>
        <w:jc w:val="left"/>
      </w:pPr>
      <w:bookmarkStart w:id="960" w:name="bookmark960"/>
      <w:bookmarkStart w:id="961" w:name="bookmark961"/>
      <w:bookmarkStart w:id="964" w:name="bookmark964"/>
      <w:r>
        <w:rPr>
          <w:rFonts w:ascii="Times New Roman" w:eastAsia="Times New Roman" w:hAnsi="Times New Roman" w:cs="Times New Roman"/>
          <w:color w:val="000000"/>
          <w:spacing w:val="0"/>
          <w:w w:val="100"/>
          <w:position w:val="0"/>
        </w:rPr>
        <w:t>1</w:t>
      </w:r>
      <w:bookmarkEnd w:id="964"/>
      <w:r>
        <w:rPr>
          <w:color w:val="000000"/>
          <w:spacing w:val="0"/>
          <w:w w:val="100"/>
          <w:position w:val="0"/>
        </w:rPr>
        <w:t>、</w:t>
        <w:tab/>
        <w:t>借款费用资本化的确认原则</w:t>
      </w:r>
      <w:bookmarkEnd w:id="960"/>
      <w:bookmarkEnd w:id="961"/>
    </w:p>
    <w:p>
      <w:pPr>
        <w:pStyle w:val="Style1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公司发生的借款费用，可直接归属于符合资本化条件的资产的购建或者生产的，予以资本化，计入相 关资产成本；其他借款费用，在发生时根据其发生额确认为费用，计入当期损益。</w:t>
      </w:r>
    </w:p>
    <w:p>
      <w:pPr>
        <w:pStyle w:val="Style18"/>
        <w:keepNext w:val="0"/>
        <w:keepLines w:val="0"/>
        <w:widowControl w:val="0"/>
        <w:shd w:val="clear" w:color="auto" w:fill="auto"/>
        <w:bidi w:val="0"/>
        <w:spacing w:before="0" w:after="300" w:line="312" w:lineRule="exact"/>
        <w:ind w:left="0" w:right="0" w:firstLine="440"/>
        <w:jc w:val="left"/>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18"/>
        <w:keepNext w:val="0"/>
        <w:keepLines w:val="0"/>
        <w:widowControl w:val="0"/>
        <w:shd w:val="clear" w:color="auto" w:fill="auto"/>
        <w:tabs>
          <w:tab w:pos="368" w:val="left"/>
        </w:tabs>
        <w:bidi w:val="0"/>
        <w:spacing w:before="0" w:after="0" w:line="312" w:lineRule="exact"/>
        <w:ind w:left="0" w:right="0" w:firstLine="0"/>
        <w:jc w:val="left"/>
      </w:pPr>
      <w:bookmarkStart w:id="965" w:name="bookmark965"/>
      <w:r>
        <w:rPr>
          <w:rFonts w:ascii="Times New Roman" w:eastAsia="Times New Roman" w:hAnsi="Times New Roman" w:cs="Times New Roman"/>
          <w:b/>
          <w:bCs/>
          <w:color w:val="000000"/>
          <w:spacing w:val="0"/>
          <w:w w:val="100"/>
          <w:position w:val="0"/>
        </w:rPr>
        <w:t>2</w:t>
      </w:r>
      <w:bookmarkEnd w:id="965"/>
      <w:r>
        <w:rPr>
          <w:b/>
          <w:bCs/>
          <w:color w:val="000000"/>
          <w:spacing w:val="0"/>
          <w:w w:val="100"/>
          <w:position w:val="0"/>
        </w:rPr>
        <w:t>、</w:t>
        <w:tab/>
        <w:t>借款费用资本化期间</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资本化期间，指从借款费用开始资本化时点到停止资本化时点的期间，借款费用暂停资本化的期间不 包括在内。</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借款费用同时满足下列条件时开始资本化：</w:t>
      </w:r>
    </w:p>
    <w:p>
      <w:pPr>
        <w:pStyle w:val="Style18"/>
        <w:keepNext w:val="0"/>
        <w:keepLines w:val="0"/>
        <w:widowControl w:val="0"/>
        <w:shd w:val="clear" w:color="auto" w:fill="auto"/>
        <w:tabs>
          <w:tab w:pos="1021" w:val="left"/>
        </w:tabs>
        <w:bidi w:val="0"/>
        <w:spacing w:before="0" w:after="0" w:line="312" w:lineRule="exact"/>
        <w:ind w:left="0" w:right="0" w:firstLine="440"/>
        <w:jc w:val="both"/>
      </w:pPr>
      <w:bookmarkStart w:id="966" w:name="bookmark966"/>
      <w:r>
        <w:rPr>
          <w:color w:val="000000"/>
          <w:spacing w:val="0"/>
          <w:w w:val="100"/>
          <w:position w:val="0"/>
        </w:rPr>
        <w:t>（</w:t>
      </w:r>
      <w:bookmarkEnd w:id="966"/>
      <w:r>
        <w:rPr>
          <w:rFonts w:ascii="Times New Roman" w:eastAsia="Times New Roman" w:hAnsi="Times New Roman" w:cs="Times New Roman"/>
          <w:color w:val="000000"/>
          <w:spacing w:val="0"/>
          <w:w w:val="100"/>
          <w:position w:val="0"/>
        </w:rPr>
        <w:t>1</w:t>
      </w:r>
      <w:r>
        <w:rPr>
          <w:color w:val="000000"/>
          <w:spacing w:val="0"/>
          <w:w w:val="100"/>
          <w:position w:val="0"/>
        </w:rPr>
        <w:t>）</w:t>
        <w:tab/>
        <w:t>资产支出已经发生，资产支出包括为购建或者生产符合资本化条件的资产而以支付现金、转移 非现金资产或者承担带息债务形式发生的支出；</w:t>
      </w:r>
    </w:p>
    <w:p>
      <w:pPr>
        <w:pStyle w:val="Style18"/>
        <w:keepNext w:val="0"/>
        <w:keepLines w:val="0"/>
        <w:widowControl w:val="0"/>
        <w:shd w:val="clear" w:color="auto" w:fill="auto"/>
        <w:tabs>
          <w:tab w:pos="928" w:val="left"/>
        </w:tabs>
        <w:bidi w:val="0"/>
        <w:spacing w:before="0" w:after="0" w:line="312" w:lineRule="exact"/>
        <w:ind w:left="0" w:right="0" w:firstLine="440"/>
        <w:jc w:val="both"/>
      </w:pPr>
      <w:bookmarkStart w:id="967" w:name="bookmark967"/>
      <w:r>
        <w:rPr>
          <w:color w:val="000000"/>
          <w:spacing w:val="0"/>
          <w:w w:val="100"/>
          <w:position w:val="0"/>
        </w:rPr>
        <w:t>（</w:t>
      </w:r>
      <w:bookmarkEnd w:id="967"/>
      <w:r>
        <w:rPr>
          <w:rFonts w:ascii="Times New Roman" w:eastAsia="Times New Roman" w:hAnsi="Times New Roman" w:cs="Times New Roman"/>
          <w:color w:val="000000"/>
          <w:spacing w:val="0"/>
          <w:w w:val="100"/>
          <w:position w:val="0"/>
        </w:rPr>
        <w:t>2</w:t>
      </w:r>
      <w:r>
        <w:rPr>
          <w:color w:val="000000"/>
          <w:spacing w:val="0"/>
          <w:w w:val="100"/>
          <w:position w:val="0"/>
        </w:rPr>
        <w:t>）</w:t>
        <w:tab/>
        <w:t>借款费用已经发生；</w:t>
      </w:r>
    </w:p>
    <w:p>
      <w:pPr>
        <w:pStyle w:val="Style18"/>
        <w:keepNext w:val="0"/>
        <w:keepLines w:val="0"/>
        <w:widowControl w:val="0"/>
        <w:shd w:val="clear" w:color="auto" w:fill="auto"/>
        <w:tabs>
          <w:tab w:pos="928" w:val="left"/>
        </w:tabs>
        <w:bidi w:val="0"/>
        <w:spacing w:before="0" w:after="0" w:line="312" w:lineRule="exact"/>
        <w:ind w:left="0" w:right="0" w:firstLine="440"/>
        <w:jc w:val="both"/>
      </w:pPr>
      <w:bookmarkStart w:id="968" w:name="bookmark968"/>
      <w:r>
        <w:rPr>
          <w:color w:val="000000"/>
          <w:spacing w:val="0"/>
          <w:w w:val="100"/>
          <w:position w:val="0"/>
        </w:rPr>
        <w:t>（</w:t>
      </w:r>
      <w:bookmarkEnd w:id="968"/>
      <w:r>
        <w:rPr>
          <w:rFonts w:ascii="Times New Roman" w:eastAsia="Times New Roman" w:hAnsi="Times New Roman" w:cs="Times New Roman"/>
          <w:color w:val="000000"/>
          <w:spacing w:val="0"/>
          <w:w w:val="100"/>
          <w:position w:val="0"/>
        </w:rPr>
        <w:t>3</w:t>
      </w:r>
      <w:r>
        <w:rPr>
          <w:color w:val="000000"/>
          <w:spacing w:val="0"/>
          <w:w w:val="100"/>
          <w:position w:val="0"/>
        </w:rPr>
        <w:t>）</w:t>
        <w:tab/>
        <w:t>为使资产达到预定可使用或者可销售状态所必要的购建或者生产活动已经开始。</w:t>
      </w:r>
    </w:p>
    <w:p>
      <w:pPr>
        <w:pStyle w:val="Style18"/>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当购建或者生产符合资本化条件的资产达到预定可使用或者可销售状态时，借款费用停止资本化。</w:t>
      </w:r>
    </w:p>
    <w:p>
      <w:pPr>
        <w:pStyle w:val="Style18"/>
        <w:keepNext w:val="0"/>
        <w:keepLines w:val="0"/>
        <w:widowControl w:val="0"/>
        <w:shd w:val="clear" w:color="auto" w:fill="auto"/>
        <w:tabs>
          <w:tab w:pos="368" w:val="left"/>
        </w:tabs>
        <w:bidi w:val="0"/>
        <w:spacing w:before="0" w:after="0" w:line="317" w:lineRule="exact"/>
        <w:ind w:left="0" w:right="0" w:firstLine="0"/>
        <w:jc w:val="left"/>
      </w:pPr>
      <w:bookmarkStart w:id="969" w:name="bookmark969"/>
      <w:r>
        <w:rPr>
          <w:rFonts w:ascii="Times New Roman" w:eastAsia="Times New Roman" w:hAnsi="Times New Roman" w:cs="Times New Roman"/>
          <w:b/>
          <w:bCs/>
          <w:color w:val="000000"/>
          <w:spacing w:val="0"/>
          <w:w w:val="100"/>
          <w:position w:val="0"/>
        </w:rPr>
        <w:t>3</w:t>
      </w:r>
      <w:bookmarkEnd w:id="969"/>
      <w:r>
        <w:rPr>
          <w:b/>
          <w:bCs/>
          <w:color w:val="000000"/>
          <w:spacing w:val="0"/>
          <w:w w:val="100"/>
          <w:position w:val="0"/>
        </w:rPr>
        <w:t>、</w:t>
        <w:tab/>
        <w:t>暂停资本化期间</w:t>
      </w:r>
    </w:p>
    <w:p>
      <w:pPr>
        <w:pStyle w:val="Style18"/>
        <w:keepNext w:val="0"/>
        <w:keepLines w:val="0"/>
        <w:widowControl w:val="0"/>
        <w:shd w:val="clear" w:color="auto" w:fill="auto"/>
        <w:bidi w:val="0"/>
        <w:spacing w:before="0" w:after="300" w:line="317" w:lineRule="exact"/>
        <w:ind w:left="0" w:right="0" w:firstLine="44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18"/>
        <w:keepNext w:val="0"/>
        <w:keepLines w:val="0"/>
        <w:widowControl w:val="0"/>
        <w:shd w:val="clear" w:color="auto" w:fill="auto"/>
        <w:tabs>
          <w:tab w:pos="368" w:val="left"/>
        </w:tabs>
        <w:bidi w:val="0"/>
        <w:spacing w:before="0" w:after="0" w:line="314" w:lineRule="exact"/>
        <w:ind w:left="0" w:right="0" w:firstLine="0"/>
        <w:jc w:val="left"/>
      </w:pPr>
      <w:bookmarkStart w:id="970" w:name="bookmark970"/>
      <w:r>
        <w:rPr>
          <w:rFonts w:ascii="Times New Roman" w:eastAsia="Times New Roman" w:hAnsi="Times New Roman" w:cs="Times New Roman"/>
          <w:b/>
          <w:bCs/>
          <w:color w:val="000000"/>
          <w:spacing w:val="0"/>
          <w:w w:val="100"/>
          <w:position w:val="0"/>
        </w:rPr>
        <w:t>4</w:t>
      </w:r>
      <w:bookmarkEnd w:id="970"/>
      <w:r>
        <w:rPr>
          <w:b/>
          <w:bCs/>
          <w:color w:val="000000"/>
          <w:spacing w:val="0"/>
          <w:w w:val="100"/>
          <w:position w:val="0"/>
        </w:rPr>
        <w:t>、</w:t>
        <w:tab/>
        <w:t>借款费用资本化率、资本化金额的计算方法</w:t>
      </w:r>
    </w:p>
    <w:p>
      <w:pPr>
        <w:pStyle w:val="Style18"/>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对于为购建或者生产符合资本化条件的资产而借入的专门借款，以专门借款当期实际发生的借款费用， 减去尚未动用的借款资金存入银行取得的利息收入或进行暂时性投资取得的投资收益后的金额，来确定借 款费用的资本化金额。</w:t>
      </w:r>
    </w:p>
    <w:p>
      <w:pPr>
        <w:pStyle w:val="Style18"/>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对于为购建或者生产符合资本化条件的资产而占用的一般借款，根据累计资产支出超过专门借款部分 的资产支出加权平均数乘以所占用一般借款的资本化率，计算确定一般借款应予资本化的借款费用金额。 资本化率根据一般借款加权平均实际利率计算确定。</w:t>
      </w:r>
    </w:p>
    <w:p>
      <w:pPr>
        <w:pStyle w:val="Style18"/>
        <w:keepNext w:val="0"/>
        <w:keepLines w:val="0"/>
        <w:widowControl w:val="0"/>
        <w:shd w:val="clear" w:color="auto" w:fill="auto"/>
        <w:bidi w:val="0"/>
        <w:spacing w:before="0" w:after="220" w:line="314" w:lineRule="exact"/>
        <w:ind w:left="0" w:right="0" w:firstLine="440"/>
        <w:jc w:val="left"/>
      </w:pPr>
      <w:r>
        <w:rPr>
          <w:color w:val="000000"/>
          <w:spacing w:val="0"/>
          <w:w w:val="100"/>
          <w:position w:val="0"/>
        </w:rPr>
        <w:t>在资本化期间内，外币专门借款本金及利息的汇兑差额，予以资本化，计入符合资本化条件的资产的 成本。除外币专门借款之外的其他外币借款本金及其利息所产生的汇兑差额计入当期损益。</w:t>
      </w:r>
    </w:p>
    <w:p>
      <w:pPr>
        <w:pStyle w:val="Style33"/>
        <w:keepNext/>
        <w:keepLines/>
        <w:widowControl w:val="0"/>
        <w:shd w:val="clear" w:color="auto" w:fill="auto"/>
        <w:tabs>
          <w:tab w:pos="478" w:val="left"/>
        </w:tabs>
        <w:bidi w:val="0"/>
        <w:spacing w:before="0" w:after="400" w:line="313" w:lineRule="exact"/>
        <w:ind w:left="0" w:right="0" w:firstLine="0"/>
        <w:jc w:val="left"/>
      </w:pPr>
      <w:bookmarkStart w:id="971" w:name="bookmark971"/>
      <w:bookmarkStart w:id="972" w:name="bookmark972"/>
      <w:bookmarkStart w:id="973" w:name="bookmark973"/>
      <w:bookmarkStart w:id="974" w:name="bookmark974"/>
      <w:r>
        <w:rPr>
          <w:rFonts w:ascii="Times New Roman" w:eastAsia="Times New Roman" w:hAnsi="Times New Roman" w:cs="Times New Roman"/>
          <w:color w:val="000000"/>
          <w:spacing w:val="0"/>
          <w:w w:val="100"/>
          <w:position w:val="0"/>
        </w:rPr>
        <w:t>2</w:t>
      </w:r>
      <w:bookmarkEnd w:id="973"/>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71"/>
      <w:bookmarkEnd w:id="972"/>
      <w:bookmarkEnd w:id="974"/>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78" w:val="left"/>
        </w:tabs>
        <w:bidi w:val="0"/>
        <w:spacing w:before="0" w:after="400" w:line="313" w:lineRule="exact"/>
        <w:ind w:left="0" w:right="0" w:firstLine="0"/>
        <w:jc w:val="left"/>
      </w:pPr>
      <w:bookmarkStart w:id="975" w:name="bookmark975"/>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2</w:t>
      </w:r>
      <w:bookmarkEnd w:id="977"/>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75"/>
      <w:bookmarkEnd w:id="976"/>
      <w:bookmarkEnd w:id="978"/>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78" w:val="left"/>
        </w:tabs>
        <w:bidi w:val="0"/>
        <w:spacing w:before="0" w:after="300" w:line="313" w:lineRule="exact"/>
        <w:ind w:left="0" w:right="0" w:firstLine="0"/>
        <w:jc w:val="left"/>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2</w:t>
      </w:r>
      <w:bookmarkEnd w:id="981"/>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79"/>
      <w:bookmarkEnd w:id="980"/>
      <w:bookmarkEnd w:id="982"/>
    </w:p>
    <w:p>
      <w:pPr>
        <w:pStyle w:val="Style1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在租赁期开始日，本公司对除短期租赁和低价值资产租赁以外的租赁确认使用权资产。使用权资产按 照成本进行初始计量。该成本包括：</w:t>
      </w:r>
    </w:p>
    <w:p>
      <w:pPr>
        <w:pStyle w:val="Style18"/>
        <w:keepNext w:val="0"/>
        <w:keepLines w:val="0"/>
        <w:widowControl w:val="0"/>
        <w:shd w:val="clear" w:color="auto" w:fill="auto"/>
        <w:bidi w:val="0"/>
        <w:spacing w:before="0" w:after="0" w:line="313" w:lineRule="exact"/>
        <w:ind w:left="0" w:right="0" w:firstLine="660"/>
        <w:jc w:val="left"/>
      </w:pPr>
      <w:r>
        <w:rPr>
          <w:color w:val="000000"/>
          <w:spacing w:val="0"/>
          <w:w w:val="100"/>
          <w:position w:val="0"/>
        </w:rPr>
        <w:t>•</w:t>
      </w:r>
      <w:r>
        <w:rPr>
          <w:color w:val="000000"/>
          <w:spacing w:val="0"/>
          <w:w w:val="100"/>
          <w:position w:val="0"/>
        </w:rPr>
        <w:t>租赁负债的初始计量金额；</w:t>
      </w:r>
    </w:p>
    <w:p>
      <w:pPr>
        <w:pStyle w:val="Style18"/>
        <w:keepNext w:val="0"/>
        <w:keepLines w:val="0"/>
        <w:widowControl w:val="0"/>
        <w:shd w:val="clear" w:color="auto" w:fill="auto"/>
        <w:bidi w:val="0"/>
        <w:spacing w:before="0" w:after="0" w:line="313" w:lineRule="exact"/>
        <w:ind w:left="0" w:right="0" w:firstLine="660"/>
        <w:jc w:val="left"/>
      </w:pPr>
      <w:r>
        <w:rPr>
          <w:color w:val="000000"/>
          <w:spacing w:val="0"/>
          <w:w w:val="100"/>
          <w:position w:val="0"/>
        </w:rPr>
        <w:t>•</w:t>
      </w:r>
      <w:r>
        <w:rPr>
          <w:color w:val="000000"/>
          <w:spacing w:val="0"/>
          <w:w w:val="100"/>
          <w:position w:val="0"/>
        </w:rPr>
        <w:t>在租赁期开始日或之前支付的租赁付款额，存在租赁激励的，扣除已享受的租赁激励相关金额；</w:t>
      </w:r>
    </w:p>
    <w:p>
      <w:pPr>
        <w:pStyle w:val="Style18"/>
        <w:keepNext w:val="0"/>
        <w:keepLines w:val="0"/>
        <w:widowControl w:val="0"/>
        <w:shd w:val="clear" w:color="auto" w:fill="auto"/>
        <w:bidi w:val="0"/>
        <w:spacing w:before="0" w:after="0" w:line="313" w:lineRule="exact"/>
        <w:ind w:left="0" w:right="0" w:firstLine="660"/>
        <w:jc w:val="left"/>
      </w:pPr>
      <w:r>
        <w:rPr>
          <w:color w:val="000000"/>
          <w:spacing w:val="0"/>
          <w:w w:val="100"/>
          <w:position w:val="0"/>
        </w:rPr>
        <w:t>•</w:t>
      </w:r>
      <w:r>
        <w:rPr>
          <w:color w:val="000000"/>
          <w:spacing w:val="0"/>
          <w:w w:val="100"/>
          <w:position w:val="0"/>
        </w:rPr>
        <w:t>本公司发生的初始直接费用；</w:t>
      </w:r>
    </w:p>
    <w:p>
      <w:pPr>
        <w:pStyle w:val="Style18"/>
        <w:keepNext w:val="0"/>
        <w:keepLines w:val="0"/>
        <w:widowControl w:val="0"/>
        <w:shd w:val="clear" w:color="auto" w:fill="auto"/>
        <w:bidi w:val="0"/>
        <w:spacing w:before="0" w:after="0" w:line="313" w:lineRule="exact"/>
        <w:ind w:left="1020" w:right="0" w:hanging="360"/>
        <w:jc w:val="left"/>
      </w:pPr>
      <w:r>
        <w:rPr>
          <w:color w:val="000000"/>
          <w:spacing w:val="0"/>
          <w:w w:val="100"/>
          <w:position w:val="0"/>
        </w:rPr>
        <w:t>•</w:t>
      </w:r>
      <w:r>
        <w:rPr>
          <w:color w:val="000000"/>
          <w:spacing w:val="0"/>
          <w:w w:val="100"/>
          <w:position w:val="0"/>
        </w:rPr>
        <w:t>本公司为拆卸及移除租赁资产、复原租赁资产所在场地或将租赁资产恢复至租赁条款约定状态 预计将发生的成本，但不包括属于为生产存货而发生的成本。</w:t>
      </w:r>
    </w:p>
    <w:p>
      <w:pPr>
        <w:pStyle w:val="Style1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本公司后续采用直线法对使用权资产计提折旧。对能够合理确定租赁期届满时取得租赁资产所有权的， 本公司在租赁资产剩余使用寿命内计提折旧；否则，租赁资产在租赁期与租赁资产剩余使用寿命两者孰短 的期间内计提折旧。</w:t>
      </w:r>
    </w:p>
    <w:p>
      <w:pPr>
        <w:pStyle w:val="Style18"/>
        <w:keepNext w:val="0"/>
        <w:keepLines w:val="0"/>
        <w:widowControl w:val="0"/>
        <w:shd w:val="clear" w:color="auto" w:fill="auto"/>
        <w:bidi w:val="0"/>
        <w:spacing w:before="0" w:after="300" w:line="326" w:lineRule="exact"/>
        <w:ind w:left="0" w:right="0" w:firstLine="440"/>
        <w:jc w:val="left"/>
      </w:pPr>
      <w:r>
        <w:rPr>
          <w:color w:val="000000"/>
          <w:spacing w:val="0"/>
          <w:w w:val="100"/>
          <w:position w:val="0"/>
        </w:rPr>
        <w:t>本公司按照本附注</w:t>
      </w:r>
      <w:r>
        <w:rPr>
          <w:rFonts w:ascii="Times New Roman" w:eastAsia="Times New Roman" w:hAnsi="Times New Roman" w:cs="Times New Roman"/>
          <w:color w:val="000000"/>
          <w:spacing w:val="0"/>
          <w:w w:val="100"/>
          <w:position w:val="0"/>
        </w:rPr>
        <w:t>“</w:t>
      </w:r>
      <w:r>
        <w:rPr>
          <w:color w:val="000000"/>
          <w:spacing w:val="0"/>
          <w:w w:val="100"/>
          <w:position w:val="0"/>
        </w:rPr>
        <w:t>五、</w:t>
      </w:r>
      <w:r>
        <w:rPr>
          <w:rFonts w:ascii="Times New Roman" w:eastAsia="Times New Roman" w:hAnsi="Times New Roman" w:cs="Times New Roman"/>
          <w:color w:val="000000"/>
          <w:spacing w:val="0"/>
          <w:w w:val="100"/>
          <w:position w:val="0"/>
        </w:rPr>
        <w:t>31</w:t>
      </w:r>
      <w:r>
        <w:rPr>
          <w:color w:val="000000"/>
          <w:spacing w:val="0"/>
          <w:w w:val="100"/>
          <w:position w:val="0"/>
        </w:rPr>
        <w:t>长期资产减值</w:t>
      </w:r>
      <w:r>
        <w:rPr>
          <w:rFonts w:ascii="Times New Roman" w:eastAsia="Times New Roman" w:hAnsi="Times New Roman" w:cs="Times New Roman"/>
          <w:color w:val="000000"/>
          <w:spacing w:val="0"/>
          <w:w w:val="100"/>
          <w:position w:val="0"/>
        </w:rPr>
        <w:t>”</w:t>
      </w:r>
      <w:r>
        <w:rPr>
          <w:color w:val="000000"/>
          <w:spacing w:val="0"/>
          <w:w w:val="100"/>
          <w:position w:val="0"/>
        </w:rPr>
        <w:t>所述原则来确定使用权资产是否已发生减值，并对已识别的 减值损失进行会计处理。</w:t>
      </w:r>
    </w:p>
    <w:p>
      <w:pPr>
        <w:pStyle w:val="Style33"/>
        <w:keepNext/>
        <w:keepLines/>
        <w:widowControl w:val="0"/>
        <w:shd w:val="clear" w:color="auto" w:fill="auto"/>
        <w:tabs>
          <w:tab w:pos="478" w:val="left"/>
        </w:tabs>
        <w:bidi w:val="0"/>
        <w:spacing w:before="0" w:after="300" w:line="313" w:lineRule="exact"/>
        <w:ind w:left="0" w:right="0" w:firstLine="0"/>
        <w:jc w:val="left"/>
      </w:pPr>
      <w:bookmarkStart w:id="983" w:name="bookmark983"/>
      <w:bookmarkStart w:id="984" w:name="bookmark984"/>
      <w:bookmarkStart w:id="985" w:name="bookmark985"/>
      <w:bookmarkStart w:id="986" w:name="bookmark986"/>
      <w:r>
        <w:rPr>
          <w:rFonts w:ascii="Times New Roman" w:eastAsia="Times New Roman" w:hAnsi="Times New Roman" w:cs="Times New Roman"/>
          <w:color w:val="000000"/>
          <w:spacing w:val="0"/>
          <w:w w:val="100"/>
          <w:position w:val="0"/>
        </w:rPr>
        <w:t>3</w:t>
      </w:r>
      <w:bookmarkEnd w:id="985"/>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983"/>
      <w:bookmarkEnd w:id="984"/>
      <w:bookmarkEnd w:id="986"/>
    </w:p>
    <w:p>
      <w:pPr>
        <w:pStyle w:val="Style61"/>
        <w:keepNext/>
        <w:keepLines/>
        <w:widowControl w:val="0"/>
        <w:shd w:val="clear" w:color="auto" w:fill="auto"/>
        <w:bidi w:val="0"/>
        <w:spacing w:before="0" w:after="300" w:line="313" w:lineRule="exact"/>
        <w:ind w:left="0" w:right="0" w:firstLine="0"/>
        <w:jc w:val="left"/>
      </w:pPr>
      <w:bookmarkStart w:id="987" w:name="bookmark987"/>
      <w:bookmarkStart w:id="988" w:name="bookmark988"/>
      <w:bookmarkStart w:id="989" w:name="bookmark989"/>
      <w:bookmarkStart w:id="990" w:name="bookmark990"/>
      <w:r>
        <w:rPr>
          <w:color w:val="000000"/>
          <w:spacing w:val="0"/>
          <w:w w:val="100"/>
          <w:position w:val="0"/>
        </w:rPr>
        <w:t>（</w:t>
      </w:r>
      <w:bookmarkEnd w:id="989"/>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87"/>
      <w:bookmarkEnd w:id="988"/>
      <w:bookmarkEnd w:id="990"/>
    </w:p>
    <w:p>
      <w:pPr>
        <w:pStyle w:val="Style61"/>
        <w:keepNext/>
        <w:keepLines/>
        <w:widowControl w:val="0"/>
        <w:shd w:val="clear" w:color="auto" w:fill="auto"/>
        <w:tabs>
          <w:tab w:pos="386" w:val="left"/>
        </w:tabs>
        <w:bidi w:val="0"/>
        <w:spacing w:before="0" w:after="0" w:line="312" w:lineRule="exact"/>
        <w:ind w:left="0" w:right="0" w:firstLine="0"/>
        <w:jc w:val="left"/>
      </w:pPr>
      <w:bookmarkStart w:id="987" w:name="bookmark987"/>
      <w:bookmarkStart w:id="988" w:name="bookmark988"/>
      <w:bookmarkStart w:id="991" w:name="bookmark991"/>
      <w:r>
        <w:rPr>
          <w:rFonts w:ascii="Times New Roman" w:eastAsia="Times New Roman" w:hAnsi="Times New Roman" w:cs="Times New Roman"/>
          <w:color w:val="000000"/>
          <w:spacing w:val="0"/>
          <w:w w:val="100"/>
          <w:position w:val="0"/>
        </w:rPr>
        <w:t>1</w:t>
      </w:r>
      <w:bookmarkEnd w:id="991"/>
      <w:r>
        <w:rPr>
          <w:color w:val="000000"/>
          <w:spacing w:val="0"/>
          <w:w w:val="100"/>
          <w:position w:val="0"/>
        </w:rPr>
        <w:t>、</w:t>
        <w:tab/>
        <w:t>无形资产的计价方法</w:t>
      </w:r>
      <w:bookmarkEnd w:id="987"/>
      <w:bookmarkEnd w:id="988"/>
    </w:p>
    <w:p>
      <w:pPr>
        <w:pStyle w:val="Style18"/>
        <w:keepNext w:val="0"/>
        <w:keepLines w:val="0"/>
        <w:widowControl w:val="0"/>
        <w:shd w:val="clear" w:color="auto" w:fill="auto"/>
        <w:tabs>
          <w:tab w:pos="493" w:val="left"/>
        </w:tabs>
        <w:bidi w:val="0"/>
        <w:spacing w:before="0" w:after="0" w:line="312" w:lineRule="exact"/>
        <w:ind w:left="0" w:right="0" w:firstLine="0"/>
        <w:jc w:val="left"/>
      </w:pPr>
      <w:bookmarkStart w:id="992" w:name="bookmark992"/>
      <w:r>
        <w:rPr>
          <w:color w:val="000000"/>
          <w:spacing w:val="0"/>
          <w:w w:val="100"/>
          <w:position w:val="0"/>
        </w:rPr>
        <w:t>（</w:t>
      </w:r>
      <w:bookmarkEnd w:id="992"/>
      <w:r>
        <w:rPr>
          <w:rFonts w:ascii="Times New Roman" w:eastAsia="Times New Roman" w:hAnsi="Times New Roman" w:cs="Times New Roman"/>
          <w:color w:val="000000"/>
          <w:spacing w:val="0"/>
          <w:w w:val="100"/>
          <w:position w:val="0"/>
        </w:rPr>
        <w:t>1</w:t>
      </w:r>
      <w:r>
        <w:rPr>
          <w:color w:val="000000"/>
          <w:spacing w:val="0"/>
          <w:w w:val="100"/>
          <w:position w:val="0"/>
        </w:rPr>
        <w:t>）</w:t>
        <w:tab/>
        <w:t>公司取得无形资产时按成本进行初始计量；</w:t>
      </w:r>
    </w:p>
    <w:p>
      <w:pPr>
        <w:pStyle w:val="Style18"/>
        <w:keepNext w:val="0"/>
        <w:keepLines w:val="0"/>
        <w:widowControl w:val="0"/>
        <w:shd w:val="clear" w:color="auto" w:fill="auto"/>
        <w:bidi w:val="0"/>
        <w:spacing w:before="0" w:after="300" w:line="312" w:lineRule="exact"/>
        <w:ind w:left="0" w:right="0" w:firstLine="440"/>
        <w:jc w:val="left"/>
      </w:pPr>
      <w:r>
        <w:rPr>
          <w:color w:val="000000"/>
          <w:spacing w:val="0"/>
          <w:w w:val="100"/>
          <w:position w:val="0"/>
        </w:rPr>
        <w:t>外购无形资产的成本，包括购买价款、相关税费以及直接归属于使该项资产达到预定用途所发生的其 他支出。</w:t>
      </w:r>
    </w:p>
    <w:p>
      <w:pPr>
        <w:pStyle w:val="Style18"/>
        <w:keepNext w:val="0"/>
        <w:keepLines w:val="0"/>
        <w:widowControl w:val="0"/>
        <w:shd w:val="clear" w:color="auto" w:fill="auto"/>
        <w:tabs>
          <w:tab w:pos="493" w:val="left"/>
        </w:tabs>
        <w:bidi w:val="0"/>
        <w:spacing w:before="0" w:after="0" w:line="312" w:lineRule="exact"/>
        <w:ind w:left="0" w:right="0" w:firstLine="0"/>
        <w:jc w:val="left"/>
      </w:pPr>
      <w:bookmarkStart w:id="993" w:name="bookmark993"/>
      <w:r>
        <w:rPr>
          <w:color w:val="000000"/>
          <w:spacing w:val="0"/>
          <w:w w:val="100"/>
          <w:position w:val="0"/>
        </w:rPr>
        <w:t>（</w:t>
      </w:r>
      <w:bookmarkEnd w:id="993"/>
      <w:r>
        <w:rPr>
          <w:rFonts w:ascii="Times New Roman" w:eastAsia="Times New Roman" w:hAnsi="Times New Roman" w:cs="Times New Roman"/>
          <w:color w:val="000000"/>
          <w:spacing w:val="0"/>
          <w:w w:val="100"/>
          <w:position w:val="0"/>
        </w:rPr>
        <w:t>2</w:t>
      </w:r>
      <w:r>
        <w:rPr>
          <w:color w:val="000000"/>
          <w:spacing w:val="0"/>
          <w:w w:val="100"/>
          <w:position w:val="0"/>
        </w:rPr>
        <w:t>）</w:t>
        <w:tab/>
        <w:t>后续计量</w:t>
      </w:r>
    </w:p>
    <w:p>
      <w:pPr>
        <w:pStyle w:val="Style1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在取得无形资产时分析判断其使用寿命。</w:t>
      </w:r>
    </w:p>
    <w:p>
      <w:pPr>
        <w:pStyle w:val="Style18"/>
        <w:keepNext w:val="0"/>
        <w:keepLines w:val="0"/>
        <w:widowControl w:val="0"/>
        <w:shd w:val="clear" w:color="auto" w:fill="auto"/>
        <w:bidi w:val="0"/>
        <w:spacing w:before="0" w:after="400" w:line="312" w:lineRule="exact"/>
        <w:ind w:left="0" w:right="0" w:firstLine="440"/>
        <w:jc w:val="left"/>
      </w:pPr>
      <w:r>
        <w:rPr>
          <w:color w:val="000000"/>
          <w:spacing w:val="0"/>
          <w:w w:val="100"/>
          <w:position w:val="0"/>
        </w:rPr>
        <w:t>对于使用寿命有限的无形资产，在为企业带来经济利益的期限内摊销；无法预见无形资产为企业带来 经济利益期限的，视为使用寿命不确定的无形资产，不予摊销。</w:t>
      </w:r>
    </w:p>
    <w:p>
      <w:pPr>
        <w:pStyle w:val="Style26"/>
        <w:keepNext w:val="0"/>
        <w:keepLines w:val="0"/>
        <w:widowControl w:val="0"/>
        <w:shd w:val="clear" w:color="auto" w:fill="auto"/>
        <w:tabs>
          <w:tab w:pos="317" w:val="left"/>
        </w:tabs>
        <w:bidi w:val="0"/>
        <w:spacing w:before="0" w:after="0" w:line="313" w:lineRule="exact"/>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rFonts w:ascii="SimSun" w:eastAsia="SimSun" w:hAnsi="SimSun" w:cs="SimSun"/>
          <w:b/>
          <w:bCs/>
          <w:color w:val="000000"/>
          <w:spacing w:val="0"/>
          <w:w w:val="100"/>
          <w:position w:val="0"/>
          <w:sz w:val="20"/>
          <w:szCs w:val="20"/>
        </w:rPr>
        <w:t>、</w:t>
        <w:tab/>
        <w:t>使用寿命有限的无形资产的使用寿命估计情况</w:t>
      </w:r>
    </w:p>
    <w:tbl>
      <w:tblPr>
        <w:tblOverlap w:val="never"/>
        <w:jc w:val="center"/>
        <w:tblLayout w:type="fixed"/>
      </w:tblPr>
      <w:tblGrid>
        <w:gridCol w:w="6326"/>
        <w:gridCol w:w="3389"/>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60" w:right="0" w:firstLine="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预计使用寿命（年）</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著作权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r>
    </w:tbl>
    <w:p>
      <w:pPr>
        <w:pStyle w:val="Style18"/>
        <w:keepNext w:val="0"/>
        <w:keepLines w:val="0"/>
        <w:widowControl w:val="0"/>
        <w:shd w:val="clear" w:color="auto" w:fill="auto"/>
        <w:tabs>
          <w:tab w:pos="7123" w:val="left"/>
        </w:tabs>
        <w:bidi w:val="0"/>
        <w:spacing w:before="0" w:after="0" w:line="314" w:lineRule="exact"/>
        <w:ind w:left="0" w:right="0" w:firstLine="0"/>
        <w:jc w:val="left"/>
      </w:pPr>
      <w:r>
        <w:rPr>
          <w:color w:val="000000"/>
          <w:spacing w:val="0"/>
          <w:w w:val="100"/>
          <w:position w:val="0"/>
        </w:rPr>
        <w:t>特许专营权</w:t>
        <w:tab/>
        <w:t>约定的专营期限内</w:t>
      </w:r>
    </w:p>
    <w:p>
      <w:pPr>
        <w:pStyle w:val="Style1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每年度终了，对使用寿命有限的无形资产的使用寿命及摊销方法进行复核。</w:t>
      </w:r>
    </w:p>
    <w:p>
      <w:pPr>
        <w:pStyle w:val="Style18"/>
        <w:keepNext w:val="0"/>
        <w:keepLines w:val="0"/>
        <w:widowControl w:val="0"/>
        <w:shd w:val="clear" w:color="auto" w:fill="auto"/>
        <w:bidi w:val="0"/>
        <w:spacing w:before="0" w:after="0" w:line="326" w:lineRule="auto"/>
        <w:ind w:left="0" w:right="0" w:firstLine="0"/>
        <w:jc w:val="left"/>
      </w:pPr>
      <w:bookmarkStart w:id="994" w:name="bookmark994"/>
      <w:r>
        <w:rPr>
          <w:rFonts w:ascii="Times New Roman" w:eastAsia="Times New Roman" w:hAnsi="Times New Roman" w:cs="Times New Roman"/>
          <w:b/>
          <w:bCs/>
          <w:color w:val="000000"/>
          <w:spacing w:val="0"/>
          <w:w w:val="100"/>
          <w:position w:val="0"/>
        </w:rPr>
        <w:t>3</w:t>
      </w:r>
      <w:bookmarkEnd w:id="994"/>
      <w:r>
        <w:rPr>
          <w:b/>
          <w:bCs/>
          <w:color w:val="000000"/>
          <w:spacing w:val="0"/>
          <w:w w:val="100"/>
          <w:position w:val="0"/>
        </w:rPr>
        <w:t>、使用寿命不确定的无形资产的判断依据以及对其使用寿命进行复核的程序</w:t>
      </w:r>
    </w:p>
    <w:p>
      <w:pPr>
        <w:pStyle w:val="Style18"/>
        <w:keepNext w:val="0"/>
        <w:keepLines w:val="0"/>
        <w:widowControl w:val="0"/>
        <w:shd w:val="clear" w:color="auto" w:fill="auto"/>
        <w:bidi w:val="0"/>
        <w:spacing w:before="0" w:after="280" w:line="314" w:lineRule="exact"/>
        <w:ind w:left="0" w:right="0" w:firstLine="0"/>
        <w:jc w:val="left"/>
      </w:pPr>
      <w:r>
        <w:rPr>
          <w:color w:val="000000"/>
          <w:spacing w:val="0"/>
          <w:w w:val="100"/>
          <w:position w:val="0"/>
        </w:rPr>
        <w:t>截至资产负债表日，本公司没有使用寿命不确定的无形资产。</w:t>
      </w:r>
    </w:p>
    <w:p>
      <w:pPr>
        <w:pStyle w:val="Style61"/>
        <w:keepNext/>
        <w:keepLines/>
        <w:widowControl w:val="0"/>
        <w:numPr>
          <w:ilvl w:val="0"/>
          <w:numId w:val="17"/>
        </w:numPr>
        <w:shd w:val="clear" w:color="auto" w:fill="auto"/>
        <w:bidi w:val="0"/>
        <w:spacing w:before="0" w:line="314" w:lineRule="exact"/>
        <w:ind w:left="0" w:right="0" w:firstLine="0"/>
        <w:jc w:val="left"/>
      </w:pPr>
      <w:bookmarkStart w:id="995" w:name="bookmark995"/>
      <w:bookmarkStart w:id="996" w:name="bookmark996"/>
      <w:bookmarkStart w:id="997" w:name="bookmark997"/>
      <w:bookmarkStart w:id="998" w:name="bookmark998"/>
      <w:bookmarkEnd w:id="997"/>
      <w:r>
        <w:rPr>
          <w:color w:val="000000"/>
          <w:spacing w:val="0"/>
          <w:w w:val="100"/>
          <w:position w:val="0"/>
        </w:rPr>
        <w:t>内部研究开发支出会计政策</w:t>
      </w:r>
      <w:bookmarkEnd w:id="995"/>
      <w:bookmarkEnd w:id="996"/>
      <w:bookmarkEnd w:id="998"/>
    </w:p>
    <w:p>
      <w:pPr>
        <w:pStyle w:val="Style61"/>
        <w:keepNext/>
        <w:keepLines/>
        <w:widowControl w:val="0"/>
        <w:shd w:val="clear" w:color="auto" w:fill="auto"/>
        <w:tabs>
          <w:tab w:pos="358" w:val="left"/>
        </w:tabs>
        <w:bidi w:val="0"/>
        <w:spacing w:before="0" w:after="0" w:line="331" w:lineRule="auto"/>
        <w:ind w:left="0" w:right="0" w:firstLine="0"/>
        <w:jc w:val="left"/>
      </w:pPr>
      <w:bookmarkStart w:id="995" w:name="bookmark995"/>
      <w:bookmarkStart w:id="996" w:name="bookmark996"/>
      <w:bookmarkStart w:id="999" w:name="bookmark999"/>
      <w:r>
        <w:rPr>
          <w:rFonts w:ascii="Times New Roman" w:eastAsia="Times New Roman" w:hAnsi="Times New Roman" w:cs="Times New Roman"/>
          <w:color w:val="000000"/>
          <w:spacing w:val="0"/>
          <w:w w:val="100"/>
          <w:position w:val="0"/>
        </w:rPr>
        <w:t>1</w:t>
      </w:r>
      <w:bookmarkEnd w:id="999"/>
      <w:r>
        <w:rPr>
          <w:color w:val="000000"/>
          <w:spacing w:val="0"/>
          <w:w w:val="100"/>
          <w:position w:val="0"/>
        </w:rPr>
        <w:t>、</w:t>
        <w:tab/>
        <w:t>划分研究阶段和开发阶段的具体标准</w:t>
      </w:r>
      <w:bookmarkEnd w:id="995"/>
      <w:bookmarkEnd w:id="996"/>
    </w:p>
    <w:p>
      <w:pPr>
        <w:pStyle w:val="Style1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公司内部研究开发项目的支出分为研究阶段支出和开发阶段支出。</w:t>
      </w:r>
    </w:p>
    <w:p>
      <w:pPr>
        <w:pStyle w:val="Style1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研究阶段：为获取并理解新的科学或技术知识等而进行的独创性的有计划调查、研究活动的阶段。</w:t>
      </w:r>
    </w:p>
    <w:p>
      <w:pPr>
        <w:pStyle w:val="Style1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开发阶段：在进行商业性生产或使用前，将研究成果或其他知识应用于某项计划或设计，以生产出新 的或具有实质性改进的材料、装置、产品等活动的阶段。</w:t>
      </w:r>
    </w:p>
    <w:p>
      <w:pPr>
        <w:pStyle w:val="Style18"/>
        <w:keepNext w:val="0"/>
        <w:keepLines w:val="0"/>
        <w:widowControl w:val="0"/>
        <w:shd w:val="clear" w:color="auto" w:fill="auto"/>
        <w:bidi w:val="0"/>
        <w:spacing w:before="0" w:after="380" w:line="317" w:lineRule="exact"/>
        <w:ind w:left="0" w:right="0" w:firstLine="440"/>
        <w:jc w:val="left"/>
      </w:pPr>
      <w:r>
        <w:rPr>
          <w:color w:val="000000"/>
          <w:spacing w:val="0"/>
          <w:w w:val="100"/>
          <w:position w:val="0"/>
        </w:rPr>
        <w:t>公司内部研究开发项目通过技术可行性和经济可行性研究，经审批予以立项后进入开发阶段。</w:t>
      </w:r>
    </w:p>
    <w:p>
      <w:pPr>
        <w:pStyle w:val="Style18"/>
        <w:keepNext w:val="0"/>
        <w:keepLines w:val="0"/>
        <w:widowControl w:val="0"/>
        <w:shd w:val="clear" w:color="auto" w:fill="auto"/>
        <w:tabs>
          <w:tab w:pos="368" w:val="left"/>
        </w:tabs>
        <w:bidi w:val="0"/>
        <w:spacing w:before="0" w:after="0" w:line="326" w:lineRule="auto"/>
        <w:ind w:left="0" w:right="0" w:firstLine="0"/>
        <w:jc w:val="left"/>
      </w:pPr>
      <w:bookmarkStart w:id="1000" w:name="bookmark1000"/>
      <w:r>
        <w:rPr>
          <w:rFonts w:ascii="Times New Roman" w:eastAsia="Times New Roman" w:hAnsi="Times New Roman" w:cs="Times New Roman"/>
          <w:b/>
          <w:bCs/>
          <w:color w:val="000000"/>
          <w:spacing w:val="0"/>
          <w:w w:val="100"/>
          <w:position w:val="0"/>
        </w:rPr>
        <w:t>2</w:t>
      </w:r>
      <w:bookmarkEnd w:id="1000"/>
      <w:r>
        <w:rPr>
          <w:b/>
          <w:bCs/>
          <w:color w:val="000000"/>
          <w:spacing w:val="0"/>
          <w:w w:val="100"/>
          <w:position w:val="0"/>
        </w:rPr>
        <w:t>、</w:t>
        <w:tab/>
        <w:t>开发阶段支出资本化的具体条件</w:t>
      </w:r>
    </w:p>
    <w:p>
      <w:pPr>
        <w:pStyle w:val="Style18"/>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研究阶段的支出，于发生时计入当期损益。开发阶段的支出同时满足下列条件的，确认为无形资产， 不能满足下述条件的开发阶段的支出计入当期损益：</w:t>
      </w:r>
    </w:p>
    <w:p>
      <w:pPr>
        <w:pStyle w:val="Style18"/>
        <w:keepNext w:val="0"/>
        <w:keepLines w:val="0"/>
        <w:widowControl w:val="0"/>
        <w:numPr>
          <w:ilvl w:val="0"/>
          <w:numId w:val="23"/>
        </w:numPr>
        <w:shd w:val="clear" w:color="auto" w:fill="auto"/>
        <w:tabs>
          <w:tab w:pos="870" w:val="left"/>
        </w:tabs>
        <w:bidi w:val="0"/>
        <w:spacing w:before="0" w:after="0" w:line="326" w:lineRule="auto"/>
        <w:ind w:left="0" w:right="0" w:firstLine="440"/>
        <w:jc w:val="left"/>
      </w:pPr>
      <w:bookmarkStart w:id="1001" w:name="bookmark1001"/>
      <w:bookmarkEnd w:id="1001"/>
      <w:r>
        <w:rPr>
          <w:color w:val="000000"/>
          <w:spacing w:val="0"/>
          <w:w w:val="100"/>
          <w:position w:val="0"/>
        </w:rPr>
        <w:t>完成该无形资产以使其能够使用或出售在技术上具有可行性；</w:t>
      </w:r>
    </w:p>
    <w:p>
      <w:pPr>
        <w:pStyle w:val="Style18"/>
        <w:keepNext w:val="0"/>
        <w:keepLines w:val="0"/>
        <w:widowControl w:val="0"/>
        <w:numPr>
          <w:ilvl w:val="0"/>
          <w:numId w:val="23"/>
        </w:numPr>
        <w:shd w:val="clear" w:color="auto" w:fill="auto"/>
        <w:tabs>
          <w:tab w:pos="870" w:val="left"/>
        </w:tabs>
        <w:bidi w:val="0"/>
        <w:spacing w:before="0" w:after="0" w:line="326" w:lineRule="auto"/>
        <w:ind w:left="0" w:right="0" w:firstLine="440"/>
        <w:jc w:val="left"/>
      </w:pPr>
      <w:bookmarkStart w:id="1002" w:name="bookmark1002"/>
      <w:bookmarkEnd w:id="1002"/>
      <w:r>
        <w:rPr>
          <w:color w:val="000000"/>
          <w:spacing w:val="0"/>
          <w:w w:val="100"/>
          <w:position w:val="0"/>
        </w:rPr>
        <w:t>具有完成该无形资产并使用或出售的意图；</w:t>
      </w:r>
    </w:p>
    <w:p>
      <w:pPr>
        <w:pStyle w:val="Style18"/>
        <w:keepNext w:val="0"/>
        <w:keepLines w:val="0"/>
        <w:widowControl w:val="0"/>
        <w:numPr>
          <w:ilvl w:val="0"/>
          <w:numId w:val="23"/>
        </w:numPr>
        <w:shd w:val="clear" w:color="auto" w:fill="auto"/>
        <w:tabs>
          <w:tab w:pos="848" w:val="left"/>
        </w:tabs>
        <w:bidi w:val="0"/>
        <w:spacing w:before="0" w:after="0" w:line="314" w:lineRule="exact"/>
        <w:ind w:left="0" w:right="0" w:firstLine="440"/>
        <w:jc w:val="both"/>
      </w:pPr>
      <w:bookmarkStart w:id="1003" w:name="bookmark1003"/>
      <w:bookmarkEnd w:id="1003"/>
      <w:r>
        <w:rPr>
          <w:color w:val="000000"/>
          <w:spacing w:val="0"/>
          <w:w w:val="100"/>
          <w:position w:val="0"/>
        </w:rPr>
        <w:t>无形资产产生经济利益的方式，包括能够证明运用该无形资产生产的产品存在市场或无形资产自 身存在市场，无形资产将在内部使用的，能够证明其有用性；</w:t>
      </w:r>
    </w:p>
    <w:p>
      <w:pPr>
        <w:pStyle w:val="Style18"/>
        <w:keepNext w:val="0"/>
        <w:keepLines w:val="0"/>
        <w:widowControl w:val="0"/>
        <w:numPr>
          <w:ilvl w:val="0"/>
          <w:numId w:val="23"/>
        </w:numPr>
        <w:shd w:val="clear" w:color="auto" w:fill="auto"/>
        <w:tabs>
          <w:tab w:pos="848" w:val="left"/>
        </w:tabs>
        <w:bidi w:val="0"/>
        <w:spacing w:before="0" w:after="80" w:line="314" w:lineRule="exact"/>
        <w:ind w:left="0" w:right="0" w:firstLine="440"/>
        <w:jc w:val="both"/>
      </w:pPr>
      <w:bookmarkStart w:id="1004" w:name="bookmark1004"/>
      <w:bookmarkEnd w:id="1004"/>
      <w:r>
        <w:rPr>
          <w:color w:val="000000"/>
          <w:spacing w:val="0"/>
          <w:w w:val="100"/>
          <w:position w:val="0"/>
        </w:rPr>
        <w:t>有足够的技术、财务资源和其他资源支持，以完成该无形资产的开发，并有能力使用或出售该无 形资产；</w:t>
      </w:r>
    </w:p>
    <w:p>
      <w:pPr>
        <w:pStyle w:val="Style18"/>
        <w:keepNext w:val="0"/>
        <w:keepLines w:val="0"/>
        <w:widowControl w:val="0"/>
        <w:numPr>
          <w:ilvl w:val="0"/>
          <w:numId w:val="23"/>
        </w:numPr>
        <w:shd w:val="clear" w:color="auto" w:fill="auto"/>
        <w:tabs>
          <w:tab w:pos="870" w:val="left"/>
        </w:tabs>
        <w:bidi w:val="0"/>
        <w:spacing w:before="0" w:after="0" w:line="326" w:lineRule="auto"/>
        <w:ind w:left="0" w:right="0" w:firstLine="440"/>
        <w:jc w:val="left"/>
      </w:pPr>
      <w:bookmarkStart w:id="1005" w:name="bookmark1005"/>
      <w:bookmarkEnd w:id="1005"/>
      <w:r>
        <w:rPr>
          <w:color w:val="000000"/>
          <w:spacing w:val="0"/>
          <w:w w:val="100"/>
          <w:position w:val="0"/>
        </w:rPr>
        <w:t>归属于该无形资产开发阶段的支出能够可靠地计量。</w:t>
      </w:r>
    </w:p>
    <w:p>
      <w:pPr>
        <w:pStyle w:val="Style18"/>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无法区分研究阶段支出和开发阶段支出的，将发生的研发支出全部计入当期损益。</w:t>
      </w:r>
    </w:p>
    <w:p>
      <w:pPr>
        <w:pStyle w:val="Style33"/>
        <w:keepNext/>
        <w:keepLines/>
        <w:widowControl w:val="0"/>
        <w:shd w:val="clear" w:color="auto" w:fill="auto"/>
        <w:bidi w:val="0"/>
        <w:spacing w:before="0" w:after="200" w:line="326" w:lineRule="auto"/>
        <w:ind w:left="0" w:right="0" w:firstLine="0"/>
        <w:jc w:val="both"/>
      </w:pPr>
      <w:bookmarkStart w:id="1006" w:name="bookmark1006"/>
      <w:bookmarkStart w:id="1007" w:name="bookmark1007"/>
      <w:bookmarkStart w:id="1008" w:name="bookmark1008"/>
      <w:bookmarkStart w:id="1009" w:name="bookmark1009"/>
      <w:r>
        <w:rPr>
          <w:rFonts w:ascii="Times New Roman" w:eastAsia="Times New Roman" w:hAnsi="Times New Roman" w:cs="Times New Roman"/>
          <w:color w:val="000000"/>
          <w:spacing w:val="0"/>
          <w:w w:val="100"/>
          <w:position w:val="0"/>
        </w:rPr>
        <w:t>3</w:t>
      </w:r>
      <w:bookmarkEnd w:id="1008"/>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1006"/>
      <w:bookmarkEnd w:id="1007"/>
      <w:bookmarkEnd w:id="1009"/>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长期股权投资、采用成本模式计量的投资性房地产、固定资产、在建工程、使用权资产、使用寿命有 限的无形资产、油气资产等长期资产，于资产负债表日存在减值迹象的，进行减值测试。减值测试结果表 明资产的可收回金额低于其账面价值的，按其差额计提减值准备并计入减值损失。可收回金额为资产的公 允价值减去处置费用后的净额与资产预计未来现金流量的现值两者之间的较高者。资产减值准备按单项资 产为基础计算并确认，如果难以对单项资产的可收回金额进行估计的，以该资产所属的资产组确定资产组 的可收回金额。资产组是能够独立产生现金流入的最小资产组合。</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对于因企业合并形成的商誉、使用寿命不确定的无形资产、尚未达到可使用状态的无形资产，无论是 否存在减值迹象，至少在每年年度终了进行减值测试。</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本公司进行商誉减值测试，对于因企业合并形成的商誉的账面价值，自购买日起按照合理的方法分摊 至相关的资产组；难以分摊至相关的资产组的，将其分摊至相关的资产组组合。相关的资产组或者资产组 组合，是能够从企业合并的协同效应中受益的资产组或者资产组组合。</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在对包含商誉的相关资产组或者资产组组合进行减值测试时，如与商誉相关的资产组或者资产组组合 存在减值迹象的，先对不包含商誉的资产组或者资产组组合进行减值测试，计算可收回金额，并与相关账 面价值相比较，确认相应的减值损失。然后对包含商誉的资产组或者资产组组合进行减值测试，比较其账 面价值与可收回金额，如可收回金额低于账面价值的，减值损失金额首先抵减分摊至资产组或者资产组组 </w:t>
      </w:r>
      <w:r>
        <w:rPr>
          <w:color w:val="000000"/>
          <w:spacing w:val="0"/>
          <w:w w:val="100"/>
          <w:position w:val="0"/>
        </w:rPr>
        <w:t>合中商誉的账面价值，再根据资产组或者资产组组合中除商誉之外的其他各项资产的账面价值所占比重， 按比例抵减其他各项资产的账面价值。</w:t>
      </w:r>
    </w:p>
    <w:p>
      <w:pPr>
        <w:pStyle w:val="Style18"/>
        <w:keepNext w:val="0"/>
        <w:keepLines w:val="0"/>
        <w:widowControl w:val="0"/>
        <w:shd w:val="clear" w:color="auto" w:fill="auto"/>
        <w:bidi w:val="0"/>
        <w:spacing w:before="0" w:after="380" w:line="302" w:lineRule="exact"/>
        <w:ind w:left="0" w:right="0" w:firstLine="440"/>
        <w:jc w:val="both"/>
      </w:pPr>
      <w:r>
        <w:rPr>
          <w:color w:val="000000"/>
          <w:spacing w:val="0"/>
          <w:w w:val="100"/>
          <w:position w:val="0"/>
        </w:rPr>
        <w:t>上述资产减值损失一经确认，在以后会计期间不予转回。</w:t>
      </w:r>
    </w:p>
    <w:p>
      <w:pPr>
        <w:pStyle w:val="Style33"/>
        <w:keepNext/>
        <w:keepLines/>
        <w:widowControl w:val="0"/>
        <w:shd w:val="clear" w:color="auto" w:fill="auto"/>
        <w:tabs>
          <w:tab w:pos="478" w:val="left"/>
        </w:tabs>
        <w:bidi w:val="0"/>
        <w:spacing w:before="0" w:after="200" w:line="329" w:lineRule="auto"/>
        <w:ind w:left="0" w:right="0" w:firstLine="0"/>
        <w:jc w:val="both"/>
      </w:pPr>
      <w:bookmarkStart w:id="1010" w:name="bookmark1010"/>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3</w:t>
      </w:r>
      <w:bookmarkEnd w:id="1012"/>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1010"/>
      <w:bookmarkEnd w:id="1011"/>
      <w:bookmarkEnd w:id="1013"/>
    </w:p>
    <w:p>
      <w:pPr>
        <w:pStyle w:val="Style18"/>
        <w:keepNext w:val="0"/>
        <w:keepLines w:val="0"/>
        <w:widowControl w:val="0"/>
        <w:shd w:val="clear" w:color="auto" w:fill="auto"/>
        <w:bidi w:val="0"/>
        <w:spacing w:before="0" w:after="60" w:line="307" w:lineRule="exact"/>
        <w:ind w:left="0" w:right="0" w:firstLine="0"/>
        <w:jc w:val="both"/>
      </w:pPr>
      <w:r>
        <w:rPr>
          <w:color w:val="000000"/>
          <w:spacing w:val="0"/>
          <w:w w:val="100"/>
          <w:position w:val="0"/>
        </w:rPr>
        <w:t>长期待摊费用为已经发生但应由本期和以后各期负担的分摊期限在一年以上的各项费用。</w:t>
      </w:r>
    </w:p>
    <w:p>
      <w:pPr>
        <w:pStyle w:val="Style18"/>
        <w:keepNext w:val="0"/>
        <w:keepLines w:val="0"/>
        <w:widowControl w:val="0"/>
        <w:shd w:val="clear" w:color="auto" w:fill="auto"/>
        <w:tabs>
          <w:tab w:pos="370" w:val="left"/>
        </w:tabs>
        <w:bidi w:val="0"/>
        <w:spacing w:before="0" w:after="0" w:line="322" w:lineRule="auto"/>
        <w:ind w:left="0" w:right="0" w:firstLine="0"/>
        <w:jc w:val="both"/>
      </w:pPr>
      <w:bookmarkStart w:id="1014" w:name="bookmark1014"/>
      <w:r>
        <w:rPr>
          <w:rFonts w:ascii="Times New Roman" w:eastAsia="Times New Roman" w:hAnsi="Times New Roman" w:cs="Times New Roman"/>
          <w:b/>
          <w:bCs/>
          <w:color w:val="000000"/>
          <w:spacing w:val="0"/>
          <w:w w:val="100"/>
          <w:position w:val="0"/>
        </w:rPr>
        <w:t>1</w:t>
      </w:r>
      <w:bookmarkEnd w:id="1014"/>
      <w:r>
        <w:rPr>
          <w:b/>
          <w:bCs/>
          <w:color w:val="000000"/>
          <w:spacing w:val="0"/>
          <w:w w:val="100"/>
          <w:position w:val="0"/>
        </w:rPr>
        <w:t>、</w:t>
        <w:tab/>
        <w:t>摊销方法</w:t>
      </w:r>
    </w:p>
    <w:p>
      <w:pPr>
        <w:pStyle w:val="Style18"/>
        <w:keepNext w:val="0"/>
        <w:keepLines w:val="0"/>
        <w:widowControl w:val="0"/>
        <w:shd w:val="clear" w:color="auto" w:fill="auto"/>
        <w:bidi w:val="0"/>
        <w:spacing w:before="0" w:after="60" w:line="307" w:lineRule="exact"/>
        <w:ind w:left="0" w:right="0" w:firstLine="0"/>
        <w:jc w:val="both"/>
      </w:pPr>
      <w:r>
        <w:rPr>
          <w:color w:val="000000"/>
          <w:spacing w:val="0"/>
          <w:w w:val="100"/>
          <w:position w:val="0"/>
        </w:rPr>
        <w:t>长期待摊费用在受益期内平均摊销</w:t>
      </w:r>
    </w:p>
    <w:p>
      <w:pPr>
        <w:pStyle w:val="Style18"/>
        <w:keepNext w:val="0"/>
        <w:keepLines w:val="0"/>
        <w:widowControl w:val="0"/>
        <w:shd w:val="clear" w:color="auto" w:fill="auto"/>
        <w:tabs>
          <w:tab w:pos="370" w:val="left"/>
        </w:tabs>
        <w:bidi w:val="0"/>
        <w:spacing w:before="0" w:after="0" w:line="322" w:lineRule="auto"/>
        <w:ind w:left="0" w:right="0" w:firstLine="0"/>
        <w:jc w:val="both"/>
      </w:pPr>
      <w:bookmarkStart w:id="1015" w:name="bookmark1015"/>
      <w:r>
        <w:rPr>
          <w:rFonts w:ascii="Times New Roman" w:eastAsia="Times New Roman" w:hAnsi="Times New Roman" w:cs="Times New Roman"/>
          <w:b/>
          <w:bCs/>
          <w:color w:val="000000"/>
          <w:spacing w:val="0"/>
          <w:w w:val="100"/>
          <w:position w:val="0"/>
        </w:rPr>
        <w:t>2</w:t>
      </w:r>
      <w:bookmarkEnd w:id="1015"/>
      <w:r>
        <w:rPr>
          <w:b/>
          <w:bCs/>
          <w:color w:val="000000"/>
          <w:spacing w:val="0"/>
          <w:w w:val="100"/>
          <w:position w:val="0"/>
        </w:rPr>
        <w:t>、</w:t>
        <w:tab/>
        <w:t>摊销年限</w:t>
      </w:r>
    </w:p>
    <w:p>
      <w:pPr>
        <w:pStyle w:val="Style18"/>
        <w:keepNext w:val="0"/>
        <w:keepLines w:val="0"/>
        <w:widowControl w:val="0"/>
        <w:shd w:val="clear" w:color="auto" w:fill="auto"/>
        <w:bidi w:val="0"/>
        <w:spacing w:before="0" w:after="380" w:line="307" w:lineRule="exact"/>
        <w:ind w:left="0" w:right="0" w:firstLine="0"/>
        <w:jc w:val="both"/>
      </w:pPr>
      <w:r>
        <w:rPr>
          <w:color w:val="000000"/>
          <w:spacing w:val="0"/>
          <w:w w:val="100"/>
          <w:position w:val="0"/>
        </w:rPr>
        <w:t>本公司本报告期内以经营租赁方式租入的固定资产改良支出在剩余租赁期限与租赁资产尚可使用年限两 者孰短的期限内平均摊销。</w:t>
      </w:r>
    </w:p>
    <w:p>
      <w:pPr>
        <w:pStyle w:val="Style33"/>
        <w:keepNext/>
        <w:keepLines/>
        <w:widowControl w:val="0"/>
        <w:shd w:val="clear" w:color="auto" w:fill="auto"/>
        <w:tabs>
          <w:tab w:pos="478" w:val="left"/>
        </w:tabs>
        <w:bidi w:val="0"/>
        <w:spacing w:before="0" w:after="200" w:line="329" w:lineRule="auto"/>
        <w:ind w:left="0" w:right="0" w:firstLine="0"/>
        <w:jc w:val="both"/>
      </w:pPr>
      <w:bookmarkStart w:id="1016" w:name="bookmark1016"/>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3</w:t>
      </w:r>
      <w:bookmarkEnd w:id="1018"/>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1016"/>
      <w:bookmarkEnd w:id="1017"/>
      <w:bookmarkEnd w:id="1019"/>
    </w:p>
    <w:p>
      <w:pPr>
        <w:pStyle w:val="Style18"/>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本公司根据履行履约义务与客户付款之间的关系在资产负债表中列示合同资产或合同负债。本公司已收或 应收客户对价而应向客户转让商品或提供服务的义务列示为合同负债。同一合同下的合同资产和合同负债 以净额列示。</w:t>
      </w:r>
    </w:p>
    <w:p>
      <w:pPr>
        <w:pStyle w:val="Style33"/>
        <w:keepNext/>
        <w:keepLines/>
        <w:widowControl w:val="0"/>
        <w:shd w:val="clear" w:color="auto" w:fill="auto"/>
        <w:tabs>
          <w:tab w:pos="478" w:val="left"/>
        </w:tabs>
        <w:bidi w:val="0"/>
        <w:spacing w:before="0" w:after="200" w:line="329" w:lineRule="auto"/>
        <w:ind w:left="0" w:right="0" w:firstLine="0"/>
        <w:jc w:val="both"/>
      </w:pPr>
      <w:bookmarkStart w:id="1020" w:name="bookmark1020"/>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rPr>
        <w:t>3</w:t>
      </w:r>
      <w:bookmarkEnd w:id="1022"/>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1020"/>
      <w:bookmarkEnd w:id="1021"/>
      <w:bookmarkEnd w:id="1023"/>
    </w:p>
    <w:p>
      <w:pPr>
        <w:pStyle w:val="Style61"/>
        <w:keepNext/>
        <w:keepLines/>
        <w:widowControl w:val="0"/>
        <w:shd w:val="clear" w:color="auto" w:fill="auto"/>
        <w:tabs>
          <w:tab w:pos="483" w:val="left"/>
        </w:tabs>
        <w:bidi w:val="0"/>
        <w:spacing w:before="0" w:after="280" w:line="314" w:lineRule="exact"/>
        <w:ind w:left="0" w:right="0" w:firstLine="0"/>
        <w:jc w:val="both"/>
      </w:pPr>
      <w:bookmarkStart w:id="1024" w:name="bookmark1024"/>
      <w:bookmarkStart w:id="1025" w:name="bookmark1025"/>
      <w:bookmarkStart w:id="1026" w:name="bookmark1026"/>
      <w:bookmarkStart w:id="1027" w:name="bookmark1027"/>
      <w:r>
        <w:rPr>
          <w:color w:val="000000"/>
          <w:spacing w:val="0"/>
          <w:w w:val="100"/>
          <w:position w:val="0"/>
        </w:rPr>
        <w:t>（</w:t>
      </w:r>
      <w:bookmarkEnd w:id="1026"/>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024"/>
      <w:bookmarkEnd w:id="1025"/>
      <w:bookmarkEnd w:id="1027"/>
    </w:p>
    <w:p>
      <w:pPr>
        <w:pStyle w:val="Style18"/>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本公司在职工为本公司提供服务的会计期间，将实际发生的短期薪酬确认为负债，并计入当期损益或 相关资产成本。</w:t>
      </w:r>
    </w:p>
    <w:p>
      <w:pPr>
        <w:pStyle w:val="Style18"/>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本公司为职工缴纳的社会保险费和住房公积金，以及按规定提取的工会经费和职工教育经费，在职工 为本公司提供服务的会计期间，根据规定的计提基础和计提比例计算确定相应的职工薪酬金额。</w:t>
      </w:r>
    </w:p>
    <w:p>
      <w:pPr>
        <w:pStyle w:val="Style18"/>
        <w:keepNext w:val="0"/>
        <w:keepLines w:val="0"/>
        <w:widowControl w:val="0"/>
        <w:shd w:val="clear" w:color="auto" w:fill="auto"/>
        <w:bidi w:val="0"/>
        <w:spacing w:before="0" w:after="280" w:line="315" w:lineRule="exact"/>
        <w:ind w:left="0" w:right="0" w:firstLine="440"/>
        <w:jc w:val="both"/>
      </w:pPr>
      <w:r>
        <w:rPr>
          <w:color w:val="000000"/>
          <w:spacing w:val="0"/>
          <w:w w:val="100"/>
          <w:position w:val="0"/>
        </w:rPr>
        <w:t>本公司发生的职工福利费，在实际发生时根据实际发生额计入当期损益或相关资产成本，其中，非货 币性福利按照公允价值计量。</w:t>
      </w:r>
    </w:p>
    <w:p>
      <w:pPr>
        <w:pStyle w:val="Style61"/>
        <w:keepNext/>
        <w:keepLines/>
        <w:widowControl w:val="0"/>
        <w:shd w:val="clear" w:color="auto" w:fill="auto"/>
        <w:tabs>
          <w:tab w:pos="483" w:val="left"/>
        </w:tabs>
        <w:bidi w:val="0"/>
        <w:spacing w:before="0" w:after="280" w:line="314" w:lineRule="exact"/>
        <w:ind w:left="0" w:right="0" w:firstLine="0"/>
        <w:jc w:val="left"/>
      </w:pPr>
      <w:bookmarkStart w:id="1028" w:name="bookmark1028"/>
      <w:bookmarkStart w:id="1029" w:name="bookmark1029"/>
      <w:bookmarkStart w:id="1030" w:name="bookmark1030"/>
      <w:bookmarkStart w:id="1031" w:name="bookmark1031"/>
      <w:r>
        <w:rPr>
          <w:color w:val="000000"/>
          <w:spacing w:val="0"/>
          <w:w w:val="100"/>
          <w:position w:val="0"/>
        </w:rPr>
        <w:t>（</w:t>
      </w:r>
      <w:bookmarkEnd w:id="1030"/>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28"/>
      <w:bookmarkEnd w:id="1029"/>
      <w:bookmarkEnd w:id="1031"/>
    </w:p>
    <w:p>
      <w:pPr>
        <w:pStyle w:val="Style18"/>
        <w:keepNext w:val="0"/>
        <w:keepLines w:val="0"/>
        <w:widowControl w:val="0"/>
        <w:shd w:val="clear" w:color="auto" w:fill="auto"/>
        <w:tabs>
          <w:tab w:pos="928" w:val="left"/>
        </w:tabs>
        <w:bidi w:val="0"/>
        <w:spacing w:before="0" w:after="0" w:line="314" w:lineRule="exact"/>
        <w:ind w:left="0" w:right="0" w:firstLine="440"/>
        <w:jc w:val="both"/>
      </w:pPr>
      <w:bookmarkStart w:id="1032" w:name="bookmark1032"/>
      <w:r>
        <w:rPr>
          <w:color w:val="000000"/>
          <w:spacing w:val="0"/>
          <w:w w:val="100"/>
          <w:position w:val="0"/>
        </w:rPr>
        <w:t>（</w:t>
      </w:r>
      <w:bookmarkEnd w:id="1032"/>
      <w:r>
        <w:rPr>
          <w:rFonts w:ascii="Times New Roman" w:eastAsia="Times New Roman" w:hAnsi="Times New Roman" w:cs="Times New Roman"/>
          <w:color w:val="000000"/>
          <w:spacing w:val="0"/>
          <w:w w:val="100"/>
          <w:position w:val="0"/>
        </w:rPr>
        <w:t>1</w:t>
      </w:r>
      <w:r>
        <w:rPr>
          <w:color w:val="000000"/>
          <w:spacing w:val="0"/>
          <w:w w:val="100"/>
          <w:position w:val="0"/>
        </w:rPr>
        <w:t>）</w:t>
        <w:tab/>
        <w:t>设定提存计划</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本公司按当地政府的相关规定为职工缴纳基本养老保险和失业保险，在职工为本公司提供服务的会计 期间，按以当地规定的缴纳基数和比例计算应缴纳金额，确认为负债，并计入当期损益或相关资产成本。 此外，本公司还参与了由国家相关部门批准的企业年金计划</w:t>
      </w:r>
      <w:r>
        <w:rPr>
          <w:rFonts w:ascii="Times New Roman" w:eastAsia="Times New Roman" w:hAnsi="Times New Roman" w:cs="Times New Roman"/>
          <w:color w:val="000000"/>
          <w:spacing w:val="0"/>
          <w:w w:val="100"/>
          <w:position w:val="0"/>
        </w:rPr>
        <w:t>/</w:t>
      </w:r>
      <w:r>
        <w:rPr>
          <w:color w:val="000000"/>
          <w:spacing w:val="0"/>
          <w:w w:val="100"/>
          <w:position w:val="0"/>
        </w:rPr>
        <w:t>补充养老保险基金。本公司按职工工资总额的 一定比例向年金计划</w:t>
      </w:r>
      <w:r>
        <w:rPr>
          <w:rFonts w:ascii="Times New Roman" w:eastAsia="Times New Roman" w:hAnsi="Times New Roman" w:cs="Times New Roman"/>
          <w:color w:val="000000"/>
          <w:spacing w:val="0"/>
          <w:w w:val="100"/>
          <w:position w:val="0"/>
        </w:rPr>
        <w:t>/</w:t>
      </w:r>
      <w:r>
        <w:rPr>
          <w:color w:val="000000"/>
          <w:spacing w:val="0"/>
          <w:w w:val="100"/>
          <w:position w:val="0"/>
        </w:rPr>
        <w:t>当地社会保险机构缴费，相应支出计入当期损益或相关资产成本。</w:t>
      </w:r>
    </w:p>
    <w:p>
      <w:pPr>
        <w:pStyle w:val="Style18"/>
        <w:keepNext w:val="0"/>
        <w:keepLines w:val="0"/>
        <w:widowControl w:val="0"/>
        <w:shd w:val="clear" w:color="auto" w:fill="auto"/>
        <w:tabs>
          <w:tab w:pos="928" w:val="left"/>
        </w:tabs>
        <w:bidi w:val="0"/>
        <w:spacing w:before="0" w:after="0" w:line="314" w:lineRule="exact"/>
        <w:ind w:left="0" w:right="0" w:firstLine="440"/>
        <w:jc w:val="both"/>
      </w:pPr>
      <w:bookmarkStart w:id="1033" w:name="bookmark1033"/>
      <w:r>
        <w:rPr>
          <w:color w:val="000000"/>
          <w:spacing w:val="0"/>
          <w:w w:val="100"/>
          <w:position w:val="0"/>
        </w:rPr>
        <w:t>（</w:t>
      </w:r>
      <w:bookmarkEnd w:id="1033"/>
      <w:r>
        <w:rPr>
          <w:rFonts w:ascii="Times New Roman" w:eastAsia="Times New Roman" w:hAnsi="Times New Roman" w:cs="Times New Roman"/>
          <w:color w:val="000000"/>
          <w:spacing w:val="0"/>
          <w:w w:val="100"/>
          <w:position w:val="0"/>
        </w:rPr>
        <w:t>2</w:t>
      </w:r>
      <w:r>
        <w:rPr>
          <w:color w:val="000000"/>
          <w:spacing w:val="0"/>
          <w:w w:val="100"/>
          <w:position w:val="0"/>
        </w:rPr>
        <w:t>）</w:t>
        <w:tab/>
        <w:t>设定受益计划</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本公司根据预期累计福利单位法确定的公式将设定受益计划产生的福利义务归属于职工提供服务的 期间，并计入当期损益或相关资产成本。</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设定受益计划义务现值减去设定受益计划资产公允价值所形成的赤字或盈余确认为一项设定受益计 划净负债或净资产。设定受益计划存在盈余的，本公司以设定受益计划的盈余和资产上限两项的孰低者计 量设定受益计划净资产。</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 xml:space="preserve">所有设定受益计划义务，包括预期在职工提供服务的年度报告期间结束后的十二个月内支付的义务， 根据资产负债表日与设定受益计划义务期限和币种相匹配的国债或活跃市场上的高质量公司债券的市场 </w:t>
      </w:r>
      <w:r>
        <w:rPr>
          <w:color w:val="000000"/>
          <w:spacing w:val="0"/>
          <w:w w:val="100"/>
          <w:position w:val="0"/>
        </w:rPr>
        <w:t>收益率予以折现。</w:t>
      </w:r>
    </w:p>
    <w:p>
      <w:pPr>
        <w:pStyle w:val="Style18"/>
        <w:keepNext w:val="0"/>
        <w:keepLines w:val="0"/>
        <w:widowControl w:val="0"/>
        <w:shd w:val="clear" w:color="auto" w:fill="auto"/>
        <w:bidi w:val="0"/>
        <w:spacing w:before="0" w:after="280" w:line="313" w:lineRule="exact"/>
        <w:ind w:left="0" w:right="0" w:firstLine="460"/>
        <w:jc w:val="both"/>
      </w:pPr>
      <w:r>
        <w:rPr>
          <w:color w:val="000000"/>
          <w:spacing w:val="0"/>
          <w:w w:val="100"/>
          <w:position w:val="0"/>
        </w:rPr>
        <w:t>设定受益计划产生的服务成本和设定受益计划净负债或净资产的利息净额计入当期损益或相关资产 成本；重新计量设定受益计划净负债或净资产所产生的变动计入其他综合收益，并且在后续会计期间不转 回至损益，在原设定受益计划终止时在权益范围内将原计入其他综合收益的部分全部结转至未分配利润。 在设定受益计划结算时，按在结算日确定的设定受益计划义务现值和结算价格两者的差额，确认结算利得 或损失。</w:t>
      </w:r>
    </w:p>
    <w:p>
      <w:pPr>
        <w:pStyle w:val="Style61"/>
        <w:keepNext/>
        <w:keepLines/>
        <w:widowControl w:val="0"/>
        <w:shd w:val="clear" w:color="auto" w:fill="auto"/>
        <w:tabs>
          <w:tab w:pos="483" w:val="left"/>
        </w:tabs>
        <w:bidi w:val="0"/>
        <w:spacing w:before="0" w:after="280" w:line="313" w:lineRule="exact"/>
        <w:ind w:left="0" w:right="0" w:firstLine="0"/>
        <w:jc w:val="left"/>
      </w:pPr>
      <w:bookmarkStart w:id="1034" w:name="bookmark1034"/>
      <w:bookmarkStart w:id="1035" w:name="bookmark1035"/>
      <w:bookmarkStart w:id="1036" w:name="bookmark1036"/>
      <w:bookmarkStart w:id="1037" w:name="bookmark1037"/>
      <w:r>
        <w:rPr>
          <w:color w:val="000000"/>
          <w:spacing w:val="0"/>
          <w:w w:val="100"/>
          <w:position w:val="0"/>
        </w:rPr>
        <w:t>（</w:t>
      </w:r>
      <w:bookmarkEnd w:id="1036"/>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34"/>
      <w:bookmarkEnd w:id="1035"/>
      <w:bookmarkEnd w:id="1037"/>
    </w:p>
    <w:p>
      <w:pPr>
        <w:pStyle w:val="Style18"/>
        <w:keepNext w:val="0"/>
        <w:keepLines w:val="0"/>
        <w:widowControl w:val="0"/>
        <w:shd w:val="clear" w:color="auto" w:fill="auto"/>
        <w:bidi w:val="0"/>
        <w:spacing w:before="0" w:after="280" w:line="314" w:lineRule="exact"/>
        <w:ind w:left="0" w:right="0" w:firstLine="460"/>
        <w:jc w:val="both"/>
      </w:pPr>
      <w:r>
        <w:rPr>
          <w:color w:val="000000"/>
          <w:spacing w:val="0"/>
          <w:w w:val="100"/>
          <w:position w:val="0"/>
        </w:rPr>
        <w:t>本公司向职工提供辞退福利的，在下列两者孰早日确认辞退福利产生的职工薪酬负债，并计入当期损 益：公司不能单方面撤回因解除劳动关系计划或裁减建议所提供的辞退福利时；公司确认与涉及支付辞退 福利的重组相关的成本或费用时。</w:t>
      </w:r>
    </w:p>
    <w:p>
      <w:pPr>
        <w:pStyle w:val="Style61"/>
        <w:keepNext/>
        <w:keepLines/>
        <w:widowControl w:val="0"/>
        <w:shd w:val="clear" w:color="auto" w:fill="auto"/>
        <w:tabs>
          <w:tab w:pos="483" w:val="left"/>
        </w:tabs>
        <w:bidi w:val="0"/>
        <w:spacing w:before="0" w:line="313" w:lineRule="exact"/>
        <w:ind w:left="0" w:right="0" w:firstLine="0"/>
        <w:jc w:val="left"/>
      </w:pPr>
      <w:bookmarkStart w:id="1038" w:name="bookmark1038"/>
      <w:bookmarkStart w:id="1039" w:name="bookmark1039"/>
      <w:bookmarkStart w:id="1040" w:name="bookmark1040"/>
      <w:bookmarkStart w:id="1041" w:name="bookmark1041"/>
      <w:r>
        <w:rPr>
          <w:color w:val="000000"/>
          <w:spacing w:val="0"/>
          <w:w w:val="100"/>
          <w:position w:val="0"/>
        </w:rPr>
        <w:t>（</w:t>
      </w:r>
      <w:bookmarkEnd w:id="1040"/>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038"/>
      <w:bookmarkEnd w:id="1039"/>
      <w:bookmarkEnd w:id="1041"/>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78" w:val="left"/>
        </w:tabs>
        <w:bidi w:val="0"/>
        <w:spacing w:before="0" w:after="220" w:line="326" w:lineRule="auto"/>
        <w:ind w:left="0" w:right="0" w:firstLine="0"/>
        <w:jc w:val="left"/>
      </w:pPr>
      <w:bookmarkStart w:id="1042" w:name="bookmark1042"/>
      <w:bookmarkStart w:id="1043" w:name="bookmark1043"/>
      <w:bookmarkStart w:id="1044" w:name="bookmark1044"/>
      <w:bookmarkStart w:id="1045" w:name="bookmark1045"/>
      <w:r>
        <w:rPr>
          <w:rFonts w:ascii="Times New Roman" w:eastAsia="Times New Roman" w:hAnsi="Times New Roman" w:cs="Times New Roman"/>
          <w:color w:val="000000"/>
          <w:spacing w:val="0"/>
          <w:w w:val="100"/>
          <w:position w:val="0"/>
        </w:rPr>
        <w:t>3</w:t>
      </w:r>
      <w:bookmarkEnd w:id="1044"/>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042"/>
      <w:bookmarkEnd w:id="1043"/>
      <w:bookmarkEnd w:id="1045"/>
    </w:p>
    <w:p>
      <w:pPr>
        <w:pStyle w:val="Style18"/>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在租赁期开始日，本公司对除短期租赁和低价值资产租赁以外的租赁确认租赁负债。租赁负债按照尚 未支付的租赁付款额的现值进行初始计量。租赁付款额包括：</w:t>
      </w:r>
    </w:p>
    <w:p>
      <w:pPr>
        <w:pStyle w:val="Style18"/>
        <w:keepNext w:val="0"/>
        <w:keepLines w:val="0"/>
        <w:widowControl w:val="0"/>
        <w:shd w:val="clear" w:color="auto" w:fill="auto"/>
        <w:bidi w:val="0"/>
        <w:spacing w:before="0" w:after="0" w:line="313" w:lineRule="exact"/>
        <w:ind w:left="0" w:right="0" w:firstLine="660"/>
        <w:jc w:val="both"/>
      </w:pPr>
      <w:r>
        <w:rPr>
          <w:color w:val="000000"/>
          <w:spacing w:val="0"/>
          <w:w w:val="100"/>
          <w:position w:val="0"/>
        </w:rPr>
        <w:t>•</w:t>
      </w:r>
      <w:r>
        <w:rPr>
          <w:color w:val="000000"/>
          <w:spacing w:val="0"/>
          <w:w w:val="100"/>
          <w:position w:val="0"/>
        </w:rPr>
        <w:t>固定付款额（包括实质固定付款额），存在租赁激励的，扣除租赁激励相关金额；</w:t>
      </w:r>
    </w:p>
    <w:p>
      <w:pPr>
        <w:pStyle w:val="Style18"/>
        <w:keepNext w:val="0"/>
        <w:keepLines w:val="0"/>
        <w:widowControl w:val="0"/>
        <w:shd w:val="clear" w:color="auto" w:fill="auto"/>
        <w:bidi w:val="0"/>
        <w:spacing w:before="0" w:after="0" w:line="313" w:lineRule="exact"/>
        <w:ind w:left="0" w:right="0" w:firstLine="660"/>
        <w:jc w:val="both"/>
      </w:pPr>
      <w:r>
        <w:rPr>
          <w:color w:val="000000"/>
          <w:spacing w:val="0"/>
          <w:w w:val="100"/>
          <w:position w:val="0"/>
        </w:rPr>
        <w:t>•</w:t>
      </w:r>
      <w:r>
        <w:rPr>
          <w:color w:val="000000"/>
          <w:spacing w:val="0"/>
          <w:w w:val="100"/>
          <w:position w:val="0"/>
        </w:rPr>
        <w:t>取决于指数或比率的可变租赁付款额；</w:t>
      </w:r>
    </w:p>
    <w:p>
      <w:pPr>
        <w:pStyle w:val="Style18"/>
        <w:keepNext w:val="0"/>
        <w:keepLines w:val="0"/>
        <w:widowControl w:val="0"/>
        <w:shd w:val="clear" w:color="auto" w:fill="auto"/>
        <w:bidi w:val="0"/>
        <w:spacing w:before="0" w:after="0" w:line="313" w:lineRule="exact"/>
        <w:ind w:left="0" w:right="0" w:firstLine="660"/>
        <w:jc w:val="both"/>
      </w:pPr>
      <w:r>
        <w:rPr>
          <w:color w:val="000000"/>
          <w:spacing w:val="0"/>
          <w:w w:val="100"/>
          <w:position w:val="0"/>
        </w:rPr>
        <w:t>•</w:t>
      </w:r>
      <w:r>
        <w:rPr>
          <w:color w:val="000000"/>
          <w:spacing w:val="0"/>
          <w:w w:val="100"/>
          <w:position w:val="0"/>
        </w:rPr>
        <w:t>根据公司提供的担保余值预计应支付的款项；</w:t>
      </w:r>
    </w:p>
    <w:p>
      <w:pPr>
        <w:pStyle w:val="Style18"/>
        <w:keepNext w:val="0"/>
        <w:keepLines w:val="0"/>
        <w:widowControl w:val="0"/>
        <w:shd w:val="clear" w:color="auto" w:fill="auto"/>
        <w:bidi w:val="0"/>
        <w:spacing w:before="0" w:after="0" w:line="313" w:lineRule="exact"/>
        <w:ind w:left="0" w:right="0" w:firstLine="660"/>
        <w:jc w:val="both"/>
      </w:pPr>
      <w:r>
        <w:rPr>
          <w:color w:val="000000"/>
          <w:spacing w:val="0"/>
          <w:w w:val="100"/>
          <w:position w:val="0"/>
        </w:rPr>
        <w:t>•</w:t>
      </w:r>
      <w:r>
        <w:rPr>
          <w:color w:val="000000"/>
          <w:spacing w:val="0"/>
          <w:w w:val="100"/>
          <w:position w:val="0"/>
        </w:rPr>
        <w:t>购买选择权的行权价格，前提是公司合理确定将行使该选择权；</w:t>
      </w:r>
    </w:p>
    <w:p>
      <w:pPr>
        <w:pStyle w:val="Style18"/>
        <w:keepNext w:val="0"/>
        <w:keepLines w:val="0"/>
        <w:widowControl w:val="0"/>
        <w:shd w:val="clear" w:color="auto" w:fill="auto"/>
        <w:bidi w:val="0"/>
        <w:spacing w:before="0" w:after="0" w:line="313" w:lineRule="exact"/>
        <w:ind w:left="0" w:right="0" w:firstLine="660"/>
        <w:jc w:val="both"/>
      </w:pPr>
      <w:r>
        <w:rPr>
          <w:color w:val="000000"/>
          <w:spacing w:val="0"/>
          <w:w w:val="100"/>
          <w:position w:val="0"/>
        </w:rPr>
        <w:t>•</w:t>
      </w:r>
      <w:r>
        <w:rPr>
          <w:color w:val="000000"/>
          <w:spacing w:val="0"/>
          <w:w w:val="100"/>
          <w:position w:val="0"/>
        </w:rPr>
        <w:t>行使终止租赁选择权需支付的款项，前提是租赁期反映出公司将行使终止租赁选择权。</w:t>
      </w:r>
    </w:p>
    <w:p>
      <w:pPr>
        <w:pStyle w:val="Style18"/>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本公司采用租赁内含利率作为折现率，但如果无法合理确定租赁内含利率的，则采用本公司的增量借 款利率作为折现率。</w:t>
      </w:r>
    </w:p>
    <w:p>
      <w:pPr>
        <w:pStyle w:val="Style18"/>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本公司按照固定的周期性利率计算租赁负债在租赁期内各期间的利息费用，并计入当期损益或相关资 产成本。</w:t>
      </w:r>
    </w:p>
    <w:p>
      <w:pPr>
        <w:pStyle w:val="Style18"/>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未纳入租赁负债计量的可变租赁付款额在实际发生时计入当期损益或相关资产成本。</w:t>
      </w:r>
    </w:p>
    <w:p>
      <w:pPr>
        <w:pStyle w:val="Style18"/>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在租赁期开始日后，发生下列情形的，本公司重新计量租赁负债，并调整相应的使用权资产，若使用 权资产的账面价值已调减至零，但租赁负债仍需进一步调减的，将差额计入当期损益：</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当购买选择权、续租选择权或终止选择权的评估结果发生变化，或前述选择权的实际行权情况与原评估结 果不一致的，本公司按变动后租赁付款额和修订后的折现率计算的现值重新计量租赁负债；</w:t>
      </w:r>
    </w:p>
    <w:p>
      <w:pPr>
        <w:pStyle w:val="Style18"/>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当实质固定付款额发生变动、担保余值预计的应付金额发生变动或用于确定租赁付款额的指数或比率发生 变动，本公司按照变动后的租赁付款额和原折现率计算的现值重新计量租赁负债。但是，租赁付款额的变 动源自浮动利率变动的，使用修订后的折现率计算现值。</w:t>
      </w:r>
    </w:p>
    <w:p>
      <w:pPr>
        <w:pStyle w:val="Style33"/>
        <w:keepNext/>
        <w:keepLines/>
        <w:widowControl w:val="0"/>
        <w:shd w:val="clear" w:color="auto" w:fill="auto"/>
        <w:tabs>
          <w:tab w:pos="478" w:val="left"/>
        </w:tabs>
        <w:bidi w:val="0"/>
        <w:spacing w:before="0" w:after="220" w:line="326" w:lineRule="auto"/>
        <w:ind w:left="0" w:right="0" w:firstLine="0"/>
        <w:jc w:val="both"/>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3</w:t>
      </w:r>
      <w:bookmarkEnd w:id="1048"/>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46"/>
      <w:bookmarkEnd w:id="1047"/>
      <w:bookmarkEnd w:id="1049"/>
    </w:p>
    <w:p>
      <w:pPr>
        <w:pStyle w:val="Style18"/>
        <w:keepNext w:val="0"/>
        <w:keepLines w:val="0"/>
        <w:widowControl w:val="0"/>
        <w:shd w:val="clear" w:color="auto" w:fill="auto"/>
        <w:bidi w:val="0"/>
        <w:spacing w:before="0" w:after="0" w:line="313" w:lineRule="exact"/>
        <w:ind w:left="0" w:right="0" w:firstLine="740"/>
        <w:jc w:val="both"/>
      </w:pPr>
      <w:r>
        <w:rPr>
          <w:color w:val="000000"/>
          <w:spacing w:val="0"/>
          <w:w w:val="100"/>
          <w:position w:val="0"/>
        </w:rPr>
        <w:t>与或有事项相关的义务同时满足下列条件时，本公司将其确认为预计负债：</w:t>
      </w:r>
    </w:p>
    <w:p>
      <w:pPr>
        <w:pStyle w:val="Style18"/>
        <w:keepNext w:val="0"/>
        <w:keepLines w:val="0"/>
        <w:widowControl w:val="0"/>
        <w:shd w:val="clear" w:color="auto" w:fill="auto"/>
        <w:tabs>
          <w:tab w:pos="1228" w:val="left"/>
        </w:tabs>
        <w:bidi w:val="0"/>
        <w:spacing w:before="0" w:after="0" w:line="313" w:lineRule="exact"/>
        <w:ind w:left="0" w:right="0" w:firstLine="740"/>
        <w:jc w:val="both"/>
      </w:pPr>
      <w:bookmarkStart w:id="1050" w:name="bookmark1050"/>
      <w:r>
        <w:rPr>
          <w:color w:val="000000"/>
          <w:spacing w:val="0"/>
          <w:w w:val="100"/>
          <w:position w:val="0"/>
        </w:rPr>
        <w:t>（</w:t>
      </w:r>
      <w:bookmarkEnd w:id="1050"/>
      <w:r>
        <w:rPr>
          <w:rFonts w:ascii="Times New Roman" w:eastAsia="Times New Roman" w:hAnsi="Times New Roman" w:cs="Times New Roman"/>
          <w:color w:val="000000"/>
          <w:spacing w:val="0"/>
          <w:w w:val="100"/>
          <w:position w:val="0"/>
        </w:rPr>
        <w:t>1</w:t>
      </w:r>
      <w:r>
        <w:rPr>
          <w:color w:val="000000"/>
          <w:spacing w:val="0"/>
          <w:w w:val="100"/>
          <w:position w:val="0"/>
        </w:rPr>
        <w:t>）</w:t>
        <w:tab/>
        <w:t>该义务是本公司承担的现时义务；</w:t>
      </w:r>
    </w:p>
    <w:p>
      <w:pPr>
        <w:pStyle w:val="Style18"/>
        <w:keepNext w:val="0"/>
        <w:keepLines w:val="0"/>
        <w:widowControl w:val="0"/>
        <w:shd w:val="clear" w:color="auto" w:fill="auto"/>
        <w:tabs>
          <w:tab w:pos="1228" w:val="left"/>
        </w:tabs>
        <w:bidi w:val="0"/>
        <w:spacing w:before="0" w:after="0" w:line="313" w:lineRule="exact"/>
        <w:ind w:left="0" w:right="0" w:firstLine="740"/>
        <w:jc w:val="both"/>
      </w:pPr>
      <w:bookmarkStart w:id="1051" w:name="bookmark1051"/>
      <w:r>
        <w:rPr>
          <w:color w:val="000000"/>
          <w:spacing w:val="0"/>
          <w:w w:val="100"/>
          <w:position w:val="0"/>
        </w:rPr>
        <w:t>（</w:t>
      </w:r>
      <w:bookmarkEnd w:id="1051"/>
      <w:r>
        <w:rPr>
          <w:rFonts w:ascii="Times New Roman" w:eastAsia="Times New Roman" w:hAnsi="Times New Roman" w:cs="Times New Roman"/>
          <w:color w:val="000000"/>
          <w:spacing w:val="0"/>
          <w:w w:val="100"/>
          <w:position w:val="0"/>
        </w:rPr>
        <w:t>2</w:t>
      </w:r>
      <w:r>
        <w:rPr>
          <w:color w:val="000000"/>
          <w:spacing w:val="0"/>
          <w:w w:val="100"/>
          <w:position w:val="0"/>
        </w:rPr>
        <w:t>）</w:t>
        <w:tab/>
        <w:t>履行该义务很可能导致经济利益流出本公司；</w:t>
      </w:r>
    </w:p>
    <w:p>
      <w:pPr>
        <w:pStyle w:val="Style18"/>
        <w:keepNext w:val="0"/>
        <w:keepLines w:val="0"/>
        <w:widowControl w:val="0"/>
        <w:shd w:val="clear" w:color="auto" w:fill="auto"/>
        <w:tabs>
          <w:tab w:pos="1228" w:val="left"/>
        </w:tabs>
        <w:bidi w:val="0"/>
        <w:spacing w:before="0" w:after="280" w:line="313" w:lineRule="exact"/>
        <w:ind w:left="0" w:right="0" w:firstLine="740"/>
        <w:jc w:val="both"/>
      </w:pPr>
      <w:bookmarkStart w:id="1052" w:name="bookmark1052"/>
      <w:r>
        <w:rPr>
          <w:color w:val="000000"/>
          <w:spacing w:val="0"/>
          <w:w w:val="100"/>
          <w:position w:val="0"/>
        </w:rPr>
        <w:t>（</w:t>
      </w:r>
      <w:bookmarkEnd w:id="1052"/>
      <w:r>
        <w:rPr>
          <w:rFonts w:ascii="Times New Roman" w:eastAsia="Times New Roman" w:hAnsi="Times New Roman" w:cs="Times New Roman"/>
          <w:color w:val="000000"/>
          <w:spacing w:val="0"/>
          <w:w w:val="100"/>
          <w:position w:val="0"/>
        </w:rPr>
        <w:t>3</w:t>
      </w:r>
      <w:r>
        <w:rPr>
          <w:color w:val="000000"/>
          <w:spacing w:val="0"/>
          <w:w w:val="100"/>
          <w:position w:val="0"/>
        </w:rPr>
        <w:t>）</w:t>
        <w:tab/>
        <w:t>该义务的金额能够可靠地计量。</w:t>
      </w:r>
    </w:p>
    <w:p>
      <w:pPr>
        <w:pStyle w:val="Style18"/>
        <w:keepNext w:val="0"/>
        <w:keepLines w:val="0"/>
        <w:widowControl w:val="0"/>
        <w:shd w:val="clear" w:color="auto" w:fill="auto"/>
        <w:bidi w:val="0"/>
        <w:spacing w:before="0" w:after="0" w:line="314" w:lineRule="exact"/>
        <w:ind w:left="0" w:right="0" w:firstLine="720"/>
        <w:jc w:val="both"/>
      </w:pPr>
      <w:r>
        <w:rPr>
          <w:color w:val="000000"/>
          <w:spacing w:val="0"/>
          <w:w w:val="100"/>
          <w:position w:val="0"/>
        </w:rPr>
        <w:t>预计负债按履行相关现时义务所需的支出的最佳估计数进行初始计量。</w:t>
      </w:r>
    </w:p>
    <w:p>
      <w:pPr>
        <w:pStyle w:val="Style18"/>
        <w:keepNext w:val="0"/>
        <w:keepLines w:val="0"/>
        <w:widowControl w:val="0"/>
        <w:shd w:val="clear" w:color="auto" w:fill="auto"/>
        <w:bidi w:val="0"/>
        <w:spacing w:before="0" w:after="0" w:line="314" w:lineRule="exact"/>
        <w:ind w:left="720" w:right="0" w:firstLine="0"/>
        <w:jc w:val="both"/>
      </w:pPr>
      <w:r>
        <w:rPr>
          <w:color w:val="000000"/>
          <w:spacing w:val="0"/>
          <w:w w:val="100"/>
          <w:position w:val="0"/>
        </w:rPr>
        <w:t>在确定最佳估计数时，综合考虑与或有事项有关的风险、不确定性和货币时间价值等因素。对于 货币时间价值影响重大的，通过对相关未来现金流出进行折现后确定最佳估计数。</w:t>
      </w:r>
    </w:p>
    <w:p>
      <w:pPr>
        <w:pStyle w:val="Style18"/>
        <w:keepNext w:val="0"/>
        <w:keepLines w:val="0"/>
        <w:widowControl w:val="0"/>
        <w:shd w:val="clear" w:color="auto" w:fill="auto"/>
        <w:bidi w:val="0"/>
        <w:spacing w:before="0" w:after="80" w:line="314" w:lineRule="exact"/>
        <w:ind w:left="720" w:right="0" w:firstLine="0"/>
        <w:jc w:val="both"/>
      </w:pPr>
      <w:r>
        <w:rPr>
          <w:color w:val="000000"/>
          <w:spacing w:val="0"/>
          <w:w w:val="100"/>
          <w:position w:val="0"/>
        </w:rPr>
        <w:t>所需支出存在一个连续范围，且该范围内各种结果发生的可能性相同的，最佳估计数按照该范围 内的中间值确定；在其他情况下，最佳估计数分别下列情况处理：</w:t>
      </w:r>
    </w:p>
    <w:p>
      <w:pPr>
        <w:pStyle w:val="Style18"/>
        <w:keepNext w:val="0"/>
        <w:keepLines w:val="0"/>
        <w:widowControl w:val="0"/>
        <w:shd w:val="clear" w:color="auto" w:fill="auto"/>
        <w:bidi w:val="0"/>
        <w:spacing w:before="0" w:after="0" w:line="326" w:lineRule="auto"/>
        <w:ind w:left="0" w:right="0" w:firstLine="720"/>
        <w:jc w:val="both"/>
      </w:pPr>
      <w:r>
        <w:rPr>
          <w:rFonts w:ascii="Times New Roman" w:eastAsia="Times New Roman" w:hAnsi="Times New Roman" w:cs="Times New Roman"/>
          <w:color w:val="000000"/>
          <w:spacing w:val="0"/>
          <w:w w:val="100"/>
          <w:position w:val="0"/>
        </w:rPr>
        <w:t>•</w:t>
      </w:r>
      <w:r>
        <w:rPr>
          <w:color w:val="000000"/>
          <w:spacing w:val="0"/>
          <w:w w:val="100"/>
          <w:position w:val="0"/>
        </w:rPr>
        <w:t>或有事项涉及单个项目的，按照最可能发生金额确定。</w:t>
      </w:r>
    </w:p>
    <w:p>
      <w:pPr>
        <w:pStyle w:val="Style18"/>
        <w:keepNext w:val="0"/>
        <w:keepLines w:val="0"/>
        <w:widowControl w:val="0"/>
        <w:shd w:val="clear" w:color="auto" w:fill="auto"/>
        <w:bidi w:val="0"/>
        <w:spacing w:before="0" w:after="0" w:line="326" w:lineRule="auto"/>
        <w:ind w:left="0" w:right="0" w:firstLine="720"/>
        <w:jc w:val="both"/>
      </w:pPr>
      <w:r>
        <w:rPr>
          <w:rFonts w:ascii="Times New Roman" w:eastAsia="Times New Roman" w:hAnsi="Times New Roman" w:cs="Times New Roman"/>
          <w:color w:val="000000"/>
          <w:spacing w:val="0"/>
          <w:w w:val="100"/>
          <w:position w:val="0"/>
        </w:rPr>
        <w:t>•</w:t>
      </w:r>
      <w:r>
        <w:rPr>
          <w:color w:val="000000"/>
          <w:spacing w:val="0"/>
          <w:w w:val="100"/>
          <w:position w:val="0"/>
        </w:rPr>
        <w:t>或有事项涉及多个项目的，按照各种可能结果及相关概率计算确定。</w:t>
      </w:r>
    </w:p>
    <w:p>
      <w:pPr>
        <w:pStyle w:val="Style18"/>
        <w:keepNext w:val="0"/>
        <w:keepLines w:val="0"/>
        <w:widowControl w:val="0"/>
        <w:shd w:val="clear" w:color="auto" w:fill="auto"/>
        <w:bidi w:val="0"/>
        <w:spacing w:before="0" w:after="320" w:line="314" w:lineRule="exact"/>
        <w:ind w:left="720" w:right="0" w:firstLine="0"/>
        <w:jc w:val="both"/>
      </w:pPr>
      <w:r>
        <w:rPr>
          <w:color w:val="000000"/>
          <w:spacing w:val="0"/>
          <w:w w:val="100"/>
          <w:position w:val="0"/>
        </w:rPr>
        <w:t>清偿预计负债所需支出全部或部分预期由第三方补偿的，补偿金额在基本确定能够收到时，作为 资产单独确认，确认的补偿金额不超过预计负债的账面价值。</w:t>
      </w:r>
    </w:p>
    <w:p>
      <w:pPr>
        <w:pStyle w:val="Style18"/>
        <w:keepNext w:val="0"/>
        <w:keepLines w:val="0"/>
        <w:widowControl w:val="0"/>
        <w:shd w:val="clear" w:color="auto" w:fill="auto"/>
        <w:bidi w:val="0"/>
        <w:spacing w:before="0" w:after="380" w:line="307" w:lineRule="exact"/>
        <w:ind w:left="720" w:right="0" w:firstLine="0"/>
        <w:jc w:val="both"/>
      </w:pPr>
      <w:r>
        <w:rPr>
          <w:color w:val="000000"/>
          <w:spacing w:val="0"/>
          <w:w w:val="100"/>
          <w:position w:val="0"/>
        </w:rPr>
        <w:t>本公司在资产负债表日对预计负债的账面价值进行复核，有确凿证据表明该账面价值不能反映当 前最佳估计数的，按照当前最佳估计数对该账面价值进行调整。</w:t>
      </w:r>
    </w:p>
    <w:p>
      <w:pPr>
        <w:pStyle w:val="Style33"/>
        <w:keepNext/>
        <w:keepLines/>
        <w:widowControl w:val="0"/>
        <w:shd w:val="clear" w:color="auto" w:fill="auto"/>
        <w:tabs>
          <w:tab w:pos="470" w:val="left"/>
        </w:tabs>
        <w:bidi w:val="0"/>
        <w:spacing w:before="0" w:after="200" w:line="326" w:lineRule="auto"/>
        <w:ind w:left="0" w:right="0" w:firstLine="0"/>
        <w:jc w:val="left"/>
      </w:pPr>
      <w:bookmarkStart w:id="1053" w:name="bookmark1053"/>
      <w:bookmarkStart w:id="1054" w:name="bookmark1054"/>
      <w:bookmarkStart w:id="1055" w:name="bookmark1055"/>
      <w:bookmarkStart w:id="1056" w:name="bookmark1056"/>
      <w:r>
        <w:rPr>
          <w:rFonts w:ascii="Times New Roman" w:eastAsia="Times New Roman" w:hAnsi="Times New Roman" w:cs="Times New Roman"/>
          <w:color w:val="000000"/>
          <w:spacing w:val="0"/>
          <w:w w:val="100"/>
          <w:position w:val="0"/>
        </w:rPr>
        <w:t>3</w:t>
      </w:r>
      <w:bookmarkEnd w:id="1055"/>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053"/>
      <w:bookmarkEnd w:id="1054"/>
      <w:bookmarkEnd w:id="1056"/>
    </w:p>
    <w:p>
      <w:pPr>
        <w:pStyle w:val="Style18"/>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本公司的股份支付是为了获取职工或其他方提供服务而授予权益工具或者承担以权益工具为基础确 定的负债的交易。本公司的股份支付分为以权益结算的股份支付和以现金结算的股份支付。</w:t>
      </w:r>
    </w:p>
    <w:p>
      <w:pPr>
        <w:pStyle w:val="Style18"/>
        <w:keepNext w:val="0"/>
        <w:keepLines w:val="0"/>
        <w:widowControl w:val="0"/>
        <w:shd w:val="clear" w:color="auto" w:fill="auto"/>
        <w:tabs>
          <w:tab w:pos="353" w:val="left"/>
        </w:tabs>
        <w:bidi w:val="0"/>
        <w:spacing w:before="0" w:after="0" w:line="326" w:lineRule="auto"/>
        <w:ind w:left="0" w:right="0" w:firstLine="0"/>
        <w:jc w:val="left"/>
      </w:pPr>
      <w:bookmarkStart w:id="1057" w:name="bookmark1057"/>
      <w:r>
        <w:rPr>
          <w:rFonts w:ascii="Times New Roman" w:eastAsia="Times New Roman" w:hAnsi="Times New Roman" w:cs="Times New Roman"/>
          <w:b/>
          <w:bCs/>
          <w:color w:val="000000"/>
          <w:spacing w:val="0"/>
          <w:w w:val="100"/>
          <w:position w:val="0"/>
        </w:rPr>
        <w:t>1</w:t>
      </w:r>
      <w:bookmarkEnd w:id="1057"/>
      <w:r>
        <w:rPr>
          <w:b/>
          <w:bCs/>
          <w:color w:val="000000"/>
          <w:spacing w:val="0"/>
          <w:w w:val="100"/>
          <w:position w:val="0"/>
        </w:rPr>
        <w:t>、</w:t>
        <w:tab/>
        <w:t>以权益结算的股份支付及权益工具</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以权益结算的股份支付换取职工提供服务的，以授予职工权益工具的公允价值计量。对于授予后立即 可行权的股份支付交易，在授予日按照权益工具的公允价值计入相关成本或费用，相应增加资本公积。对 于授予后完成等待期内的服务或达到规定业绩条件才可行权的股份支付交易，在等待期内每个资产负债表 日，本公司根据对可行权权益工具数量的最佳估计，按照授予日公允价值，将当期取得的服务计入相关成 本或费用，相应增加资本公积。</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如果修改了以权益结算的股份支付的条款，至少按照未修改条款的情况确认取得的服务。此外，任何 增加所授予权益工具公允价值的修改，或在修改日对职工有利的变更，均确认取得服务的增加。</w:t>
      </w:r>
    </w:p>
    <w:p>
      <w:pPr>
        <w:pStyle w:val="Style18"/>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在等待期内，如果取消了授予的权益工具，则本公司对取消所授予的权益性工具作为加速行权处理， 将剩余等待期内应确认的金额立即计入当期损益，同时确认资本公积。但是，如果授予新的权益工具，并 在新权益工具授予日认定所授予的新权益工具是用于替代被取消的权益工具的，则以与处理原权益工具条 款和条件修改相同的方式，对所授予的替代权益工具进行处理。</w:t>
      </w:r>
    </w:p>
    <w:p>
      <w:pPr>
        <w:pStyle w:val="Style18"/>
        <w:keepNext w:val="0"/>
        <w:keepLines w:val="0"/>
        <w:widowControl w:val="0"/>
        <w:shd w:val="clear" w:color="auto" w:fill="auto"/>
        <w:tabs>
          <w:tab w:pos="359" w:val="left"/>
        </w:tabs>
        <w:bidi w:val="0"/>
        <w:spacing w:before="0" w:after="0" w:line="326" w:lineRule="auto"/>
        <w:ind w:left="0" w:right="0" w:firstLine="0"/>
        <w:jc w:val="left"/>
      </w:pPr>
      <w:bookmarkStart w:id="1058" w:name="bookmark1058"/>
      <w:r>
        <w:rPr>
          <w:rFonts w:ascii="Times New Roman" w:eastAsia="Times New Roman" w:hAnsi="Times New Roman" w:cs="Times New Roman"/>
          <w:b/>
          <w:bCs/>
          <w:color w:val="000000"/>
          <w:spacing w:val="0"/>
          <w:w w:val="100"/>
          <w:position w:val="0"/>
        </w:rPr>
        <w:t>2</w:t>
      </w:r>
      <w:bookmarkEnd w:id="1058"/>
      <w:r>
        <w:rPr>
          <w:b/>
          <w:bCs/>
          <w:color w:val="000000"/>
          <w:spacing w:val="0"/>
          <w:w w:val="100"/>
          <w:position w:val="0"/>
        </w:rPr>
        <w:t>、</w:t>
        <w:tab/>
        <w:t>以现金结算的股份支付及权益工具</w:t>
      </w:r>
    </w:p>
    <w:p>
      <w:pPr>
        <w:pStyle w:val="Style18"/>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以现金结算的股份支付，按照本公司承担的以股份或其他权益工具为基础计算确定的负债的公允价值 计量。授予后立即可行权的股份支付交易，本公司在授予日按照承担负债的公允价值计入相关成本或费用， 相应增加负债。对于授予后完成等待期内的服务或达到规定业绩条件才可行权的股份支付交易，在等待期 内的每个资产负债表日，本公司以对可行权情况的最佳估计为基础，按照本公司承担负债的公允价值，将 当期取得的服务计入相关成本或费用，并相应计入负债。在相关负债结算前的每个资产负债表日以及结算 日，对负债的公允价值重新计量，其变动计入当期损益。</w:t>
      </w:r>
    </w:p>
    <w:p>
      <w:pPr>
        <w:pStyle w:val="Style33"/>
        <w:keepNext/>
        <w:keepLines/>
        <w:widowControl w:val="0"/>
        <w:shd w:val="clear" w:color="auto" w:fill="auto"/>
        <w:tabs>
          <w:tab w:pos="470" w:val="left"/>
        </w:tabs>
        <w:bidi w:val="0"/>
        <w:spacing w:before="0" w:after="320" w:line="326" w:lineRule="auto"/>
        <w:ind w:left="0" w:right="0" w:firstLine="0"/>
        <w:jc w:val="left"/>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3</w:t>
      </w:r>
      <w:bookmarkEnd w:id="1061"/>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59"/>
      <w:bookmarkEnd w:id="1060"/>
      <w:bookmarkEnd w:id="1062"/>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220" w:line="313" w:lineRule="exact"/>
        <w:ind w:left="0" w:right="0" w:firstLine="0"/>
        <w:jc w:val="left"/>
      </w:pPr>
      <w:bookmarkStart w:id="1063" w:name="bookmark1063"/>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3</w:t>
      </w:r>
      <w:bookmarkEnd w:id="1065"/>
      <w:r>
        <w:rPr>
          <w:rFonts w:ascii="Times New Roman" w:eastAsia="Times New Roman" w:hAnsi="Times New Roman" w:cs="Times New Roman"/>
          <w:color w:val="000000"/>
          <w:spacing w:val="0"/>
          <w:w w:val="100"/>
          <w:position w:val="0"/>
        </w:rPr>
        <w:t>9</w:t>
      </w:r>
      <w:r>
        <w:rPr>
          <w:color w:val="000000"/>
          <w:spacing w:val="0"/>
          <w:w w:val="100"/>
          <w:position w:val="0"/>
        </w:rPr>
        <w:t>、收入</w:t>
      </w:r>
      <w:bookmarkEnd w:id="1063"/>
      <w:bookmarkEnd w:id="1064"/>
      <w:bookmarkEnd w:id="1066"/>
    </w:p>
    <w:p>
      <w:pPr>
        <w:pStyle w:val="Style29"/>
        <w:keepNext w:val="0"/>
        <w:keepLines w:val="0"/>
        <w:widowControl w:val="0"/>
        <w:shd w:val="clear" w:color="auto" w:fill="auto"/>
        <w:bidi w:val="0"/>
        <w:spacing w:before="0" w:after="0" w:line="360" w:lineRule="exact"/>
        <w:ind w:left="0" w:right="0" w:firstLine="0"/>
        <w:jc w:val="left"/>
        <w:rPr>
          <w:sz w:val="20"/>
          <w:szCs w:val="20"/>
        </w:rPr>
      </w:pPr>
      <w:r>
        <w:rPr>
          <w:color w:val="000000"/>
          <w:spacing w:val="0"/>
          <w:w w:val="100"/>
          <w:position w:val="0"/>
          <w:sz w:val="17"/>
          <w:szCs w:val="17"/>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的披露要求 </w:t>
      </w:r>
      <w:r>
        <w:rPr>
          <w:color w:val="000000"/>
          <w:spacing w:val="0"/>
          <w:w w:val="100"/>
          <w:position w:val="0"/>
          <w:sz w:val="20"/>
          <w:szCs w:val="20"/>
        </w:rPr>
        <w:t>本公司的主要业务分为软件开发、运营维护、系统集成三部分。</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软件开发：是指根据客户的需求，利用开发工具为客户提供一整套实现某种功能的软件产品或者利用已有 产品进行的二次开发以满足客户的某种特定需求。</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运营维护：指利用软件专业知识依托互联网，为客户提供应用服务。包括业务咨询，在线服务，系统维护 等。</w:t>
      </w:r>
    </w:p>
    <w:p>
      <w:pPr>
        <w:pStyle w:val="Style18"/>
        <w:keepNext w:val="0"/>
        <w:keepLines w:val="0"/>
        <w:widowControl w:val="0"/>
        <w:shd w:val="clear" w:color="auto" w:fill="auto"/>
        <w:bidi w:val="0"/>
        <w:spacing w:before="0" w:after="340" w:line="313" w:lineRule="exact"/>
        <w:ind w:left="0" w:right="0" w:firstLine="0"/>
        <w:jc w:val="left"/>
      </w:pPr>
      <w:r>
        <w:rPr>
          <w:color w:val="000000"/>
          <w:spacing w:val="0"/>
          <w:w w:val="100"/>
          <w:position w:val="0"/>
        </w:rPr>
        <w:t>系统集成：指根据用户的需求和投入资金的规模，应用各种计算机网络相关技术，选择各种软硬件设备， 经过集成设计，安装调试等大量技术性工作使系统能够满足用户对实际工作要求。主要包括软硬件集成、 网络布线等。</w:t>
      </w:r>
    </w:p>
    <w:p>
      <w:pPr>
        <w:pStyle w:val="Style18"/>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、收入确认和计量所采用的会计政策</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本公司在履行了合同中的履约义务，即在客户取得相关商品或服务控制权时确认收入。取得相关商品 或服务控制权，是指能够主导该商品或服务的使用并从中获得几乎全部的经济利益。</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合同中包含两项或多项履约义务的，本公司在合同开始日，按照各单项履约义务所承诺商品或服务的 单独售价的相对比例，将交易价格分摊至各单项履约义务。本公司按照分摊至各单项履约义务的交易价格 计量收入。</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交易价格是指本公司因向客户转让商品或服务而预期有权收取的对价金额，不包括代第三方收取的款 项以及预期将退还给客户的款项。本公司根据合同条款，结合其以往的习惯做法确定交易价格，并在确定 交易价格时，考虑可变对价、合同中存在的重大融资成分、非现金对价、应付客户对价等因素的影响。本 公司以不超过在相关不确定性消除时累计已确认收入极可能不会发生重大转回的金额确定包含可变对价 的交易价格。合同中存在重大融资成分的，本公司按照假定客户在取得商品或服务控制权时即以现金支付 的应付金额确定交易价格，并在合同期间内采用实际利率法摊销该交易价格与合同对价之间的差额。满足 下列条件之一的，属于在某一时段内履行履约义务，否则，属于在某一时点履行履约义务：</w:t>
      </w:r>
    </w:p>
    <w:p>
      <w:pPr>
        <w:pStyle w:val="Style18"/>
        <w:keepNext w:val="0"/>
        <w:keepLines w:val="0"/>
        <w:widowControl w:val="0"/>
        <w:shd w:val="clear" w:color="auto" w:fill="auto"/>
        <w:bidi w:val="0"/>
        <w:spacing w:before="0" w:after="0" w:line="313" w:lineRule="exact"/>
        <w:ind w:left="0" w:right="0" w:firstLine="580"/>
        <w:jc w:val="both"/>
      </w:pPr>
      <w:r>
        <w:rPr>
          <w:rFonts w:ascii="Times New Roman" w:eastAsia="Times New Roman" w:hAnsi="Times New Roman" w:cs="Times New Roman"/>
          <w:color w:val="000000"/>
          <w:spacing w:val="0"/>
          <w:w w:val="100"/>
          <w:position w:val="0"/>
        </w:rPr>
        <w:t>•</w:t>
      </w:r>
      <w:r>
        <w:rPr>
          <w:color w:val="000000"/>
          <w:spacing w:val="0"/>
          <w:w w:val="100"/>
          <w:position w:val="0"/>
        </w:rPr>
        <w:t>客户在本公司履约的同时即取得并消耗本公司履约所带来的经济利益。</w:t>
      </w:r>
    </w:p>
    <w:p>
      <w:pPr>
        <w:pStyle w:val="Style18"/>
        <w:keepNext w:val="0"/>
        <w:keepLines w:val="0"/>
        <w:widowControl w:val="0"/>
        <w:shd w:val="clear" w:color="auto" w:fill="auto"/>
        <w:bidi w:val="0"/>
        <w:spacing w:before="0" w:after="0" w:line="312" w:lineRule="exact"/>
        <w:ind w:left="0" w:right="0" w:firstLine="580"/>
        <w:jc w:val="both"/>
      </w:pPr>
      <w:r>
        <w:rPr>
          <w:rFonts w:ascii="Times New Roman" w:eastAsia="Times New Roman" w:hAnsi="Times New Roman" w:cs="Times New Roman"/>
          <w:color w:val="000000"/>
          <w:spacing w:val="0"/>
          <w:w w:val="100"/>
          <w:position w:val="0"/>
        </w:rPr>
        <w:t>•</w:t>
      </w:r>
      <w:r>
        <w:rPr>
          <w:color w:val="000000"/>
          <w:spacing w:val="0"/>
          <w:w w:val="100"/>
          <w:position w:val="0"/>
        </w:rPr>
        <w:t>客户能够控制本公司履约过程中在建的商品。</w:t>
      </w:r>
    </w:p>
    <w:p>
      <w:pPr>
        <w:pStyle w:val="Style18"/>
        <w:keepNext w:val="0"/>
        <w:keepLines w:val="0"/>
        <w:widowControl w:val="0"/>
        <w:shd w:val="clear" w:color="auto" w:fill="auto"/>
        <w:bidi w:val="0"/>
        <w:spacing w:before="0" w:after="0" w:line="312" w:lineRule="exact"/>
        <w:ind w:left="58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本公司履约过程中所产出的商品具有不可替代用途，且本公司在整个合同期内有权就累计至今已 完成的履约部分收取款项。</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对于在某一时段内履行的履约义务，本公司在该段时间内按照履约进度确认收入，但是，履约进度不 能合理确定的除外。本公司考虑商品或服务的性质，采用产出法或投入法确定履约进度。当履约进度不能 合理确定时，已经发生的成本预计能够得到补偿的，本公司按照已经发生的成本金额确认收入，直到履约 进度能够合理确定为止。</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对于在某一时点履行的履约义务，本公司在客户取得相关商品或服务控制权时点确认收入。在判断客 户是否已取得商品或服务控制权时，本公司考虑下列迹象：</w:t>
      </w:r>
    </w:p>
    <w:p>
      <w:pPr>
        <w:pStyle w:val="Style18"/>
        <w:keepNext w:val="0"/>
        <w:keepLines w:val="0"/>
        <w:widowControl w:val="0"/>
        <w:shd w:val="clear" w:color="auto" w:fill="auto"/>
        <w:bidi w:val="0"/>
        <w:spacing w:before="0" w:after="0" w:line="312" w:lineRule="exact"/>
        <w:ind w:left="0" w:right="0" w:firstLine="580"/>
        <w:jc w:val="both"/>
      </w:pPr>
      <w:r>
        <w:rPr>
          <w:rFonts w:ascii="Times New Roman" w:eastAsia="Times New Roman" w:hAnsi="Times New Roman" w:cs="Times New Roman"/>
          <w:color w:val="000000"/>
          <w:spacing w:val="0"/>
          <w:w w:val="100"/>
          <w:position w:val="0"/>
        </w:rPr>
        <w:t>•</w:t>
      </w:r>
      <w:r>
        <w:rPr>
          <w:color w:val="000000"/>
          <w:spacing w:val="0"/>
          <w:w w:val="100"/>
          <w:position w:val="0"/>
        </w:rPr>
        <w:t>本公司就该商品或服务享有现时收款权利，即客户就该商品或服务负有现时付款义务。</w:t>
      </w:r>
    </w:p>
    <w:p>
      <w:pPr>
        <w:pStyle w:val="Style18"/>
        <w:keepNext w:val="0"/>
        <w:keepLines w:val="0"/>
        <w:widowControl w:val="0"/>
        <w:shd w:val="clear" w:color="auto" w:fill="auto"/>
        <w:bidi w:val="0"/>
        <w:spacing w:before="0" w:after="0" w:line="312" w:lineRule="exact"/>
        <w:ind w:left="0" w:right="0" w:firstLine="580"/>
        <w:jc w:val="both"/>
      </w:pPr>
      <w:r>
        <w:rPr>
          <w:rFonts w:ascii="Times New Roman" w:eastAsia="Times New Roman" w:hAnsi="Times New Roman" w:cs="Times New Roman"/>
          <w:color w:val="000000"/>
          <w:spacing w:val="0"/>
          <w:w w:val="100"/>
          <w:position w:val="0"/>
        </w:rPr>
        <w:t>•</w:t>
      </w:r>
      <w:r>
        <w:rPr>
          <w:color w:val="000000"/>
          <w:spacing w:val="0"/>
          <w:w w:val="100"/>
          <w:position w:val="0"/>
        </w:rPr>
        <w:t>本公司已将该商品的法定所有权转移给客户，即客户已拥有该商品的法定所有权。</w:t>
      </w:r>
    </w:p>
    <w:p>
      <w:pPr>
        <w:pStyle w:val="Style18"/>
        <w:keepNext w:val="0"/>
        <w:keepLines w:val="0"/>
        <w:widowControl w:val="0"/>
        <w:shd w:val="clear" w:color="auto" w:fill="auto"/>
        <w:bidi w:val="0"/>
        <w:spacing w:before="0" w:after="0" w:line="312" w:lineRule="exact"/>
        <w:ind w:left="0" w:right="0" w:firstLine="580"/>
        <w:jc w:val="both"/>
      </w:pPr>
      <w:r>
        <w:rPr>
          <w:rFonts w:ascii="Times New Roman" w:eastAsia="Times New Roman" w:hAnsi="Times New Roman" w:cs="Times New Roman"/>
          <w:color w:val="000000"/>
          <w:spacing w:val="0"/>
          <w:w w:val="100"/>
          <w:position w:val="0"/>
        </w:rPr>
        <w:t>•</w:t>
      </w:r>
      <w:r>
        <w:rPr>
          <w:color w:val="000000"/>
          <w:spacing w:val="0"/>
          <w:w w:val="100"/>
          <w:position w:val="0"/>
        </w:rPr>
        <w:t>本公司已将该商品实物转移给客户，即客户已实物占有该商品。</w:t>
      </w:r>
    </w:p>
    <w:p>
      <w:pPr>
        <w:pStyle w:val="Style18"/>
        <w:keepNext w:val="0"/>
        <w:keepLines w:val="0"/>
        <w:widowControl w:val="0"/>
        <w:shd w:val="clear" w:color="auto" w:fill="auto"/>
        <w:bidi w:val="0"/>
        <w:spacing w:before="0" w:after="0" w:line="312" w:lineRule="exact"/>
        <w:ind w:left="58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本公司已将该商品所有权上的主要风险和报酬转移给客户，即客户已取得该商品所有权上的主要 风险和报酬。</w:t>
      </w:r>
    </w:p>
    <w:p>
      <w:pPr>
        <w:pStyle w:val="Style18"/>
        <w:keepNext w:val="0"/>
        <w:keepLines w:val="0"/>
        <w:widowControl w:val="0"/>
        <w:shd w:val="clear" w:color="auto" w:fill="auto"/>
        <w:bidi w:val="0"/>
        <w:spacing w:before="0" w:after="340" w:line="312" w:lineRule="exact"/>
        <w:ind w:left="0" w:right="0" w:firstLine="580"/>
        <w:jc w:val="both"/>
      </w:pPr>
      <w:r>
        <w:rPr>
          <w:rFonts w:ascii="Times New Roman" w:eastAsia="Times New Roman" w:hAnsi="Times New Roman" w:cs="Times New Roman"/>
          <w:color w:val="000000"/>
          <w:spacing w:val="0"/>
          <w:w w:val="100"/>
          <w:position w:val="0"/>
        </w:rPr>
        <w:t>•</w:t>
      </w:r>
      <w:r>
        <w:rPr>
          <w:color w:val="000000"/>
          <w:spacing w:val="0"/>
          <w:w w:val="100"/>
          <w:position w:val="0"/>
        </w:rPr>
        <w:t>客户已接受该商品或服务等。</w:t>
      </w:r>
    </w:p>
    <w:p>
      <w:pPr>
        <w:pStyle w:val="Style18"/>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、收入确认具体原则</w:t>
      </w:r>
    </w:p>
    <w:p>
      <w:pPr>
        <w:pStyle w:val="Style18"/>
        <w:keepNext w:val="0"/>
        <w:keepLines w:val="0"/>
        <w:widowControl w:val="0"/>
        <w:shd w:val="clear" w:color="auto" w:fill="auto"/>
        <w:bidi w:val="0"/>
        <w:spacing w:before="0" w:after="40" w:line="240" w:lineRule="auto"/>
        <w:ind w:left="0" w:right="0" w:firstLine="0"/>
        <w:jc w:val="left"/>
      </w:pPr>
      <w:bookmarkStart w:id="1067" w:name="bookmark1067"/>
      <w:r>
        <w:rPr>
          <w:color w:val="000000"/>
          <w:spacing w:val="0"/>
          <w:w w:val="100"/>
          <w:position w:val="0"/>
        </w:rPr>
        <w:t>（</w:t>
      </w:r>
      <w:bookmarkEnd w:id="1067"/>
      <w:r>
        <w:rPr>
          <w:rFonts w:ascii="Times New Roman" w:eastAsia="Times New Roman" w:hAnsi="Times New Roman" w:cs="Times New Roman"/>
          <w:color w:val="000000"/>
          <w:spacing w:val="0"/>
          <w:w w:val="100"/>
          <w:position w:val="0"/>
        </w:rPr>
        <w:t>1</w:t>
      </w:r>
      <w:r>
        <w:rPr>
          <w:color w:val="000000"/>
          <w:spacing w:val="0"/>
          <w:w w:val="100"/>
          <w:position w:val="0"/>
        </w:rPr>
        <w:t>）在某一时段履行的履约义务</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对于本公司为客户提供的运营维护等服务，其履约义务满足在某一时段内履行的，采用产出法确定相 应收入的履约进度。其中，约定工作量的合同，按实际工作量在服务期间内分期确认收入；未约定工作量 的合同，按照直线法在服务期间内分期确认收入。</w:t>
      </w:r>
    </w:p>
    <w:p>
      <w:pPr>
        <w:pStyle w:val="Style18"/>
        <w:keepNext w:val="0"/>
        <w:keepLines w:val="0"/>
        <w:widowControl w:val="0"/>
        <w:shd w:val="clear" w:color="auto" w:fill="auto"/>
        <w:bidi w:val="0"/>
        <w:spacing w:before="0" w:after="0" w:line="313" w:lineRule="exact"/>
        <w:ind w:left="0" w:right="0" w:firstLine="0"/>
        <w:jc w:val="left"/>
      </w:pPr>
      <w:bookmarkStart w:id="1068" w:name="bookmark1068"/>
      <w:r>
        <w:rPr>
          <w:color w:val="000000"/>
          <w:spacing w:val="0"/>
          <w:w w:val="100"/>
          <w:position w:val="0"/>
        </w:rPr>
        <w:t>（</w:t>
      </w:r>
      <w:bookmarkEnd w:id="1068"/>
      <w:r>
        <w:rPr>
          <w:rFonts w:ascii="Times New Roman" w:eastAsia="Times New Roman" w:hAnsi="Times New Roman" w:cs="Times New Roman"/>
          <w:color w:val="000000"/>
          <w:spacing w:val="0"/>
          <w:w w:val="100"/>
          <w:position w:val="0"/>
        </w:rPr>
        <w:t>2</w:t>
      </w:r>
      <w:r>
        <w:rPr>
          <w:color w:val="000000"/>
          <w:spacing w:val="0"/>
          <w:w w:val="100"/>
          <w:position w:val="0"/>
        </w:rPr>
        <w:t>）在某一时点履行的履约义务</w:t>
      </w:r>
    </w:p>
    <w:p>
      <w:pPr>
        <w:pStyle w:val="Style18"/>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对于本公司为客户提供的软件开发和系统集成等服务，由于客户不能在履约的同时即取得并消耗企业 履约所带来的经济利益；不能够控制本公司履约过程中在建的商品；不能在整个合同期间内有权就累计至 今已完成的履约部分收取款项，本公司将其作为在某一时点履行的履约义务。本公司在每个单项履约义务 履行后，取得客户的验收资料等文件时确认该单项履约义务相应收入。</w:t>
      </w:r>
    </w:p>
    <w:p>
      <w:pPr>
        <w:pStyle w:val="Style33"/>
        <w:keepNext/>
        <w:keepLines/>
        <w:widowControl w:val="0"/>
        <w:shd w:val="clear" w:color="auto" w:fill="auto"/>
        <w:bidi w:val="0"/>
        <w:spacing w:before="0" w:after="300" w:line="326" w:lineRule="auto"/>
        <w:ind w:left="0" w:right="0" w:firstLine="0"/>
        <w:jc w:val="left"/>
      </w:pPr>
      <w:bookmarkStart w:id="1069" w:name="bookmark1069"/>
      <w:bookmarkStart w:id="1070" w:name="bookmark1070"/>
      <w:bookmarkStart w:id="1071" w:name="bookmark1071"/>
      <w:bookmarkStart w:id="1072" w:name="bookmark1072"/>
      <w:r>
        <w:rPr>
          <w:rFonts w:ascii="Times New Roman" w:eastAsia="Times New Roman" w:hAnsi="Times New Roman" w:cs="Times New Roman"/>
          <w:color w:val="000000"/>
          <w:spacing w:val="0"/>
          <w:w w:val="100"/>
          <w:position w:val="0"/>
        </w:rPr>
        <w:t>4</w:t>
      </w:r>
      <w:bookmarkEnd w:id="1071"/>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069"/>
      <w:bookmarkEnd w:id="1070"/>
      <w:bookmarkEnd w:id="1072"/>
    </w:p>
    <w:p>
      <w:pPr>
        <w:pStyle w:val="Style33"/>
        <w:keepNext/>
        <w:keepLines/>
        <w:widowControl w:val="0"/>
        <w:shd w:val="clear" w:color="auto" w:fill="auto"/>
        <w:tabs>
          <w:tab w:pos="358" w:val="left"/>
        </w:tabs>
        <w:bidi w:val="0"/>
        <w:spacing w:before="0" w:after="0" w:line="326" w:lineRule="auto"/>
        <w:ind w:left="0" w:right="0" w:firstLine="0"/>
        <w:jc w:val="left"/>
      </w:pPr>
      <w:bookmarkStart w:id="1069" w:name="bookmark1069"/>
      <w:bookmarkStart w:id="1070" w:name="bookmark1070"/>
      <w:bookmarkStart w:id="1073" w:name="bookmark1073"/>
      <w:r>
        <w:rPr>
          <w:rFonts w:ascii="Times New Roman" w:eastAsia="Times New Roman" w:hAnsi="Times New Roman" w:cs="Times New Roman"/>
          <w:color w:val="000000"/>
          <w:spacing w:val="0"/>
          <w:w w:val="100"/>
          <w:position w:val="0"/>
        </w:rPr>
        <w:t>1</w:t>
      </w:r>
      <w:bookmarkEnd w:id="1073"/>
      <w:r>
        <w:rPr>
          <w:color w:val="000000"/>
          <w:spacing w:val="0"/>
          <w:w w:val="100"/>
          <w:position w:val="0"/>
        </w:rPr>
        <w:t>、</w:t>
        <w:tab/>
        <w:t>类型</w:t>
      </w:r>
      <w:bookmarkEnd w:id="1069"/>
      <w:bookmarkEnd w:id="1070"/>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政府补助，是本公司从政府无偿取得的货币性资产或非货币性资产，分为与资产相关的政府补助和与 收益相关的政府补助。</w:t>
      </w:r>
    </w:p>
    <w:p>
      <w:pPr>
        <w:pStyle w:val="Style18"/>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与资产相关的政府补助，是指本公司取得的、用于购建或以其他方式形成长期资产的政府补助。与收 益相关的政府补助，是指除与资产相关的政府补助之外的政府补助。</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本公司将政府补助划分为与资产相关的具体标准为：将所取得的用于购建或以其他方式形成长期资产 的政府补助界定为与资产相关的政府补助。</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本公司将政府补助划分为与收益相关的具体标准为：将界定为与资产相关的政府补助以外其余的政府 补助界定为与收益相关的政府补助。</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对于政府文件未明确规定补助对象的，本公司将该政府补助划分为与资产相关或与收益相关的判断依 据为：</w:t>
      </w:r>
    </w:p>
    <w:p>
      <w:pPr>
        <w:pStyle w:val="Style18"/>
        <w:keepNext w:val="0"/>
        <w:keepLines w:val="0"/>
        <w:widowControl w:val="0"/>
        <w:shd w:val="clear" w:color="auto" w:fill="auto"/>
        <w:tabs>
          <w:tab w:pos="1026" w:val="left"/>
        </w:tabs>
        <w:bidi w:val="0"/>
        <w:spacing w:before="0" w:after="0" w:line="312" w:lineRule="exact"/>
        <w:ind w:left="0" w:right="0" w:firstLine="440"/>
        <w:jc w:val="both"/>
      </w:pPr>
      <w:bookmarkStart w:id="1074" w:name="bookmark1074"/>
      <w:r>
        <w:rPr>
          <w:color w:val="000000"/>
          <w:spacing w:val="0"/>
          <w:w w:val="100"/>
          <w:position w:val="0"/>
        </w:rPr>
        <w:t>（</w:t>
      </w:r>
      <w:bookmarkEnd w:id="1074"/>
      <w:r>
        <w:rPr>
          <w:rFonts w:ascii="Times New Roman" w:eastAsia="Times New Roman" w:hAnsi="Times New Roman" w:cs="Times New Roman"/>
          <w:color w:val="000000"/>
          <w:spacing w:val="0"/>
          <w:w w:val="100"/>
          <w:position w:val="0"/>
        </w:rPr>
        <w:t>1</w:t>
      </w:r>
      <w:r>
        <w:rPr>
          <w:color w:val="000000"/>
          <w:spacing w:val="0"/>
          <w:w w:val="100"/>
          <w:position w:val="0"/>
        </w:rPr>
        <w:t>）</w:t>
        <w:tab/>
        <w:t>政府文件明确了补助所针对的特定项目的，根据该特定项目的预算中将形成资产的支出金额和 计入费用的支出金额的相对比例进行划分，对该划分比例需在每个资产负债表日进行复核，必要时进行变 更。</w:t>
      </w:r>
    </w:p>
    <w:p>
      <w:pPr>
        <w:pStyle w:val="Style18"/>
        <w:keepNext w:val="0"/>
        <w:keepLines w:val="0"/>
        <w:widowControl w:val="0"/>
        <w:shd w:val="clear" w:color="auto" w:fill="auto"/>
        <w:bidi w:val="0"/>
        <w:spacing w:before="0" w:after="380" w:line="312" w:lineRule="exact"/>
        <w:ind w:left="0" w:right="0" w:firstLine="440"/>
        <w:jc w:val="both"/>
      </w:pPr>
      <w:bookmarkStart w:id="1075" w:name="bookmark1075"/>
      <w:r>
        <w:rPr>
          <w:color w:val="000000"/>
          <w:spacing w:val="0"/>
          <w:w w:val="100"/>
          <w:position w:val="0"/>
        </w:rPr>
        <w:t>（</w:t>
      </w:r>
      <w:bookmarkEnd w:id="1075"/>
      <w:r>
        <w:rPr>
          <w:rFonts w:ascii="Times New Roman" w:eastAsia="Times New Roman" w:hAnsi="Times New Roman" w:cs="Times New Roman"/>
          <w:color w:val="000000"/>
          <w:spacing w:val="0"/>
          <w:w w:val="100"/>
          <w:position w:val="0"/>
        </w:rPr>
        <w:t>2</w:t>
      </w:r>
      <w:r>
        <w:rPr>
          <w:color w:val="000000"/>
          <w:spacing w:val="0"/>
          <w:w w:val="100"/>
          <w:position w:val="0"/>
        </w:rPr>
        <w:t>） 政府文件中对用途仅作一般性表述，没有指明特定项目的，作为与收益相关的政府补助。</w:t>
      </w:r>
    </w:p>
    <w:p>
      <w:pPr>
        <w:pStyle w:val="Style18"/>
        <w:keepNext w:val="0"/>
        <w:keepLines w:val="0"/>
        <w:widowControl w:val="0"/>
        <w:shd w:val="clear" w:color="auto" w:fill="auto"/>
        <w:tabs>
          <w:tab w:pos="368" w:val="left"/>
        </w:tabs>
        <w:bidi w:val="0"/>
        <w:spacing w:before="0" w:after="0" w:line="326" w:lineRule="auto"/>
        <w:ind w:left="0" w:right="0" w:firstLine="0"/>
        <w:jc w:val="both"/>
      </w:pPr>
      <w:bookmarkStart w:id="1076" w:name="bookmark1076"/>
      <w:r>
        <w:rPr>
          <w:rFonts w:ascii="Times New Roman" w:eastAsia="Times New Roman" w:hAnsi="Times New Roman" w:cs="Times New Roman"/>
          <w:b/>
          <w:bCs/>
          <w:color w:val="000000"/>
          <w:spacing w:val="0"/>
          <w:w w:val="100"/>
          <w:position w:val="0"/>
        </w:rPr>
        <w:t>2</w:t>
      </w:r>
      <w:bookmarkEnd w:id="1076"/>
      <w:r>
        <w:rPr>
          <w:b/>
          <w:bCs/>
          <w:color w:val="000000"/>
          <w:spacing w:val="0"/>
          <w:w w:val="100"/>
          <w:position w:val="0"/>
        </w:rPr>
        <w:t>、</w:t>
        <w:tab/>
        <w:t>确认时点</w:t>
      </w:r>
    </w:p>
    <w:p>
      <w:pPr>
        <w:pStyle w:val="Style18"/>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政府补助在本公司能够满足其所附的条件并且能够收到时，予以确认。</w:t>
      </w:r>
    </w:p>
    <w:p>
      <w:pPr>
        <w:pStyle w:val="Style18"/>
        <w:keepNext w:val="0"/>
        <w:keepLines w:val="0"/>
        <w:widowControl w:val="0"/>
        <w:shd w:val="clear" w:color="auto" w:fill="auto"/>
        <w:tabs>
          <w:tab w:pos="368" w:val="left"/>
        </w:tabs>
        <w:bidi w:val="0"/>
        <w:spacing w:before="0" w:after="0" w:line="326" w:lineRule="auto"/>
        <w:ind w:left="0" w:right="0" w:firstLine="0"/>
        <w:jc w:val="left"/>
      </w:pPr>
      <w:bookmarkStart w:id="1077" w:name="bookmark1077"/>
      <w:r>
        <w:rPr>
          <w:rFonts w:ascii="Times New Roman" w:eastAsia="Times New Roman" w:hAnsi="Times New Roman" w:cs="Times New Roman"/>
          <w:b/>
          <w:bCs/>
          <w:color w:val="000000"/>
          <w:spacing w:val="0"/>
          <w:w w:val="100"/>
          <w:position w:val="0"/>
        </w:rPr>
        <w:t>3</w:t>
      </w:r>
      <w:bookmarkEnd w:id="1077"/>
      <w:r>
        <w:rPr>
          <w:b/>
          <w:bCs/>
          <w:color w:val="000000"/>
          <w:spacing w:val="0"/>
          <w:w w:val="100"/>
          <w:position w:val="0"/>
        </w:rPr>
        <w:t>、</w:t>
        <w:tab/>
        <w:t>会计处理</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与资产相关的政府补助，冲减相关资产账面价值或确认为递延收益。确认为递延收益的，在相关资产 使用寿命内按照合理、系统的方法分期计入当期损益（与本公司日常活动相关的，计入其他收益；与本公 司日常活动无关的，计入营业外收入）；</w:t>
      </w:r>
    </w:p>
    <w:p>
      <w:pPr>
        <w:pStyle w:val="Style18"/>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与收益相关的政府补助，用于补偿本公司以后期间的相关成本费用或损失的，确认为递延收益，并在 确认相关成本费用或损失的期间，计入当期损益（与本公司日常活动相关的，计入其他收益；与本公司日 常活动无关的，计入营业外收入）或冲减相关成本费用或损失；用于补偿本公司已发生的相关成本费用或 损失的，直接计入当期损益（与本公司日常活动相关的，计入其他收益；与本公司日常活动无关的，计入 营业外收入）或冲减相关成本费用或损失。</w:t>
      </w:r>
    </w:p>
    <w:p>
      <w:pPr>
        <w:pStyle w:val="Style18"/>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本公司取得的政策性优惠贷款贴息，区分以下两种情况，分别进行会计处理：</w:t>
      </w:r>
    </w:p>
    <w:p>
      <w:pPr>
        <w:pStyle w:val="Style18"/>
        <w:keepNext w:val="0"/>
        <w:keepLines w:val="0"/>
        <w:widowControl w:val="0"/>
        <w:shd w:val="clear" w:color="auto" w:fill="auto"/>
        <w:bidi w:val="0"/>
        <w:spacing w:before="0" w:after="0" w:line="312" w:lineRule="exact"/>
        <w:ind w:left="0" w:right="0" w:firstLine="440"/>
        <w:jc w:val="both"/>
      </w:pPr>
      <w:bookmarkStart w:id="1078" w:name="bookmark1078"/>
      <w:r>
        <w:rPr>
          <w:color w:val="000000"/>
          <w:spacing w:val="0"/>
          <w:w w:val="100"/>
          <w:position w:val="0"/>
        </w:rPr>
        <w:t>（</w:t>
      </w:r>
      <w:bookmarkEnd w:id="1078"/>
      <w:r>
        <w:rPr>
          <w:rFonts w:ascii="Times New Roman" w:eastAsia="Times New Roman" w:hAnsi="Times New Roman" w:cs="Times New Roman"/>
          <w:color w:val="000000"/>
          <w:spacing w:val="0"/>
          <w:w w:val="100"/>
          <w:position w:val="0"/>
        </w:rPr>
        <w:t>1</w:t>
      </w:r>
      <w:r>
        <w:rPr>
          <w:color w:val="000000"/>
          <w:spacing w:val="0"/>
          <w:w w:val="100"/>
          <w:position w:val="0"/>
        </w:rPr>
        <w:t xml:space="preserve">）财政将贴息资金拨付给贷款银行，由贷款银行以政策性优惠利率向本公司提供贷款的，本公司 </w:t>
      </w:r>
      <w:r>
        <w:rPr>
          <w:color w:val="000000"/>
          <w:spacing w:val="0"/>
          <w:w w:val="100"/>
          <w:position w:val="0"/>
        </w:rPr>
        <w:t>以实际收到的借款金额作为借款的入账价值，按照借款本金和该政策性优惠利率计算相关借款费用。</w:t>
      </w:r>
    </w:p>
    <w:p>
      <w:pPr>
        <w:pStyle w:val="Style18"/>
        <w:keepNext w:val="0"/>
        <w:keepLines w:val="0"/>
        <w:widowControl w:val="0"/>
        <w:shd w:val="clear" w:color="auto" w:fill="auto"/>
        <w:bidi w:val="0"/>
        <w:spacing w:before="0" w:after="380" w:line="314" w:lineRule="exact"/>
        <w:ind w:left="0" w:right="0" w:firstLine="440"/>
        <w:jc w:val="both"/>
      </w:pPr>
      <w:bookmarkStart w:id="1079" w:name="bookmark1079"/>
      <w:r>
        <w:rPr>
          <w:color w:val="000000"/>
          <w:spacing w:val="0"/>
          <w:w w:val="100"/>
          <w:position w:val="0"/>
        </w:rPr>
        <w:t>（</w:t>
      </w:r>
      <w:bookmarkEnd w:id="1079"/>
      <w:r>
        <w:rPr>
          <w:rFonts w:ascii="Times New Roman" w:eastAsia="Times New Roman" w:hAnsi="Times New Roman" w:cs="Times New Roman"/>
          <w:color w:val="000000"/>
          <w:spacing w:val="0"/>
          <w:w w:val="100"/>
          <w:position w:val="0"/>
        </w:rPr>
        <w:t>2</w:t>
      </w:r>
      <w:r>
        <w:rPr>
          <w:color w:val="000000"/>
          <w:spacing w:val="0"/>
          <w:w w:val="100"/>
          <w:position w:val="0"/>
        </w:rPr>
        <w:t>）财政将贴息资金直接拨付给本公司的，本公司将对应的贴息冲减相关借款费用。</w:t>
      </w:r>
    </w:p>
    <w:p>
      <w:pPr>
        <w:pStyle w:val="Style33"/>
        <w:keepNext/>
        <w:keepLines/>
        <w:widowControl w:val="0"/>
        <w:shd w:val="clear" w:color="auto" w:fill="auto"/>
        <w:tabs>
          <w:tab w:pos="478" w:val="left"/>
        </w:tabs>
        <w:bidi w:val="0"/>
        <w:spacing w:before="0" w:after="200" w:line="329" w:lineRule="auto"/>
        <w:ind w:left="0" w:right="0" w:firstLine="0"/>
        <w:jc w:val="both"/>
      </w:pPr>
      <w:bookmarkStart w:id="1080" w:name="bookmark1080"/>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4</w:t>
      </w:r>
      <w:bookmarkEnd w:id="1082"/>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80"/>
      <w:bookmarkEnd w:id="1081"/>
      <w:bookmarkEnd w:id="1083"/>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所得税包括当期所得税和递延所得税。除因企业合并和直接计入所有者权益</w:t>
      </w:r>
      <w:r>
        <w:rPr>
          <w:rFonts w:ascii="Times New Roman" w:eastAsia="Times New Roman" w:hAnsi="Times New Roman" w:cs="Times New Roman"/>
          <w:color w:val="000000"/>
          <w:spacing w:val="0"/>
          <w:w w:val="100"/>
          <w:position w:val="0"/>
        </w:rPr>
        <w:t>（</w:t>
      </w:r>
      <w:r>
        <w:rPr>
          <w:color w:val="000000"/>
          <w:spacing w:val="0"/>
          <w:w w:val="100"/>
          <w:position w:val="0"/>
        </w:rPr>
        <w:t>包括其他综合收益</w:t>
      </w:r>
      <w:r>
        <w:rPr>
          <w:rFonts w:ascii="Times New Roman" w:eastAsia="Times New Roman" w:hAnsi="Times New Roman" w:cs="Times New Roman"/>
          <w:color w:val="000000"/>
          <w:spacing w:val="0"/>
          <w:w w:val="100"/>
          <w:position w:val="0"/>
        </w:rPr>
        <w:t>）</w:t>
      </w:r>
      <w:r>
        <w:rPr>
          <w:color w:val="000000"/>
          <w:spacing w:val="0"/>
          <w:w w:val="100"/>
          <w:position w:val="0"/>
        </w:rPr>
        <w:t>的交 易或者事项产生的所得税外，本公司将当期所得税和递延所得税计入当期损益。</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暂时性差异</w:t>
      </w:r>
      <w:r>
        <w:rPr>
          <w:rFonts w:ascii="Times New Roman" w:eastAsia="Times New Roman" w:hAnsi="Times New Roman" w:cs="Times New Roman"/>
          <w:color w:val="000000"/>
          <w:spacing w:val="0"/>
          <w:w w:val="100"/>
          <w:position w:val="0"/>
        </w:rPr>
        <w:t>）</w:t>
      </w:r>
      <w:r>
        <w:rPr>
          <w:color w:val="000000"/>
          <w:spacing w:val="0"/>
          <w:w w:val="100"/>
          <w:position w:val="0"/>
        </w:rPr>
        <w:t>计算 确认。</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对于可抵扣暂时性差异确认递延所得税资产，以未来期间很可能取得的用来抵扣可抵扣暂时性差异的 应纳税所得额为限。对于能够结转以后年度的可抵扣亏损和税款抵减，以很可能获得用来抵扣可抵扣亏损 和税款抵减的未来应纳税所得额为限，确认相应的递延所得税资产。</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对于应纳税暂时性差异，除特殊情况外，确认递延所得税负债。</w:t>
      </w:r>
    </w:p>
    <w:p>
      <w:pPr>
        <w:pStyle w:val="Style18"/>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不确认递延所得税资产或递延所得税负债的特殊情况包括：</w:t>
      </w:r>
    </w:p>
    <w:p>
      <w:pPr>
        <w:pStyle w:val="Style18"/>
        <w:keepNext w:val="0"/>
        <w:keepLines w:val="0"/>
        <w:widowControl w:val="0"/>
        <w:shd w:val="clear" w:color="auto" w:fill="auto"/>
        <w:bidi w:val="0"/>
        <w:spacing w:before="0" w:after="0" w:line="329" w:lineRule="auto"/>
        <w:ind w:left="0" w:right="0" w:firstLine="720"/>
        <w:jc w:val="both"/>
      </w:pPr>
      <w:r>
        <w:rPr>
          <w:rFonts w:ascii="Times New Roman" w:eastAsia="Times New Roman" w:hAnsi="Times New Roman" w:cs="Times New Roman"/>
          <w:color w:val="000000"/>
          <w:spacing w:val="0"/>
          <w:w w:val="100"/>
          <w:position w:val="0"/>
        </w:rPr>
        <w:t>•</w:t>
      </w:r>
      <w:r>
        <w:rPr>
          <w:color w:val="000000"/>
          <w:spacing w:val="0"/>
          <w:w w:val="100"/>
          <w:position w:val="0"/>
        </w:rPr>
        <w:t>商誉的初始确认；</w:t>
      </w:r>
    </w:p>
    <w:p>
      <w:pPr>
        <w:pStyle w:val="Style18"/>
        <w:keepNext w:val="0"/>
        <w:keepLines w:val="0"/>
        <w:widowControl w:val="0"/>
        <w:shd w:val="clear" w:color="auto" w:fill="auto"/>
        <w:bidi w:val="0"/>
        <w:spacing w:before="0" w:after="0" w:line="329" w:lineRule="auto"/>
        <w:ind w:left="0" w:right="0" w:firstLine="720"/>
        <w:jc w:val="both"/>
      </w:pPr>
      <w:r>
        <w:rPr>
          <w:rFonts w:ascii="Times New Roman" w:eastAsia="Times New Roman" w:hAnsi="Times New Roman" w:cs="Times New Roman"/>
          <w:color w:val="000000"/>
          <w:spacing w:val="0"/>
          <w:w w:val="100"/>
          <w:position w:val="0"/>
        </w:rPr>
        <w:t>•</w:t>
      </w:r>
      <w:r>
        <w:rPr>
          <w:color w:val="000000"/>
          <w:spacing w:val="0"/>
          <w:w w:val="100"/>
          <w:position w:val="0"/>
        </w:rPr>
        <w:t>既不是企业合并、发生时也不影响会计利润和应纳税所得额</w:t>
      </w:r>
      <w:r>
        <w:rPr>
          <w:rFonts w:ascii="Times New Roman" w:eastAsia="Times New Roman" w:hAnsi="Times New Roman" w:cs="Times New Roman"/>
          <w:color w:val="000000"/>
          <w:spacing w:val="0"/>
          <w:w w:val="100"/>
          <w:position w:val="0"/>
        </w:rPr>
        <w:t>（</w:t>
      </w:r>
      <w:r>
        <w:rPr>
          <w:color w:val="000000"/>
          <w:spacing w:val="0"/>
          <w:w w:val="100"/>
          <w:position w:val="0"/>
        </w:rPr>
        <w:t>或可抵扣亏损</w:t>
      </w:r>
      <w:r>
        <w:rPr>
          <w:rFonts w:ascii="Times New Roman" w:eastAsia="Times New Roman" w:hAnsi="Times New Roman" w:cs="Times New Roman"/>
          <w:color w:val="000000"/>
          <w:spacing w:val="0"/>
          <w:w w:val="100"/>
          <w:position w:val="0"/>
        </w:rPr>
        <w:t>）</w:t>
      </w:r>
      <w:r>
        <w:rPr>
          <w:color w:val="000000"/>
          <w:spacing w:val="0"/>
          <w:w w:val="100"/>
          <w:position w:val="0"/>
        </w:rPr>
        <w:t>的交易或事项。</w:t>
      </w:r>
    </w:p>
    <w:p>
      <w:pPr>
        <w:pStyle w:val="Style18"/>
        <w:keepNext w:val="0"/>
        <w:keepLines w:val="0"/>
        <w:widowControl w:val="0"/>
        <w:shd w:val="clear" w:color="auto" w:fill="auto"/>
        <w:bidi w:val="0"/>
        <w:spacing w:before="0" w:after="0" w:line="314" w:lineRule="exact"/>
        <w:ind w:left="720" w:right="0" w:firstLine="0"/>
        <w:jc w:val="both"/>
      </w:pPr>
      <w:r>
        <w:rPr>
          <w:color w:val="000000"/>
          <w:spacing w:val="0"/>
          <w:w w:val="100"/>
          <w:position w:val="0"/>
        </w:rPr>
        <w:t>对与子公司、联营企业及合营企业投资相关的应纳税暂时性差异，确认递延所得税负债，除非本 公司能够控制该暂时性差异转回的时间且该暂时性差异在可预见的未来很可能不会转回。对与子 公司、联营企业及合营企业投资相关的可抵扣暂时性差异，当该暂时性差异在可预见的未来很可 能转回且未来很可能获得用来抵扣可抵扣暂时性差异的应纳税所得额时，确认递延所得税资产。</w:t>
      </w:r>
    </w:p>
    <w:p>
      <w:pPr>
        <w:pStyle w:val="Style18"/>
        <w:keepNext w:val="0"/>
        <w:keepLines w:val="0"/>
        <w:widowControl w:val="0"/>
        <w:shd w:val="clear" w:color="auto" w:fill="auto"/>
        <w:bidi w:val="0"/>
        <w:spacing w:before="0" w:after="0" w:line="314" w:lineRule="exact"/>
        <w:ind w:left="720" w:right="0" w:firstLine="0"/>
        <w:jc w:val="both"/>
      </w:pPr>
      <w:r>
        <w:rPr>
          <w:color w:val="000000"/>
          <w:spacing w:val="0"/>
          <w:w w:val="100"/>
          <w:position w:val="0"/>
        </w:rPr>
        <w:t>资产负债表日，对于递延所得税资产和递延所得税负债，根据税法规定，按照预期收回相关资产 或清偿相关负债期间的适用税率计量。</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资产负债表日，本公司对递延所得税资产的账面价值进行复核。如果未来期间很可能无法获得足够的 应纳税所得额用以抵扣递延所得税资产的利益，则减记递延所得税资产的账面价值。在很可能获得足够的 应纳税所得额时，减记的金额予以转回。</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当拥有以净额结算的法定权利，且意图以净额结算或取得资产、清偿负债同时进行时，当期所得税资 产及当期所得税负债以抵销后的净额列报。</w:t>
      </w:r>
    </w:p>
    <w:p>
      <w:pPr>
        <w:pStyle w:val="Style18"/>
        <w:keepNext w:val="0"/>
        <w:keepLines w:val="0"/>
        <w:widowControl w:val="0"/>
        <w:shd w:val="clear" w:color="auto" w:fill="auto"/>
        <w:bidi w:val="0"/>
        <w:spacing w:before="0" w:after="80" w:line="314" w:lineRule="exact"/>
        <w:ind w:left="0" w:right="0" w:firstLine="720"/>
        <w:jc w:val="both"/>
      </w:pPr>
      <w:r>
        <w:rPr>
          <w:color w:val="000000"/>
          <w:spacing w:val="0"/>
          <w:w w:val="100"/>
          <w:position w:val="0"/>
        </w:rPr>
        <w:t>资产负债表日，递延所得税资产及递延所得税负债在同时满足以下条件时以抵销后的净额列示：</w:t>
      </w:r>
    </w:p>
    <w:p>
      <w:pPr>
        <w:pStyle w:val="Style18"/>
        <w:keepNext w:val="0"/>
        <w:keepLines w:val="0"/>
        <w:widowControl w:val="0"/>
        <w:shd w:val="clear" w:color="auto" w:fill="auto"/>
        <w:bidi w:val="0"/>
        <w:spacing w:before="0" w:after="0" w:line="329" w:lineRule="auto"/>
        <w:ind w:left="0" w:right="0" w:firstLine="720"/>
        <w:jc w:val="both"/>
      </w:pPr>
      <w:r>
        <w:rPr>
          <w:rFonts w:ascii="Times New Roman" w:eastAsia="Times New Roman" w:hAnsi="Times New Roman" w:cs="Times New Roman"/>
          <w:color w:val="000000"/>
          <w:spacing w:val="0"/>
          <w:w w:val="100"/>
          <w:position w:val="0"/>
        </w:rPr>
        <w:t>•</w:t>
      </w:r>
      <w:r>
        <w:rPr>
          <w:color w:val="000000"/>
          <w:spacing w:val="0"/>
          <w:w w:val="100"/>
          <w:position w:val="0"/>
        </w:rPr>
        <w:t>纳税主体拥有以净额结算当期所得税资产及当期所得税负债的法定权利；</w:t>
      </w:r>
    </w:p>
    <w:p>
      <w:pPr>
        <w:pStyle w:val="Style18"/>
        <w:keepNext w:val="0"/>
        <w:keepLines w:val="0"/>
        <w:widowControl w:val="0"/>
        <w:shd w:val="clear" w:color="auto" w:fill="auto"/>
        <w:bidi w:val="0"/>
        <w:spacing w:before="0" w:after="380" w:line="314" w:lineRule="exact"/>
        <w:ind w:left="72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递延所得税资产及递延所得税负债是与同一税收征管部门对同一纳税主体征收的所得税相关或 者是对不同的纳税主体相关，但在未来每一具有重要性的递延所得税资产及负债转回的期间内，涉 及的纳税主体意图以净额结算当期所得税资产和负债或是同时取得资产、清偿负债。</w:t>
      </w:r>
    </w:p>
    <w:p>
      <w:pPr>
        <w:pStyle w:val="Style33"/>
        <w:keepNext/>
        <w:keepLines/>
        <w:widowControl w:val="0"/>
        <w:shd w:val="clear" w:color="auto" w:fill="auto"/>
        <w:tabs>
          <w:tab w:pos="478" w:val="left"/>
        </w:tabs>
        <w:bidi w:val="0"/>
        <w:spacing w:before="0" w:after="200" w:line="329" w:lineRule="auto"/>
        <w:ind w:left="0" w:right="0" w:firstLine="0"/>
        <w:jc w:val="both"/>
      </w:pPr>
      <w:bookmarkStart w:id="1084" w:name="bookmark1084"/>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4</w:t>
      </w:r>
      <w:bookmarkEnd w:id="1086"/>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084"/>
      <w:bookmarkEnd w:id="1085"/>
      <w:bookmarkEnd w:id="1087"/>
    </w:p>
    <w:p>
      <w:pPr>
        <w:pStyle w:val="Style61"/>
        <w:keepNext/>
        <w:keepLines/>
        <w:widowControl w:val="0"/>
        <w:shd w:val="clear" w:color="auto" w:fill="auto"/>
        <w:bidi w:val="0"/>
        <w:spacing w:before="0" w:after="280" w:line="314" w:lineRule="exact"/>
        <w:ind w:left="0" w:right="0" w:firstLine="0"/>
        <w:jc w:val="both"/>
      </w:pPr>
      <w:bookmarkStart w:id="1088" w:name="bookmark1088"/>
      <w:bookmarkStart w:id="1089" w:name="bookmark1089"/>
      <w:bookmarkStart w:id="1090" w:name="bookmark1090"/>
      <w:bookmarkStart w:id="1091" w:name="bookmark1091"/>
      <w:r>
        <w:rPr>
          <w:color w:val="000000"/>
          <w:spacing w:val="0"/>
          <w:w w:val="100"/>
          <w:position w:val="0"/>
        </w:rPr>
        <w:t>（</w:t>
      </w:r>
      <w:bookmarkEnd w:id="1090"/>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88"/>
      <w:bookmarkEnd w:id="1089"/>
      <w:bookmarkEnd w:id="1091"/>
    </w:p>
    <w:p>
      <w:pPr>
        <w:pStyle w:val="Style61"/>
        <w:keepNext/>
        <w:keepLines/>
        <w:widowControl w:val="0"/>
        <w:shd w:val="clear" w:color="auto" w:fill="auto"/>
        <w:bidi w:val="0"/>
        <w:spacing w:before="0" w:after="0" w:line="314" w:lineRule="exact"/>
        <w:ind w:left="0" w:right="0" w:firstLine="0"/>
        <w:jc w:val="both"/>
      </w:pPr>
      <w:bookmarkStart w:id="1088" w:name="bookmark1088"/>
      <w:bookmarkStart w:id="1089" w:name="bookmark1089"/>
      <w:r>
        <w:rPr>
          <w:color w:val="000000"/>
          <w:spacing w:val="0"/>
          <w:w w:val="100"/>
          <w:position w:val="0"/>
        </w:rPr>
        <w:t>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日起的会计政策</w:t>
      </w:r>
      <w:bookmarkEnd w:id="1088"/>
      <w:bookmarkEnd w:id="1089"/>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租赁，是指在一定期间内，出租人将资产的使用权让与承租人以获取对价的合同。在合同开始日，本 公司评估合同是否为租赁或者包含租赁。如果合同中一方让渡了在一定期间内控制一项或多项已识别资产 使用的权利以换取对价，则该合同为租赁或者包含租赁。</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合同中同时包含多项单独租赁的，本公司将合同予以分拆，并分别各项单独租赁进行会计处理。合同 中同时包含租赁和非租赁部分的，承租人和出租人将租赁和非租赁部分进行分拆。</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 xml:space="preserve">对于由新冠肺炎疫情直接引发的、就现有租赁合同达成的租金减免、延期支付等租金减让，同时满足 </w:t>
      </w:r>
      <w:r>
        <w:rPr>
          <w:color w:val="000000"/>
          <w:spacing w:val="0"/>
          <w:w w:val="100"/>
          <w:position w:val="0"/>
        </w:rPr>
        <w:t>下列条件的，本公司对所有租赁选择采用简化方法，不评估是否发生租赁变更，也不重新评估租赁分类：</w:t>
      </w:r>
    </w:p>
    <w:p>
      <w:pPr>
        <w:pStyle w:val="Style18"/>
        <w:keepNext w:val="0"/>
        <w:keepLines w:val="0"/>
        <w:widowControl w:val="0"/>
        <w:shd w:val="clear" w:color="auto" w:fill="auto"/>
        <w:bidi w:val="0"/>
        <w:spacing w:before="0" w:after="0" w:line="312" w:lineRule="exact"/>
        <w:ind w:left="0" w:right="0" w:firstLine="360"/>
        <w:jc w:val="left"/>
      </w:pPr>
      <w:r>
        <w:rPr>
          <w:color w:val="000000"/>
          <w:spacing w:val="0"/>
          <w:w w:val="100"/>
          <w:position w:val="0"/>
        </w:rPr>
        <w:t>•</w:t>
      </w:r>
      <w:r>
        <w:rPr>
          <w:color w:val="000000"/>
          <w:spacing w:val="0"/>
          <w:w w:val="100"/>
          <w:position w:val="0"/>
        </w:rPr>
        <w:t>减让后的租赁对价较减让前减少或基本不变，其中，租赁对价未折现或按减让前折现率折现均可；</w:t>
      </w:r>
    </w:p>
    <w:p>
      <w:pPr>
        <w:pStyle w:val="Style18"/>
        <w:keepNext w:val="0"/>
        <w:keepLines w:val="0"/>
        <w:widowControl w:val="0"/>
        <w:shd w:val="clear" w:color="auto" w:fill="auto"/>
        <w:bidi w:val="0"/>
        <w:spacing w:before="0" w:after="0" w:line="312" w:lineRule="exact"/>
        <w:ind w:left="720" w:right="0" w:hanging="360"/>
        <w:jc w:val="left"/>
      </w:pPr>
      <w:r>
        <w:rPr>
          <w:color w:val="000000"/>
          <w:spacing w:val="0"/>
          <w:w w:val="100"/>
          <w:position w:val="0"/>
        </w:rPr>
        <w:t>•</w:t>
      </w:r>
      <w:r>
        <w:rPr>
          <w:color w:val="000000"/>
          <w:spacing w:val="0"/>
          <w:w w:val="100"/>
          <w:position w:val="0"/>
        </w:rPr>
        <w:t>减让仅针对</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日前的应付租赁付款额，</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日后应付租赁付款额增加不影响满足 该条件，</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日后应付租赁付款额减少不满足该条件；以及</w:t>
      </w:r>
    </w:p>
    <w:p>
      <w:pPr>
        <w:pStyle w:val="Style18"/>
        <w:keepNext w:val="0"/>
        <w:keepLines w:val="0"/>
        <w:widowControl w:val="0"/>
        <w:shd w:val="clear" w:color="auto" w:fill="auto"/>
        <w:bidi w:val="0"/>
        <w:spacing w:before="0" w:after="360" w:line="312" w:lineRule="exact"/>
        <w:ind w:left="0" w:right="0" w:firstLine="360"/>
        <w:jc w:val="left"/>
      </w:pPr>
      <w:r>
        <w:rPr>
          <w:color w:val="000000"/>
          <w:spacing w:val="0"/>
          <w:w w:val="100"/>
          <w:position w:val="0"/>
        </w:rPr>
        <w:t>•</w:t>
      </w:r>
      <w:r>
        <w:rPr>
          <w:color w:val="000000"/>
          <w:spacing w:val="0"/>
          <w:w w:val="100"/>
          <w:position w:val="0"/>
        </w:rPr>
        <w:t>综合考虑定性和定量因素后认定租赁的其他条款和条件无重大变化。</w:t>
      </w:r>
    </w:p>
    <w:p>
      <w:pPr>
        <w:pStyle w:val="Style18"/>
        <w:keepNext w:val="0"/>
        <w:keepLines w:val="0"/>
        <w:widowControl w:val="0"/>
        <w:shd w:val="clear" w:color="auto" w:fill="auto"/>
        <w:bidi w:val="0"/>
        <w:spacing w:before="0" w:after="0" w:line="329"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、本公司作为承租人</w:t>
      </w:r>
    </w:p>
    <w:p>
      <w:pPr>
        <w:pStyle w:val="Style18"/>
        <w:keepNext w:val="0"/>
        <w:keepLines w:val="0"/>
        <w:widowControl w:val="0"/>
        <w:shd w:val="clear" w:color="auto" w:fill="auto"/>
        <w:tabs>
          <w:tab w:pos="493" w:val="left"/>
        </w:tabs>
        <w:bidi w:val="0"/>
        <w:spacing w:before="0" w:after="0" w:line="314" w:lineRule="exact"/>
        <w:ind w:left="0" w:right="0" w:firstLine="0"/>
        <w:jc w:val="left"/>
      </w:pPr>
      <w:bookmarkStart w:id="1092" w:name="bookmark1092"/>
      <w:r>
        <w:rPr>
          <w:color w:val="000000"/>
          <w:spacing w:val="0"/>
          <w:w w:val="100"/>
          <w:position w:val="0"/>
        </w:rPr>
        <w:t>（</w:t>
      </w:r>
      <w:bookmarkEnd w:id="1092"/>
      <w:r>
        <w:rPr>
          <w:rFonts w:ascii="Times New Roman" w:eastAsia="Times New Roman" w:hAnsi="Times New Roman" w:cs="Times New Roman"/>
          <w:color w:val="000000"/>
          <w:spacing w:val="0"/>
          <w:w w:val="100"/>
          <w:position w:val="0"/>
        </w:rPr>
        <w:t>1</w:t>
      </w:r>
      <w:r>
        <w:rPr>
          <w:color w:val="000000"/>
          <w:spacing w:val="0"/>
          <w:w w:val="100"/>
          <w:position w:val="0"/>
        </w:rPr>
        <w:t>）</w:t>
        <w:tab/>
        <w:t>使用权资产</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在租赁期开始日，本公司对除短期租赁和低价值资产租赁以外的租赁确认使用权资产。使用权资产按 照成本进行初始计量。该成本包括：</w:t>
      </w:r>
    </w:p>
    <w:p>
      <w:pPr>
        <w:pStyle w:val="Style18"/>
        <w:keepNext w:val="0"/>
        <w:keepLines w:val="0"/>
        <w:widowControl w:val="0"/>
        <w:shd w:val="clear" w:color="auto" w:fill="auto"/>
        <w:bidi w:val="0"/>
        <w:spacing w:before="0" w:after="0" w:line="314" w:lineRule="exact"/>
        <w:ind w:left="0" w:right="0" w:firstLine="360"/>
        <w:jc w:val="left"/>
      </w:pPr>
      <w:r>
        <w:rPr>
          <w:color w:val="000000"/>
          <w:spacing w:val="0"/>
          <w:w w:val="100"/>
          <w:position w:val="0"/>
        </w:rPr>
        <w:t>•</w:t>
      </w:r>
      <w:r>
        <w:rPr>
          <w:color w:val="000000"/>
          <w:spacing w:val="0"/>
          <w:w w:val="100"/>
          <w:position w:val="0"/>
        </w:rPr>
        <w:t>租赁负债的初始计量金额；</w:t>
      </w:r>
    </w:p>
    <w:p>
      <w:pPr>
        <w:pStyle w:val="Style18"/>
        <w:keepNext w:val="0"/>
        <w:keepLines w:val="0"/>
        <w:widowControl w:val="0"/>
        <w:shd w:val="clear" w:color="auto" w:fill="auto"/>
        <w:bidi w:val="0"/>
        <w:spacing w:before="0" w:after="0" w:line="314" w:lineRule="exact"/>
        <w:ind w:left="0" w:right="0" w:firstLine="360"/>
        <w:jc w:val="left"/>
      </w:pPr>
      <w:r>
        <w:rPr>
          <w:color w:val="000000"/>
          <w:spacing w:val="0"/>
          <w:w w:val="100"/>
          <w:position w:val="0"/>
        </w:rPr>
        <w:t>•</w:t>
      </w:r>
      <w:r>
        <w:rPr>
          <w:color w:val="000000"/>
          <w:spacing w:val="0"/>
          <w:w w:val="100"/>
          <w:position w:val="0"/>
        </w:rPr>
        <w:t>在租赁期开始日或之前支付的租赁付款额，存在租赁激励的，扣除已享受的租赁激励相关金额；</w:t>
      </w:r>
    </w:p>
    <w:p>
      <w:pPr>
        <w:pStyle w:val="Style18"/>
        <w:keepNext w:val="0"/>
        <w:keepLines w:val="0"/>
        <w:widowControl w:val="0"/>
        <w:shd w:val="clear" w:color="auto" w:fill="auto"/>
        <w:bidi w:val="0"/>
        <w:spacing w:before="0" w:after="0" w:line="314" w:lineRule="exact"/>
        <w:ind w:left="0" w:right="0" w:firstLine="360"/>
        <w:jc w:val="left"/>
      </w:pPr>
      <w:r>
        <w:rPr>
          <w:color w:val="000000"/>
          <w:spacing w:val="0"/>
          <w:w w:val="100"/>
          <w:position w:val="0"/>
        </w:rPr>
        <w:t>•</w:t>
      </w:r>
      <w:r>
        <w:rPr>
          <w:color w:val="000000"/>
          <w:spacing w:val="0"/>
          <w:w w:val="100"/>
          <w:position w:val="0"/>
        </w:rPr>
        <w:t>本公司发生的初始直接费用；</w:t>
      </w:r>
    </w:p>
    <w:p>
      <w:pPr>
        <w:pStyle w:val="Style18"/>
        <w:keepNext w:val="0"/>
        <w:keepLines w:val="0"/>
        <w:widowControl w:val="0"/>
        <w:shd w:val="clear" w:color="auto" w:fill="auto"/>
        <w:bidi w:val="0"/>
        <w:spacing w:before="0" w:after="0" w:line="314" w:lineRule="exact"/>
        <w:ind w:left="720" w:right="0" w:hanging="360"/>
        <w:jc w:val="left"/>
      </w:pPr>
      <w:r>
        <w:rPr>
          <w:color w:val="000000"/>
          <w:spacing w:val="0"/>
          <w:w w:val="100"/>
          <w:position w:val="0"/>
        </w:rPr>
        <w:t>•</w:t>
      </w:r>
      <w:r>
        <w:rPr>
          <w:color w:val="000000"/>
          <w:spacing w:val="0"/>
          <w:w w:val="100"/>
          <w:position w:val="0"/>
        </w:rPr>
        <w:t>本公司为拆卸及移除租赁资产、复原租赁资产所在场地或将租赁资产恢复至租赁条款约定状态预计 将发生的成本，但不包括属于为生产存货而发生的成本。</w:t>
      </w:r>
    </w:p>
    <w:p>
      <w:pPr>
        <w:pStyle w:val="Style18"/>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本公司后续采用直线法对使用权资产计提折旧。对能够合理确定租赁期届满时取得租赁资产所有权的， 本公司在租赁资产剩余使用寿命内计提折旧；否则，租赁资产在租赁期与租赁资产剩余使用寿命两者孰短 的期间内计提折旧。</w:t>
      </w:r>
    </w:p>
    <w:p>
      <w:pPr>
        <w:pStyle w:val="Style18"/>
        <w:keepNext w:val="0"/>
        <w:keepLines w:val="0"/>
        <w:widowControl w:val="0"/>
        <w:shd w:val="clear" w:color="auto" w:fill="auto"/>
        <w:bidi w:val="0"/>
        <w:spacing w:before="0" w:after="280" w:line="326" w:lineRule="exact"/>
        <w:ind w:left="0" w:right="0" w:firstLine="440"/>
        <w:jc w:val="left"/>
      </w:pPr>
      <w:r>
        <w:rPr>
          <w:color w:val="000000"/>
          <w:spacing w:val="0"/>
          <w:w w:val="100"/>
          <w:position w:val="0"/>
        </w:rPr>
        <w:t>本公司按照本附注</w:t>
      </w:r>
      <w:r>
        <w:rPr>
          <w:rFonts w:ascii="Times New Roman" w:eastAsia="Times New Roman" w:hAnsi="Times New Roman" w:cs="Times New Roman"/>
          <w:color w:val="000000"/>
          <w:spacing w:val="0"/>
          <w:w w:val="100"/>
          <w:position w:val="0"/>
        </w:rPr>
        <w:t>“</w:t>
      </w:r>
      <w:r>
        <w:rPr>
          <w:color w:val="000000"/>
          <w:spacing w:val="0"/>
          <w:w w:val="100"/>
          <w:position w:val="0"/>
        </w:rPr>
        <w:t>五、</w:t>
      </w:r>
      <w:r>
        <w:rPr>
          <w:rFonts w:ascii="Times New Roman" w:eastAsia="Times New Roman" w:hAnsi="Times New Roman" w:cs="Times New Roman"/>
          <w:color w:val="000000"/>
          <w:spacing w:val="0"/>
          <w:w w:val="100"/>
          <w:position w:val="0"/>
        </w:rPr>
        <w:t>31</w:t>
      </w:r>
      <w:r>
        <w:rPr>
          <w:color w:val="000000"/>
          <w:spacing w:val="0"/>
          <w:w w:val="100"/>
          <w:position w:val="0"/>
        </w:rPr>
        <w:t>、长期资产减值</w:t>
      </w:r>
      <w:r>
        <w:rPr>
          <w:rFonts w:ascii="Times New Roman" w:eastAsia="Times New Roman" w:hAnsi="Times New Roman" w:cs="Times New Roman"/>
          <w:color w:val="000000"/>
          <w:spacing w:val="0"/>
          <w:w w:val="100"/>
          <w:position w:val="0"/>
        </w:rPr>
        <w:t>”</w:t>
      </w:r>
      <w:r>
        <w:rPr>
          <w:color w:val="000000"/>
          <w:spacing w:val="0"/>
          <w:w w:val="100"/>
          <w:position w:val="0"/>
        </w:rPr>
        <w:t>所述原则来确定使用权资产是否已发生减值，并对已识别 的减值损失进行会计处理。</w:t>
      </w:r>
    </w:p>
    <w:p>
      <w:pPr>
        <w:pStyle w:val="Style18"/>
        <w:keepNext w:val="0"/>
        <w:keepLines w:val="0"/>
        <w:widowControl w:val="0"/>
        <w:shd w:val="clear" w:color="auto" w:fill="auto"/>
        <w:tabs>
          <w:tab w:pos="493" w:val="left"/>
        </w:tabs>
        <w:bidi w:val="0"/>
        <w:spacing w:before="0" w:after="0" w:line="315" w:lineRule="exact"/>
        <w:ind w:left="0" w:right="0" w:firstLine="0"/>
        <w:jc w:val="left"/>
      </w:pPr>
      <w:bookmarkStart w:id="1093" w:name="bookmark1093"/>
      <w:r>
        <w:rPr>
          <w:color w:val="000000"/>
          <w:spacing w:val="0"/>
          <w:w w:val="100"/>
          <w:position w:val="0"/>
        </w:rPr>
        <w:t>（</w:t>
      </w:r>
      <w:bookmarkEnd w:id="1093"/>
      <w:r>
        <w:rPr>
          <w:rFonts w:ascii="Times New Roman" w:eastAsia="Times New Roman" w:hAnsi="Times New Roman" w:cs="Times New Roman"/>
          <w:color w:val="000000"/>
          <w:spacing w:val="0"/>
          <w:w w:val="100"/>
          <w:position w:val="0"/>
        </w:rPr>
        <w:t>2</w:t>
      </w:r>
      <w:r>
        <w:rPr>
          <w:color w:val="000000"/>
          <w:spacing w:val="0"/>
          <w:w w:val="100"/>
          <w:position w:val="0"/>
        </w:rPr>
        <w:t>）</w:t>
        <w:tab/>
        <w:t>租赁负债</w:t>
      </w:r>
    </w:p>
    <w:p>
      <w:pPr>
        <w:pStyle w:val="Style18"/>
        <w:keepNext w:val="0"/>
        <w:keepLines w:val="0"/>
        <w:widowControl w:val="0"/>
        <w:shd w:val="clear" w:color="auto" w:fill="auto"/>
        <w:bidi w:val="0"/>
        <w:spacing w:before="0" w:after="0" w:line="315" w:lineRule="exact"/>
        <w:ind w:left="0" w:right="0" w:firstLine="440"/>
        <w:jc w:val="left"/>
      </w:pPr>
      <w:r>
        <w:rPr>
          <w:color w:val="000000"/>
          <w:spacing w:val="0"/>
          <w:w w:val="100"/>
          <w:position w:val="0"/>
        </w:rPr>
        <w:t>在租赁期开始日，本公司对除短期租赁和低价值资产租赁以外的租赁确认租赁负债。租赁负债按照尚 未支付的租赁付款额的现值进行初始计量。租赁付款额包括：</w:t>
      </w:r>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color w:val="000000"/>
          <w:spacing w:val="0"/>
          <w:w w:val="100"/>
          <w:position w:val="0"/>
        </w:rPr>
        <w:t>固定付款额（包括实质固定付款额），存在租赁激励的，扣除租赁激励相关金额；</w:t>
      </w:r>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color w:val="000000"/>
          <w:spacing w:val="0"/>
          <w:w w:val="100"/>
          <w:position w:val="0"/>
        </w:rPr>
        <w:t>取决于指数或比率的可变租赁付款额；</w:t>
      </w:r>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color w:val="000000"/>
          <w:spacing w:val="0"/>
          <w:w w:val="100"/>
          <w:position w:val="0"/>
        </w:rPr>
        <w:t>根据公司提供的担保余值预计应支付的款项；</w:t>
      </w:r>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color w:val="000000"/>
          <w:spacing w:val="0"/>
          <w:w w:val="100"/>
          <w:position w:val="0"/>
        </w:rPr>
        <w:t>购买选择权的行权价格，前提是公司合理确定将行使该选择权；</w:t>
      </w:r>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color w:val="000000"/>
          <w:spacing w:val="0"/>
          <w:w w:val="100"/>
          <w:position w:val="0"/>
        </w:rPr>
        <w:t>行使终止租赁选择权需支付的款项，前提是租赁期反映出公司将行使终止租赁选择权。</w:t>
      </w:r>
    </w:p>
    <w:p>
      <w:pPr>
        <w:pStyle w:val="Style18"/>
        <w:keepNext w:val="0"/>
        <w:keepLines w:val="0"/>
        <w:widowControl w:val="0"/>
        <w:shd w:val="clear" w:color="auto" w:fill="auto"/>
        <w:bidi w:val="0"/>
        <w:spacing w:before="0" w:after="0" w:line="315" w:lineRule="exact"/>
        <w:ind w:left="0" w:right="0" w:firstLine="500"/>
        <w:jc w:val="both"/>
      </w:pPr>
      <w:r>
        <w:rPr>
          <w:color w:val="000000"/>
          <w:spacing w:val="0"/>
          <w:w w:val="100"/>
          <w:position w:val="0"/>
        </w:rPr>
        <w:t>本公司采用租赁内含利率作为折现率，但如果无法合理确定租赁内含利率的，则采用本公司的增量借 款利率作为折现率。</w:t>
      </w:r>
    </w:p>
    <w:p>
      <w:pPr>
        <w:pStyle w:val="Style18"/>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本公司按照固定的周期性利率计算租赁负债在租赁期内各期间的利息费用，并计入当期损益或相关资 产成本。</w:t>
      </w:r>
    </w:p>
    <w:p>
      <w:pPr>
        <w:pStyle w:val="Style18"/>
        <w:keepNext w:val="0"/>
        <w:keepLines w:val="0"/>
        <w:widowControl w:val="0"/>
        <w:shd w:val="clear" w:color="auto" w:fill="auto"/>
        <w:bidi w:val="0"/>
        <w:spacing w:before="0" w:after="0" w:line="315" w:lineRule="exact"/>
        <w:ind w:left="0" w:right="0" w:firstLine="440"/>
        <w:jc w:val="left"/>
      </w:pPr>
      <w:r>
        <w:rPr>
          <w:color w:val="000000"/>
          <w:spacing w:val="0"/>
          <w:w w:val="100"/>
          <w:position w:val="0"/>
        </w:rPr>
        <w:t>未纳入租赁负债计量的可变租赁付款额在实际发生时计入当期损益或相关资产成本。</w:t>
      </w:r>
    </w:p>
    <w:p>
      <w:pPr>
        <w:pStyle w:val="Style18"/>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在租赁期开始日后，发生下列情形的，本公司重新计量租赁负债，并调整相应的使用权资产，若使用 权资产的账面价值已调减至零，但租赁负债仍需进一步调减的，将差额计入当期损益：</w:t>
      </w:r>
    </w:p>
    <w:p>
      <w:pPr>
        <w:pStyle w:val="Style18"/>
        <w:keepNext w:val="0"/>
        <w:keepLines w:val="0"/>
        <w:widowControl w:val="0"/>
        <w:shd w:val="clear" w:color="auto" w:fill="auto"/>
        <w:bidi w:val="0"/>
        <w:spacing w:before="0" w:after="0" w:line="315" w:lineRule="exact"/>
        <w:ind w:left="720" w:right="0" w:hanging="360"/>
        <w:jc w:val="left"/>
      </w:pPr>
      <w:r>
        <w:rPr>
          <w:color w:val="000000"/>
          <w:spacing w:val="0"/>
          <w:w w:val="100"/>
          <w:position w:val="0"/>
        </w:rPr>
        <w:t>•</w:t>
      </w:r>
      <w:r>
        <w:rPr>
          <w:color w:val="000000"/>
          <w:spacing w:val="0"/>
          <w:w w:val="100"/>
          <w:position w:val="0"/>
        </w:rPr>
        <w:t>当购买选择权、续租选择权或终止选择权的评估结果发生变化，或前述选择权的实际行权情况与原 评估结果不一致的，本公司按变动后租赁付款额和修订后的折现率计算的现值重新计量租赁负债；</w:t>
      </w:r>
    </w:p>
    <w:p>
      <w:pPr>
        <w:pStyle w:val="Style18"/>
        <w:keepNext w:val="0"/>
        <w:keepLines w:val="0"/>
        <w:widowControl w:val="0"/>
        <w:shd w:val="clear" w:color="auto" w:fill="auto"/>
        <w:bidi w:val="0"/>
        <w:spacing w:before="0" w:after="280" w:line="315" w:lineRule="exact"/>
        <w:ind w:left="720" w:right="0" w:hanging="360"/>
        <w:jc w:val="left"/>
      </w:pPr>
      <w:r>
        <w:rPr>
          <w:color w:val="000000"/>
          <w:spacing w:val="0"/>
          <w:w w:val="100"/>
          <w:position w:val="0"/>
        </w:rPr>
        <w:t>•</w:t>
      </w:r>
      <w:r>
        <w:rPr>
          <w:color w:val="000000"/>
          <w:spacing w:val="0"/>
          <w:w w:val="100"/>
          <w:position w:val="0"/>
        </w:rPr>
        <w:t>当实质固定付款额发生变动、担保余值预计的应付金额发生变动或用于确定租赁付款额的指数或比 率发生变动，本公司按照变动后的租赁付款额和原折现率计算的现值重新计量租赁负债。但是，租 赁付款额的变动源自浮动利率变动的，使用修订后的折现率计算现值。</w:t>
      </w:r>
    </w:p>
    <w:p>
      <w:pPr>
        <w:pStyle w:val="Style18"/>
        <w:keepNext w:val="0"/>
        <w:keepLines w:val="0"/>
        <w:widowControl w:val="0"/>
        <w:shd w:val="clear" w:color="auto" w:fill="auto"/>
        <w:tabs>
          <w:tab w:pos="493" w:val="left"/>
        </w:tabs>
        <w:bidi w:val="0"/>
        <w:spacing w:before="0" w:after="0" w:line="315" w:lineRule="exact"/>
        <w:ind w:left="0" w:right="0" w:firstLine="0"/>
        <w:jc w:val="left"/>
      </w:pPr>
      <w:bookmarkStart w:id="1094" w:name="bookmark1094"/>
      <w:r>
        <w:rPr>
          <w:color w:val="000000"/>
          <w:spacing w:val="0"/>
          <w:w w:val="100"/>
          <w:position w:val="0"/>
        </w:rPr>
        <w:t>（</w:t>
      </w:r>
      <w:bookmarkEnd w:id="1094"/>
      <w:r>
        <w:rPr>
          <w:rFonts w:ascii="Times New Roman" w:eastAsia="Times New Roman" w:hAnsi="Times New Roman" w:cs="Times New Roman"/>
          <w:color w:val="000000"/>
          <w:spacing w:val="0"/>
          <w:w w:val="100"/>
          <w:position w:val="0"/>
        </w:rPr>
        <w:t>3</w:t>
      </w:r>
      <w:r>
        <w:rPr>
          <w:color w:val="000000"/>
          <w:spacing w:val="0"/>
          <w:w w:val="100"/>
          <w:position w:val="0"/>
        </w:rPr>
        <w:t>）</w:t>
        <w:tab/>
        <w:t>短期租赁和低价值资产租赁</w:t>
      </w:r>
    </w:p>
    <w:p>
      <w:pPr>
        <w:pStyle w:val="Style18"/>
        <w:keepNext w:val="0"/>
        <w:keepLines w:val="0"/>
        <w:widowControl w:val="0"/>
        <w:shd w:val="clear" w:color="auto" w:fill="auto"/>
        <w:bidi w:val="0"/>
        <w:spacing w:before="0" w:after="280" w:line="315" w:lineRule="exact"/>
        <w:ind w:left="0" w:right="0" w:firstLine="440"/>
        <w:jc w:val="left"/>
      </w:pPr>
      <w:r>
        <w:rPr>
          <w:color w:val="000000"/>
          <w:spacing w:val="0"/>
          <w:w w:val="100"/>
          <w:position w:val="0"/>
        </w:rPr>
        <w:t xml:space="preserve">本公司选择对短期租赁和低价值资产租赁不确认使用权资产和租赁负债，并将相关的租赁付款额在租 </w:t>
      </w:r>
      <w:r>
        <w:rPr>
          <w:color w:val="000000"/>
          <w:spacing w:val="0"/>
          <w:w w:val="100"/>
          <w:position w:val="0"/>
        </w:rPr>
        <w:t>赁期内各个期间按照直线法计入当期损益或相关资产成本。短期租赁，是指在租赁期开始日，租赁期不超 过</w:t>
      </w:r>
      <w:r>
        <w:rPr>
          <w:rFonts w:ascii="Times New Roman" w:eastAsia="Times New Roman" w:hAnsi="Times New Roman" w:cs="Times New Roman"/>
          <w:color w:val="000000"/>
          <w:spacing w:val="0"/>
          <w:w w:val="100"/>
          <w:position w:val="0"/>
        </w:rPr>
        <w:t>12</w:t>
      </w:r>
      <w:r>
        <w:rPr>
          <w:color w:val="000000"/>
          <w:spacing w:val="0"/>
          <w:w w:val="100"/>
          <w:position w:val="0"/>
        </w:rPr>
        <w:t>个月且不包含购买选择权的租赁。低价值资产租赁，是指单项租赁资产为全新资产时价值较低的租赁。 公司转租或预期转租租赁资产的，原租赁不属于低价值资产租赁。</w:t>
      </w:r>
    </w:p>
    <w:p>
      <w:pPr>
        <w:pStyle w:val="Style18"/>
        <w:keepNext w:val="0"/>
        <w:keepLines w:val="0"/>
        <w:widowControl w:val="0"/>
        <w:numPr>
          <w:ilvl w:val="0"/>
          <w:numId w:val="19"/>
        </w:numPr>
        <w:shd w:val="clear" w:color="auto" w:fill="auto"/>
        <w:tabs>
          <w:tab w:pos="485" w:val="left"/>
        </w:tabs>
        <w:bidi w:val="0"/>
        <w:spacing w:before="0" w:after="0" w:line="315" w:lineRule="exact"/>
        <w:ind w:left="0" w:right="0" w:firstLine="0"/>
        <w:jc w:val="left"/>
      </w:pPr>
      <w:bookmarkStart w:id="1095" w:name="bookmark1095"/>
      <w:bookmarkEnd w:id="1095"/>
      <w:r>
        <w:rPr>
          <w:color w:val="000000"/>
          <w:spacing w:val="0"/>
          <w:w w:val="100"/>
          <w:position w:val="0"/>
        </w:rPr>
        <w:t>租赁变更</w:t>
      </w:r>
    </w:p>
    <w:p>
      <w:pPr>
        <w:pStyle w:val="Style18"/>
        <w:keepNext w:val="0"/>
        <w:keepLines w:val="0"/>
        <w:widowControl w:val="0"/>
        <w:shd w:val="clear" w:color="auto" w:fill="auto"/>
        <w:bidi w:val="0"/>
        <w:spacing w:before="0" w:after="0" w:line="315" w:lineRule="exact"/>
        <w:ind w:left="0" w:right="0" w:firstLine="440"/>
        <w:jc w:val="left"/>
      </w:pPr>
      <w:r>
        <w:rPr>
          <w:color w:val="000000"/>
          <w:spacing w:val="0"/>
          <w:w w:val="100"/>
          <w:position w:val="0"/>
        </w:rPr>
        <w:t>租赁发生变更且同时符合下列条件的，公司将该租赁变更作为一项单独租赁进行会计处理：</w:t>
      </w:r>
    </w:p>
    <w:p>
      <w:pPr>
        <w:pStyle w:val="Style18"/>
        <w:keepNext w:val="0"/>
        <w:keepLines w:val="0"/>
        <w:widowControl w:val="0"/>
        <w:shd w:val="clear" w:color="auto" w:fill="auto"/>
        <w:bidi w:val="0"/>
        <w:spacing w:before="0" w:after="0" w:line="315" w:lineRule="exact"/>
        <w:ind w:left="0" w:right="0" w:firstLine="360"/>
        <w:jc w:val="left"/>
      </w:pPr>
      <w:r>
        <w:rPr>
          <w:color w:val="000000"/>
          <w:spacing w:val="0"/>
          <w:w w:val="100"/>
          <w:position w:val="0"/>
        </w:rPr>
        <w:t>•</w:t>
      </w:r>
      <w:r>
        <w:rPr>
          <w:color w:val="000000"/>
          <w:spacing w:val="0"/>
          <w:w w:val="100"/>
          <w:position w:val="0"/>
        </w:rPr>
        <w:t>该租赁变更通过增加一项或多项租赁资产的使用权而扩大了租赁范围；</w:t>
      </w:r>
    </w:p>
    <w:p>
      <w:pPr>
        <w:pStyle w:val="Style18"/>
        <w:keepNext w:val="0"/>
        <w:keepLines w:val="0"/>
        <w:widowControl w:val="0"/>
        <w:shd w:val="clear" w:color="auto" w:fill="auto"/>
        <w:bidi w:val="0"/>
        <w:spacing w:before="0" w:after="0" w:line="315" w:lineRule="exact"/>
        <w:ind w:left="0" w:right="0" w:firstLine="360"/>
        <w:jc w:val="left"/>
      </w:pPr>
      <w:r>
        <w:rPr>
          <w:color w:val="000000"/>
          <w:spacing w:val="0"/>
          <w:w w:val="100"/>
          <w:position w:val="0"/>
        </w:rPr>
        <w:t>•</w:t>
      </w:r>
      <w:r>
        <w:rPr>
          <w:color w:val="000000"/>
          <w:spacing w:val="0"/>
          <w:w w:val="100"/>
          <w:position w:val="0"/>
        </w:rPr>
        <w:t>增加的对价与租赁范围扩大部分的单独价格按该合同情况调整后的金额相当。</w:t>
      </w:r>
    </w:p>
    <w:p>
      <w:pPr>
        <w:pStyle w:val="Style18"/>
        <w:keepNext w:val="0"/>
        <w:keepLines w:val="0"/>
        <w:widowControl w:val="0"/>
        <w:shd w:val="clear" w:color="auto" w:fill="auto"/>
        <w:bidi w:val="0"/>
        <w:spacing w:before="0" w:after="0" w:line="315" w:lineRule="exact"/>
        <w:ind w:left="0" w:right="0" w:firstLine="440"/>
        <w:jc w:val="both"/>
      </w:pPr>
      <w:r>
        <w:rPr>
          <w:color w:val="000000"/>
          <w:spacing w:val="0"/>
          <w:w w:val="100"/>
          <w:position w:val="0"/>
        </w:rPr>
        <w:t>租赁变更未作为一项单独租赁进行会计处理的，在租赁变更生效日，公司重新分摊变更后合同的对价， 重新确定租赁期，并按照变更后租赁付款额和修订后的折现率计算的现值重新计量租赁负债。</w:t>
      </w:r>
    </w:p>
    <w:p>
      <w:pPr>
        <w:pStyle w:val="Style18"/>
        <w:keepNext w:val="0"/>
        <w:keepLines w:val="0"/>
        <w:widowControl w:val="0"/>
        <w:shd w:val="clear" w:color="auto" w:fill="auto"/>
        <w:bidi w:val="0"/>
        <w:spacing w:before="0" w:after="280" w:line="315" w:lineRule="exact"/>
        <w:ind w:left="0" w:right="0" w:firstLine="440"/>
        <w:jc w:val="both"/>
      </w:pPr>
      <w:r>
        <w:rPr>
          <w:color w:val="000000"/>
          <w:spacing w:val="0"/>
          <w:w w:val="100"/>
          <w:position w:val="0"/>
        </w:rPr>
        <w:t>租赁变更导致租赁范围缩小或租赁期缩短的，本公司相应调减使用权资产的账面价值，并将部分终止 或完全终止租赁的相关利得或损失计入当期损益。其他租赁变更导致租赁负债重新计量的，本公司相应调 整使用权资产的账面价值。</w:t>
      </w:r>
    </w:p>
    <w:p>
      <w:pPr>
        <w:pStyle w:val="Style18"/>
        <w:keepNext w:val="0"/>
        <w:keepLines w:val="0"/>
        <w:widowControl w:val="0"/>
        <w:numPr>
          <w:ilvl w:val="0"/>
          <w:numId w:val="19"/>
        </w:numPr>
        <w:shd w:val="clear" w:color="auto" w:fill="auto"/>
        <w:tabs>
          <w:tab w:pos="485" w:val="left"/>
        </w:tabs>
        <w:bidi w:val="0"/>
        <w:spacing w:before="0" w:after="0" w:line="312" w:lineRule="exact"/>
        <w:ind w:left="0" w:right="0" w:firstLine="0"/>
        <w:jc w:val="left"/>
      </w:pPr>
      <w:bookmarkStart w:id="1096" w:name="bookmark1096"/>
      <w:bookmarkEnd w:id="1096"/>
      <w:r>
        <w:rPr>
          <w:color w:val="000000"/>
          <w:spacing w:val="0"/>
          <w:w w:val="100"/>
          <w:position w:val="0"/>
        </w:rPr>
        <w:t>新冠肺炎疫情相关的租金减让</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对于采用新冠肺炎疫情相关租金减让简化方法的，本公司不评估是否发生租赁变更，继续按照与减让 前一致的折现率计算租赁负债的利息费用并计入当期损益，继续按照与减让前一致的方法对使用权资产进 行计提折旧。发生租金减免的，本公司将减免的租金作为可变租赁付款额，在达成减让协议等解除原租金 支付义务时，按未折现或减让前折现率折现金额冲减相关资产成本或费用，同时相应调整租赁负债；延期 支付租金的，本公司在实际支付时冲减前期确认的租赁负债。</w:t>
      </w:r>
    </w:p>
    <w:p>
      <w:pPr>
        <w:pStyle w:val="Style18"/>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对于短期租赁和低价值资产租赁，本公司继续按照与减让前一致的方法将原合同租金计入相关资产成 本或费用。发生租金减免的，本公司将减免的租金作为可变租赁付款额，在减免期间冲减相关资产成本或 费用；延期支付租金的，本公司在原支付期间将应支付的租金确认为应付款项，在实际支付时冲减前期确 认的应付款项。</w:t>
      </w:r>
    </w:p>
    <w:p>
      <w:pPr>
        <w:pStyle w:val="Style18"/>
        <w:keepNext w:val="0"/>
        <w:keepLines w:val="0"/>
        <w:widowControl w:val="0"/>
        <w:shd w:val="clear" w:color="auto" w:fill="auto"/>
        <w:bidi w:val="0"/>
        <w:spacing w:before="0" w:after="0" w:line="329"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、本公司作为出租人</w:t>
      </w:r>
    </w:p>
    <w:p>
      <w:pPr>
        <w:pStyle w:val="Style18"/>
        <w:keepNext w:val="0"/>
        <w:keepLines w:val="0"/>
        <w:widowControl w:val="0"/>
        <w:shd w:val="clear" w:color="auto" w:fill="auto"/>
        <w:bidi w:val="0"/>
        <w:spacing w:before="0" w:after="280" w:line="314" w:lineRule="exact"/>
        <w:ind w:left="0" w:right="0" w:firstLine="440"/>
        <w:jc w:val="left"/>
      </w:pPr>
      <w:r>
        <w:rPr>
          <w:color w:val="000000"/>
          <w:spacing w:val="0"/>
          <w:w w:val="100"/>
          <w:position w:val="0"/>
        </w:rPr>
        <w:t>在租赁开始日，本公司将租赁分为融资租赁和经营租赁。融资租赁，是指无论所有权最终是否转移， 但实质上转移了与租赁资产所有权有关的几乎全部风险和报酬的租赁。经营租赁，是指除融资租赁以外的 其他租赁。本公司作为转租出租人时，基于原租赁产生的使用权资产对转租赁进行分类。</w:t>
      </w:r>
    </w:p>
    <w:p>
      <w:pPr>
        <w:pStyle w:val="Style18"/>
        <w:keepNext w:val="0"/>
        <w:keepLines w:val="0"/>
        <w:widowControl w:val="0"/>
        <w:numPr>
          <w:ilvl w:val="0"/>
          <w:numId w:val="25"/>
        </w:numPr>
        <w:shd w:val="clear" w:color="auto" w:fill="auto"/>
        <w:tabs>
          <w:tab w:pos="485" w:val="left"/>
        </w:tabs>
        <w:bidi w:val="0"/>
        <w:spacing w:before="0" w:after="0" w:line="314" w:lineRule="exact"/>
        <w:ind w:left="0" w:right="0" w:firstLine="0"/>
        <w:jc w:val="left"/>
      </w:pPr>
      <w:bookmarkStart w:id="1097" w:name="bookmark1097"/>
      <w:bookmarkEnd w:id="1097"/>
      <w:r>
        <w:rPr>
          <w:color w:val="000000"/>
          <w:spacing w:val="0"/>
          <w:w w:val="100"/>
          <w:position w:val="0"/>
        </w:rPr>
        <w:t>经营租赁会计处理</w:t>
      </w:r>
    </w:p>
    <w:p>
      <w:pPr>
        <w:pStyle w:val="Style18"/>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经营租赁的租赁收款额在租赁期内各个期间按照直线法确认为租金收入。本公司将发生的与经营租赁 有关的初始直接费用予以资本化，在租赁期内按照与租金收入确认相同的基础分摊计入当期损益。未计入 租赁收款额的可变租赁付款额在实际发生时计入当期损益。经营租赁发生变更的，公司自变更生效日起将 其作为一项新租赁进行会计处理，与变更前租赁有关的预收或应收租赁收款额视为新租赁的收款额。</w:t>
      </w:r>
    </w:p>
    <w:p>
      <w:pPr>
        <w:pStyle w:val="Style18"/>
        <w:keepNext w:val="0"/>
        <w:keepLines w:val="0"/>
        <w:widowControl w:val="0"/>
        <w:numPr>
          <w:ilvl w:val="0"/>
          <w:numId w:val="25"/>
        </w:numPr>
        <w:shd w:val="clear" w:color="auto" w:fill="auto"/>
        <w:tabs>
          <w:tab w:pos="485" w:val="left"/>
        </w:tabs>
        <w:bidi w:val="0"/>
        <w:spacing w:before="0" w:after="0" w:line="315" w:lineRule="exact"/>
        <w:ind w:left="0" w:right="0" w:firstLine="0"/>
        <w:jc w:val="left"/>
      </w:pPr>
      <w:bookmarkStart w:id="1098" w:name="bookmark1098"/>
      <w:bookmarkEnd w:id="1098"/>
      <w:r>
        <w:rPr>
          <w:color w:val="000000"/>
          <w:spacing w:val="0"/>
          <w:w w:val="100"/>
          <w:position w:val="0"/>
        </w:rPr>
        <w:t>融资租赁会计处理</w:t>
      </w:r>
    </w:p>
    <w:p>
      <w:pPr>
        <w:pStyle w:val="Style18"/>
        <w:keepNext w:val="0"/>
        <w:keepLines w:val="0"/>
        <w:widowControl w:val="0"/>
        <w:shd w:val="clear" w:color="auto" w:fill="auto"/>
        <w:bidi w:val="0"/>
        <w:spacing w:before="0" w:after="0" w:line="315" w:lineRule="exact"/>
        <w:ind w:left="0" w:right="0" w:firstLine="440"/>
        <w:jc w:val="left"/>
      </w:pPr>
      <w:r>
        <w:rPr>
          <w:color w:val="000000"/>
          <w:spacing w:val="0"/>
          <w:w w:val="100"/>
          <w:position w:val="0"/>
        </w:rPr>
        <w:t>在租赁开始日，本公司对融资租赁确认应收融资租赁款，并终止确认融资租赁资产。本公司对应收融 资租赁款进行初始计量时，将租赁投资净额作为应收融资租赁款的入账价值。租赁投资净额为未担保余值 和租赁期开始日尚未收到的租赁收款额按照租赁内含利率折现的现值之和。</w:t>
      </w:r>
    </w:p>
    <w:p>
      <w:pPr>
        <w:pStyle w:val="Style18"/>
        <w:keepNext w:val="0"/>
        <w:keepLines w:val="0"/>
        <w:widowControl w:val="0"/>
        <w:shd w:val="clear" w:color="auto" w:fill="auto"/>
        <w:bidi w:val="0"/>
        <w:spacing w:before="0" w:after="0" w:line="315" w:lineRule="exact"/>
        <w:ind w:left="0" w:right="0" w:firstLine="440"/>
        <w:jc w:val="left"/>
      </w:pPr>
      <w:r>
        <w:rPr>
          <w:color w:val="000000"/>
          <w:spacing w:val="0"/>
          <w:w w:val="100"/>
          <w:position w:val="0"/>
        </w:rPr>
        <w:t>本公司按照固定的周期性利率计算并确认租赁期内各个期间的利息收入。应收融资租赁款的终止确认 和减值按照本附注</w:t>
      </w:r>
      <w:r>
        <w:rPr>
          <w:rFonts w:ascii="Times New Roman" w:eastAsia="Times New Roman" w:hAnsi="Times New Roman" w:cs="Times New Roman"/>
          <w:color w:val="000000"/>
          <w:spacing w:val="0"/>
          <w:w w:val="100"/>
          <w:position w:val="0"/>
        </w:rPr>
        <w:t>“</w:t>
      </w:r>
      <w:r>
        <w:rPr>
          <w:color w:val="000000"/>
          <w:spacing w:val="0"/>
          <w:w w:val="100"/>
          <w:position w:val="0"/>
        </w:rPr>
        <w:t>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进行会计处理。</w:t>
      </w:r>
    </w:p>
    <w:p>
      <w:pPr>
        <w:pStyle w:val="Style18"/>
        <w:keepNext w:val="0"/>
        <w:keepLines w:val="0"/>
        <w:widowControl w:val="0"/>
        <w:shd w:val="clear" w:color="auto" w:fill="auto"/>
        <w:bidi w:val="0"/>
        <w:spacing w:before="0" w:after="0" w:line="315" w:lineRule="exact"/>
        <w:ind w:left="0" w:right="0" w:firstLine="440"/>
        <w:jc w:val="left"/>
      </w:pPr>
      <w:r>
        <w:rPr>
          <w:color w:val="000000"/>
          <w:spacing w:val="0"/>
          <w:w w:val="100"/>
          <w:position w:val="0"/>
        </w:rPr>
        <w:t>未纳入租赁投资净额计量的可变租赁付款额在实际发生时计入当期损益。</w:t>
      </w:r>
    </w:p>
    <w:p>
      <w:pPr>
        <w:pStyle w:val="Style18"/>
        <w:keepNext w:val="0"/>
        <w:keepLines w:val="0"/>
        <w:widowControl w:val="0"/>
        <w:shd w:val="clear" w:color="auto" w:fill="auto"/>
        <w:bidi w:val="0"/>
        <w:spacing w:before="0" w:after="280" w:line="315" w:lineRule="exact"/>
        <w:ind w:left="0" w:right="0" w:firstLine="440"/>
        <w:jc w:val="left"/>
      </w:pPr>
      <w:r>
        <w:rPr>
          <w:color w:val="000000"/>
          <w:spacing w:val="0"/>
          <w:w w:val="100"/>
          <w:position w:val="0"/>
        </w:rPr>
        <w:t>融资租赁发生变更且同时符合下列条件的，本公司将该变更作为一项单独租赁进行会计处理：</w:t>
      </w:r>
    </w:p>
    <w:p>
      <w:pPr>
        <w:pStyle w:val="Style18"/>
        <w:keepNext w:val="0"/>
        <w:keepLines w:val="0"/>
        <w:widowControl w:val="0"/>
        <w:shd w:val="clear" w:color="auto" w:fill="auto"/>
        <w:bidi w:val="0"/>
        <w:spacing w:before="0" w:after="0" w:line="309" w:lineRule="exact"/>
        <w:ind w:left="0" w:right="0" w:firstLine="360"/>
        <w:jc w:val="left"/>
      </w:pPr>
      <w:r>
        <w:rPr>
          <w:color w:val="000000"/>
          <w:spacing w:val="0"/>
          <w:w w:val="100"/>
          <w:position w:val="0"/>
        </w:rPr>
        <w:t>•</w:t>
      </w:r>
      <w:r>
        <w:rPr>
          <w:color w:val="000000"/>
          <w:spacing w:val="0"/>
          <w:w w:val="100"/>
          <w:position w:val="0"/>
        </w:rPr>
        <w:t>该变更通过增加一项或多项租赁资产的使用权而扩大了租赁范围；</w:t>
      </w:r>
    </w:p>
    <w:p>
      <w:pPr>
        <w:pStyle w:val="Style18"/>
        <w:keepNext w:val="0"/>
        <w:keepLines w:val="0"/>
        <w:widowControl w:val="0"/>
        <w:shd w:val="clear" w:color="auto" w:fill="auto"/>
        <w:bidi w:val="0"/>
        <w:spacing w:before="0" w:after="0" w:line="309" w:lineRule="exact"/>
        <w:ind w:left="0" w:right="0" w:firstLine="360"/>
        <w:jc w:val="left"/>
      </w:pPr>
      <w:r>
        <w:rPr>
          <w:color w:val="000000"/>
          <w:spacing w:val="0"/>
          <w:w w:val="100"/>
          <w:position w:val="0"/>
        </w:rPr>
        <w:t>•</w:t>
      </w:r>
      <w:r>
        <w:rPr>
          <w:color w:val="000000"/>
          <w:spacing w:val="0"/>
          <w:w w:val="100"/>
          <w:position w:val="0"/>
        </w:rPr>
        <w:t>增加的对价与租赁范围扩大部分的单独价格按该合同情况调整后的金额相当。</w:t>
      </w:r>
    </w:p>
    <w:p>
      <w:pPr>
        <w:pStyle w:val="Style18"/>
        <w:keepNext w:val="0"/>
        <w:keepLines w:val="0"/>
        <w:widowControl w:val="0"/>
        <w:shd w:val="clear" w:color="auto" w:fill="auto"/>
        <w:bidi w:val="0"/>
        <w:spacing w:before="0" w:after="0" w:line="309" w:lineRule="exact"/>
        <w:ind w:left="720" w:right="0" w:firstLine="20"/>
        <w:jc w:val="both"/>
      </w:pPr>
      <w:r>
        <w:rPr>
          <w:color w:val="000000"/>
          <w:spacing w:val="0"/>
          <w:w w:val="100"/>
          <w:position w:val="0"/>
        </w:rPr>
        <w:t>融资租赁的变更未作为一项单独租赁进行会计处理的，本公司分别下列情形对变更后的租赁进行处 理：</w:t>
      </w:r>
    </w:p>
    <w:p>
      <w:pPr>
        <w:pStyle w:val="Style18"/>
        <w:keepNext w:val="0"/>
        <w:keepLines w:val="0"/>
        <w:widowControl w:val="0"/>
        <w:shd w:val="clear" w:color="auto" w:fill="auto"/>
        <w:bidi w:val="0"/>
        <w:spacing w:before="0" w:after="0" w:line="309" w:lineRule="exact"/>
        <w:ind w:left="720" w:right="0" w:hanging="360"/>
        <w:jc w:val="both"/>
      </w:pPr>
      <w:r>
        <w:rPr>
          <w:color w:val="000000"/>
          <w:spacing w:val="0"/>
          <w:w w:val="100"/>
          <w:position w:val="0"/>
        </w:rPr>
        <w:t>•</w:t>
      </w:r>
      <w:r>
        <w:rPr>
          <w:color w:val="000000"/>
          <w:spacing w:val="0"/>
          <w:w w:val="100"/>
          <w:position w:val="0"/>
        </w:rPr>
        <w:t>假如变更在租赁开始日生效，该租赁会被分类为经营租赁的，本公司自租赁变更生效日开始将其作 为一项新租赁进行会计处理，并以租赁变更生效日前的租赁投资净额作为租赁资产的账面价值；</w:t>
      </w:r>
    </w:p>
    <w:p>
      <w:pPr>
        <w:pStyle w:val="Style18"/>
        <w:keepNext w:val="0"/>
        <w:keepLines w:val="0"/>
        <w:widowControl w:val="0"/>
        <w:shd w:val="clear" w:color="auto" w:fill="auto"/>
        <w:bidi w:val="0"/>
        <w:spacing w:before="0" w:after="280" w:line="309" w:lineRule="exact"/>
        <w:ind w:left="720" w:right="0" w:hanging="360"/>
        <w:jc w:val="both"/>
      </w:pPr>
      <w:r>
        <w:rPr>
          <w:color w:val="000000"/>
          <w:spacing w:val="0"/>
          <w:w w:val="100"/>
          <w:position w:val="0"/>
        </w:rPr>
        <w:t>•</w:t>
      </w:r>
      <w:r>
        <w:rPr>
          <w:color w:val="000000"/>
          <w:spacing w:val="0"/>
          <w:w w:val="100"/>
          <w:position w:val="0"/>
        </w:rPr>
        <w:t>假如变更在租赁开始日生效，该租赁会被分类为融资租赁的，本公司按照本附注</w:t>
      </w:r>
      <w:r>
        <w:rPr>
          <w:rFonts w:ascii="Times New Roman" w:eastAsia="Times New Roman" w:hAnsi="Times New Roman" w:cs="Times New Roman"/>
          <w:color w:val="000000"/>
          <w:spacing w:val="0"/>
          <w:w w:val="100"/>
          <w:position w:val="0"/>
        </w:rPr>
        <w:t>“</w:t>
      </w:r>
      <w:r>
        <w:rPr>
          <w:color w:val="000000"/>
          <w:spacing w:val="0"/>
          <w:w w:val="100"/>
          <w:position w:val="0"/>
        </w:rPr>
        <w:t>五、</w:t>
      </w:r>
      <w:r>
        <w:rPr>
          <w:rFonts w:ascii="Times New Roman" w:eastAsia="Times New Roman" w:hAnsi="Times New Roman" w:cs="Times New Roman"/>
          <w:color w:val="000000"/>
          <w:spacing w:val="0"/>
          <w:w w:val="100"/>
          <w:position w:val="0"/>
        </w:rPr>
        <w:t>10</w:t>
      </w:r>
      <w:r>
        <w:rPr>
          <w:color w:val="000000"/>
          <w:spacing w:val="0"/>
          <w:w w:val="100"/>
          <w:position w:val="0"/>
        </w:rPr>
        <w:t>、金融工 具</w:t>
      </w:r>
      <w:r>
        <w:rPr>
          <w:rFonts w:ascii="Times New Roman" w:eastAsia="Times New Roman" w:hAnsi="Times New Roman" w:cs="Times New Roman"/>
          <w:color w:val="000000"/>
          <w:spacing w:val="0"/>
          <w:w w:val="100"/>
          <w:position w:val="0"/>
        </w:rPr>
        <w:t>”</w:t>
      </w:r>
      <w:r>
        <w:rPr>
          <w:color w:val="000000"/>
          <w:spacing w:val="0"/>
          <w:w w:val="100"/>
          <w:position w:val="0"/>
        </w:rPr>
        <w:t>关于修改或重新议定合同的政策进行会计处理。</w:t>
      </w:r>
    </w:p>
    <w:p>
      <w:pPr>
        <w:pStyle w:val="Style18"/>
        <w:keepNext w:val="0"/>
        <w:keepLines w:val="0"/>
        <w:widowControl w:val="0"/>
        <w:shd w:val="clear" w:color="auto" w:fill="auto"/>
        <w:bidi w:val="0"/>
        <w:spacing w:before="0" w:after="0" w:line="313" w:lineRule="exact"/>
        <w:ind w:left="0" w:right="0" w:firstLine="0"/>
        <w:jc w:val="left"/>
      </w:pPr>
      <w:bookmarkStart w:id="1099" w:name="bookmark1099"/>
      <w:r>
        <w:rPr>
          <w:color w:val="000000"/>
          <w:spacing w:val="0"/>
          <w:w w:val="100"/>
          <w:position w:val="0"/>
        </w:rPr>
        <w:t>（</w:t>
      </w:r>
      <w:bookmarkEnd w:id="1099"/>
      <w:r>
        <w:rPr>
          <w:rFonts w:ascii="Times New Roman" w:eastAsia="Times New Roman" w:hAnsi="Times New Roman" w:cs="Times New Roman"/>
          <w:color w:val="000000"/>
          <w:spacing w:val="0"/>
          <w:w w:val="100"/>
          <w:position w:val="0"/>
        </w:rPr>
        <w:t>3</w:t>
      </w:r>
      <w:r>
        <w:rPr>
          <w:color w:val="000000"/>
          <w:spacing w:val="0"/>
          <w:w w:val="100"/>
          <w:position w:val="0"/>
        </w:rPr>
        <w:t>）新冠肺炎疫情相关的租金减让</w:t>
      </w:r>
    </w:p>
    <w:p>
      <w:pPr>
        <w:pStyle w:val="Style18"/>
        <w:keepNext w:val="0"/>
        <w:keepLines w:val="0"/>
        <w:widowControl w:val="0"/>
        <w:shd w:val="clear" w:color="auto" w:fill="auto"/>
        <w:bidi w:val="0"/>
        <w:spacing w:before="0" w:after="0" w:line="313" w:lineRule="exact"/>
        <w:ind w:left="720" w:right="0" w:hanging="360"/>
        <w:jc w:val="both"/>
      </w:pPr>
      <w:r>
        <w:rPr>
          <w:color w:val="000000"/>
          <w:spacing w:val="0"/>
          <w:w w:val="100"/>
          <w:position w:val="0"/>
        </w:rPr>
        <w:t>•</w:t>
      </w:r>
      <w:r>
        <w:rPr>
          <w:color w:val="000000"/>
          <w:spacing w:val="0"/>
          <w:w w:val="100"/>
          <w:position w:val="0"/>
        </w:rPr>
        <w:t>对于采用新冠肺炎疫情相关租金减让简化方法的经营租赁，本公司继续按照与减让前一致的方法将 原合同租金确认为租赁收入；发生租金减免的，本公司将减免的租金作为可变租赁付款额，在减免 期间冲减租赁收入；延期收取租金的，本公司在原收取期间将应收取的租金确认为应收款项，并在 实际收到时冲减前期确认的应收款项。</w:t>
      </w:r>
    </w:p>
    <w:p>
      <w:pPr>
        <w:pStyle w:val="Style18"/>
        <w:keepNext w:val="0"/>
        <w:keepLines w:val="0"/>
        <w:widowControl w:val="0"/>
        <w:shd w:val="clear" w:color="auto" w:fill="auto"/>
        <w:bidi w:val="0"/>
        <w:spacing w:before="0" w:after="380" w:line="313" w:lineRule="exact"/>
        <w:ind w:left="720" w:right="0" w:hanging="360"/>
        <w:jc w:val="both"/>
      </w:pPr>
      <w:r>
        <w:rPr>
          <w:color w:val="000000"/>
          <w:spacing w:val="0"/>
          <w:w w:val="100"/>
          <w:position w:val="0"/>
        </w:rPr>
        <w:t>•</w:t>
      </w:r>
      <w:r>
        <w:rPr>
          <w:color w:val="000000"/>
          <w:spacing w:val="0"/>
          <w:w w:val="100"/>
          <w:position w:val="0"/>
        </w:rPr>
        <w:t>对于采用新冠肺炎疫情相关租金减让简化方法的融资租赁，本公司继续按照与减让前一致的折现率 计算利息并确认为租赁收入。发生租金减免的，本公司将减免的租金作为可变租赁付款额，在达成 减让协议等放弃原租金收取权利时，按未折现或减让前折现率折现金额冲减原确认的租赁收入，不 足冲减的部分计入投资收益，同时相应调整应收融资租赁款；延期收取租金的，本公司在实际收到 时冲减前期确认的应收融资租赁款。</w:t>
      </w:r>
    </w:p>
    <w:p>
      <w:pPr>
        <w:pStyle w:val="Style18"/>
        <w:keepNext w:val="0"/>
        <w:keepLines w:val="0"/>
        <w:widowControl w:val="0"/>
        <w:shd w:val="clear" w:color="auto" w:fill="auto"/>
        <w:bidi w:val="0"/>
        <w:spacing w:before="0" w:after="0" w:line="324" w:lineRule="auto"/>
        <w:ind w:left="0" w:right="0" w:firstLine="0"/>
        <w:jc w:val="left"/>
      </w:pPr>
      <w:bookmarkStart w:id="1100" w:name="bookmark1100"/>
      <w:r>
        <w:rPr>
          <w:rFonts w:ascii="Times New Roman" w:eastAsia="Times New Roman" w:hAnsi="Times New Roman" w:cs="Times New Roman"/>
          <w:b/>
          <w:bCs/>
          <w:color w:val="000000"/>
          <w:spacing w:val="0"/>
          <w:w w:val="100"/>
          <w:position w:val="0"/>
        </w:rPr>
        <w:t>3</w:t>
      </w:r>
      <w:bookmarkEnd w:id="1100"/>
      <w:r>
        <w:rPr>
          <w:b/>
          <w:bCs/>
          <w:color w:val="000000"/>
          <w:spacing w:val="0"/>
          <w:w w:val="100"/>
          <w:position w:val="0"/>
        </w:rPr>
        <w:t>、售后租回交易</w:t>
      </w:r>
    </w:p>
    <w:p>
      <w:pPr>
        <w:pStyle w:val="Style18"/>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公司按照本附注</w:t>
      </w:r>
      <w:r>
        <w:rPr>
          <w:rFonts w:ascii="Times New Roman" w:eastAsia="Times New Roman" w:hAnsi="Times New Roman" w:cs="Times New Roman"/>
          <w:color w:val="000000"/>
          <w:spacing w:val="0"/>
          <w:w w:val="100"/>
          <w:position w:val="0"/>
        </w:rPr>
        <w:t>“</w:t>
      </w:r>
      <w:r>
        <w:rPr>
          <w:color w:val="000000"/>
          <w:spacing w:val="0"/>
          <w:w w:val="100"/>
          <w:position w:val="0"/>
        </w:rPr>
        <w:t>五、</w:t>
      </w:r>
      <w:r>
        <w:rPr>
          <w:rFonts w:ascii="Times New Roman" w:eastAsia="Times New Roman" w:hAnsi="Times New Roman" w:cs="Times New Roman"/>
          <w:color w:val="000000"/>
          <w:spacing w:val="0"/>
          <w:w w:val="100"/>
          <w:position w:val="0"/>
        </w:rPr>
        <w:t>39</w:t>
      </w:r>
      <w:r>
        <w:rPr>
          <w:color w:val="000000"/>
          <w:spacing w:val="0"/>
          <w:w w:val="100"/>
          <w:position w:val="0"/>
        </w:rPr>
        <w:t>、收入</w:t>
      </w:r>
      <w:r>
        <w:rPr>
          <w:rFonts w:ascii="Times New Roman" w:eastAsia="Times New Roman" w:hAnsi="Times New Roman" w:cs="Times New Roman"/>
          <w:color w:val="000000"/>
          <w:spacing w:val="0"/>
          <w:w w:val="100"/>
          <w:position w:val="0"/>
        </w:rPr>
        <w:t>”</w:t>
      </w:r>
      <w:r>
        <w:rPr>
          <w:color w:val="000000"/>
          <w:spacing w:val="0"/>
          <w:w w:val="100"/>
          <w:position w:val="0"/>
        </w:rPr>
        <w:t>所述原则评估确定售后租回交易中的资产转让是否属于销售。</w:t>
      </w:r>
    </w:p>
    <w:p>
      <w:pPr>
        <w:pStyle w:val="Style18"/>
        <w:keepNext w:val="0"/>
        <w:keepLines w:val="0"/>
        <w:widowControl w:val="0"/>
        <w:shd w:val="clear" w:color="auto" w:fill="auto"/>
        <w:tabs>
          <w:tab w:pos="485" w:val="left"/>
        </w:tabs>
        <w:bidi w:val="0"/>
        <w:spacing w:before="0" w:after="0" w:line="311" w:lineRule="exact"/>
        <w:ind w:left="0" w:right="0" w:firstLine="0"/>
        <w:jc w:val="left"/>
      </w:pPr>
      <w:bookmarkStart w:id="1101" w:name="bookmark1101"/>
      <w:r>
        <w:rPr>
          <w:color w:val="000000"/>
          <w:spacing w:val="0"/>
          <w:w w:val="100"/>
          <w:position w:val="0"/>
        </w:rPr>
        <w:t>（</w:t>
      </w:r>
      <w:bookmarkEnd w:id="1101"/>
      <w:r>
        <w:rPr>
          <w:rFonts w:ascii="Times New Roman" w:eastAsia="Times New Roman" w:hAnsi="Times New Roman" w:cs="Times New Roman"/>
          <w:color w:val="000000"/>
          <w:spacing w:val="0"/>
          <w:w w:val="100"/>
          <w:position w:val="0"/>
        </w:rPr>
        <w:t>1</w:t>
      </w:r>
      <w:r>
        <w:rPr>
          <w:color w:val="000000"/>
          <w:spacing w:val="0"/>
          <w:w w:val="100"/>
          <w:position w:val="0"/>
        </w:rPr>
        <w:t>）</w:t>
        <w:tab/>
        <w:t>作为承租人</w:t>
      </w:r>
    </w:p>
    <w:p>
      <w:pPr>
        <w:pStyle w:val="Style1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售后租回交易中的资产转让属于销售的，公司作为承租人按原资产账面价值中与租回获得的使用权有 关的部分，计量售后租回所形成的使用权资产，并仅就转让至出租人的权利确认相关利得或损失；售后租 回交易中的资产转让不属于销售的，公司作为承租人继续确认被转让资产，同时确认一项与转让收入等额 的金融负债。金融负债的会计处理详见本附注</w:t>
      </w:r>
      <w:r>
        <w:rPr>
          <w:rFonts w:ascii="Times New Roman" w:eastAsia="Times New Roman" w:hAnsi="Times New Roman" w:cs="Times New Roman"/>
          <w:color w:val="000000"/>
          <w:spacing w:val="0"/>
          <w:w w:val="100"/>
          <w:position w:val="0"/>
        </w:rPr>
        <w:t>“</w:t>
      </w:r>
      <w:r>
        <w:rPr>
          <w:color w:val="000000"/>
          <w:spacing w:val="0"/>
          <w:w w:val="100"/>
          <w:position w:val="0"/>
        </w:rPr>
        <w:t>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8"/>
        <w:keepNext w:val="0"/>
        <w:keepLines w:val="0"/>
        <w:widowControl w:val="0"/>
        <w:shd w:val="clear" w:color="auto" w:fill="auto"/>
        <w:tabs>
          <w:tab w:pos="485" w:val="left"/>
        </w:tabs>
        <w:bidi w:val="0"/>
        <w:spacing w:before="0" w:after="0" w:line="311" w:lineRule="exact"/>
        <w:ind w:left="0" w:right="0" w:firstLine="0"/>
        <w:jc w:val="left"/>
      </w:pPr>
      <w:bookmarkStart w:id="1102" w:name="bookmark1102"/>
      <w:r>
        <w:rPr>
          <w:color w:val="000000"/>
          <w:spacing w:val="0"/>
          <w:w w:val="100"/>
          <w:position w:val="0"/>
        </w:rPr>
        <w:t>（</w:t>
      </w:r>
      <w:bookmarkEnd w:id="1102"/>
      <w:r>
        <w:rPr>
          <w:rFonts w:ascii="Times New Roman" w:eastAsia="Times New Roman" w:hAnsi="Times New Roman" w:cs="Times New Roman"/>
          <w:color w:val="000000"/>
          <w:spacing w:val="0"/>
          <w:w w:val="100"/>
          <w:position w:val="0"/>
        </w:rPr>
        <w:t>2</w:t>
      </w:r>
      <w:r>
        <w:rPr>
          <w:color w:val="000000"/>
          <w:spacing w:val="0"/>
          <w:w w:val="100"/>
          <w:position w:val="0"/>
        </w:rPr>
        <w:t>）</w:t>
        <w:tab/>
        <w:t>作为出租人</w:t>
      </w:r>
    </w:p>
    <w:p>
      <w:pPr>
        <w:pStyle w:val="Style18"/>
        <w:keepNext w:val="0"/>
        <w:keepLines w:val="0"/>
        <w:widowControl w:val="0"/>
        <w:shd w:val="clear" w:color="auto" w:fill="auto"/>
        <w:bidi w:val="0"/>
        <w:spacing w:before="0" w:after="380" w:line="311" w:lineRule="exact"/>
        <w:ind w:left="0" w:right="0" w:firstLine="440"/>
        <w:jc w:val="left"/>
      </w:pPr>
      <w:r>
        <w:rPr>
          <w:color w:val="000000"/>
          <w:spacing w:val="0"/>
          <w:w w:val="100"/>
          <w:position w:val="0"/>
        </w:rPr>
        <w:t>售后租回交易中的资产转让属于销售的，公司作为出租人对资产购买进行会计处理，并根据前述</w:t>
      </w:r>
      <w:r>
        <w:rPr>
          <w:rFonts w:ascii="Times New Roman" w:eastAsia="Times New Roman" w:hAnsi="Times New Roman" w:cs="Times New Roman"/>
          <w:color w:val="000000"/>
          <w:spacing w:val="0"/>
          <w:w w:val="100"/>
          <w:position w:val="0"/>
        </w:rPr>
        <w:t>“2</w:t>
      </w:r>
      <w:r>
        <w:rPr>
          <w:color w:val="000000"/>
          <w:spacing w:val="0"/>
          <w:w w:val="100"/>
          <w:position w:val="0"/>
        </w:rPr>
        <w:t>、 本公司作为出租人</w:t>
      </w:r>
      <w:r>
        <w:rPr>
          <w:rFonts w:ascii="Times New Roman" w:eastAsia="Times New Roman" w:hAnsi="Times New Roman" w:cs="Times New Roman"/>
          <w:color w:val="000000"/>
          <w:spacing w:val="0"/>
          <w:w w:val="100"/>
          <w:position w:val="0"/>
        </w:rPr>
        <w:t>”</w:t>
      </w:r>
      <w:r>
        <w:rPr>
          <w:color w:val="000000"/>
          <w:spacing w:val="0"/>
          <w:w w:val="100"/>
          <w:position w:val="0"/>
        </w:rPr>
        <w:t>的政策对资产出租进行会计处理；售后租回交易中的资产转让不属于销售的，公司作 为出租人不确认被转让资产，但确认一项与转让收入等额的金融资产。金融资产的会计处理详见本附注</w:t>
      </w:r>
      <w:r>
        <w:rPr>
          <w:rFonts w:ascii="Times New Roman" w:eastAsia="Times New Roman" w:hAnsi="Times New Roman" w:cs="Times New Roman"/>
          <w:color w:val="000000"/>
          <w:spacing w:val="0"/>
          <w:w w:val="100"/>
          <w:position w:val="0"/>
        </w:rPr>
        <w:t>“</w:t>
      </w:r>
      <w:r>
        <w:rPr>
          <w:color w:val="000000"/>
          <w:spacing w:val="0"/>
          <w:w w:val="100"/>
          <w:position w:val="0"/>
        </w:rPr>
        <w:t xml:space="preserve">五、 </w:t>
      </w:r>
      <w:r>
        <w:rPr>
          <w:rFonts w:ascii="Times New Roman" w:eastAsia="Times New Roman" w:hAnsi="Times New Roman" w:cs="Times New Roman"/>
          <w:color w:val="000000"/>
          <w:spacing w:val="0"/>
          <w:w w:val="100"/>
          <w:position w:val="0"/>
        </w:rPr>
        <w:t>10</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8"/>
        <w:keepNext w:val="0"/>
        <w:keepLines w:val="0"/>
        <w:widowControl w:val="0"/>
        <w:shd w:val="clear" w:color="auto" w:fill="auto"/>
        <w:bidi w:val="0"/>
        <w:spacing w:before="0" w:after="0" w:line="324" w:lineRule="auto"/>
        <w:ind w:left="0" w:right="0" w:firstLine="720"/>
        <w:jc w:val="both"/>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日前的会计政策</w:t>
      </w:r>
    </w:p>
    <w:p>
      <w:pPr>
        <w:pStyle w:val="Style18"/>
        <w:keepNext w:val="0"/>
        <w:keepLines w:val="0"/>
        <w:widowControl w:val="0"/>
        <w:shd w:val="clear" w:color="auto" w:fill="auto"/>
        <w:bidi w:val="0"/>
        <w:spacing w:before="0" w:after="0" w:line="304" w:lineRule="exact"/>
        <w:ind w:left="720" w:right="0" w:firstLine="420"/>
        <w:jc w:val="both"/>
      </w:pPr>
      <w:r>
        <w:rPr>
          <w:color w:val="000000"/>
          <w:spacing w:val="0"/>
          <w:w w:val="100"/>
          <w:position w:val="0"/>
        </w:rPr>
        <w:t>租赁分为融资租赁和经营租赁。融资租赁是指实质上转移了与资产所有权有关的全部风险和 报酬的租赁。经营租赁是指除融资租赁以外的其他租赁。</w:t>
      </w:r>
    </w:p>
    <w:p>
      <w:pPr>
        <w:pStyle w:val="Style18"/>
        <w:keepNext w:val="0"/>
        <w:keepLines w:val="0"/>
        <w:widowControl w:val="0"/>
        <w:shd w:val="clear" w:color="auto" w:fill="auto"/>
        <w:bidi w:val="0"/>
        <w:spacing w:before="0" w:after="0" w:line="304" w:lineRule="exact"/>
        <w:ind w:left="720" w:right="0" w:firstLine="20"/>
        <w:jc w:val="both"/>
      </w:pPr>
      <w:r>
        <w:rPr>
          <w:color w:val="000000"/>
          <w:spacing w:val="0"/>
          <w:w w:val="100"/>
          <w:position w:val="0"/>
        </w:rPr>
        <w:t>对于由新冠肺炎疫情直接引发的、就现有租赁合同达成的租金减免、延期支付等租金减让，同时 满足下列条件的，本公司对所有租赁选择采用简化方法，不评估是否发生租赁变更，也不重新评 估租赁分类：</w:t>
      </w:r>
    </w:p>
    <w:p>
      <w:pPr>
        <w:pStyle w:val="Style18"/>
        <w:keepNext w:val="0"/>
        <w:keepLines w:val="0"/>
        <w:widowControl w:val="0"/>
        <w:shd w:val="clear" w:color="auto" w:fill="auto"/>
        <w:bidi w:val="0"/>
        <w:spacing w:before="0" w:after="0" w:line="314" w:lineRule="exact"/>
        <w:ind w:left="1140" w:right="0" w:hanging="400"/>
        <w:jc w:val="both"/>
      </w:pPr>
      <w:r>
        <w:rPr>
          <w:color w:val="000000"/>
          <w:spacing w:val="0"/>
          <w:w w:val="100"/>
          <w:position w:val="0"/>
        </w:rPr>
        <w:t>•</w:t>
      </w:r>
      <w:r>
        <w:rPr>
          <w:color w:val="000000"/>
          <w:spacing w:val="0"/>
          <w:w w:val="100"/>
          <w:position w:val="0"/>
        </w:rPr>
        <w:t>减让后的租赁对价较减让前减少或基本不变，其中，租赁对价未折现或按减让前折现率折现 均可；</w:t>
      </w:r>
    </w:p>
    <w:p>
      <w:pPr>
        <w:pStyle w:val="Style18"/>
        <w:keepNext w:val="0"/>
        <w:keepLines w:val="0"/>
        <w:widowControl w:val="0"/>
        <w:shd w:val="clear" w:color="auto" w:fill="auto"/>
        <w:bidi w:val="0"/>
        <w:spacing w:before="0" w:after="0" w:line="314" w:lineRule="exact"/>
        <w:ind w:left="1140" w:right="0" w:hanging="400"/>
        <w:jc w:val="both"/>
      </w:pPr>
      <w:r>
        <w:rPr>
          <w:color w:val="000000"/>
          <w:spacing w:val="0"/>
          <w:w w:val="100"/>
          <w:position w:val="0"/>
        </w:rPr>
        <w:t>•</w:t>
      </w:r>
      <w:r>
        <w:rPr>
          <w:color w:val="000000"/>
          <w:spacing w:val="0"/>
          <w:w w:val="100"/>
          <w:position w:val="0"/>
        </w:rPr>
        <w:t>减让仅针对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日前的应付租赁付款额，</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日后应付租赁付款额增加不影 响满足该条件，</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日后应付租赁付款额减少不满足该条件；以及</w:t>
      </w:r>
    </w:p>
    <w:p>
      <w:pPr>
        <w:pStyle w:val="Style18"/>
        <w:keepNext w:val="0"/>
        <w:keepLines w:val="0"/>
        <w:widowControl w:val="0"/>
        <w:shd w:val="clear" w:color="auto" w:fill="auto"/>
        <w:bidi w:val="0"/>
        <w:spacing w:before="0" w:after="0" w:line="314" w:lineRule="exact"/>
        <w:ind w:left="0" w:right="0" w:firstLine="720"/>
        <w:jc w:val="left"/>
      </w:pPr>
      <w:r>
        <w:rPr>
          <w:color w:val="000000"/>
          <w:spacing w:val="0"/>
          <w:w w:val="100"/>
          <w:position w:val="0"/>
        </w:rPr>
        <w:t>•</w:t>
      </w:r>
      <w:r>
        <w:rPr>
          <w:color w:val="000000"/>
          <w:spacing w:val="0"/>
          <w:w w:val="100"/>
          <w:position w:val="0"/>
        </w:rPr>
        <w:t>综合考虑定性和定量因素后认定租赁的其他条款和条件无重大变化。</w:t>
      </w:r>
    </w:p>
    <w:p>
      <w:pPr>
        <w:pStyle w:val="Style18"/>
        <w:keepNext w:val="0"/>
        <w:keepLines w:val="0"/>
        <w:widowControl w:val="0"/>
        <w:shd w:val="clear" w:color="auto" w:fill="auto"/>
        <w:bidi w:val="0"/>
        <w:spacing w:before="0" w:after="0" w:line="312" w:lineRule="exact"/>
        <w:ind w:left="0" w:right="0" w:firstLine="0"/>
        <w:jc w:val="both"/>
      </w:pPr>
      <w:bookmarkStart w:id="1103" w:name="bookmark1103"/>
      <w:r>
        <w:rPr>
          <w:rFonts w:ascii="Times New Roman" w:eastAsia="Times New Roman" w:hAnsi="Times New Roman" w:cs="Times New Roman"/>
          <w:b/>
          <w:bCs/>
          <w:color w:val="000000"/>
          <w:spacing w:val="0"/>
          <w:w w:val="100"/>
          <w:position w:val="0"/>
        </w:rPr>
        <w:t>4</w:t>
      </w:r>
      <w:bookmarkEnd w:id="1103"/>
      <w:r>
        <w:rPr>
          <w:b/>
          <w:bCs/>
          <w:color w:val="000000"/>
          <w:spacing w:val="0"/>
          <w:w w:val="100"/>
          <w:position w:val="0"/>
        </w:rPr>
        <w:t>、经营租赁会计处理</w:t>
      </w:r>
    </w:p>
    <w:p>
      <w:pPr>
        <w:pStyle w:val="Style18"/>
        <w:keepNext w:val="0"/>
        <w:keepLines w:val="0"/>
        <w:widowControl w:val="0"/>
        <w:shd w:val="clear" w:color="auto" w:fill="auto"/>
        <w:tabs>
          <w:tab w:pos="962" w:val="left"/>
        </w:tabs>
        <w:bidi w:val="0"/>
        <w:spacing w:before="0" w:after="0" w:line="312" w:lineRule="exact"/>
        <w:ind w:left="0" w:right="0" w:firstLine="440"/>
        <w:jc w:val="both"/>
      </w:pPr>
      <w:bookmarkStart w:id="1104" w:name="bookmark1104"/>
      <w:r>
        <w:rPr>
          <w:color w:val="000000"/>
          <w:spacing w:val="0"/>
          <w:w w:val="100"/>
          <w:position w:val="0"/>
        </w:rPr>
        <w:t>（</w:t>
      </w:r>
      <w:bookmarkEnd w:id="1104"/>
      <w:r>
        <w:rPr>
          <w:rFonts w:ascii="Times New Roman" w:eastAsia="Times New Roman" w:hAnsi="Times New Roman" w:cs="Times New Roman"/>
          <w:color w:val="000000"/>
          <w:spacing w:val="0"/>
          <w:w w:val="100"/>
          <w:position w:val="0"/>
        </w:rPr>
        <w:t>1</w:t>
      </w:r>
      <w:r>
        <w:rPr>
          <w:color w:val="000000"/>
          <w:spacing w:val="0"/>
          <w:w w:val="100"/>
          <w:position w:val="0"/>
        </w:rPr>
        <w:t>）</w:t>
        <w:tab/>
        <w:t>公司租入资产所支付的租赁费，在不扣除免租期的整个租赁期内，按直线法进行分摊，计入当 期费用。公司支付的与租赁交易相关的初始直接费用，计入当期费用。</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资产出租方承担了应由公司承担的与租赁相关的费用时，公司将该部分费用从租金总额中扣除，按扣 除后的租金费用在租赁期内分摊，计入当期费用。</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对于采用新冠肺炎疫情相关租金减让简化方法的经营租赁，本公司继续按照与减让前一致的方法将原 合同租金计入相关资产成本或费用。发生租金减免的，本公司将减免的租金作为或有租金，在减免期间计 入损益；延期支付租金的，本公司在原支付期间将应支付的租金确认为应付款项，在实际支付时冲减前期 确认的应付款项。</w:t>
      </w:r>
    </w:p>
    <w:p>
      <w:pPr>
        <w:pStyle w:val="Style18"/>
        <w:keepNext w:val="0"/>
        <w:keepLines w:val="0"/>
        <w:widowControl w:val="0"/>
        <w:shd w:val="clear" w:color="auto" w:fill="auto"/>
        <w:tabs>
          <w:tab w:pos="966" w:val="left"/>
        </w:tabs>
        <w:bidi w:val="0"/>
        <w:spacing w:before="0" w:after="0" w:line="312" w:lineRule="exact"/>
        <w:ind w:left="0" w:right="0" w:firstLine="440"/>
        <w:jc w:val="both"/>
      </w:pPr>
      <w:bookmarkStart w:id="1105" w:name="bookmark1105"/>
      <w:r>
        <w:rPr>
          <w:color w:val="000000"/>
          <w:spacing w:val="0"/>
          <w:w w:val="100"/>
          <w:position w:val="0"/>
        </w:rPr>
        <w:t>（</w:t>
      </w:r>
      <w:bookmarkEnd w:id="1105"/>
      <w:r>
        <w:rPr>
          <w:rFonts w:ascii="Times New Roman" w:eastAsia="Times New Roman" w:hAnsi="Times New Roman" w:cs="Times New Roman"/>
          <w:color w:val="000000"/>
          <w:spacing w:val="0"/>
          <w:w w:val="100"/>
          <w:position w:val="0"/>
        </w:rPr>
        <w:t>2</w:t>
      </w:r>
      <w:r>
        <w:rPr>
          <w:color w:val="000000"/>
          <w:spacing w:val="0"/>
          <w:w w:val="100"/>
          <w:position w:val="0"/>
        </w:rPr>
        <w:t>）</w:t>
        <w:tab/>
        <w:t>公司出租资产所收取的租赁费，在不扣除免租期的整个租赁期内，按直线法进行分摊，确认为 租赁相关收入。公司支付的与租赁交易相关的初始直接费用，计入当期费用；如金额较大的，则予以资本 化，在整个租赁期间内按照与租赁相关收入确认相同的基础分期计入当期收益。</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公司承担了应由承租方承担的与租赁相关的费用时，公司将该部分费用从租金收入总额中扣除，按扣 除后的租金费用在租赁期内分配。</w:t>
      </w:r>
    </w:p>
    <w:p>
      <w:pPr>
        <w:pStyle w:val="Style18"/>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对于采用新冠肺炎疫情相关租金减让简化方法的经营租赁，本公司继续按照与减让前一致的方法将原 合同租金确认为租赁收入；发生租金减免的，本公司将减免的租金作为或有租金，在减免期间冲减租赁收 入；延期收取租金的，本公司在原收取期间将应收取的租金确认为应收款项，并在实际收到时冲减前期确 认的应收款项。</w:t>
      </w:r>
    </w:p>
    <w:p>
      <w:pPr>
        <w:pStyle w:val="Style61"/>
        <w:keepNext/>
        <w:keepLines/>
        <w:widowControl w:val="0"/>
        <w:shd w:val="clear" w:color="auto" w:fill="auto"/>
        <w:bidi w:val="0"/>
        <w:spacing w:before="0" w:after="300" w:line="312" w:lineRule="exact"/>
        <w:ind w:left="0" w:right="0" w:firstLine="0"/>
        <w:jc w:val="left"/>
      </w:pPr>
      <w:bookmarkStart w:id="1106" w:name="bookmark1106"/>
      <w:bookmarkStart w:id="1107" w:name="bookmark1107"/>
      <w:bookmarkStart w:id="1108" w:name="bookmark1108"/>
      <w:bookmarkStart w:id="1109" w:name="bookmark1109"/>
      <w:r>
        <w:rPr>
          <w:color w:val="000000"/>
          <w:spacing w:val="0"/>
          <w:w w:val="100"/>
          <w:position w:val="0"/>
        </w:rPr>
        <w:t>（</w:t>
      </w:r>
      <w:bookmarkEnd w:id="1108"/>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106"/>
      <w:bookmarkEnd w:id="1107"/>
      <w:bookmarkEnd w:id="1109"/>
    </w:p>
    <w:p>
      <w:pPr>
        <w:pStyle w:val="Style18"/>
        <w:keepNext w:val="0"/>
        <w:keepLines w:val="0"/>
        <w:widowControl w:val="0"/>
        <w:shd w:val="clear" w:color="auto" w:fill="auto"/>
        <w:tabs>
          <w:tab w:pos="966" w:val="left"/>
        </w:tabs>
        <w:bidi w:val="0"/>
        <w:spacing w:before="0" w:after="0" w:line="312" w:lineRule="exact"/>
        <w:ind w:left="0" w:right="0" w:firstLine="440"/>
        <w:jc w:val="both"/>
      </w:pPr>
      <w:bookmarkStart w:id="1110" w:name="bookmark1110"/>
      <w:r>
        <w:rPr>
          <w:color w:val="000000"/>
          <w:spacing w:val="0"/>
          <w:w w:val="100"/>
          <w:position w:val="0"/>
        </w:rPr>
        <w:t>（</w:t>
      </w:r>
      <w:bookmarkEnd w:id="1110"/>
      <w:r>
        <w:rPr>
          <w:rFonts w:ascii="Times New Roman" w:eastAsia="Times New Roman" w:hAnsi="Times New Roman" w:cs="Times New Roman"/>
          <w:color w:val="000000"/>
          <w:spacing w:val="0"/>
          <w:w w:val="100"/>
          <w:position w:val="0"/>
        </w:rPr>
        <w:t>1</w:t>
      </w:r>
      <w:r>
        <w:rPr>
          <w:color w:val="000000"/>
          <w:spacing w:val="0"/>
          <w:w w:val="100"/>
          <w:position w:val="0"/>
        </w:rPr>
        <w:t>）</w:t>
        <w:tab/>
        <w:t>融资租入资产：公司在承租开始日，将租赁资产公允价值与最低租赁付款额现值两者中较低者 作为租入资产的入账价值，将最低租赁付款额作为长期应付款的入账价值，其差额作为未确认的融资费用。 公司采用实际利率法对未确认的融资费用，在资产租赁期间内摊销，计入财务费用。公司发生的初始直接 费用，计入租入资产价值。</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对于采用新冠肺炎疫情相关租金减让简化方法的融资租赁，本公司继续按照与减让前一致的折现率将 未确认融资费用确认为当期融资费用，继续按照与减让前一致的方法对融资租入资产进行计提折旧，对于 发生的租金减免，本公司将减免的租金作为或有租金，在达成减让协议等解除原租金支付义务时，计入当 期损益，并相应调整长期应付款，或者按照减让前折现率折现计入当期损益并调整未确认融资费用；延期 支付租金的，本公司在实际支付时冲减前期确认的长期应付款。</w:t>
      </w:r>
    </w:p>
    <w:p>
      <w:pPr>
        <w:pStyle w:val="Style18"/>
        <w:keepNext w:val="0"/>
        <w:keepLines w:val="0"/>
        <w:widowControl w:val="0"/>
        <w:shd w:val="clear" w:color="auto" w:fill="auto"/>
        <w:tabs>
          <w:tab w:pos="962" w:val="left"/>
        </w:tabs>
        <w:bidi w:val="0"/>
        <w:spacing w:before="0" w:after="0" w:line="312" w:lineRule="exact"/>
        <w:ind w:left="0" w:right="0" w:firstLine="440"/>
        <w:jc w:val="both"/>
      </w:pPr>
      <w:bookmarkStart w:id="1111" w:name="bookmark1111"/>
      <w:r>
        <w:rPr>
          <w:color w:val="000000"/>
          <w:spacing w:val="0"/>
          <w:w w:val="100"/>
          <w:position w:val="0"/>
        </w:rPr>
        <w:t>（</w:t>
      </w:r>
      <w:bookmarkEnd w:id="1111"/>
      <w:r>
        <w:rPr>
          <w:rFonts w:ascii="Times New Roman" w:eastAsia="Times New Roman" w:hAnsi="Times New Roman" w:cs="Times New Roman"/>
          <w:color w:val="000000"/>
          <w:spacing w:val="0"/>
          <w:w w:val="100"/>
          <w:position w:val="0"/>
        </w:rPr>
        <w:t>2</w:t>
      </w:r>
      <w:r>
        <w:rPr>
          <w:color w:val="000000"/>
          <w:spacing w:val="0"/>
          <w:w w:val="100"/>
          <w:position w:val="0"/>
        </w:rPr>
        <w:t>）</w:t>
        <w:tab/>
        <w:t>融资租出资产：公司在租赁开始日，将应收融资租赁款，未担保余值之和与其现值的差额确认 为未实现融资收益，在将来收到租金的各期间内确认为租赁收入。公司发生的与出租交易相关的初始直接 费用，计入应收融资租赁款的初始计量中，并减少租赁期内确认的收益金额。</w:t>
      </w:r>
    </w:p>
    <w:p>
      <w:pPr>
        <w:pStyle w:val="Style18"/>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对于采用新冠肺炎疫情相关租金减让简化方法的融资租赁，本公司继续按照与减让前一致的租赁内含 利率将未实现融资收益确认为租赁收入。发生租金减免的，本公司将减免的租金作为或有租金，在达成减 让协议等放弃原租金收取权利时，冲减原确认的租赁收入，不足冲减的部分计入投资收益，同时相应调整 长期应收款，或者按照减让前折现率折现计入当期损益并调整未实现融资收益；延期收取租金的，本公司 在实际收到时冲减前期确认的长期应收款。</w:t>
      </w:r>
    </w:p>
    <w:p>
      <w:pPr>
        <w:pStyle w:val="Style33"/>
        <w:keepNext/>
        <w:keepLines/>
        <w:widowControl w:val="0"/>
        <w:shd w:val="clear" w:color="auto" w:fill="auto"/>
        <w:bidi w:val="0"/>
        <w:spacing w:before="0" w:after="300" w:line="312" w:lineRule="exact"/>
        <w:ind w:left="0" w:right="0" w:firstLine="0"/>
        <w:jc w:val="left"/>
      </w:pPr>
      <w:bookmarkStart w:id="1112" w:name="bookmark1112"/>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4</w:t>
      </w:r>
      <w:bookmarkEnd w:id="1114"/>
      <w:r>
        <w:rPr>
          <w:rFonts w:ascii="Times New Roman" w:eastAsia="Times New Roman" w:hAnsi="Times New Roman" w:cs="Times New Roman"/>
          <w:color w:val="000000"/>
          <w:spacing w:val="0"/>
          <w:w w:val="100"/>
          <w:position w:val="0"/>
        </w:rPr>
        <w:t>3</w:t>
      </w:r>
      <w:r>
        <w:rPr>
          <w:color w:val="000000"/>
          <w:spacing w:val="0"/>
          <w:w w:val="100"/>
          <w:position w:val="0"/>
        </w:rPr>
        <w:t>、其他重要的会计政策和会计估计</w:t>
      </w:r>
      <w:bookmarkEnd w:id="1112"/>
      <w:bookmarkEnd w:id="1113"/>
      <w:bookmarkEnd w:id="1115"/>
    </w:p>
    <w:p>
      <w:pPr>
        <w:pStyle w:val="Style18"/>
        <w:keepNext w:val="0"/>
        <w:keepLines w:val="0"/>
        <w:widowControl w:val="0"/>
        <w:shd w:val="clear" w:color="auto" w:fill="auto"/>
        <w:bidi w:val="0"/>
        <w:spacing w:before="0" w:after="0" w:line="322" w:lineRule="exact"/>
        <w:ind w:left="0" w:right="0" w:firstLine="440"/>
        <w:jc w:val="both"/>
      </w:pPr>
      <w:r>
        <w:rPr>
          <w:color w:val="000000"/>
          <w:spacing w:val="0"/>
          <w:w w:val="100"/>
          <w:position w:val="0"/>
        </w:rPr>
        <w:t xml:space="preserve">本公司在运用会计政策过程中，由于经营活动内在的不确定性，本公司需要对无法准确计量的报表项 目的账面价值进行判断、估计和假设。这些判断、估计和假设是基于本公司管理层过去的历史经验，并在 </w:t>
      </w:r>
      <w:r>
        <w:rPr>
          <w:color w:val="000000"/>
          <w:spacing w:val="0"/>
          <w:w w:val="100"/>
          <w:position w:val="0"/>
        </w:rPr>
        <w:t>考虑其他相关因素的基础上做出的。这些判断、估计和假设会影响收入、费用、资产和负债的报告金额以 及资产负债表日或有负债的披露。然而，这些估计的不确定性所导致的实际结果可能与本公司管理层当前 的估计存在差异，进而造成对未来受影响的资产或负债的账面金额进行重大调整。</w:t>
      </w:r>
    </w:p>
    <w:p>
      <w:pPr>
        <w:pStyle w:val="Style1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本公司对前述判断、估计和假设在持续经营的基础上进行定期复核，会计估计的变更仅影响变更当期 的，其影响数在变更当期予以确认；既影响变更当期又影响未来期间的，其影响数在变更当期和未来期间 予以确认。</w:t>
      </w:r>
    </w:p>
    <w:p>
      <w:pPr>
        <w:pStyle w:val="Style1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于资产负债表日，本公司需对财务报表项目金额进行判断、估计和假设的重要领域如下：</w:t>
      </w:r>
    </w:p>
    <w:p>
      <w:pPr>
        <w:pStyle w:val="Style18"/>
        <w:keepNext w:val="0"/>
        <w:keepLines w:val="0"/>
        <w:widowControl w:val="0"/>
        <w:shd w:val="clear" w:color="auto" w:fill="auto"/>
        <w:tabs>
          <w:tab w:pos="493" w:val="left"/>
        </w:tabs>
        <w:bidi w:val="0"/>
        <w:spacing w:before="0" w:after="0" w:line="311" w:lineRule="exact"/>
        <w:ind w:left="0" w:right="0" w:firstLine="0"/>
        <w:jc w:val="both"/>
      </w:pPr>
      <w:bookmarkStart w:id="1116" w:name="bookmark1116"/>
      <w:r>
        <w:rPr>
          <w:color w:val="000000"/>
          <w:spacing w:val="0"/>
          <w:w w:val="100"/>
          <w:position w:val="0"/>
        </w:rPr>
        <w:t>（</w:t>
      </w:r>
      <w:bookmarkEnd w:id="1116"/>
      <w:r>
        <w:rPr>
          <w:rFonts w:ascii="Times New Roman" w:eastAsia="Times New Roman" w:hAnsi="Times New Roman" w:cs="Times New Roman"/>
          <w:color w:val="000000"/>
          <w:spacing w:val="0"/>
          <w:w w:val="100"/>
          <w:position w:val="0"/>
        </w:rPr>
        <w:t>1</w:t>
      </w:r>
      <w:r>
        <w:rPr>
          <w:color w:val="000000"/>
          <w:spacing w:val="0"/>
          <w:w w:val="100"/>
          <w:position w:val="0"/>
        </w:rPr>
        <w:t>）</w:t>
        <w:tab/>
        <w:t>折旧和摊销</w:t>
      </w:r>
    </w:p>
    <w:p>
      <w:pPr>
        <w:pStyle w:val="Style1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本公司对投资性房地产、固定资产和无形资产在考虑其残值后，在使用寿命内按直线法计提折旧和摊 销。本公司定期复核使用寿命，以决定将计入每个报告期的折旧和摊销费用数额。使用寿命是本公司根据 对同类资产的以往经验并结合预期的技术更新而确定的。如果以前的估计发生重大变化，则会在未来期间 对折旧和摊销费用进行调整。</w:t>
      </w:r>
    </w:p>
    <w:p>
      <w:pPr>
        <w:pStyle w:val="Style18"/>
        <w:keepNext w:val="0"/>
        <w:keepLines w:val="0"/>
        <w:widowControl w:val="0"/>
        <w:shd w:val="clear" w:color="auto" w:fill="auto"/>
        <w:tabs>
          <w:tab w:pos="493" w:val="left"/>
        </w:tabs>
        <w:bidi w:val="0"/>
        <w:spacing w:before="0" w:after="0" w:line="311" w:lineRule="exact"/>
        <w:ind w:left="0" w:right="0" w:firstLine="0"/>
        <w:jc w:val="both"/>
      </w:pPr>
      <w:bookmarkStart w:id="1117" w:name="bookmark1117"/>
      <w:r>
        <w:rPr>
          <w:color w:val="000000"/>
          <w:spacing w:val="0"/>
          <w:w w:val="100"/>
          <w:position w:val="0"/>
        </w:rPr>
        <w:t>（</w:t>
      </w:r>
      <w:bookmarkEnd w:id="1117"/>
      <w:r>
        <w:rPr>
          <w:rFonts w:ascii="Times New Roman" w:eastAsia="Times New Roman" w:hAnsi="Times New Roman" w:cs="Times New Roman"/>
          <w:color w:val="000000"/>
          <w:spacing w:val="0"/>
          <w:w w:val="100"/>
          <w:position w:val="0"/>
        </w:rPr>
        <w:t>2</w:t>
      </w:r>
      <w:r>
        <w:rPr>
          <w:color w:val="000000"/>
          <w:spacing w:val="0"/>
          <w:w w:val="100"/>
          <w:position w:val="0"/>
        </w:rPr>
        <w:t>）</w:t>
        <w:tab/>
        <w:t>所得税</w:t>
      </w:r>
    </w:p>
    <w:p>
      <w:pPr>
        <w:pStyle w:val="Style18"/>
        <w:keepNext w:val="0"/>
        <w:keepLines w:val="0"/>
        <w:widowControl w:val="0"/>
        <w:shd w:val="clear" w:color="auto" w:fill="auto"/>
        <w:bidi w:val="0"/>
        <w:spacing w:before="0" w:after="380" w:line="311" w:lineRule="exact"/>
        <w:ind w:left="0" w:right="0" w:firstLine="440"/>
        <w:jc w:val="both"/>
      </w:pPr>
      <w:r>
        <w:rPr>
          <w:color w:val="000000"/>
          <w:spacing w:val="0"/>
          <w:w w:val="100"/>
          <w:position w:val="0"/>
        </w:rPr>
        <w:t>本公司在正常的经营活动中，有部分交易其最终的税务处理和计算存在一定的不确定性。部分项目是 否能够在税前列支需要税收主管机关的审批。如果这些税务事项的最终认定结果同最初估计的金额存在差 异，则该差异将对其最终认定期间的当期所得税和递延所得税产生影响。</w:t>
      </w:r>
    </w:p>
    <w:p>
      <w:pPr>
        <w:pStyle w:val="Style33"/>
        <w:keepNext/>
        <w:keepLines/>
        <w:widowControl w:val="0"/>
        <w:shd w:val="clear" w:color="auto" w:fill="auto"/>
        <w:bidi w:val="0"/>
        <w:spacing w:before="0" w:after="220" w:line="326" w:lineRule="auto"/>
        <w:ind w:left="0" w:right="0" w:firstLine="0"/>
        <w:jc w:val="both"/>
      </w:pPr>
      <w:bookmarkStart w:id="1118" w:name="bookmark1118"/>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4</w:t>
      </w:r>
      <w:bookmarkEnd w:id="1120"/>
      <w:r>
        <w:rPr>
          <w:rFonts w:ascii="Times New Roman" w:eastAsia="Times New Roman" w:hAnsi="Times New Roman" w:cs="Times New Roman"/>
          <w:color w:val="000000"/>
          <w:spacing w:val="0"/>
          <w:w w:val="100"/>
          <w:position w:val="0"/>
        </w:rPr>
        <w:t>4</w:t>
      </w:r>
      <w:r>
        <w:rPr>
          <w:color w:val="000000"/>
          <w:spacing w:val="0"/>
          <w:w w:val="100"/>
          <w:position w:val="0"/>
        </w:rPr>
        <w:t>、重要会计政策和会计估计变更</w:t>
      </w:r>
      <w:bookmarkEnd w:id="1118"/>
      <w:bookmarkEnd w:id="1119"/>
      <w:bookmarkEnd w:id="1121"/>
    </w:p>
    <w:p>
      <w:pPr>
        <w:pStyle w:val="Style61"/>
        <w:keepNext/>
        <w:keepLines/>
        <w:widowControl w:val="0"/>
        <w:shd w:val="clear" w:color="auto" w:fill="auto"/>
        <w:bidi w:val="0"/>
        <w:spacing w:before="0" w:line="313" w:lineRule="exact"/>
        <w:ind w:left="0" w:right="0" w:firstLine="0"/>
        <w:jc w:val="both"/>
      </w:pPr>
      <w:bookmarkStart w:id="1122" w:name="bookmark1122"/>
      <w:bookmarkStart w:id="1123" w:name="bookmark1123"/>
      <w:bookmarkStart w:id="1124" w:name="bookmark11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22"/>
      <w:bookmarkEnd w:id="1123"/>
      <w:bookmarkEnd w:id="1124"/>
    </w:p>
    <w:p>
      <w:pPr>
        <w:pStyle w:val="Style18"/>
        <w:keepNext w:val="0"/>
        <w:keepLines w:val="0"/>
        <w:widowControl w:val="0"/>
        <w:shd w:val="clear" w:color="auto" w:fill="auto"/>
        <w:bidi w:val="0"/>
        <w:spacing w:before="0" w:after="0" w:line="360" w:lineRule="auto"/>
        <w:ind w:left="1280" w:right="0" w:firstLine="0"/>
        <w:jc w:val="both"/>
      </w:pPr>
      <w:r>
        <w:rPr>
          <w:rFonts w:ascii="Arial" w:eastAsia="Arial" w:hAnsi="Arial" w:cs="Arial"/>
          <w:color w:val="000000"/>
          <w:spacing w:val="0"/>
          <w:w w:val="100"/>
          <w:position w:val="0"/>
          <w:sz w:val="18"/>
          <w:szCs w:val="18"/>
        </w:rPr>
        <w:t>1</w:t>
      </w:r>
      <w:r>
        <w:rPr>
          <w:color w:val="000000"/>
          <w:spacing w:val="0"/>
          <w:w w:val="100"/>
          <w:position w:val="0"/>
        </w:rPr>
        <w:t>、执行《企业会计准则第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号——租赁》（</w:t>
      </w:r>
      <w:r>
        <w:rPr>
          <w:rFonts w:ascii="Times New Roman" w:eastAsia="Times New Roman" w:hAnsi="Times New Roman" w:cs="Times New Roman"/>
          <w:color w:val="000000"/>
          <w:spacing w:val="0"/>
          <w:w w:val="100"/>
          <w:position w:val="0"/>
        </w:rPr>
        <w:t>2018</w:t>
      </w:r>
      <w:r>
        <w:rPr>
          <w:color w:val="000000"/>
          <w:spacing w:val="0"/>
          <w:w w:val="100"/>
          <w:position w:val="0"/>
        </w:rPr>
        <w:t>年修订）</w:t>
      </w:r>
    </w:p>
    <w:p>
      <w:pPr>
        <w:pStyle w:val="Style18"/>
        <w:keepNext w:val="0"/>
        <w:keepLines w:val="0"/>
        <w:widowControl w:val="0"/>
        <w:shd w:val="clear" w:color="auto" w:fill="auto"/>
        <w:bidi w:val="0"/>
        <w:spacing w:before="0" w:after="280" w:line="319" w:lineRule="exact"/>
        <w:ind w:left="128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2018</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号——租赁》（简称</w:t>
      </w:r>
      <w:r>
        <w:rPr>
          <w:rFonts w:ascii="Times New Roman" w:eastAsia="Times New Roman" w:hAnsi="Times New Roman" w:cs="Times New Roman"/>
          <w:color w:val="000000"/>
          <w:spacing w:val="0"/>
          <w:w w:val="100"/>
          <w:position w:val="0"/>
        </w:rPr>
        <w:t>“</w:t>
      </w:r>
      <w:r>
        <w:rPr>
          <w:color w:val="000000"/>
          <w:spacing w:val="0"/>
          <w:w w:val="100"/>
          <w:position w:val="0"/>
        </w:rPr>
        <w:t>新租赁准则</w:t>
      </w:r>
      <w:r>
        <w:rPr>
          <w:rFonts w:ascii="Times New Roman" w:eastAsia="Times New Roman" w:hAnsi="Times New Roman" w:cs="Times New Roman"/>
          <w:color w:val="000000"/>
          <w:spacing w:val="0"/>
          <w:w w:val="100"/>
          <w:position w:val="0"/>
        </w:rPr>
        <w:t>”</w:t>
      </w:r>
      <w:r>
        <w:rPr>
          <w:color w:val="000000"/>
          <w:spacing w:val="0"/>
          <w:w w:val="100"/>
          <w:position w:val="0"/>
        </w:rPr>
        <w:t>）。本公司 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日起执行新租赁准则。根据修订后的准则，对于首次执行日前已存在的合同， 公司选择在首次执行日不重新评估其是否为租赁或者包含租赁。</w:t>
      </w:r>
    </w:p>
    <w:p>
      <w:pPr>
        <w:pStyle w:val="Style18"/>
        <w:keepNext w:val="0"/>
        <w:keepLines w:val="0"/>
        <w:widowControl w:val="0"/>
        <w:shd w:val="clear" w:color="auto" w:fill="auto"/>
        <w:bidi w:val="0"/>
        <w:spacing w:before="0" w:after="0" w:line="313" w:lineRule="exact"/>
        <w:ind w:left="1280" w:right="0" w:firstLine="0"/>
        <w:jc w:val="both"/>
      </w:pPr>
      <w:r>
        <w:rPr>
          <w:color w:val="000000"/>
          <w:spacing w:val="0"/>
          <w:w w:val="100"/>
          <w:position w:val="0"/>
        </w:rPr>
        <w:t>•</w:t>
      </w:r>
      <w:r>
        <w:rPr>
          <w:color w:val="000000"/>
          <w:spacing w:val="0"/>
          <w:w w:val="100"/>
          <w:position w:val="0"/>
        </w:rPr>
        <w:t>本公司作为承租人</w:t>
      </w:r>
    </w:p>
    <w:p>
      <w:pPr>
        <w:pStyle w:val="Style18"/>
        <w:keepNext w:val="0"/>
        <w:keepLines w:val="0"/>
        <w:widowControl w:val="0"/>
        <w:shd w:val="clear" w:color="auto" w:fill="auto"/>
        <w:bidi w:val="0"/>
        <w:spacing w:before="0" w:after="0" w:line="313" w:lineRule="exact"/>
        <w:ind w:left="1280" w:right="0" w:firstLine="0"/>
        <w:jc w:val="both"/>
      </w:pPr>
      <w:r>
        <w:rPr>
          <w:color w:val="000000"/>
          <w:spacing w:val="0"/>
          <w:w w:val="100"/>
          <w:position w:val="0"/>
        </w:rPr>
        <w:t>本公司选择根据首次执行新租赁准则的累积影响数，调整首次执行新租赁准则当年年初留存 收益及财务报表其他相关项目金额，不调整可比期间信息。</w:t>
      </w:r>
    </w:p>
    <w:p>
      <w:pPr>
        <w:pStyle w:val="Style18"/>
        <w:keepNext w:val="0"/>
        <w:keepLines w:val="0"/>
        <w:widowControl w:val="0"/>
        <w:shd w:val="clear" w:color="auto" w:fill="auto"/>
        <w:bidi w:val="0"/>
        <w:spacing w:before="0" w:after="0" w:line="313" w:lineRule="exact"/>
        <w:ind w:left="1280" w:right="0" w:firstLine="0"/>
        <w:jc w:val="both"/>
      </w:pPr>
      <w:r>
        <w:rPr>
          <w:color w:val="000000"/>
          <w:spacing w:val="0"/>
          <w:w w:val="100"/>
          <w:position w:val="0"/>
        </w:rPr>
        <w:t>对于首次执行日前已存在的经营租赁，本公司在首次执行日根据剩余租赁付款额按首次执行 日本公司的增量借款利率折现的现值计量租赁负债，并根据每项租赁选择以下方法计量使用 权资产：</w:t>
      </w:r>
    </w:p>
    <w:p>
      <w:pPr>
        <w:pStyle w:val="Style18"/>
        <w:keepNext w:val="0"/>
        <w:keepLines w:val="0"/>
        <w:widowControl w:val="0"/>
        <w:shd w:val="clear" w:color="auto" w:fill="auto"/>
        <w:bidi w:val="0"/>
        <w:spacing w:before="0" w:after="0" w:line="313" w:lineRule="exact"/>
        <w:ind w:left="1280" w:right="0" w:firstLine="0"/>
        <w:jc w:val="both"/>
      </w:pPr>
      <w:r>
        <w:rPr>
          <w:color w:val="000000"/>
          <w:spacing w:val="0"/>
          <w:w w:val="100"/>
          <w:position w:val="0"/>
        </w:rPr>
        <w:t>假设自租赁期开始日即采用新租赁准则的账面价值，采用首次执行日的本公司的增量借款利 率作为折现率。</w:t>
      </w:r>
    </w:p>
    <w:p>
      <w:pPr>
        <w:pStyle w:val="Style18"/>
        <w:keepNext w:val="0"/>
        <w:keepLines w:val="0"/>
        <w:widowControl w:val="0"/>
        <w:shd w:val="clear" w:color="auto" w:fill="auto"/>
        <w:bidi w:val="0"/>
        <w:spacing w:before="0" w:after="80" w:line="313" w:lineRule="exact"/>
        <w:ind w:left="1280" w:right="0" w:firstLine="0"/>
        <w:jc w:val="both"/>
      </w:pPr>
      <w:r>
        <w:rPr>
          <w:color w:val="000000"/>
          <w:spacing w:val="0"/>
          <w:w w:val="100"/>
          <w:position w:val="0"/>
        </w:rPr>
        <w:t>对于首次执行日前的经营租赁，本公司在应用上述方法的同时根据每项租赁选择采用下列一 项或多项简化处理：</w:t>
      </w:r>
    </w:p>
    <w:p>
      <w:pPr>
        <w:pStyle w:val="Style18"/>
        <w:keepNext w:val="0"/>
        <w:keepLines w:val="0"/>
        <w:widowControl w:val="0"/>
        <w:shd w:val="clear" w:color="auto" w:fill="auto"/>
        <w:tabs>
          <w:tab w:pos="1700" w:val="left"/>
        </w:tabs>
        <w:bidi w:val="0"/>
        <w:spacing w:before="0" w:after="0" w:line="326" w:lineRule="auto"/>
        <w:ind w:left="1280" w:right="0" w:firstLine="0"/>
        <w:jc w:val="both"/>
      </w:pPr>
      <w:bookmarkStart w:id="1125" w:name="bookmark1125"/>
      <w:r>
        <w:rPr>
          <w:rFonts w:ascii="Times New Roman" w:eastAsia="Times New Roman" w:hAnsi="Times New Roman" w:cs="Times New Roman"/>
          <w:color w:val="000000"/>
          <w:spacing w:val="0"/>
          <w:w w:val="100"/>
          <w:position w:val="0"/>
        </w:rPr>
        <w:t>1</w:t>
      </w:r>
      <w:bookmarkEnd w:id="1125"/>
      <w:r>
        <w:rPr>
          <w:rFonts w:ascii="Times New Roman" w:eastAsia="Times New Roman" w:hAnsi="Times New Roman" w:cs="Times New Roman"/>
          <w:color w:val="000000"/>
          <w:spacing w:val="0"/>
          <w:w w:val="100"/>
          <w:position w:val="0"/>
        </w:rPr>
        <w:t>）</w:t>
        <w:tab/>
      </w:r>
      <w:r>
        <w:rPr>
          <w:color w:val="000000"/>
          <w:spacing w:val="0"/>
          <w:w w:val="100"/>
          <w:position w:val="0"/>
        </w:rPr>
        <w:t>将于首次执行日后</w:t>
      </w:r>
      <w:r>
        <w:rPr>
          <w:rFonts w:ascii="Times New Roman" w:eastAsia="Times New Roman" w:hAnsi="Times New Roman" w:cs="Times New Roman"/>
          <w:color w:val="000000"/>
          <w:spacing w:val="0"/>
          <w:w w:val="100"/>
          <w:position w:val="0"/>
        </w:rPr>
        <w:t>12</w:t>
      </w:r>
      <w:r>
        <w:rPr>
          <w:color w:val="000000"/>
          <w:spacing w:val="0"/>
          <w:w w:val="100"/>
          <w:position w:val="0"/>
        </w:rPr>
        <w:t>个月内完成的租赁作为短期租赁处理；</w:t>
      </w:r>
    </w:p>
    <w:p>
      <w:pPr>
        <w:pStyle w:val="Style18"/>
        <w:keepNext w:val="0"/>
        <w:keepLines w:val="0"/>
        <w:widowControl w:val="0"/>
        <w:shd w:val="clear" w:color="auto" w:fill="auto"/>
        <w:tabs>
          <w:tab w:pos="1700" w:val="left"/>
        </w:tabs>
        <w:bidi w:val="0"/>
        <w:spacing w:before="0" w:after="0" w:line="326" w:lineRule="auto"/>
        <w:ind w:left="1280" w:right="0" w:firstLine="0"/>
        <w:jc w:val="both"/>
      </w:pPr>
      <w:bookmarkStart w:id="1126" w:name="bookmark1126"/>
      <w:r>
        <w:rPr>
          <w:rFonts w:ascii="Times New Roman" w:eastAsia="Times New Roman" w:hAnsi="Times New Roman" w:cs="Times New Roman"/>
          <w:color w:val="000000"/>
          <w:spacing w:val="0"/>
          <w:w w:val="100"/>
          <w:position w:val="0"/>
        </w:rPr>
        <w:t>2</w:t>
      </w:r>
      <w:bookmarkEnd w:id="1126"/>
      <w:r>
        <w:rPr>
          <w:rFonts w:ascii="Times New Roman" w:eastAsia="Times New Roman" w:hAnsi="Times New Roman" w:cs="Times New Roman"/>
          <w:color w:val="000000"/>
          <w:spacing w:val="0"/>
          <w:w w:val="100"/>
          <w:position w:val="0"/>
        </w:rPr>
        <w:t>）</w:t>
        <w:tab/>
      </w:r>
      <w:r>
        <w:rPr>
          <w:color w:val="000000"/>
          <w:spacing w:val="0"/>
          <w:w w:val="100"/>
          <w:position w:val="0"/>
        </w:rPr>
        <w:t>计量租赁负债时，具有相似特征的租赁采用同一折现率；</w:t>
      </w:r>
    </w:p>
    <w:p>
      <w:pPr>
        <w:pStyle w:val="Style18"/>
        <w:keepNext w:val="0"/>
        <w:keepLines w:val="0"/>
        <w:widowControl w:val="0"/>
        <w:shd w:val="clear" w:color="auto" w:fill="auto"/>
        <w:tabs>
          <w:tab w:pos="1700" w:val="left"/>
        </w:tabs>
        <w:bidi w:val="0"/>
        <w:spacing w:before="0" w:after="0" w:line="326" w:lineRule="auto"/>
        <w:ind w:left="1280" w:right="0" w:firstLine="0"/>
        <w:jc w:val="both"/>
      </w:pPr>
      <w:bookmarkStart w:id="1127" w:name="bookmark1127"/>
      <w:r>
        <w:rPr>
          <w:rFonts w:ascii="Times New Roman" w:eastAsia="Times New Roman" w:hAnsi="Times New Roman" w:cs="Times New Roman"/>
          <w:color w:val="000000"/>
          <w:spacing w:val="0"/>
          <w:w w:val="100"/>
          <w:position w:val="0"/>
        </w:rPr>
        <w:t>3</w:t>
      </w:r>
      <w:bookmarkEnd w:id="1127"/>
      <w:r>
        <w:rPr>
          <w:rFonts w:ascii="Times New Roman" w:eastAsia="Times New Roman" w:hAnsi="Times New Roman" w:cs="Times New Roman"/>
          <w:color w:val="000000"/>
          <w:spacing w:val="0"/>
          <w:w w:val="100"/>
          <w:position w:val="0"/>
        </w:rPr>
        <w:t>）</w:t>
        <w:tab/>
      </w:r>
      <w:r>
        <w:rPr>
          <w:color w:val="000000"/>
          <w:spacing w:val="0"/>
          <w:w w:val="100"/>
          <w:position w:val="0"/>
        </w:rPr>
        <w:t>使用权资产的计量不包含初始直接费用；</w:t>
      </w:r>
    </w:p>
    <w:p>
      <w:pPr>
        <w:pStyle w:val="Style18"/>
        <w:keepNext w:val="0"/>
        <w:keepLines w:val="0"/>
        <w:widowControl w:val="0"/>
        <w:shd w:val="clear" w:color="auto" w:fill="auto"/>
        <w:tabs>
          <w:tab w:pos="1700" w:val="left"/>
        </w:tabs>
        <w:bidi w:val="0"/>
        <w:spacing w:before="0" w:after="0" w:line="313" w:lineRule="exact"/>
        <w:ind w:left="1280" w:right="0" w:firstLine="0"/>
        <w:jc w:val="both"/>
      </w:pPr>
      <w:bookmarkStart w:id="1128" w:name="bookmark1128"/>
      <w:r>
        <w:rPr>
          <w:rFonts w:ascii="Times New Roman" w:eastAsia="Times New Roman" w:hAnsi="Times New Roman" w:cs="Times New Roman"/>
          <w:color w:val="000000"/>
          <w:spacing w:val="0"/>
          <w:w w:val="100"/>
          <w:position w:val="0"/>
        </w:rPr>
        <w:t>4</w:t>
      </w:r>
      <w:bookmarkEnd w:id="1128"/>
      <w:r>
        <w:rPr>
          <w:rFonts w:ascii="Times New Roman" w:eastAsia="Times New Roman" w:hAnsi="Times New Roman" w:cs="Times New Roman"/>
          <w:color w:val="000000"/>
          <w:spacing w:val="0"/>
          <w:w w:val="100"/>
          <w:position w:val="0"/>
        </w:rPr>
        <w:t>）</w:t>
        <w:tab/>
      </w:r>
      <w:r>
        <w:rPr>
          <w:color w:val="000000"/>
          <w:spacing w:val="0"/>
          <w:w w:val="100"/>
          <w:position w:val="0"/>
        </w:rPr>
        <w:t>存在续租选择权或终止租赁选择权的，根据首次执行日前选择权的实际行使及其他最新 情况确定租赁期；</w:t>
      </w:r>
    </w:p>
    <w:p>
      <w:pPr>
        <w:pStyle w:val="Style18"/>
        <w:keepNext w:val="0"/>
        <w:keepLines w:val="0"/>
        <w:widowControl w:val="0"/>
        <w:shd w:val="clear" w:color="auto" w:fill="auto"/>
        <w:tabs>
          <w:tab w:pos="1700" w:val="left"/>
        </w:tabs>
        <w:bidi w:val="0"/>
        <w:spacing w:before="0" w:after="140" w:line="313" w:lineRule="exact"/>
        <w:ind w:left="1280" w:right="0" w:firstLine="0"/>
        <w:jc w:val="both"/>
      </w:pPr>
      <w:bookmarkStart w:id="1129" w:name="bookmark1129"/>
      <w:r>
        <w:rPr>
          <w:rFonts w:ascii="Times New Roman" w:eastAsia="Times New Roman" w:hAnsi="Times New Roman" w:cs="Times New Roman"/>
          <w:color w:val="000000"/>
          <w:spacing w:val="0"/>
          <w:w w:val="100"/>
          <w:position w:val="0"/>
        </w:rPr>
        <w:t>5</w:t>
      </w:r>
      <w:bookmarkEnd w:id="1129"/>
      <w:r>
        <w:rPr>
          <w:rFonts w:ascii="Times New Roman" w:eastAsia="Times New Roman" w:hAnsi="Times New Roman" w:cs="Times New Roman"/>
          <w:color w:val="000000"/>
          <w:spacing w:val="0"/>
          <w:w w:val="100"/>
          <w:position w:val="0"/>
        </w:rPr>
        <w:t>）</w:t>
        <w:tab/>
      </w:r>
      <w:r>
        <w:rPr>
          <w:color w:val="000000"/>
          <w:spacing w:val="0"/>
          <w:w w:val="100"/>
          <w:position w:val="0"/>
        </w:rPr>
        <w:t>作为使用权资产减值测试的替代，按照本附注</w:t>
      </w:r>
      <w:r>
        <w:rPr>
          <w:rFonts w:ascii="Times New Roman" w:eastAsia="Times New Roman" w:hAnsi="Times New Roman" w:cs="Times New Roman"/>
          <w:color w:val="000000"/>
          <w:spacing w:val="0"/>
          <w:w w:val="100"/>
          <w:position w:val="0"/>
        </w:rPr>
        <w:t>“</w:t>
      </w:r>
      <w:r>
        <w:rPr>
          <w:color w:val="000000"/>
          <w:spacing w:val="0"/>
          <w:w w:val="100"/>
          <w:position w:val="0"/>
        </w:rPr>
        <w:t>三、（二十四）预计负债</w:t>
      </w:r>
      <w:r>
        <w:rPr>
          <w:rFonts w:ascii="Times New Roman" w:eastAsia="Times New Roman" w:hAnsi="Times New Roman" w:cs="Times New Roman"/>
          <w:color w:val="000000"/>
          <w:spacing w:val="0"/>
          <w:w w:val="100"/>
          <w:position w:val="0"/>
        </w:rPr>
        <w:t>”</w:t>
      </w:r>
      <w:r>
        <w:rPr>
          <w:color w:val="000000"/>
          <w:spacing w:val="0"/>
          <w:w w:val="100"/>
          <w:position w:val="0"/>
        </w:rPr>
        <w:t>评估包含租赁 的合同在首次执行日前是否为亏损合同，并根据首次执行日前计入资产负债表的亏损准备金 额调整使用权资产；</w:t>
      </w:r>
    </w:p>
    <w:p>
      <w:pPr>
        <w:pStyle w:val="Style18"/>
        <w:keepNext w:val="0"/>
        <w:keepLines w:val="0"/>
        <w:widowControl w:val="0"/>
        <w:shd w:val="clear" w:color="auto" w:fill="auto"/>
        <w:bidi w:val="0"/>
        <w:spacing w:before="0" w:after="0" w:line="319" w:lineRule="exact"/>
        <w:ind w:left="1280" w:right="0" w:firstLine="0"/>
        <w:jc w:val="both"/>
      </w:pPr>
      <w:bookmarkStart w:id="1130" w:name="bookmark1130"/>
      <w:r>
        <w:rPr>
          <w:rFonts w:ascii="Times New Roman" w:eastAsia="Times New Roman" w:hAnsi="Times New Roman" w:cs="Times New Roman"/>
          <w:color w:val="000000"/>
          <w:spacing w:val="0"/>
          <w:w w:val="100"/>
          <w:position w:val="0"/>
        </w:rPr>
        <w:t>6</w:t>
      </w:r>
      <w:bookmarkEnd w:id="1130"/>
      <w:r>
        <w:rPr>
          <w:rFonts w:ascii="Times New Roman" w:eastAsia="Times New Roman" w:hAnsi="Times New Roman" w:cs="Times New Roman"/>
          <w:color w:val="000000"/>
          <w:spacing w:val="0"/>
          <w:w w:val="100"/>
          <w:position w:val="0"/>
        </w:rPr>
        <w:t>）</w:t>
      </w:r>
      <w:r>
        <w:rPr>
          <w:color w:val="000000"/>
          <w:spacing w:val="0"/>
          <w:w w:val="100"/>
          <w:position w:val="0"/>
        </w:rPr>
        <w:t>首次执行日之前发生的租赁变更，不进行追溯调整，根据租赁变更的最终安排，按照新 租赁准则进行会计处理。</w:t>
      </w:r>
    </w:p>
    <w:p>
      <w:pPr>
        <w:pStyle w:val="Style18"/>
        <w:keepNext w:val="0"/>
        <w:keepLines w:val="0"/>
        <w:widowControl w:val="0"/>
        <w:shd w:val="clear" w:color="auto" w:fill="auto"/>
        <w:bidi w:val="0"/>
        <w:spacing w:before="0" w:after="260" w:line="319" w:lineRule="exact"/>
        <w:ind w:left="1280" w:right="0" w:firstLine="0"/>
        <w:jc w:val="both"/>
      </w:pPr>
      <w:r>
        <w:rPr>
          <w:color w:val="000000"/>
          <w:spacing w:val="0"/>
          <w:w w:val="100"/>
          <w:position w:val="0"/>
        </w:rPr>
        <w:t>在计量租赁负债时，本公司使用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日的承租人增量借款利率来对租赁付款额进行折 现。</w:t>
      </w:r>
    </w:p>
    <w:p>
      <w:pPr>
        <w:pStyle w:val="Style18"/>
        <w:keepNext w:val="0"/>
        <w:keepLines w:val="0"/>
        <w:widowControl w:val="0"/>
        <w:shd w:val="clear" w:color="auto" w:fill="auto"/>
        <w:bidi w:val="0"/>
        <w:spacing w:before="0" w:after="0" w:line="316" w:lineRule="exact"/>
        <w:ind w:left="1280" w:right="0" w:firstLine="0"/>
        <w:jc w:val="both"/>
      </w:pPr>
      <w:r>
        <w:rPr>
          <w:color w:val="000000"/>
          <w:spacing w:val="0"/>
          <w:w w:val="100"/>
          <w:position w:val="0"/>
        </w:rPr>
        <w:t>•</w:t>
      </w:r>
      <w:r>
        <w:rPr>
          <w:color w:val="000000"/>
          <w:spacing w:val="0"/>
          <w:w w:val="100"/>
          <w:position w:val="0"/>
        </w:rPr>
        <w:t>本公司作为出租人</w:t>
      </w:r>
    </w:p>
    <w:p>
      <w:pPr>
        <w:pStyle w:val="Style18"/>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对于首次执行日前划分为经营租赁且在首次执行日后仍存续的转租赁，本公司在首次执行日 基于原租赁和转租赁的剩余合同期限和条款进行重新评估，并按照新租赁准则的规定进行分 类。重分类为融资租赁的，本公司将其作为一项新的融资租赁进行会计处理。</w:t>
      </w:r>
    </w:p>
    <w:p>
      <w:pPr>
        <w:pStyle w:val="Style18"/>
        <w:keepNext w:val="0"/>
        <w:keepLines w:val="0"/>
        <w:widowControl w:val="0"/>
        <w:shd w:val="clear" w:color="auto" w:fill="auto"/>
        <w:bidi w:val="0"/>
        <w:spacing w:before="0" w:after="360" w:line="312" w:lineRule="exact"/>
        <w:ind w:left="1280" w:right="0" w:firstLine="0"/>
        <w:jc w:val="both"/>
      </w:pPr>
      <w:r>
        <w:rPr>
          <w:color w:val="000000"/>
          <w:spacing w:val="0"/>
          <w:w w:val="100"/>
          <w:position w:val="0"/>
        </w:rPr>
        <w:t>除转租赁外，本公司无需对其作为出租人的租赁按照新租赁准则进行调整。本公司自首次执 行日起按照新租赁准则进行会计处理。</w:t>
      </w:r>
    </w:p>
    <w:p>
      <w:pPr>
        <w:pStyle w:val="Style26"/>
        <w:keepNext w:val="0"/>
        <w:keepLines w:val="0"/>
        <w:widowControl w:val="0"/>
        <w:shd w:val="clear" w:color="auto" w:fill="auto"/>
        <w:bidi w:val="0"/>
        <w:spacing w:before="0" w:after="0" w:line="240" w:lineRule="auto"/>
        <w:ind w:left="1344" w:right="0" w:firstLine="0"/>
        <w:jc w:val="left"/>
        <w:rPr>
          <w:sz w:val="20"/>
          <w:szCs w:val="20"/>
        </w:rPr>
      </w:pP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本公司执行新租赁准则对财务报表的主要影响如下:</w:t>
      </w:r>
    </w:p>
    <w:tbl>
      <w:tblPr>
        <w:tblOverlap w:val="never"/>
        <w:jc w:val="center"/>
        <w:tblLayout w:type="fixed"/>
      </w:tblPr>
      <w:tblGrid>
        <w:gridCol w:w="2194"/>
        <w:gridCol w:w="2832"/>
        <w:gridCol w:w="2323"/>
        <w:gridCol w:w="2366"/>
      </w:tblGrid>
      <w:tr>
        <w:trPr>
          <w:trHeight w:val="36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会计政策变更的内容和 原因</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受影响的报表项目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日余额的影响金额</w:t>
            </w:r>
          </w:p>
        </w:tc>
      </w:tr>
      <w:tr>
        <w:trPr>
          <w:trHeight w:val="3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36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公司作为承租人对于首 次执行日前已存在的经 营租赁的调整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72,274,288.41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70,411,891.54</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64,026,495.40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62,932,198.03</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15,821,693.64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15,018,400.16</w:t>
            </w:r>
          </w:p>
        </w:tc>
      </w:tr>
      <w:tr>
        <w:trPr>
          <w:trHeight w:val="36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-7,584,971.05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-7,538,706.65</w:t>
            </w:r>
          </w:p>
        </w:tc>
      </w:tr>
      <w:tr>
        <w:trPr>
          <w:trHeight w:val="36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11,070.42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59" w:line="1" w:lineRule="exact"/>
      </w:pPr>
    </w:p>
    <w:p>
      <w:pPr>
        <w:pStyle w:val="Style18"/>
        <w:keepNext w:val="0"/>
        <w:keepLines w:val="0"/>
        <w:widowControl w:val="0"/>
        <w:shd w:val="clear" w:color="auto" w:fill="auto"/>
        <w:tabs>
          <w:tab w:pos="1643" w:val="left"/>
        </w:tabs>
        <w:bidi w:val="0"/>
        <w:spacing w:before="0" w:after="0" w:line="319" w:lineRule="exact"/>
        <w:ind w:left="1280" w:right="0" w:firstLine="0"/>
        <w:jc w:val="both"/>
      </w:pPr>
      <w:bookmarkStart w:id="1131" w:name="bookmark1131"/>
      <w:r>
        <w:rPr>
          <w:rFonts w:ascii="Arial" w:eastAsia="Arial" w:hAnsi="Arial" w:cs="Arial"/>
          <w:color w:val="000000"/>
          <w:spacing w:val="0"/>
          <w:w w:val="100"/>
          <w:position w:val="0"/>
          <w:sz w:val="18"/>
          <w:szCs w:val="18"/>
        </w:rPr>
        <w:t>2</w:t>
      </w:r>
      <w:bookmarkEnd w:id="1131"/>
      <w:r>
        <w:rPr>
          <w:color w:val="000000"/>
          <w:spacing w:val="0"/>
          <w:w w:val="100"/>
          <w:position w:val="0"/>
        </w:rPr>
        <w:t>、</w:t>
        <w:tab/>
        <w:t>执行《企业会计准则解释第</w:t>
      </w:r>
      <w:r>
        <w:rPr>
          <w:rFonts w:ascii="Times New Roman" w:eastAsia="Times New Roman" w:hAnsi="Times New Roman" w:cs="Times New Roman"/>
          <w:color w:val="000000"/>
          <w:spacing w:val="0"/>
          <w:w w:val="100"/>
          <w:position w:val="0"/>
        </w:rPr>
        <w:t>14</w:t>
      </w:r>
      <w:r>
        <w:rPr>
          <w:color w:val="000000"/>
          <w:spacing w:val="0"/>
          <w:w w:val="100"/>
          <w:position w:val="0"/>
        </w:rPr>
        <w:t>号》</w:t>
      </w:r>
    </w:p>
    <w:p>
      <w:pPr>
        <w:pStyle w:val="Style18"/>
        <w:keepNext w:val="0"/>
        <w:keepLines w:val="0"/>
        <w:widowControl w:val="0"/>
        <w:shd w:val="clear" w:color="auto" w:fill="auto"/>
        <w:bidi w:val="0"/>
        <w:spacing w:before="0" w:after="0" w:line="319" w:lineRule="exact"/>
        <w:ind w:left="128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rPr>
        <w:t>14</w:t>
      </w:r>
      <w:r>
        <w:rPr>
          <w:color w:val="000000"/>
          <w:spacing w:val="0"/>
          <w:w w:val="100"/>
          <w:position w:val="0"/>
        </w:rPr>
        <w:t>号》（财会〔</w:t>
      </w:r>
      <w:r>
        <w:rPr>
          <w:rFonts w:ascii="Times New Roman" w:eastAsia="Times New Roman" w:hAnsi="Times New Roman" w:cs="Times New Roman"/>
          <w:color w:val="000000"/>
          <w:spacing w:val="0"/>
          <w:w w:val="100"/>
          <w:position w:val="0"/>
        </w:rPr>
        <w:t>2021</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解 释第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），自公布之日起施行。</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日至施行日新增的有关业务，根据解释第</w:t>
      </w:r>
      <w:r>
        <w:rPr>
          <w:rFonts w:ascii="Times New Roman" w:eastAsia="Times New Roman" w:hAnsi="Times New Roman" w:cs="Times New Roman"/>
          <w:color w:val="000000"/>
          <w:spacing w:val="0"/>
          <w:w w:val="100"/>
          <w:position w:val="0"/>
        </w:rPr>
        <w:t xml:space="preserve">14 </w:t>
      </w:r>
      <w:r>
        <w:rPr>
          <w:color w:val="000000"/>
          <w:spacing w:val="0"/>
          <w:w w:val="100"/>
          <w:position w:val="0"/>
        </w:rPr>
        <w:t>号进行调整。</w:t>
      </w:r>
    </w:p>
    <w:p>
      <w:pPr>
        <w:pStyle w:val="Style18"/>
        <w:keepNext w:val="0"/>
        <w:keepLines w:val="0"/>
        <w:widowControl w:val="0"/>
        <w:numPr>
          <w:ilvl w:val="0"/>
          <w:numId w:val="27"/>
        </w:numPr>
        <w:shd w:val="clear" w:color="auto" w:fill="auto"/>
        <w:tabs>
          <w:tab w:pos="1663" w:val="left"/>
        </w:tabs>
        <w:bidi w:val="0"/>
        <w:spacing w:before="0" w:after="0" w:line="319" w:lineRule="exact"/>
        <w:ind w:left="1280" w:right="0" w:firstLine="0"/>
        <w:jc w:val="both"/>
      </w:pPr>
      <w:bookmarkStart w:id="1132" w:name="bookmark1132"/>
      <w:bookmarkEnd w:id="1132"/>
      <w:r>
        <w:rPr>
          <w:color w:val="000000"/>
          <w:spacing w:val="0"/>
          <w:w w:val="100"/>
          <w:position w:val="0"/>
        </w:rPr>
        <w:t>政府和社会资本合作</w:t>
      </w:r>
      <w:r>
        <w:rPr>
          <w:color w:val="000000"/>
          <w:spacing w:val="0"/>
          <w:w w:val="100"/>
          <w:position w:val="0"/>
        </w:rPr>
        <w:t>（</w:t>
      </w:r>
      <w:r>
        <w:rPr>
          <w:rFonts w:ascii="Times New Roman" w:eastAsia="Times New Roman" w:hAnsi="Times New Roman" w:cs="Times New Roman"/>
          <w:color w:val="000000"/>
          <w:spacing w:val="0"/>
          <w:w w:val="100"/>
          <w:position w:val="0"/>
        </w:rPr>
        <w:t>PPP</w:t>
      </w:r>
      <w:r>
        <w:rPr>
          <w:color w:val="000000"/>
          <w:spacing w:val="0"/>
          <w:w w:val="100"/>
          <w:position w:val="0"/>
        </w:rPr>
        <w:t>）</w:t>
      </w:r>
      <w:r>
        <w:rPr>
          <w:color w:val="000000"/>
          <w:spacing w:val="0"/>
          <w:w w:val="100"/>
          <w:position w:val="0"/>
        </w:rPr>
        <w:t>项目合同</w:t>
      </w:r>
    </w:p>
    <w:p>
      <w:pPr>
        <w:pStyle w:val="Style18"/>
        <w:keepNext w:val="0"/>
        <w:keepLines w:val="0"/>
        <w:widowControl w:val="0"/>
        <w:shd w:val="clear" w:color="auto" w:fill="auto"/>
        <w:bidi w:val="0"/>
        <w:spacing w:before="0" w:after="260" w:line="318" w:lineRule="exact"/>
        <w:ind w:left="1280" w:right="0" w:firstLine="0"/>
        <w:jc w:val="both"/>
      </w:pPr>
      <w:r>
        <w:rPr>
          <w:color w:val="000000"/>
          <w:spacing w:val="0"/>
          <w:w w:val="100"/>
          <w:position w:val="0"/>
        </w:rPr>
        <w:t>解释第</w:t>
      </w:r>
      <w:r>
        <w:rPr>
          <w:rFonts w:ascii="Times New Roman" w:eastAsia="Times New Roman" w:hAnsi="Times New Roman" w:cs="Times New Roman"/>
          <w:color w:val="000000"/>
          <w:spacing w:val="0"/>
          <w:w w:val="100"/>
          <w:position w:val="0"/>
        </w:rPr>
        <w:t>14</w:t>
      </w:r>
      <w:r>
        <w:rPr>
          <w:color w:val="000000"/>
          <w:spacing w:val="0"/>
          <w:w w:val="100"/>
          <w:position w:val="0"/>
        </w:rPr>
        <w:t>号适用于同时符合该解释所述</w:t>
      </w:r>
      <w:r>
        <w:rPr>
          <w:rFonts w:ascii="Times New Roman" w:eastAsia="Times New Roman" w:hAnsi="Times New Roman" w:cs="Times New Roman"/>
          <w:color w:val="000000"/>
          <w:spacing w:val="0"/>
          <w:w w:val="100"/>
          <w:position w:val="0"/>
        </w:rPr>
        <w:t>“</w:t>
      </w:r>
      <w:r>
        <w:rPr>
          <w:color w:val="000000"/>
          <w:spacing w:val="0"/>
          <w:w w:val="100"/>
          <w:position w:val="0"/>
        </w:rPr>
        <w:t>双特征</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双控制</w:t>
      </w:r>
      <w:r>
        <w:rPr>
          <w:rFonts w:ascii="Times New Roman" w:eastAsia="Times New Roman" w:hAnsi="Times New Roman" w:cs="Times New Roman"/>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PPP</w:t>
      </w:r>
      <w:r>
        <w:rPr>
          <w:color w:val="000000"/>
          <w:spacing w:val="0"/>
          <w:w w:val="100"/>
          <w:position w:val="0"/>
        </w:rPr>
        <w:t>项目合同，对于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日前开始实施且至施行日尚未完成的有关</w:t>
      </w:r>
      <w:r>
        <w:rPr>
          <w:rFonts w:ascii="Times New Roman" w:eastAsia="Times New Roman" w:hAnsi="Times New Roman" w:cs="Times New Roman"/>
          <w:color w:val="000000"/>
          <w:spacing w:val="0"/>
          <w:w w:val="100"/>
          <w:position w:val="0"/>
        </w:rPr>
        <w:t>PPP</w:t>
      </w:r>
      <w:r>
        <w:rPr>
          <w:color w:val="000000"/>
          <w:spacing w:val="0"/>
          <w:w w:val="100"/>
          <w:position w:val="0"/>
        </w:rPr>
        <w:t>项目合同应进行追溯调整，追溯调整不切 实可行的，从可追溯调整的最早期间期初开始应用，累计影响数调整施行日当年年初留存收 益以及财务报表其他相关项目，对可比期间信息不予调整。执行该规定未对本公司财务状况 和经营成果产生重大影响。</w:t>
      </w:r>
    </w:p>
    <w:p>
      <w:pPr>
        <w:pStyle w:val="Style18"/>
        <w:keepNext w:val="0"/>
        <w:keepLines w:val="0"/>
        <w:widowControl w:val="0"/>
        <w:numPr>
          <w:ilvl w:val="0"/>
          <w:numId w:val="27"/>
        </w:numPr>
        <w:shd w:val="clear" w:color="auto" w:fill="auto"/>
        <w:tabs>
          <w:tab w:pos="1667" w:val="left"/>
        </w:tabs>
        <w:bidi w:val="0"/>
        <w:spacing w:before="0" w:after="0" w:line="336" w:lineRule="exact"/>
        <w:ind w:left="1280" w:right="0" w:firstLine="0"/>
        <w:jc w:val="both"/>
      </w:pPr>
      <w:bookmarkStart w:id="1133" w:name="bookmark1133"/>
      <w:bookmarkEnd w:id="1133"/>
      <w:r>
        <w:rPr>
          <w:color w:val="000000"/>
          <w:spacing w:val="0"/>
          <w:w w:val="100"/>
          <w:position w:val="0"/>
        </w:rPr>
        <w:t>基准利率改革</w:t>
      </w:r>
    </w:p>
    <w:p>
      <w:pPr>
        <w:pStyle w:val="Style18"/>
        <w:keepNext w:val="0"/>
        <w:keepLines w:val="0"/>
        <w:widowControl w:val="0"/>
        <w:shd w:val="clear" w:color="auto" w:fill="auto"/>
        <w:bidi w:val="0"/>
        <w:spacing w:before="0" w:after="0" w:line="336" w:lineRule="exact"/>
        <w:ind w:left="1280" w:right="0" w:firstLine="0"/>
        <w:jc w:val="both"/>
      </w:pPr>
      <w:r>
        <w:rPr>
          <w:color w:val="000000"/>
          <w:spacing w:val="0"/>
          <w:w w:val="100"/>
          <w:position w:val="0"/>
        </w:rPr>
        <w:t>解释第</w:t>
      </w:r>
      <w:r>
        <w:rPr>
          <w:rFonts w:ascii="Times New Roman" w:eastAsia="Times New Roman" w:hAnsi="Times New Roman" w:cs="Times New Roman"/>
          <w:color w:val="000000"/>
          <w:spacing w:val="0"/>
          <w:w w:val="100"/>
          <w:position w:val="0"/>
        </w:rPr>
        <w:t>14</w:t>
      </w:r>
      <w:r>
        <w:rPr>
          <w:color w:val="000000"/>
          <w:spacing w:val="0"/>
          <w:w w:val="100"/>
          <w:position w:val="0"/>
        </w:rPr>
        <w:t>号对基准利率改革导致金融工具合同和租赁合同相关现金流量的确定基础发生变 更的情形作出了简化会计处理规定。</w:t>
      </w:r>
    </w:p>
    <w:p>
      <w:pPr>
        <w:pStyle w:val="Style18"/>
        <w:keepNext w:val="0"/>
        <w:keepLines w:val="0"/>
        <w:widowControl w:val="0"/>
        <w:shd w:val="clear" w:color="auto" w:fill="auto"/>
        <w:bidi w:val="0"/>
        <w:spacing w:before="0" w:after="300" w:line="315" w:lineRule="exact"/>
        <w:ind w:left="1280" w:right="0" w:firstLine="0"/>
        <w:jc w:val="both"/>
      </w:pPr>
      <w:r>
        <w:rPr>
          <w:color w:val="000000"/>
          <w:spacing w:val="0"/>
          <w:w w:val="100"/>
          <w:position w:val="0"/>
        </w:rPr>
        <w:t>根据该解释的规定，</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日前发生的基准利率改革相关业务，应当进行追溯调整， 追溯调整不切实可行的除外，无需调整前期比较财务报表数据。在该解释施行日，金融资产、 金融负债等原账面价值与新账面价值之间的差额，计入该解释施行日所在年度报告期间的期 初留存收益或其他综合收益。执行该规定未对本公司财务状况和经营成果产生重大影响。</w:t>
      </w:r>
    </w:p>
    <w:p>
      <w:pPr>
        <w:pStyle w:val="Style18"/>
        <w:keepNext w:val="0"/>
        <w:keepLines w:val="0"/>
        <w:widowControl w:val="0"/>
        <w:shd w:val="clear" w:color="auto" w:fill="auto"/>
        <w:tabs>
          <w:tab w:pos="1643" w:val="left"/>
        </w:tabs>
        <w:bidi w:val="0"/>
        <w:spacing w:before="0" w:after="0" w:line="319" w:lineRule="exact"/>
        <w:ind w:left="1280" w:right="0" w:firstLine="0"/>
        <w:jc w:val="both"/>
      </w:pPr>
      <w:bookmarkStart w:id="1134" w:name="bookmark1134"/>
      <w:r>
        <w:rPr>
          <w:rFonts w:ascii="Arial" w:eastAsia="Arial" w:hAnsi="Arial" w:cs="Arial"/>
          <w:color w:val="000000"/>
          <w:spacing w:val="0"/>
          <w:w w:val="100"/>
          <w:position w:val="0"/>
          <w:sz w:val="18"/>
          <w:szCs w:val="18"/>
        </w:rPr>
        <w:t>3</w:t>
      </w:r>
      <w:bookmarkEnd w:id="1134"/>
      <w:r>
        <w:rPr>
          <w:color w:val="000000"/>
          <w:spacing w:val="0"/>
          <w:w w:val="100"/>
          <w:position w:val="0"/>
        </w:rPr>
        <w:t>、</w:t>
        <w:tab/>
        <w:t>执行《关于调整</w:t>
      </w:r>
      <w:r>
        <w:rPr>
          <w:color w:val="000000"/>
          <w:spacing w:val="0"/>
          <w:w w:val="100"/>
          <w:position w:val="0"/>
        </w:rPr>
        <w:t>〈</w:t>
      </w:r>
      <w:r>
        <w:rPr>
          <w:color w:val="000000"/>
          <w:spacing w:val="0"/>
          <w:w w:val="100"/>
          <w:position w:val="0"/>
        </w:rPr>
        <w:t>新冠肺炎疫情相关租金减让会计处理规定</w:t>
      </w:r>
      <w:r>
        <w:rPr>
          <w:rFonts w:ascii="Times New Roman" w:eastAsia="Times New Roman" w:hAnsi="Times New Roman" w:cs="Times New Roman"/>
          <w:color w:val="000000"/>
          <w:spacing w:val="0"/>
          <w:w w:val="100"/>
          <w:position w:val="0"/>
        </w:rPr>
        <w:t>＞</w:t>
      </w:r>
      <w:r>
        <w:rPr>
          <w:color w:val="000000"/>
          <w:spacing w:val="0"/>
          <w:w w:val="100"/>
          <w:position w:val="0"/>
        </w:rPr>
        <w:t>适用范围的通知》</w:t>
      </w:r>
    </w:p>
    <w:p>
      <w:pPr>
        <w:pStyle w:val="Style18"/>
        <w:keepNext w:val="0"/>
        <w:keepLines w:val="0"/>
        <w:widowControl w:val="0"/>
        <w:shd w:val="clear" w:color="auto" w:fill="auto"/>
        <w:bidi w:val="0"/>
        <w:spacing w:before="0" w:after="0" w:line="319" w:lineRule="exact"/>
        <w:ind w:left="128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日发布了《新冠肺炎疫情相关租金减让会计处理规定》（财会〔</w:t>
      </w:r>
      <w:r>
        <w:rPr>
          <w:rFonts w:ascii="Times New Roman" w:eastAsia="Times New Roman" w:hAnsi="Times New Roman" w:cs="Times New Roman"/>
          <w:color w:val="000000"/>
          <w:spacing w:val="0"/>
          <w:w w:val="100"/>
          <w:position w:val="0"/>
        </w:rPr>
        <w:t>2020</w:t>
      </w:r>
      <w:r>
        <w:rPr>
          <w:color w:val="000000"/>
          <w:spacing w:val="0"/>
          <w:w w:val="100"/>
          <w:position w:val="0"/>
        </w:rPr>
        <w:t>〕</w:t>
        <w:br w:type="page"/>
      </w:r>
      <w:r>
        <w:rPr>
          <w:rFonts w:ascii="Times New Roman" w:eastAsia="Times New Roman" w:hAnsi="Times New Roman" w:cs="Times New Roman"/>
          <w:color w:val="000000"/>
          <w:spacing w:val="0"/>
          <w:w w:val="100"/>
          <w:position w:val="0"/>
        </w:rPr>
        <w:t>10</w:t>
      </w:r>
      <w:r>
        <w:rPr>
          <w:color w:val="000000"/>
          <w:spacing w:val="0"/>
          <w:w w:val="100"/>
          <w:position w:val="0"/>
        </w:rPr>
        <w:t>号），对于满足条件的由新冠肺炎疫情直接引发的租金减免、延期支付租金等租金减让， 企业可以选择采用简化方法进行会计处理。</w:t>
      </w:r>
    </w:p>
    <w:p>
      <w:pPr>
        <w:pStyle w:val="Style18"/>
        <w:keepNext w:val="0"/>
        <w:keepLines w:val="0"/>
        <w:widowControl w:val="0"/>
        <w:shd w:val="clear" w:color="auto" w:fill="auto"/>
        <w:bidi w:val="0"/>
        <w:spacing w:before="0" w:after="0" w:line="317" w:lineRule="exact"/>
        <w:ind w:left="128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日发布了《关于调整</w:t>
      </w:r>
      <w:r>
        <w:rPr>
          <w:color w:val="000000"/>
          <w:spacing w:val="0"/>
          <w:w w:val="100"/>
          <w:position w:val="0"/>
        </w:rPr>
        <w:t>〈</w:t>
      </w:r>
      <w:r>
        <w:rPr>
          <w:color w:val="000000"/>
          <w:spacing w:val="0"/>
          <w:w w:val="100"/>
          <w:position w:val="0"/>
        </w:rPr>
        <w:t>新冠肺炎疫情相关租金减让会计处理规定</w:t>
      </w:r>
      <w:r>
        <w:rPr>
          <w:rFonts w:ascii="Times New Roman" w:eastAsia="Times New Roman" w:hAnsi="Times New Roman" w:cs="Times New Roman"/>
          <w:color w:val="000000"/>
          <w:spacing w:val="0"/>
          <w:w w:val="100"/>
          <w:position w:val="0"/>
        </w:rPr>
        <w:t xml:space="preserve">＞ </w:t>
      </w:r>
      <w:r>
        <w:rPr>
          <w:color w:val="000000"/>
          <w:spacing w:val="0"/>
          <w:w w:val="100"/>
          <w:position w:val="0"/>
        </w:rPr>
        <w:t>适用 范围的通知》（财会〔</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9</w:t>
      </w:r>
      <w:r>
        <w:rPr>
          <w:color w:val="000000"/>
          <w:spacing w:val="0"/>
          <w:w w:val="100"/>
          <w:position w:val="0"/>
        </w:rPr>
        <w:t>号），自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日起施行，将《新冠肺炎疫情相关租金 减让会计处理规定》允许采用简化方法的新冠肺炎疫情相关租金减让的适用范围由</w:t>
      </w:r>
      <w:r>
        <w:rPr>
          <w:rFonts w:ascii="Times New Roman" w:eastAsia="Times New Roman" w:hAnsi="Times New Roman" w:cs="Times New Roman"/>
          <w:color w:val="000000"/>
          <w:spacing w:val="0"/>
          <w:w w:val="100"/>
          <w:position w:val="0"/>
        </w:rPr>
        <w:t>“</w:t>
      </w:r>
      <w:r>
        <w:rPr>
          <w:color w:val="000000"/>
          <w:spacing w:val="0"/>
          <w:w w:val="100"/>
          <w:position w:val="0"/>
        </w:rPr>
        <w:t>减让仅 针对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日前的应付租赁付款额</w:t>
      </w:r>
      <w:r>
        <w:rPr>
          <w:rFonts w:ascii="Times New Roman" w:eastAsia="Times New Roman" w:hAnsi="Times New Roman" w:cs="Times New Roman"/>
          <w:color w:val="000000"/>
          <w:spacing w:val="0"/>
          <w:w w:val="100"/>
          <w:position w:val="0"/>
        </w:rPr>
        <w:t>”</w:t>
      </w:r>
      <w:r>
        <w:rPr>
          <w:color w:val="000000"/>
          <w:spacing w:val="0"/>
          <w:w w:val="100"/>
          <w:position w:val="0"/>
        </w:rPr>
        <w:t>调整为</w:t>
      </w:r>
      <w:r>
        <w:rPr>
          <w:rFonts w:ascii="Times New Roman" w:eastAsia="Times New Roman" w:hAnsi="Times New Roman" w:cs="Times New Roman"/>
          <w:color w:val="000000"/>
          <w:spacing w:val="0"/>
          <w:w w:val="100"/>
          <w:position w:val="0"/>
        </w:rPr>
        <w:t>“</w:t>
      </w:r>
      <w:r>
        <w:rPr>
          <w:color w:val="000000"/>
          <w:spacing w:val="0"/>
          <w:w w:val="100"/>
          <w:position w:val="0"/>
        </w:rPr>
        <w:t>减让仅针对</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日前的应付租赁 付款额</w:t>
      </w:r>
      <w:r>
        <w:rPr>
          <w:rFonts w:ascii="Times New Roman" w:eastAsia="Times New Roman" w:hAnsi="Times New Roman" w:cs="Times New Roman"/>
          <w:color w:val="000000"/>
          <w:spacing w:val="0"/>
          <w:w w:val="100"/>
          <w:position w:val="0"/>
        </w:rPr>
        <w:t>”</w:t>
      </w:r>
      <w:r>
        <w:rPr>
          <w:color w:val="000000"/>
          <w:spacing w:val="0"/>
          <w:w w:val="100"/>
          <w:position w:val="0"/>
        </w:rPr>
        <w:t>，其他适用条件不变。</w:t>
      </w:r>
    </w:p>
    <w:p>
      <w:pPr>
        <w:pStyle w:val="Style18"/>
        <w:keepNext w:val="0"/>
        <w:keepLines w:val="0"/>
        <w:widowControl w:val="0"/>
        <w:shd w:val="clear" w:color="auto" w:fill="auto"/>
        <w:bidi w:val="0"/>
        <w:spacing w:before="0" w:after="380" w:line="311" w:lineRule="exact"/>
        <w:ind w:left="1280" w:right="0" w:firstLine="0"/>
        <w:jc w:val="both"/>
      </w:pPr>
      <w:r>
        <w:rPr>
          <w:color w:val="000000"/>
          <w:spacing w:val="0"/>
          <w:w w:val="100"/>
          <w:position w:val="0"/>
        </w:rPr>
        <w:t>本公司对适用范围调整前符合条件的租赁合同已全部选择采用简化方法进行会计处理，对适 用范围调整后符合条件的类似租赁合同也全部采用简化方法进行会计处理，并对通知发布前 已采用租赁变更进行会计处理的相关租赁合同进行追溯调整，但不调整前期比较财务报表数 据；对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日至该通知施行日之间发生的未按照该通知规定进行会计处理的相关租金 减让，根据该通知进行调整。执行该规定未对本公司财务状况和经营成果产生重大影响。</w:t>
      </w:r>
    </w:p>
    <w:p>
      <w:pPr>
        <w:pStyle w:val="Style18"/>
        <w:keepNext w:val="0"/>
        <w:keepLines w:val="0"/>
        <w:widowControl w:val="0"/>
        <w:shd w:val="clear" w:color="auto" w:fill="auto"/>
        <w:bidi w:val="0"/>
        <w:spacing w:before="0" w:after="0" w:line="240" w:lineRule="auto"/>
        <w:ind w:left="1280" w:right="0" w:firstLine="0"/>
        <w:jc w:val="both"/>
      </w:pPr>
      <w:bookmarkStart w:id="1135" w:name="bookmark1135"/>
      <w:r>
        <w:rPr>
          <w:rFonts w:ascii="Arial" w:eastAsia="Arial" w:hAnsi="Arial" w:cs="Arial"/>
          <w:color w:val="000000"/>
          <w:spacing w:val="0"/>
          <w:w w:val="100"/>
          <w:position w:val="0"/>
          <w:sz w:val="18"/>
          <w:szCs w:val="18"/>
        </w:rPr>
        <w:t>4</w:t>
      </w:r>
      <w:bookmarkEnd w:id="1135"/>
      <w:r>
        <w:rPr>
          <w:color w:val="000000"/>
          <w:spacing w:val="0"/>
          <w:w w:val="100"/>
          <w:position w:val="0"/>
        </w:rPr>
        <w:t>、执行《企业会计准则解释第</w:t>
      </w:r>
      <w:r>
        <w:rPr>
          <w:rFonts w:ascii="Times New Roman" w:eastAsia="Times New Roman" w:hAnsi="Times New Roman" w:cs="Times New Roman"/>
          <w:color w:val="000000"/>
          <w:spacing w:val="0"/>
          <w:w w:val="100"/>
          <w:position w:val="0"/>
        </w:rPr>
        <w:t>15</w:t>
      </w:r>
      <w:r>
        <w:rPr>
          <w:color w:val="000000"/>
          <w:spacing w:val="0"/>
          <w:w w:val="100"/>
          <w:position w:val="0"/>
        </w:rPr>
        <w:t>号》关于资金集中管理相关列报</w:t>
      </w:r>
    </w:p>
    <w:p>
      <w:pPr>
        <w:pStyle w:val="Style18"/>
        <w:keepNext w:val="0"/>
        <w:keepLines w:val="0"/>
        <w:widowControl w:val="0"/>
        <w:shd w:val="clear" w:color="auto" w:fill="auto"/>
        <w:bidi w:val="0"/>
        <w:spacing w:before="0" w:after="380" w:line="317" w:lineRule="exact"/>
        <w:ind w:left="128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rPr>
        <w:t>15</w:t>
      </w:r>
      <w:r>
        <w:rPr>
          <w:color w:val="000000"/>
          <w:spacing w:val="0"/>
          <w:w w:val="100"/>
          <w:position w:val="0"/>
        </w:rPr>
        <w:t>号》（财会〔</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35</w:t>
      </w:r>
      <w:r>
        <w:rPr>
          <w:color w:val="000000"/>
          <w:spacing w:val="0"/>
          <w:w w:val="100"/>
          <w:position w:val="0"/>
        </w:rPr>
        <w:t>号，以下简 称</w:t>
      </w:r>
      <w:r>
        <w:rPr>
          <w:rFonts w:ascii="Times New Roman" w:eastAsia="Times New Roman" w:hAnsi="Times New Roman" w:cs="Times New Roman"/>
          <w:color w:val="000000"/>
          <w:spacing w:val="0"/>
          <w:w w:val="100"/>
          <w:position w:val="0"/>
        </w:rPr>
        <w:t>“</w:t>
      </w:r>
      <w:r>
        <w:rPr>
          <w:color w:val="000000"/>
          <w:spacing w:val="0"/>
          <w:w w:val="100"/>
          <w:position w:val="0"/>
        </w:rPr>
        <w:t>解释第</w:t>
      </w:r>
      <w:r>
        <w:rPr>
          <w:rFonts w:ascii="Times New Roman" w:eastAsia="Times New Roman" w:hAnsi="Times New Roman" w:cs="Times New Roman"/>
          <w:color w:val="000000"/>
          <w:spacing w:val="0"/>
          <w:w w:val="100"/>
          <w:position w:val="0"/>
        </w:rPr>
        <w:t>15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关于资金集中管理相关列报</w:t>
      </w:r>
      <w:r>
        <w:rPr>
          <w:rFonts w:ascii="Times New Roman" w:eastAsia="Times New Roman" w:hAnsi="Times New Roman" w:cs="Times New Roman"/>
          <w:color w:val="000000"/>
          <w:spacing w:val="0"/>
          <w:w w:val="100"/>
          <w:position w:val="0"/>
        </w:rPr>
        <w:t>”</w:t>
      </w:r>
      <w:r>
        <w:rPr>
          <w:color w:val="000000"/>
          <w:spacing w:val="0"/>
          <w:w w:val="100"/>
          <w:position w:val="0"/>
        </w:rPr>
        <w:t>内容自公布之日起施行，可比期间的财务 报表数据相应调整。解释第</w:t>
      </w:r>
      <w:r>
        <w:rPr>
          <w:rFonts w:ascii="Arial" w:eastAsia="Arial" w:hAnsi="Arial" w:cs="Arial"/>
          <w:color w:val="000000"/>
          <w:spacing w:val="0"/>
          <w:w w:val="100"/>
          <w:position w:val="0"/>
          <w:sz w:val="18"/>
          <w:szCs w:val="18"/>
        </w:rPr>
        <w:t>15</w:t>
      </w:r>
      <w:r>
        <w:rPr>
          <w:color w:val="000000"/>
          <w:spacing w:val="0"/>
          <w:w w:val="100"/>
          <w:position w:val="0"/>
        </w:rPr>
        <w:t>号就企业通过内部结算中心、财务公司等对母公司及成员单位 资金实行集中统一管理涉及的余额应如何在资产负债表中进行列报与披露作出了明确规定。 执行该规定未对本公司财务状况和经营成果产生重大影响。</w:t>
      </w:r>
    </w:p>
    <w:p>
      <w:pPr>
        <w:pStyle w:val="Style61"/>
        <w:keepNext/>
        <w:keepLines/>
        <w:widowControl w:val="0"/>
        <w:shd w:val="clear" w:color="auto" w:fill="auto"/>
        <w:bidi w:val="0"/>
        <w:spacing w:before="0" w:line="240" w:lineRule="auto"/>
        <w:ind w:left="0" w:right="0" w:firstLine="0"/>
        <w:jc w:val="both"/>
      </w:pPr>
      <w:bookmarkStart w:id="1136" w:name="bookmark1136"/>
      <w:bookmarkStart w:id="1137" w:name="bookmark1137"/>
      <w:bookmarkStart w:id="1138" w:name="bookmark1138"/>
      <w:bookmarkStart w:id="1139" w:name="bookmark1139"/>
      <w:r>
        <w:rPr>
          <w:color w:val="000000"/>
          <w:spacing w:val="0"/>
          <w:w w:val="100"/>
          <w:position w:val="0"/>
        </w:rPr>
        <w:t>（</w:t>
      </w:r>
      <w:bookmarkEnd w:id="1138"/>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1136"/>
      <w:bookmarkEnd w:id="1137"/>
      <w:bookmarkEnd w:id="1139"/>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1"/>
        <w:keepNext/>
        <w:keepLines/>
        <w:widowControl w:val="0"/>
        <w:shd w:val="clear" w:color="auto" w:fill="auto"/>
        <w:bidi w:val="0"/>
        <w:spacing w:before="0" w:line="240" w:lineRule="auto"/>
        <w:ind w:left="0" w:right="0" w:firstLine="140"/>
        <w:jc w:val="both"/>
      </w:pPr>
      <w:bookmarkStart w:id="1140" w:name="bookmark1140"/>
      <w:bookmarkStart w:id="1141" w:name="bookmark1141"/>
      <w:bookmarkStart w:id="1142" w:name="bookmark1142"/>
      <w:r>
        <w:rPr>
          <w:color w:val="000000"/>
          <w:spacing w:val="0"/>
          <w:w w:val="100"/>
          <w:position w:val="0"/>
        </w:rPr>
        <w:t>⑶</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140"/>
      <w:bookmarkEnd w:id="1141"/>
      <w:bookmarkEnd w:id="1142"/>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是否需要调整年初资产负债表科目</w:t>
      </w:r>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合并资产负债表</w:t>
      </w:r>
    </w:p>
    <w:p>
      <w:pPr>
        <w:pStyle w:val="Style29"/>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p>
    <w:p>
      <w:pPr>
        <w:widowControl w:val="0"/>
        <w:spacing w:line="1" w:lineRule="exact"/>
      </w:pPr>
      <w:r>
        <mc:AlternateContent>
          <mc:Choice Requires="wps">
            <w:drawing>
              <wp:anchor distT="0" distB="0" distL="0" distR="0" simplePos="0" relativeHeight="125829451" behindDoc="0" locked="0" layoutInCell="1" allowOverlap="1">
                <wp:simplePos x="0" y="0"/>
                <wp:positionH relativeFrom="page">
                  <wp:posOffset>668020</wp:posOffset>
                </wp:positionH>
                <wp:positionV relativeFrom="paragraph">
                  <wp:posOffset>0</wp:posOffset>
                </wp:positionV>
                <wp:extent cx="2971800" cy="2563495"/>
                <wp:wrapTopAndBottom/>
                <wp:docPr id="82" name="Shape 82"/>
                <a:graphic xmlns:a="http://schemas.openxmlformats.org/drawingml/2006/main">
                  <a:graphicData uri="http://schemas.microsoft.com/office/word/2010/wordprocessingShape">
                    <wps:wsp>
                      <wps:cNvSpPr txBox="1"/>
                      <wps:spPr>
                        <a:xfrm>
                          <a:ext cx="2971800" cy="2563495"/>
                        </a:xfrm>
                        <a:prstGeom prst="rect"/>
                        <a:noFill/>
                      </wps:spPr>
                      <wps:txbx>
                        <w:txbxContent>
                          <w:tbl>
                            <w:tblPr>
                              <w:tblOverlap w:val="never"/>
                              <w:jc w:val="left"/>
                              <w:tblLayout w:type="fixed"/>
                            </w:tblPr>
                            <w:tblGrid>
                              <w:gridCol w:w="2218"/>
                              <w:gridCol w:w="2462"/>
                            </w:tblGrid>
                            <w:tr>
                              <w:trPr>
                                <w:tblHeade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right w:val="single" w:sz="4"/>
                                  </w:tcBorders>
                                  <w:shd w:val="clear" w:color="auto" w:fill="D4D4D4"/>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货币资金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1,382,076,975.83</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结算备付金</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拆出资金</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交易性金融资产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7,476,119.50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衍生金融资产</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应收票据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1,352,406.00</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应收账款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689,423,679.05</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应收款项融资</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108" type="#_x0000_t202" style="position:absolute;margin-left:52.600000000000001pt;margin-top:0;width:234.pt;height:201.84999999999999pt;z-index:-125829302;mso-wrap-distance-left:0;mso-wrap-distance-right:0;mso-position-horizontal-relative:page" filled="f" stroked="f">
                <v:textbox inset="0,0,0,0">
                  <w:txbxContent>
                    <w:tbl>
                      <w:tblPr>
                        <w:tblOverlap w:val="never"/>
                        <w:jc w:val="left"/>
                        <w:tblLayout w:type="fixed"/>
                      </w:tblPr>
                      <w:tblGrid>
                        <w:gridCol w:w="2218"/>
                        <w:gridCol w:w="2462"/>
                      </w:tblGrid>
                      <w:tr>
                        <w:trPr>
                          <w:tblHeade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right w:val="single" w:sz="4"/>
                            </w:tcBorders>
                            <w:shd w:val="clear" w:color="auto" w:fill="D4D4D4"/>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货币资金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1,382,076,975.83</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结算备付金</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拆出资金</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交易性金融资产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7,476,119.50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衍生金融资产</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应收票据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1,352,406.00</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应收账款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689,423,679.05</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应收款项融资</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125829453" behindDoc="0" locked="0" layoutInCell="1" allowOverlap="1">
                <wp:simplePos x="0" y="0"/>
                <wp:positionH relativeFrom="page">
                  <wp:posOffset>3624580</wp:posOffset>
                </wp:positionH>
                <wp:positionV relativeFrom="paragraph">
                  <wp:posOffset>0</wp:posOffset>
                </wp:positionV>
                <wp:extent cx="3133090" cy="2563495"/>
                <wp:wrapTopAndBottom/>
                <wp:docPr id="84" name="Shape 84"/>
                <a:graphic xmlns:a="http://schemas.openxmlformats.org/drawingml/2006/main">
                  <a:graphicData uri="http://schemas.microsoft.com/office/word/2010/wordprocessingShape">
                    <wps:wsp>
                      <wps:cNvSpPr txBox="1"/>
                      <wps:spPr>
                        <a:xfrm>
                          <a:ext cx="3133090" cy="2563495"/>
                        </a:xfrm>
                        <a:prstGeom prst="rect"/>
                        <a:noFill/>
                      </wps:spPr>
                      <wps:txbx>
                        <w:txbxContent>
                          <w:tbl>
                            <w:tblPr>
                              <w:tblOverlap w:val="never"/>
                              <w:jc w:val="left"/>
                              <w:tblLayout w:type="fixed"/>
                            </w:tblPr>
                            <w:tblGrid>
                              <w:gridCol w:w="2477"/>
                              <w:gridCol w:w="2458"/>
                            </w:tblGrid>
                            <w:tr>
                              <w:trPr>
                                <w:tblHeade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1,382,076,975.83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7,476,119.50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1,352,406.00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689,423,679.05</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110" type="#_x0000_t202" style="position:absolute;margin-left:285.40000000000003pt;margin-top:0;width:246.70000000000002pt;height:201.84999999999999pt;z-index:-125829300;mso-wrap-distance-left:0;mso-wrap-distance-right:0;mso-position-horizontal-relative:page" filled="f" stroked="f">
                <v:textbox inset="0,0,0,0">
                  <w:txbxContent>
                    <w:tbl>
                      <w:tblPr>
                        <w:tblOverlap w:val="never"/>
                        <w:jc w:val="left"/>
                        <w:tblLayout w:type="fixed"/>
                      </w:tblPr>
                      <w:tblGrid>
                        <w:gridCol w:w="2477"/>
                        <w:gridCol w:w="2458"/>
                      </w:tblGrid>
                      <w:tr>
                        <w:trPr>
                          <w:tblHeade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1,382,076,975.83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7,476,119.50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1,352,406.00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689,423,679.05</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35,987,078.24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35,987,078.24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142,227,191.97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142,227,191.97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771,132,165.58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771,132,165.58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425,240,739.84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425,240,739.84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jc w:val="left"/>
              <w:rPr>
                <w:sz w:val="17"/>
                <w:szCs w:val="17"/>
              </w:rPr>
            </w:pPr>
            <w:r>
              <w:rPr>
                <w:color w:val="000000"/>
                <w:spacing w:val="0"/>
                <w:w w:val="100"/>
                <w:position w:val="0"/>
                <w:sz w:val="17"/>
                <w:szCs w:val="17"/>
              </w:rPr>
              <w:t>一年内到期的非流动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172,857,099.93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172,857,099.93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67,451269.48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67,451,269.48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3,695,224,725.42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3,695,224,725.42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597,366,962.31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597,366,962.31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57,523,872.73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57,523,872.73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368,421,968.59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368,421,968.59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20,950,664.</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20,950,664.14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388,407,240.93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388,407,240.93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3,289,746.12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3,289,746.12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72274288.41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72274288.41</w:t>
            </w:r>
          </w:p>
        </w:tc>
      </w:tr>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598,085,805.69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598,085,805.69</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277,867,439.75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277,867,439.75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935,914,465.84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935,914,465.84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长期待摊费用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35 257207.86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35257207.86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3,283,085,373.96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3,355,359,662.37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72274288.41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6,978,310,099.38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7,050,584,387.79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72274288.41</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2,806,755,768.43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2,806,755,768.43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119,613,784.71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119,613,784.71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427,635,379.16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427,635,379.16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1,493,704,048.29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1,493,704,048.29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1,542,397.13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1,542,397.13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124,203,034.69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124,203,034.69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99,514,312.66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99,514,312.66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2,351,825.34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2,351,825.34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jc w:val="left"/>
              <w:rPr>
                <w:sz w:val="17"/>
                <w:szCs w:val="17"/>
              </w:rPr>
            </w:pPr>
            <w:r>
              <w:rPr>
                <w:color w:val="000000"/>
                <w:spacing w:val="0"/>
                <w:w w:val="100"/>
                <w:position w:val="0"/>
                <w:sz w:val="17"/>
                <w:szCs w:val="17"/>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159,159,102.47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174,980,796.11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15,821,693.64</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73,796,301.71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73,796,301.71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5,305,924,129.25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5,321,745,822.89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15,821,693.64</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长期借款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33,019,832.22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33,019,832.22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64,026,495.40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64,026,495.40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60,433,702.95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60,433,702.95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10,333,987.74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10,333,987.74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82,411,707.81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82,411,707.81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186,199,230.72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250,225,726.12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64,026,495.40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5,492,123,359.97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5,571,971,549.01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79,848,189.04</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1,187,584,762.00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1,187,584,762.00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2,189,126,952.17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2,189,126,952.17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29,984265.25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29,984,265.25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1,027,724.28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1,027,724.28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150,153,223.42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150,153,223.42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-2,033,778293.70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-2,041,363,264.75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-7,584,971.05</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1,464,130,102.92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1,456,545,131.87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-7,584,971.05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22,056,636.49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22,067,706.91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11,070.42</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1,486,186,739.41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1,478,612,838.78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-7,573,900.63</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6,978,310,099.38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7,050,584,387.79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72274288.41</w:t>
            </w:r>
          </w:p>
        </w:tc>
      </w:tr>
    </w:tbl>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调整情况说明</w:t>
      </w:r>
    </w:p>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日，财政部修订发布了《企业会计准则第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新租赁准则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 起施行新租赁准则。根据新准则及相关衔接规定，公司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日增加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使用权资产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租赁负债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w:t>
      </w:r>
      <w:r>
        <w:br w:type="page"/>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母公司资产负债表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128"/>
        <w:gridCol w:w="1982"/>
        <w:gridCol w:w="1982"/>
        <w:gridCol w:w="149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调整数</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973,273,281.59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973,273,281.59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1,352,406.00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1,352,406.00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709,698,042.91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709,698,042.91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12,348,970.46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12,348,970.46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789,823,900.06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789,823,900.06</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592,099,638.68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592,099,638.68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292,134,735.40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292,134,735.40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7,841,450.54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7,841,450.54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16,874,721.18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16,874,721.18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3,395,447,146.82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3,395,447,146.82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13,188,982.41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13,188,982.41</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1,914,403,832.00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1,914,403,832.00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368,421,968.59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368,421,968.59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16,828,910.06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16,828,910.06</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329,645,512.43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329,645,512.43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1,340,083.08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1,340,083.08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70,411,891.54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70,411,891.54</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无形资产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526,658,039.41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526,658,039.41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128"/>
        <w:gridCol w:w="1982"/>
        <w:gridCol w:w="1982"/>
        <w:gridCol w:w="149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调整数</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272,379,195.40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272,379,195.40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31,916,883.36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31,916,883.36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3,474,783,406.74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3,545,195,298.28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70,411,891.54</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6,870,230,553.56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6,940,642,445.10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70,411,891.54</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2,778,817,151.68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2,778,817,151.68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62,442,100.00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62,442,100.00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436,044,681.18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436,044,681.18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1,161,110,591.56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1,161,110,591.56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112,560,001.38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112,560,001.38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565,516,322.72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565,516,322.72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115,175,694.46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130,194,094.62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15,018,400.16</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28,753,668.34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28,753,668.34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5,260,420,211.32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5,275,438,611.48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15,018,400.16</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62,932,198.03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62,932,198.03</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预计负债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128"/>
        <w:gridCol w:w="1982"/>
        <w:gridCol w:w="1982"/>
        <w:gridCol w:w="149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调整数</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52,397,138.74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52,397,138.74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10,333,987.74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10,333,987.74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62,731,126.48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125,663,324.51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62,932,198.03</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5,323,151,337.80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5,401,101,935.99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77,950,598.19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1,187,584,762.00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1,187,584,762.00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2,319,377,891.68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2,319,377,891.68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29,984265.25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29,984,265.25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2,363,526.48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2,363,526.48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150,153,223.42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150,153,223.42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-2,082,415,922.57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-2,089,954,629.22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-7,538,706.65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1,547,079215.76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1,539,540,509.11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-7,538,706.65</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6,870,230,553.56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6,940,642,445.10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70,411,891.54</w:t>
            </w:r>
          </w:p>
        </w:tc>
      </w:tr>
    </w:tbl>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调整情况说明</w:t>
      </w:r>
    </w:p>
    <w:p>
      <w:pPr>
        <w:pStyle w:val="Style29"/>
        <w:keepNext w:val="0"/>
        <w:keepLines w:val="0"/>
        <w:widowControl w:val="0"/>
        <w:shd w:val="clear" w:color="auto" w:fill="auto"/>
        <w:bidi w:val="0"/>
        <w:spacing w:before="0" w:after="380" w:line="31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日，财政部修订发布了《企业会计准则第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新租赁准则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 起施行新租赁准则。根据新准则及相关衔接规定，公司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日增加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使用权资产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租赁负债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w:t>
      </w:r>
    </w:p>
    <w:p>
      <w:pPr>
        <w:pStyle w:val="Style61"/>
        <w:keepNext/>
        <w:keepLines/>
        <w:widowControl w:val="0"/>
        <w:shd w:val="clear" w:color="auto" w:fill="auto"/>
        <w:bidi w:val="0"/>
        <w:spacing w:before="0" w:after="300" w:line="240" w:lineRule="auto"/>
        <w:ind w:left="0" w:right="0" w:firstLine="0"/>
        <w:jc w:val="left"/>
      </w:pPr>
      <w:bookmarkStart w:id="1143" w:name="bookmark1143"/>
      <w:bookmarkStart w:id="1144" w:name="bookmark1144"/>
      <w:bookmarkStart w:id="1145" w:name="bookmark1145"/>
      <w:bookmarkStart w:id="1146" w:name="bookmark1146"/>
      <w:r>
        <w:rPr>
          <w:color w:val="000000"/>
          <w:spacing w:val="0"/>
          <w:w w:val="100"/>
          <w:position w:val="0"/>
        </w:rPr>
        <w:t>（</w:t>
      </w:r>
      <w:bookmarkEnd w:id="1145"/>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143"/>
      <w:bookmarkEnd w:id="1144"/>
      <w:bookmarkEnd w:id="1146"/>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00" w:line="240" w:lineRule="auto"/>
        <w:ind w:left="0" w:right="0" w:firstLine="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4</w:t>
      </w:r>
      <w:bookmarkEnd w:id="1149"/>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147"/>
      <w:bookmarkEnd w:id="1148"/>
      <w:bookmarkEnd w:id="1150"/>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80" w:line="240" w:lineRule="auto"/>
        <w:ind w:left="0" w:right="0" w:firstLine="0"/>
        <w:jc w:val="left"/>
      </w:pPr>
      <w:bookmarkStart w:id="1151" w:name="bookmark1151"/>
      <w:bookmarkStart w:id="1152" w:name="bookmark1152"/>
      <w:bookmarkStart w:id="1153" w:name="bookmark1153"/>
      <w:bookmarkStart w:id="1154" w:name="bookmark1154"/>
      <w:r>
        <w:rPr>
          <w:color w:val="000000"/>
          <w:spacing w:val="0"/>
          <w:w w:val="100"/>
          <w:position w:val="0"/>
        </w:rPr>
        <w:t>六</w:t>
      </w:r>
      <w:bookmarkEnd w:id="1153"/>
      <w:r>
        <w:rPr>
          <w:color w:val="000000"/>
          <w:spacing w:val="0"/>
          <w:w w:val="100"/>
          <w:position w:val="0"/>
        </w:rPr>
        <w:t>、税项</w:t>
      </w:r>
      <w:bookmarkEnd w:id="1151"/>
      <w:bookmarkEnd w:id="1152"/>
      <w:bookmarkEnd w:id="1154"/>
    </w:p>
    <w:p>
      <w:pPr>
        <w:pStyle w:val="Style33"/>
        <w:keepNext/>
        <w:keepLines/>
        <w:widowControl w:val="0"/>
        <w:shd w:val="clear" w:color="auto" w:fill="auto"/>
        <w:bidi w:val="0"/>
        <w:spacing w:before="0" w:after="300" w:line="240" w:lineRule="auto"/>
        <w:ind w:left="0" w:right="0" w:firstLine="0"/>
        <w:jc w:val="left"/>
      </w:pPr>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155"/>
      <w:bookmarkEnd w:id="1156"/>
      <w:bookmarkEnd w:id="1157"/>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计税依据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税率</w:t>
            </w:r>
          </w:p>
        </w:tc>
      </w:tr>
      <w:tr>
        <w:trPr>
          <w:trHeight w:val="68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按税法规定计算的销售货物和应税劳务 收入为基础计算销项税额，在扣除当期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p>
        </w:tc>
      </w:tr>
    </w:tbl>
    <w:p>
      <w:pPr>
        <w:widowControl w:val="0"/>
        <w:spacing w:line="1" w:lineRule="exact"/>
      </w:pPr>
      <w:r>
        <w:br w:type="page"/>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计税依据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税率</w:t>
            </w:r>
          </w:p>
        </w:tc>
      </w:tr>
      <w:tr>
        <w:trPr>
          <w:trHeight w:val="682"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允许抵扣的进项税额后，差额部分为应 交增值税</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按实际缴纳的增值税及消费税计缴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按应纳税所得额计缴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860" w:right="0" w:firstLine="0"/>
              <w:jc w:val="left"/>
              <w:rPr>
                <w:sz w:val="17"/>
                <w:szCs w:val="17"/>
              </w:rPr>
            </w:pPr>
            <w:r>
              <w:rPr>
                <w:color w:val="000000"/>
                <w:spacing w:val="0"/>
                <w:w w:val="100"/>
                <w:position w:val="0"/>
                <w:sz w:val="17"/>
                <w:szCs w:val="17"/>
              </w:rPr>
              <w:t>纳税主体名称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所得税税率</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万达信息股份有限公司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上海万达信息系统有限公司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四川浩特通信有限公司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宁波金唐软件有限公司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杭州莱域科技有限公司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上海复高计算机科技有限公司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上海市民信箱信息服务有限公司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宁波市万达数据应用服务有限公司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宁波万达信息系统有限公司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杭州万达信息系统有限公司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上海褒发信息科技有限公司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上海爱递吉供应链管理服务有限公司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上海万达信息服务有限公司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上海卫生信息工程技术研究中心有限公司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天津万达信息技术有限责任公司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上海格言管理有限公司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上海华奕医疗信息技术有限公司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上海易可思信息技术有限公司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上海格金信息技术有限公司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克拉玛依市复高计算机科技有限公司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湖南凯歌医疗信息技术有限公司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湖南万达智慧城市信息技术有限公司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永州潇湘云技术有限公司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万达云医疗科技健康产业（上海）有限公司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四川万达智城云数据有限公司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四川万达健康数据有限公司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万达志翔医疗科技（北京）有限责任公司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上海慈铭智能网络科技有限责任公司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bl>
    <w:p>
      <w:pPr>
        <w:widowControl w:val="0"/>
        <w:spacing w:line="1" w:lineRule="exact"/>
      </w:pP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纳税主体名称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所得税税率</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上海爱可及医疗科技有限公司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上海资哲企业管理有限责任公司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蛮牛健康（海南）管理服务有限公司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中山市慧来科技有限公司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中山市正来咨询服务有限公司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上海蛮牛健康管理有限公司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上海嘉达信息科技有限公司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上海药荟商务咨询有限公司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上海万达恒安技术有限公司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加数度数字科技有限公司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健康云（上海）数字科技有限公司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bookmarkStart w:id="1158" w:name="bookmark1158"/>
      <w:r>
        <w:rPr>
          <w:rFonts w:ascii="Times New Roman" w:eastAsia="Times New Roman" w:hAnsi="Times New Roman" w:cs="Times New Roman"/>
          <w:b/>
          <w:bCs/>
          <w:color w:val="000000"/>
          <w:spacing w:val="0"/>
          <w:w w:val="100"/>
          <w:position w:val="0"/>
          <w:sz w:val="20"/>
          <w:szCs w:val="20"/>
        </w:rPr>
        <w:t>2</w:t>
      </w:r>
      <w:r>
        <w:rPr>
          <w:rFonts w:ascii="SimSun" w:eastAsia="SimSun" w:hAnsi="SimSun" w:cs="SimSun"/>
          <w:b/>
          <w:bCs/>
          <w:color w:val="000000"/>
          <w:spacing w:val="0"/>
          <w:w w:val="100"/>
          <w:position w:val="0"/>
          <w:sz w:val="20"/>
          <w:szCs w:val="20"/>
        </w:rPr>
        <w:t>、税收优惠</w:t>
      </w:r>
      <w:bookmarkEnd w:id="1158"/>
    </w:p>
    <w:p>
      <w:pPr>
        <w:widowControl w:val="0"/>
        <w:spacing w:after="259" w:line="1" w:lineRule="exact"/>
      </w:pPr>
    </w:p>
    <w:p>
      <w:pPr>
        <w:pStyle w:val="Style18"/>
        <w:keepNext w:val="0"/>
        <w:keepLines w:val="0"/>
        <w:widowControl w:val="0"/>
        <w:shd w:val="clear" w:color="auto" w:fill="auto"/>
        <w:bidi w:val="0"/>
        <w:spacing w:before="0" w:after="0" w:line="315" w:lineRule="exact"/>
        <w:ind w:left="720" w:right="0" w:firstLine="0"/>
        <w:jc w:val="both"/>
      </w:pPr>
      <w:r>
        <w:rPr>
          <w:color w:val="000000"/>
          <w:spacing w:val="0"/>
          <w:w w:val="100"/>
          <w:position w:val="0"/>
        </w:rPr>
        <w:t>根据《财政部国家税务总局关于软件产品增值税政策的通知》（财税</w:t>
      </w:r>
      <w:r>
        <w:rPr>
          <w:rFonts w:ascii="Times New Roman" w:eastAsia="Times New Roman" w:hAnsi="Times New Roman" w:cs="Times New Roman"/>
          <w:color w:val="000000"/>
          <w:spacing w:val="0"/>
          <w:w w:val="100"/>
          <w:position w:val="0"/>
        </w:rPr>
        <w:t>[2011]100</w:t>
      </w:r>
      <w:r>
        <w:rPr>
          <w:color w:val="000000"/>
          <w:spacing w:val="0"/>
          <w:w w:val="100"/>
          <w:position w:val="0"/>
        </w:rPr>
        <w:t xml:space="preserve">号），增值税一般 纳税人销售其自行开发生产的软件产品，按照适用税率征收增值税后，对其增值税实际税负超过 </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的部分实行即征即退政策。</w:t>
      </w:r>
    </w:p>
    <w:p>
      <w:pPr>
        <w:pStyle w:val="Style18"/>
        <w:keepNext w:val="0"/>
        <w:keepLines w:val="0"/>
        <w:widowControl w:val="0"/>
        <w:shd w:val="clear" w:color="auto" w:fill="auto"/>
        <w:bidi w:val="0"/>
        <w:spacing w:before="0" w:after="0" w:line="315" w:lineRule="exact"/>
        <w:ind w:left="720" w:right="0" w:firstLine="0"/>
        <w:jc w:val="both"/>
      </w:pPr>
      <w:r>
        <w:rPr>
          <w:color w:val="000000"/>
          <w:spacing w:val="0"/>
          <w:w w:val="100"/>
          <w:position w:val="0"/>
        </w:rPr>
        <w:t>根据《中华人民共和国企业所得税法》、《中华人民共和国企业所得税法实施条例》、《高科技 企业认定管理办法》以及《高新技术企业认定管理工作指引》规定，经认定的高新技术企业，减 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p>
    <w:p>
      <w:pPr>
        <w:pStyle w:val="Style18"/>
        <w:keepNext w:val="0"/>
        <w:keepLines w:val="0"/>
        <w:widowControl w:val="0"/>
        <w:shd w:val="clear" w:color="auto" w:fill="auto"/>
        <w:bidi w:val="0"/>
        <w:spacing w:before="0" w:after="0" w:line="315" w:lineRule="exact"/>
        <w:ind w:left="720" w:right="0" w:firstLine="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月本公司取得了上海市科学技术委员会、上海市财政局、国家税务总局上海市税 务局联合颁发的《高新技术企业证书》，认定有效期三年。</w:t>
      </w:r>
    </w:p>
    <w:p>
      <w:pPr>
        <w:pStyle w:val="Style18"/>
        <w:keepNext w:val="0"/>
        <w:keepLines w:val="0"/>
        <w:widowControl w:val="0"/>
        <w:shd w:val="clear" w:color="auto" w:fill="auto"/>
        <w:bidi w:val="0"/>
        <w:spacing w:before="0" w:after="0" w:line="315" w:lineRule="exact"/>
        <w:ind w:left="720" w:right="0" w:firstLine="0"/>
        <w:jc w:val="both"/>
      </w:pPr>
      <w:r>
        <w:rPr>
          <w:color w:val="000000"/>
          <w:spacing w:val="0"/>
          <w:w w:val="100"/>
          <w:position w:val="0"/>
        </w:rPr>
        <w:t>上海万达信息系统有限公司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月得了由上海市科学技术委员会、上海市财政局、国家税务 总局上海市税务局联合颁发的《高新技术企业证书》，认定有效期三年。</w:t>
      </w:r>
    </w:p>
    <w:p>
      <w:pPr>
        <w:pStyle w:val="Style18"/>
        <w:keepNext w:val="0"/>
        <w:keepLines w:val="0"/>
        <w:widowControl w:val="0"/>
        <w:shd w:val="clear" w:color="auto" w:fill="auto"/>
        <w:bidi w:val="0"/>
        <w:spacing w:before="0" w:after="0" w:line="315" w:lineRule="exact"/>
        <w:ind w:left="720" w:right="0" w:firstLine="0"/>
        <w:jc w:val="both"/>
      </w:pPr>
      <w:r>
        <w:rPr>
          <w:color w:val="000000"/>
          <w:spacing w:val="0"/>
          <w:w w:val="100"/>
          <w:position w:val="0"/>
        </w:rPr>
        <w:t>四川浩特通信有限公司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月取得了四川省科学技术厅、四川省财政厅、国家税务总局四川 省税务局联合颁发的《高新技术企业证书》，认定有效期三年。</w:t>
      </w:r>
    </w:p>
    <w:p>
      <w:pPr>
        <w:pStyle w:val="Style18"/>
        <w:keepNext w:val="0"/>
        <w:keepLines w:val="0"/>
        <w:widowControl w:val="0"/>
        <w:shd w:val="clear" w:color="auto" w:fill="auto"/>
        <w:bidi w:val="0"/>
        <w:spacing w:before="0" w:after="0" w:line="315" w:lineRule="exact"/>
        <w:ind w:left="720" w:right="0" w:firstLine="0"/>
        <w:jc w:val="both"/>
      </w:pPr>
      <w:r>
        <w:rPr>
          <w:color w:val="000000"/>
          <w:spacing w:val="0"/>
          <w:w w:val="100"/>
          <w:position w:val="0"/>
        </w:rPr>
        <w:t>宁波金唐软件有限公司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月取得了宁波市科学技术局、宁波市财政局、国家税务总局宁波 市税务局联合颁发的《高新技术企业证书》，认定有效期三年。</w:t>
      </w:r>
    </w:p>
    <w:p>
      <w:pPr>
        <w:pStyle w:val="Style18"/>
        <w:keepNext w:val="0"/>
        <w:keepLines w:val="0"/>
        <w:widowControl w:val="0"/>
        <w:shd w:val="clear" w:color="auto" w:fill="auto"/>
        <w:bidi w:val="0"/>
        <w:spacing w:before="0" w:after="0" w:line="315" w:lineRule="exact"/>
        <w:ind w:left="720" w:right="0" w:firstLine="0"/>
        <w:jc w:val="both"/>
      </w:pPr>
      <w:r>
        <w:rPr>
          <w:color w:val="000000"/>
          <w:spacing w:val="0"/>
          <w:w w:val="100"/>
          <w:position w:val="0"/>
        </w:rPr>
        <w:t>杭州莱域科技有限公司</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月取得了经浙江省科学技术厅、浙江省财政局、国家税务总局浙 江省税务局联合颁发的《高新技术企业证书》，认定有效期三年。</w:t>
      </w:r>
    </w:p>
    <w:p>
      <w:pPr>
        <w:pStyle w:val="Style18"/>
        <w:keepNext w:val="0"/>
        <w:keepLines w:val="0"/>
        <w:widowControl w:val="0"/>
        <w:shd w:val="clear" w:color="auto" w:fill="auto"/>
        <w:bidi w:val="0"/>
        <w:spacing w:before="0" w:after="0" w:line="315" w:lineRule="exact"/>
        <w:ind w:left="720" w:right="0" w:firstLine="0"/>
        <w:jc w:val="both"/>
      </w:pPr>
      <w:r>
        <w:rPr>
          <w:color w:val="000000"/>
          <w:spacing w:val="0"/>
          <w:w w:val="100"/>
          <w:position w:val="0"/>
        </w:rPr>
        <w:t>上海复高计算机科技有限公司</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月取得了由上海市科学技术委员会、上海市财政局、上海 市国家税务局、上海市地方税务局联合颁发的《高新技术企业证书》，认定有效期三年。</w:t>
      </w:r>
    </w:p>
    <w:p>
      <w:pPr>
        <w:pStyle w:val="Style18"/>
        <w:keepNext w:val="0"/>
        <w:keepLines w:val="0"/>
        <w:widowControl w:val="0"/>
        <w:shd w:val="clear" w:color="auto" w:fill="auto"/>
        <w:bidi w:val="0"/>
        <w:spacing w:before="0" w:after="0" w:line="315" w:lineRule="exact"/>
        <w:ind w:left="720" w:right="0" w:firstLine="0"/>
        <w:jc w:val="both"/>
      </w:pPr>
      <w:r>
        <w:rPr>
          <w:color w:val="000000"/>
          <w:spacing w:val="0"/>
          <w:w w:val="100"/>
          <w:position w:val="0"/>
        </w:rPr>
        <w:t>上海市民信箱信息服务有限公司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月取得了上海市科学技术委员会、上海市财政局、上海 市国家税务局、上海市地方税务局联合颁发的《高新技术企业证书》，认定有效期三年。</w:t>
      </w:r>
    </w:p>
    <w:p>
      <w:pPr>
        <w:pStyle w:val="Style18"/>
        <w:keepNext w:val="0"/>
        <w:keepLines w:val="0"/>
        <w:widowControl w:val="0"/>
        <w:shd w:val="clear" w:color="auto" w:fill="auto"/>
        <w:bidi w:val="0"/>
        <w:spacing w:before="0" w:after="0" w:line="315" w:lineRule="exact"/>
        <w:ind w:left="720" w:right="0" w:firstLine="0"/>
        <w:jc w:val="both"/>
      </w:pPr>
      <w:r>
        <w:rPr>
          <w:color w:val="000000"/>
          <w:spacing w:val="0"/>
          <w:w w:val="100"/>
          <w:position w:val="0"/>
        </w:rPr>
        <w:t>宁波市万达数据应用服务有限公司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月取得了宁波市科学技术局、宁波市财政局、国家税 务总局宁波市税务局联合颁发的《高新技术企业证书》，认定有效期三年。</w:t>
      </w:r>
    </w:p>
    <w:p>
      <w:pPr>
        <w:pStyle w:val="Style18"/>
        <w:keepNext w:val="0"/>
        <w:keepLines w:val="0"/>
        <w:widowControl w:val="0"/>
        <w:shd w:val="clear" w:color="auto" w:fill="auto"/>
        <w:bidi w:val="0"/>
        <w:spacing w:before="0" w:after="0" w:line="315" w:lineRule="exact"/>
        <w:ind w:left="720" w:right="0" w:firstLine="0"/>
        <w:jc w:val="both"/>
      </w:pPr>
      <w:r>
        <w:rPr>
          <w:color w:val="000000"/>
          <w:spacing w:val="0"/>
          <w:w w:val="100"/>
          <w:position w:val="0"/>
        </w:rPr>
        <w:t>根据（财税〔</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13</w:t>
      </w:r>
      <w:r>
        <w:rPr>
          <w:color w:val="000000"/>
          <w:spacing w:val="0"/>
          <w:w w:val="100"/>
          <w:position w:val="0"/>
        </w:rPr>
        <w:t>号）《财政部国家税务总局关于实施小微企业普惠性税收减免政策的通知》， 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日，对小型微利企业年应纳税所得额不超过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 xml:space="preserve">万元的部分，减按 </w:t>
      </w:r>
      <w:r>
        <w:rPr>
          <w:rFonts w:ascii="Times New Roman" w:eastAsia="Times New Roman" w:hAnsi="Times New Roman" w:cs="Times New Roman"/>
          <w:color w:val="000000"/>
          <w:spacing w:val="0"/>
          <w:w w:val="100"/>
          <w:position w:val="0"/>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的税率缴纳企业所得税；对年应纳税所得额超过</w:t>
      </w:r>
      <w:r>
        <w:rPr>
          <w:rFonts w:ascii="Times New Roman" w:eastAsia="Times New Roman" w:hAnsi="Times New Roman" w:cs="Times New Roman"/>
          <w:color w:val="000000"/>
          <w:spacing w:val="0"/>
          <w:w w:val="100"/>
          <w:position w:val="0"/>
        </w:rPr>
        <w:t>100</w:t>
      </w:r>
      <w:r>
        <w:rPr>
          <w:color w:val="000000"/>
          <w:spacing w:val="0"/>
          <w:w w:val="100"/>
          <w:position w:val="0"/>
        </w:rPr>
        <w:t xml:space="preserve">万元但不超过 </w:t>
      </w:r>
      <w:r>
        <w:rPr>
          <w:rFonts w:ascii="Times New Roman" w:eastAsia="Times New Roman" w:hAnsi="Times New Roman" w:cs="Times New Roman"/>
          <w:color w:val="000000"/>
          <w:spacing w:val="0"/>
          <w:w w:val="100"/>
          <w:position w:val="0"/>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 xml:space="preserve">的税率缴纳企业所得税。 </w:t>
      </w:r>
      <w:r>
        <w:rPr>
          <w:color w:val="000000"/>
          <w:spacing w:val="0"/>
          <w:w w:val="100"/>
          <w:position w:val="0"/>
        </w:rPr>
        <w:t>根据《财政部、税务总局关于实施小微企业和个体工商户所得税优惠政策的公告》（财政部、税 务总局公告</w:t>
      </w:r>
      <w:r>
        <w:rPr>
          <w:rFonts w:ascii="Arial" w:eastAsia="Arial" w:hAnsi="Arial" w:cs="Arial"/>
          <w:color w:val="000000"/>
          <w:spacing w:val="0"/>
          <w:w w:val="100"/>
          <w:position w:val="0"/>
          <w:sz w:val="18"/>
          <w:szCs w:val="18"/>
        </w:rPr>
        <w:t>2021</w:t>
      </w:r>
      <w:r>
        <w:rPr>
          <w:color w:val="000000"/>
          <w:spacing w:val="0"/>
          <w:w w:val="100"/>
          <w:position w:val="0"/>
        </w:rPr>
        <w:t>年第</w:t>
      </w:r>
      <w:r>
        <w:rPr>
          <w:rFonts w:ascii="Arial" w:eastAsia="Arial" w:hAnsi="Arial" w:cs="Arial"/>
          <w:color w:val="000000"/>
          <w:spacing w:val="0"/>
          <w:w w:val="100"/>
          <w:position w:val="0"/>
          <w:sz w:val="18"/>
          <w:szCs w:val="18"/>
        </w:rPr>
        <w:t>12</w:t>
      </w:r>
      <w:r>
        <w:rPr>
          <w:color w:val="000000"/>
          <w:spacing w:val="0"/>
          <w:w w:val="100"/>
          <w:position w:val="0"/>
        </w:rPr>
        <w:t>号）</w:t>
      </w:r>
      <w:r>
        <w:rPr>
          <w:color w:val="000000"/>
          <w:spacing w:val="0"/>
          <w:w w:val="100"/>
          <w:position w:val="0"/>
          <w:sz w:val="22"/>
          <w:szCs w:val="22"/>
        </w:rPr>
        <w:t>，</w:t>
      </w:r>
      <w:r>
        <w:rPr>
          <w:color w:val="000000"/>
          <w:spacing w:val="0"/>
          <w:w w:val="100"/>
          <w:position w:val="0"/>
        </w:rPr>
        <w:t>对小型微利企业年应纳税所得额不超过</w:t>
      </w:r>
      <w:r>
        <w:rPr>
          <w:rFonts w:ascii="Arial" w:eastAsia="Arial" w:hAnsi="Arial" w:cs="Arial"/>
          <w:color w:val="000000"/>
          <w:spacing w:val="0"/>
          <w:w w:val="100"/>
          <w:position w:val="0"/>
          <w:sz w:val="18"/>
          <w:szCs w:val="18"/>
        </w:rPr>
        <w:t>100</w:t>
      </w:r>
      <w:r>
        <w:rPr>
          <w:color w:val="000000"/>
          <w:spacing w:val="0"/>
          <w:w w:val="100"/>
          <w:position w:val="0"/>
        </w:rPr>
        <w:t>万元的部分，在《财政部、 税务总局关于实施小微企业普惠性税收减免政策的通知》（财税</w:t>
      </w:r>
      <w:r>
        <w:rPr>
          <w:rFonts w:ascii="Arial" w:eastAsia="Arial" w:hAnsi="Arial" w:cs="Arial"/>
          <w:color w:val="000000"/>
          <w:spacing w:val="0"/>
          <w:w w:val="100"/>
          <w:position w:val="0"/>
          <w:sz w:val="18"/>
          <w:szCs w:val="18"/>
        </w:rPr>
        <w:t>[2019]13</w:t>
      </w:r>
      <w:r>
        <w:rPr>
          <w:color w:val="000000"/>
          <w:spacing w:val="0"/>
          <w:w w:val="100"/>
          <w:position w:val="0"/>
        </w:rPr>
        <w:t>号）第二条规定的优惠政 策基础上，再减半征收企业所得税。</w:t>
      </w:r>
    </w:p>
    <w:p>
      <w:pPr>
        <w:pStyle w:val="Style18"/>
        <w:keepNext w:val="0"/>
        <w:keepLines w:val="0"/>
        <w:widowControl w:val="0"/>
        <w:shd w:val="clear" w:color="auto" w:fill="auto"/>
        <w:bidi w:val="0"/>
        <w:spacing w:before="0" w:after="460" w:line="312" w:lineRule="exact"/>
        <w:ind w:left="720" w:right="0" w:firstLine="0"/>
        <w:jc w:val="both"/>
      </w:pPr>
      <w:r>
        <w:rPr>
          <w:color w:val="000000"/>
          <w:spacing w:val="0"/>
          <w:w w:val="100"/>
          <w:position w:val="0"/>
        </w:rPr>
        <w:t>宁波万达信息系统有限公司、杭州万达信息系统有限公司、上海褒发信息科技有限公司、上海爱 递吉供应链管理服务有限公司、上海万达信息服务有限公司、上海卫生信息工程技术研究中心有 限公司、天津万达信息技术有限责任公司、上海格言管理有限公司、上海华奕医疗信息技术有限 公司、上海易可思信息技术有限公司、上海格金信息技术有限公司、克拉玛依市复高计算机科技 有限公司、湖南凯歌医疗信息技术有限公司、湖南万达智慧城市信息技术有限公司、永州潇湘云 技术有限公司、万达云医疗科技健康产业（上海）有限公司、四川万达智城云数据有限公司、四 川万达健康数据有限公司、万达志翔医疗科技（北京）有限责任公司、上海慈铭智能网络科技有 限责任公司、上海爱可及医疗科技有限公司、上海资哲企业管理有限责任公司、蛮牛健康（海南） 管理服务有限公司、中山市慧来科技有限公司、中山市正来咨询服务有限公司、上海蛮牛健康管 理有限公司、上海嘉达信息科技有限公司、上海药荟商务咨询有限公司、上海万达恒安技术有限 公司、加数度数字科技有限公司、健康云（上海）数字科技有限公司等公司</w:t>
      </w:r>
      <w:r>
        <w:rPr>
          <w:rFonts w:ascii="Arial" w:eastAsia="Arial" w:hAnsi="Arial" w:cs="Arial"/>
          <w:color w:val="000000"/>
          <w:spacing w:val="0"/>
          <w:w w:val="100"/>
          <w:position w:val="0"/>
          <w:sz w:val="18"/>
          <w:szCs w:val="18"/>
        </w:rPr>
        <w:t>2021</w:t>
      </w:r>
      <w:r>
        <w:rPr>
          <w:color w:val="000000"/>
          <w:spacing w:val="0"/>
          <w:w w:val="100"/>
          <w:position w:val="0"/>
        </w:rPr>
        <w:t>年度均认定为小 型微利企业。</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33"/>
        <w:keepNext/>
        <w:keepLines/>
        <w:widowControl w:val="0"/>
        <w:shd w:val="clear" w:color="auto" w:fill="auto"/>
        <w:bidi w:val="0"/>
        <w:spacing w:before="0" w:after="300" w:line="326" w:lineRule="auto"/>
        <w:ind w:left="0" w:right="0" w:firstLine="0"/>
        <w:jc w:val="both"/>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3</w:t>
      </w:r>
      <w:bookmarkEnd w:id="1161"/>
      <w:r>
        <w:rPr>
          <w:color w:val="000000"/>
          <w:spacing w:val="0"/>
          <w:w w:val="100"/>
          <w:position w:val="0"/>
        </w:rPr>
        <w:t>、其他</w:t>
      </w:r>
      <w:bookmarkEnd w:id="1159"/>
      <w:bookmarkEnd w:id="1160"/>
      <w:bookmarkEnd w:id="1162"/>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4"/>
        <w:keepNext/>
        <w:keepLines/>
        <w:widowControl w:val="0"/>
        <w:shd w:val="clear" w:color="auto" w:fill="auto"/>
        <w:bidi w:val="0"/>
        <w:spacing w:before="0" w:after="380" w:line="240" w:lineRule="auto"/>
        <w:ind w:left="0" w:right="0" w:firstLine="0"/>
        <w:jc w:val="both"/>
      </w:pPr>
      <w:bookmarkStart w:id="1163" w:name="bookmark1163"/>
      <w:bookmarkStart w:id="1164" w:name="bookmark1164"/>
      <w:bookmarkStart w:id="1165" w:name="bookmark1165"/>
      <w:bookmarkStart w:id="1166" w:name="bookmark1166"/>
      <w:r>
        <w:rPr>
          <w:color w:val="000000"/>
          <w:spacing w:val="0"/>
          <w:w w:val="100"/>
          <w:position w:val="0"/>
        </w:rPr>
        <w:t>七</w:t>
      </w:r>
      <w:bookmarkEnd w:id="1165"/>
      <w:r>
        <w:rPr>
          <w:color w:val="000000"/>
          <w:spacing w:val="0"/>
          <w:w w:val="100"/>
          <w:position w:val="0"/>
        </w:rPr>
        <w:t>、合并财务报表项目注释</w:t>
      </w:r>
      <w:bookmarkEnd w:id="1163"/>
      <w:bookmarkEnd w:id="1164"/>
      <w:bookmarkEnd w:id="1166"/>
    </w:p>
    <w:p>
      <w:pPr>
        <w:pStyle w:val="Style33"/>
        <w:keepNext/>
        <w:keepLines/>
        <w:widowControl w:val="0"/>
        <w:shd w:val="clear" w:color="auto" w:fill="auto"/>
        <w:bidi w:val="0"/>
        <w:spacing w:before="0" w:after="300" w:line="326" w:lineRule="auto"/>
        <w:ind w:left="0" w:right="0" w:firstLine="0"/>
        <w:jc w:val="both"/>
      </w:pPr>
      <w:bookmarkStart w:id="1167" w:name="bookmark1167"/>
      <w:bookmarkStart w:id="1168" w:name="bookmark1168"/>
      <w:bookmarkStart w:id="1169" w:name="bookmark1169"/>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67"/>
      <w:bookmarkEnd w:id="1168"/>
      <w:bookmarkEnd w:id="1169"/>
    </w:p>
    <w:p>
      <w:pPr>
        <w:pStyle w:val="Style2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71,997.52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356,354.09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1,205,801,554.06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1,356,010,414.94</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5,451,804.06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25,710206.80</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1,211,325,355.64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1,382,076,975.83</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280,951.60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140,565.92</w:t>
            </w: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其他说明</w:t>
      </w:r>
    </w:p>
    <w:p>
      <w:pPr>
        <w:widowControl w:val="0"/>
        <w:spacing w:after="7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720" w:right="0" w:firstLine="0"/>
        <w:jc w:val="left"/>
        <w:rPr>
          <w:sz w:val="20"/>
          <w:szCs w:val="20"/>
        </w:rPr>
      </w:pPr>
      <w:r>
        <w:rPr>
          <w:rFonts w:ascii="SimSun" w:eastAsia="SimSun" w:hAnsi="SimSun" w:cs="SimSun"/>
          <w:color w:val="000000"/>
          <w:spacing w:val="0"/>
          <w:w w:val="100"/>
          <w:position w:val="0"/>
          <w:sz w:val="20"/>
          <w:szCs w:val="20"/>
        </w:rPr>
        <w:t>其中因银行承兑汇票保证金及其他事项受到限制的货币资金明细如下:</w:t>
      </w:r>
    </w:p>
    <w:tbl>
      <w:tblPr>
        <w:tblOverlap w:val="never"/>
        <w:jc w:val="center"/>
        <w:tblLayout w:type="fixed"/>
      </w:tblPr>
      <w:tblGrid>
        <w:gridCol w:w="4138"/>
        <w:gridCol w:w="2774"/>
        <w:gridCol w:w="2774"/>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3,867,902.63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24,583,630.60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2,360,000.00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6,227,902.63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24,583,630.60</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0"/>
        <w:jc w:val="left"/>
      </w:pPr>
      <w:bookmarkStart w:id="1170" w:name="bookmark1170"/>
      <w:bookmarkStart w:id="1171" w:name="bookmark1171"/>
      <w:bookmarkStart w:id="1172" w:name="bookmark1172"/>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170"/>
      <w:bookmarkEnd w:id="1171"/>
      <w:bookmarkEnd w:id="117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以公允价值计量且其变动计入当期损益</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5,487,054.93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7,476,119.50</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5,487,054.93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7,476,119.50</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68" w:val="left"/>
        </w:tabs>
        <w:bidi w:val="0"/>
        <w:spacing w:before="0" w:after="380" w:line="240" w:lineRule="auto"/>
        <w:ind w:left="0" w:right="0" w:firstLine="0"/>
        <w:jc w:val="left"/>
      </w:pPr>
      <w:bookmarkStart w:id="1173" w:name="bookmark1173"/>
      <w:bookmarkStart w:id="1174" w:name="bookmark1174"/>
      <w:bookmarkStart w:id="1175" w:name="bookmark1175"/>
      <w:bookmarkStart w:id="1176" w:name="bookmark1176"/>
      <w:r>
        <w:rPr>
          <w:rFonts w:ascii="Times New Roman" w:eastAsia="Times New Roman" w:hAnsi="Times New Roman" w:cs="Times New Roman"/>
          <w:color w:val="000000"/>
          <w:spacing w:val="0"/>
          <w:w w:val="100"/>
          <w:position w:val="0"/>
        </w:rPr>
        <w:t>3</w:t>
      </w:r>
      <w:bookmarkEnd w:id="1175"/>
      <w:r>
        <w:rPr>
          <w:color w:val="000000"/>
          <w:spacing w:val="0"/>
          <w:w w:val="100"/>
          <w:position w:val="0"/>
        </w:rPr>
        <w:t>、</w:t>
        <w:tab/>
        <w:t>衍生金融资产</w:t>
      </w:r>
      <w:bookmarkEnd w:id="1173"/>
      <w:bookmarkEnd w:id="1174"/>
      <w:bookmarkEnd w:id="1176"/>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68" w:val="left"/>
        </w:tabs>
        <w:bidi w:val="0"/>
        <w:spacing w:before="0" w:after="380" w:line="240" w:lineRule="auto"/>
        <w:ind w:left="0" w:right="0" w:firstLine="0"/>
        <w:jc w:val="left"/>
      </w:pPr>
      <w:bookmarkStart w:id="1177" w:name="bookmark1177"/>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4</w:t>
      </w:r>
      <w:bookmarkEnd w:id="1179"/>
      <w:r>
        <w:rPr>
          <w:color w:val="000000"/>
          <w:spacing w:val="0"/>
          <w:w w:val="100"/>
          <w:position w:val="0"/>
        </w:rPr>
        <w:t>、</w:t>
        <w:tab/>
        <w:t>应收票据</w:t>
      </w:r>
      <w:bookmarkEnd w:id="1177"/>
      <w:bookmarkEnd w:id="1178"/>
      <w:bookmarkEnd w:id="1180"/>
    </w:p>
    <w:p>
      <w:pPr>
        <w:pStyle w:val="Style61"/>
        <w:keepNext/>
        <w:keepLines/>
        <w:widowControl w:val="0"/>
        <w:shd w:val="clear" w:color="auto" w:fill="auto"/>
        <w:bidi w:val="0"/>
        <w:spacing w:before="0" w:line="240" w:lineRule="auto"/>
        <w:ind w:left="0" w:right="0" w:firstLine="0"/>
        <w:jc w:val="left"/>
      </w:pPr>
      <w:bookmarkStart w:id="1181" w:name="bookmark1181"/>
      <w:bookmarkStart w:id="1182" w:name="bookmark1182"/>
      <w:bookmarkStart w:id="1183" w:name="bookmark11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81"/>
      <w:bookmarkEnd w:id="1182"/>
      <w:bookmarkEnd w:id="1183"/>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164,150.00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12,043,520.00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1,188,256.00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12,283,520.00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1,352,406.00</w:t>
            </w:r>
          </w:p>
        </w:tc>
      </w:tr>
    </w:tbl>
    <w:p>
      <w:pPr>
        <w:widowControl w:val="0"/>
        <w:spacing w:after="45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按组合计提坏账准备：账龄</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41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12,416,000.00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372,480.00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12,416,000.00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372,480.00</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61"/>
        <w:keepNext/>
        <w:keepLines/>
        <w:widowControl w:val="0"/>
        <w:shd w:val="clear" w:color="auto" w:fill="auto"/>
        <w:bidi w:val="0"/>
        <w:spacing w:before="0" w:line="240" w:lineRule="auto"/>
        <w:ind w:left="0" w:right="0" w:firstLine="0"/>
        <w:jc w:val="left"/>
      </w:pPr>
      <w:bookmarkStart w:id="1184" w:name="bookmark1184"/>
      <w:bookmarkStart w:id="1185" w:name="bookmark1185"/>
      <w:bookmarkStart w:id="1186" w:name="bookmark118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84"/>
      <w:bookmarkEnd w:id="1185"/>
      <w:bookmarkEnd w:id="118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378"/>
        <w:gridCol w:w="1373"/>
        <w:gridCol w:w="1368"/>
        <w:gridCol w:w="1368"/>
        <w:gridCol w:w="1368"/>
        <w:gridCol w:w="1378"/>
        <w:gridCol w:w="1373"/>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期末余额</w:t>
            </w:r>
          </w:p>
        </w:tc>
      </w:tr>
      <w:tr>
        <w:trPr>
          <w:trHeight w:val="40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372,480.00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372,480.00</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372,480.00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372,480.00</w:t>
            </w:r>
          </w:p>
        </w:tc>
      </w:tr>
    </w:tbl>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）期末公司已质押的应收票据</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805"/>
        <w:gridCol w:w="4786"/>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期末已质押金额</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3,250,000.00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商业承兑票据</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3,250,000.00</w:t>
            </w:r>
          </w:p>
        </w:tc>
      </w:tr>
    </w:tbl>
    <w:p>
      <w:pPr>
        <w:pStyle w:val="Style18"/>
        <w:keepNext w:val="0"/>
        <w:keepLines w:val="0"/>
        <w:widowControl w:val="0"/>
        <w:shd w:val="clear" w:color="auto" w:fill="auto"/>
        <w:bidi w:val="0"/>
        <w:spacing w:before="0" w:after="280" w:line="317"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日，本公司以账面价值</w:t>
      </w:r>
      <w:r>
        <w:rPr>
          <w:rFonts w:ascii="Times New Roman" w:eastAsia="Times New Roman" w:hAnsi="Times New Roman" w:cs="Times New Roman"/>
          <w:color w:val="000000"/>
          <w:spacing w:val="0"/>
          <w:w w:val="100"/>
          <w:position w:val="0"/>
        </w:rPr>
        <w:t>32,816,267.00</w:t>
      </w:r>
      <w:r>
        <w:rPr>
          <w:color w:val="000000"/>
          <w:spacing w:val="0"/>
          <w:w w:val="100"/>
          <w:position w:val="0"/>
        </w:rPr>
        <w:t xml:space="preserve">元的应收票据为质押取得借款，以账面价值 </w:t>
      </w:r>
      <w:r>
        <w:rPr>
          <w:rFonts w:ascii="Times New Roman" w:eastAsia="Times New Roman" w:hAnsi="Times New Roman" w:cs="Times New Roman"/>
          <w:color w:val="000000"/>
          <w:spacing w:val="0"/>
          <w:w w:val="100"/>
          <w:position w:val="0"/>
        </w:rPr>
        <w:t>3,250,000.0</w:t>
      </w:r>
      <w:r>
        <w:rPr>
          <w:rFonts w:ascii="Times New Roman" w:eastAsia="Times New Roman" w:hAnsi="Times New Roman" w:cs="Times New Roman"/>
          <w:color w:val="000000"/>
          <w:spacing w:val="0"/>
          <w:w w:val="100"/>
          <w:position w:val="0"/>
        </w:rPr>
        <w:t>0</w:t>
      </w:r>
      <w:r>
        <w:rPr>
          <w:color w:val="000000"/>
          <w:spacing w:val="0"/>
          <w:w w:val="100"/>
          <w:position w:val="0"/>
        </w:rPr>
        <w:t>元的应收票据为质押开具应付票据，已质押的应收票据账面价值合计</w:t>
      </w:r>
      <w:r>
        <w:rPr>
          <w:rFonts w:ascii="Times New Roman" w:eastAsia="Times New Roman" w:hAnsi="Times New Roman" w:cs="Times New Roman"/>
          <w:color w:val="000000"/>
          <w:spacing w:val="0"/>
          <w:w w:val="100"/>
          <w:position w:val="0"/>
        </w:rPr>
        <w:t>36,066,267.00</w:t>
      </w:r>
      <w:r>
        <w:rPr>
          <w:color w:val="000000"/>
          <w:spacing w:val="0"/>
          <w:w w:val="100"/>
          <w:position w:val="0"/>
        </w:rPr>
        <w:t>元均为本公 司合并范围内关联方往来，已于编制合并报表时抵销。</w:t>
      </w:r>
    </w:p>
    <w:p>
      <w:pPr>
        <w:pStyle w:val="Style61"/>
        <w:keepNext/>
        <w:keepLines/>
        <w:widowControl w:val="0"/>
        <w:shd w:val="clear" w:color="auto" w:fill="auto"/>
        <w:tabs>
          <w:tab w:pos="483" w:val="left"/>
        </w:tabs>
        <w:bidi w:val="0"/>
        <w:spacing w:before="0" w:after="420" w:line="317" w:lineRule="exact"/>
        <w:ind w:left="0" w:right="0" w:firstLine="0"/>
        <w:jc w:val="both"/>
      </w:pPr>
      <w:bookmarkStart w:id="1187" w:name="bookmark1187"/>
      <w:bookmarkStart w:id="1188" w:name="bookmark1188"/>
      <w:bookmarkStart w:id="1189" w:name="bookmark1189"/>
      <w:bookmarkStart w:id="1190" w:name="bookmark1190"/>
      <w:r>
        <w:rPr>
          <w:color w:val="000000"/>
          <w:spacing w:val="0"/>
          <w:w w:val="100"/>
          <w:position w:val="0"/>
        </w:rPr>
        <w:t>（</w:t>
      </w:r>
      <w:bookmarkEnd w:id="1189"/>
      <w:r>
        <w:rPr>
          <w:rFonts w:ascii="Times New Roman" w:eastAsia="Times New Roman" w:hAnsi="Times New Roman" w:cs="Times New Roman"/>
          <w:color w:val="000000"/>
          <w:spacing w:val="0"/>
          <w:w w:val="100"/>
          <w:position w:val="0"/>
        </w:rPr>
        <w:t>4</w:t>
      </w:r>
      <w:r>
        <w:rPr>
          <w:color w:val="000000"/>
          <w:spacing w:val="0"/>
          <w:w w:val="100"/>
          <w:position w:val="0"/>
        </w:rPr>
        <w:t>）</w:t>
        <w:tab/>
        <w:t>期末公司已背书或贴现且在资产负债表日尚未到期的应收票据</w:t>
      </w:r>
      <w:bookmarkEnd w:id="1187"/>
      <w:bookmarkEnd w:id="1188"/>
      <w:bookmarkEnd w:id="1190"/>
    </w:p>
    <w:p>
      <w:pPr>
        <w:pStyle w:val="Style29"/>
        <w:keepNext w:val="0"/>
        <w:keepLines w:val="0"/>
        <w:widowControl w:val="0"/>
        <w:shd w:val="clear" w:color="auto" w:fill="auto"/>
        <w:bidi w:val="0"/>
        <w:spacing w:before="0" w:after="280" w:line="240" w:lineRule="auto"/>
        <w:ind w:left="0" w:right="0" w:firstLine="0"/>
        <w:jc w:val="both"/>
      </w:pPr>
      <w:r>
        <w:rPr>
          <w:color w:val="000000"/>
          <w:spacing w:val="0"/>
          <w:w w:val="100"/>
          <w:position w:val="0"/>
        </w:rPr>
        <w:t>无</w:t>
      </w:r>
    </w:p>
    <w:p>
      <w:pPr>
        <w:pStyle w:val="Style61"/>
        <w:keepNext/>
        <w:keepLines/>
        <w:widowControl w:val="0"/>
        <w:shd w:val="clear" w:color="auto" w:fill="auto"/>
        <w:tabs>
          <w:tab w:pos="483" w:val="left"/>
        </w:tabs>
        <w:bidi w:val="0"/>
        <w:spacing w:before="0" w:after="420" w:line="317" w:lineRule="exact"/>
        <w:ind w:left="0" w:right="0" w:firstLine="0"/>
        <w:jc w:val="both"/>
      </w:pPr>
      <w:bookmarkStart w:id="1191" w:name="bookmark1191"/>
      <w:bookmarkStart w:id="1192" w:name="bookmark1192"/>
      <w:bookmarkStart w:id="1193" w:name="bookmark1193"/>
      <w:bookmarkStart w:id="1194" w:name="bookmark1194"/>
      <w:r>
        <w:rPr>
          <w:color w:val="000000"/>
          <w:spacing w:val="0"/>
          <w:w w:val="100"/>
          <w:position w:val="0"/>
        </w:rPr>
        <w:t>（</w:t>
      </w:r>
      <w:bookmarkEnd w:id="1193"/>
      <w:r>
        <w:rPr>
          <w:rFonts w:ascii="Times New Roman" w:eastAsia="Times New Roman" w:hAnsi="Times New Roman" w:cs="Times New Roman"/>
          <w:color w:val="000000"/>
          <w:spacing w:val="0"/>
          <w:w w:val="100"/>
          <w:position w:val="0"/>
        </w:rPr>
        <w:t>5</w:t>
      </w:r>
      <w:r>
        <w:rPr>
          <w:color w:val="000000"/>
          <w:spacing w:val="0"/>
          <w:w w:val="100"/>
          <w:position w:val="0"/>
        </w:rPr>
        <w:t>）</w:t>
        <w:tab/>
        <w:t>期末公司因出票人未履约而将其转应收账款的票据</w:t>
      </w:r>
      <w:bookmarkEnd w:id="1191"/>
      <w:bookmarkEnd w:id="1192"/>
      <w:bookmarkEnd w:id="1194"/>
    </w:p>
    <w:p>
      <w:pPr>
        <w:pStyle w:val="Style29"/>
        <w:keepNext w:val="0"/>
        <w:keepLines w:val="0"/>
        <w:widowControl w:val="0"/>
        <w:shd w:val="clear" w:color="auto" w:fill="auto"/>
        <w:bidi w:val="0"/>
        <w:spacing w:before="0" w:after="280" w:line="240" w:lineRule="auto"/>
        <w:ind w:left="0" w:right="0" w:firstLine="0"/>
        <w:jc w:val="both"/>
      </w:pPr>
      <w:r>
        <w:rPr>
          <w:color w:val="000000"/>
          <w:spacing w:val="0"/>
          <w:w w:val="100"/>
          <w:position w:val="0"/>
        </w:rPr>
        <w:t>无</w:t>
      </w:r>
    </w:p>
    <w:p>
      <w:pPr>
        <w:pStyle w:val="Style61"/>
        <w:keepNext/>
        <w:keepLines/>
        <w:widowControl w:val="0"/>
        <w:shd w:val="clear" w:color="auto" w:fill="auto"/>
        <w:tabs>
          <w:tab w:pos="483" w:val="left"/>
        </w:tabs>
        <w:bidi w:val="0"/>
        <w:spacing w:before="0" w:after="420" w:line="317" w:lineRule="exact"/>
        <w:ind w:left="0" w:right="0" w:firstLine="0"/>
        <w:jc w:val="both"/>
      </w:pPr>
      <w:bookmarkStart w:id="1195" w:name="bookmark1195"/>
      <w:bookmarkStart w:id="1196" w:name="bookmark1196"/>
      <w:bookmarkStart w:id="1197" w:name="bookmark1197"/>
      <w:bookmarkStart w:id="1198" w:name="bookmark1198"/>
      <w:r>
        <w:rPr>
          <w:color w:val="000000"/>
          <w:spacing w:val="0"/>
          <w:w w:val="100"/>
          <w:position w:val="0"/>
        </w:rPr>
        <w:t>（</w:t>
      </w:r>
      <w:bookmarkEnd w:id="1197"/>
      <w:r>
        <w:rPr>
          <w:rFonts w:ascii="Times New Roman" w:eastAsia="Times New Roman" w:hAnsi="Times New Roman" w:cs="Times New Roman"/>
          <w:color w:val="000000"/>
          <w:spacing w:val="0"/>
          <w:w w:val="100"/>
          <w:position w:val="0"/>
        </w:rPr>
        <w:t>6</w:t>
      </w:r>
      <w:r>
        <w:rPr>
          <w:color w:val="000000"/>
          <w:spacing w:val="0"/>
          <w:w w:val="100"/>
          <w:position w:val="0"/>
        </w:rPr>
        <w:t>）</w:t>
        <w:tab/>
        <w:t>本期实际核销的应收票据情况</w:t>
      </w:r>
      <w:bookmarkEnd w:id="1195"/>
      <w:bookmarkEnd w:id="1196"/>
      <w:bookmarkEnd w:id="1198"/>
    </w:p>
    <w:p>
      <w:pPr>
        <w:pStyle w:val="Style29"/>
        <w:keepNext w:val="0"/>
        <w:keepLines w:val="0"/>
        <w:widowControl w:val="0"/>
        <w:shd w:val="clear" w:color="auto" w:fill="auto"/>
        <w:bidi w:val="0"/>
        <w:spacing w:before="0" w:after="280" w:line="240" w:lineRule="auto"/>
        <w:ind w:left="0" w:right="0" w:firstLine="0"/>
        <w:jc w:val="both"/>
      </w:pPr>
      <w:r>
        <w:rPr>
          <w:color w:val="000000"/>
          <w:spacing w:val="0"/>
          <w:w w:val="100"/>
          <w:position w:val="0"/>
        </w:rPr>
        <w:t>无</w:t>
      </w:r>
    </w:p>
    <w:p>
      <w:pPr>
        <w:pStyle w:val="Style33"/>
        <w:keepNext/>
        <w:keepLines/>
        <w:widowControl w:val="0"/>
        <w:shd w:val="clear" w:color="auto" w:fill="auto"/>
        <w:bidi w:val="0"/>
        <w:spacing w:before="0" w:after="280" w:line="317" w:lineRule="exact"/>
        <w:ind w:left="0" w:right="0" w:firstLine="0"/>
        <w:jc w:val="both"/>
      </w:pPr>
      <w:bookmarkStart w:id="1199" w:name="bookmark1199"/>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5</w:t>
      </w:r>
      <w:bookmarkEnd w:id="1201"/>
      <w:r>
        <w:rPr>
          <w:color w:val="000000"/>
          <w:spacing w:val="0"/>
          <w:w w:val="100"/>
          <w:position w:val="0"/>
        </w:rPr>
        <w:t>、应收账款</w:t>
      </w:r>
      <w:bookmarkEnd w:id="1199"/>
      <w:bookmarkEnd w:id="1200"/>
      <w:bookmarkEnd w:id="1202"/>
    </w:p>
    <w:p>
      <w:pPr>
        <w:pStyle w:val="Style61"/>
        <w:keepNext/>
        <w:keepLines/>
        <w:widowControl w:val="0"/>
        <w:shd w:val="clear" w:color="auto" w:fill="auto"/>
        <w:bidi w:val="0"/>
        <w:spacing w:before="0" w:after="420" w:line="317" w:lineRule="exact"/>
        <w:ind w:left="0" w:right="0" w:firstLine="0"/>
        <w:jc w:val="both"/>
      </w:pPr>
      <w:bookmarkStart w:id="1203" w:name="bookmark1203"/>
      <w:bookmarkStart w:id="1204" w:name="bookmark1204"/>
      <w:bookmarkStart w:id="1205" w:name="bookmark12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203"/>
      <w:bookmarkEnd w:id="1204"/>
      <w:bookmarkEnd w:id="120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6"/>
        <w:gridCol w:w="763"/>
        <w:gridCol w:w="758"/>
        <w:gridCol w:w="768"/>
        <w:gridCol w:w="763"/>
        <w:gridCol w:w="792"/>
        <w:gridCol w:w="778"/>
        <w:gridCol w:w="792"/>
        <w:gridCol w:w="802"/>
        <w:gridCol w:w="797"/>
        <w:gridCol w:w="931"/>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4D4D4"/>
            <w:vAlign w:val="center"/>
          </w:tcPr>
          <w:p>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按单项计提坏账准 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2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813,099,</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557.08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180,576,</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632,523,4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849,937,3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160,513,6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689,423,67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813,099,</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557.08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180,576,</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131.29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632,523,4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849,937,3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99.88%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160,513,6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689,423,67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w:t>
            </w:r>
          </w:p>
        </w:tc>
      </w:tr>
    </w:tbl>
    <w:p>
      <w:pPr>
        <w:widowControl w:val="0"/>
        <w:spacing w:line="1" w:lineRule="exact"/>
      </w:pPr>
      <w:r>
        <w:br w:type="page"/>
      </w:r>
    </w:p>
    <w:tbl>
      <w:tblPr>
        <w:tblOverlap w:val="never"/>
        <w:jc w:val="center"/>
        <w:tblLayout w:type="fixed"/>
      </w:tblPr>
      <w:tblGrid>
        <w:gridCol w:w="1646"/>
        <w:gridCol w:w="763"/>
        <w:gridCol w:w="763"/>
        <w:gridCol w:w="763"/>
        <w:gridCol w:w="763"/>
        <w:gridCol w:w="792"/>
        <w:gridCol w:w="782"/>
        <w:gridCol w:w="792"/>
        <w:gridCol w:w="797"/>
        <w:gridCol w:w="797"/>
        <w:gridCol w:w="931"/>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06"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4D4D4"/>
            <w:vAlign w:val="center"/>
          </w:tcPr>
          <w:p>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813,099,</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557.08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180,576,</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131.29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632,523,4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850,937,3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161,513,6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689,423,67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w:t>
            </w: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按组合计提坏账准备：账龄</w:t>
      </w:r>
    </w:p>
    <w:p>
      <w:pPr>
        <w:widowControl w:val="0"/>
        <w:spacing w:after="139" w:line="1" w:lineRule="exact"/>
      </w:pPr>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0"/>
        <w:gridCol w:w="2395"/>
        <w:gridCol w:w="2395"/>
      </w:tblGrid>
      <w:tr>
        <w:trPr>
          <w:trHeight w:val="41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4"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个月（含）以内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212,577,493.07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90,677,490.47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2,720,324.74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211,508,647.64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10,575,432.45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69,166,325.86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6,916,632.59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64,966,145.90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12,993229.18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33,665,883.65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16,832,941.84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130,537,570.49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130,537,570.49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813,099,557.08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180,576,131.29</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按账龄披露</w:t>
      </w:r>
    </w:p>
    <w:p>
      <w:pPr>
        <w:widowControl w:val="0"/>
        <w:spacing w:after="139" w:line="1" w:lineRule="exact"/>
      </w:pPr>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790"/>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303,254,983.54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个月及以内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212,577,493.07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90,677,490.47</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211,508,647.64</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69,166,325.86</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229,169,600.04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64,966,145.90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33,665,883.65</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130,537,570.49</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813,099,557.08</w:t>
            </w:r>
          </w:p>
        </w:tc>
      </w:tr>
    </w:tbl>
    <w:p>
      <w:pPr>
        <w:widowControl w:val="0"/>
        <w:spacing w:after="319" w:line="1" w:lineRule="exact"/>
      </w:pPr>
    </w:p>
    <w:p>
      <w:pPr>
        <w:pStyle w:val="Style61"/>
        <w:keepNext/>
        <w:keepLines/>
        <w:widowControl w:val="0"/>
        <w:shd w:val="clear" w:color="auto" w:fill="auto"/>
        <w:bidi w:val="0"/>
        <w:spacing w:before="0" w:after="420" w:line="240" w:lineRule="auto"/>
        <w:ind w:left="0" w:right="0" w:firstLine="0"/>
        <w:jc w:val="left"/>
      </w:pPr>
      <w:bookmarkStart w:id="1206" w:name="bookmark1206"/>
      <w:bookmarkStart w:id="1207" w:name="bookmark1207"/>
      <w:bookmarkStart w:id="1208" w:name="bookmark120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06"/>
      <w:bookmarkEnd w:id="1207"/>
      <w:bookmarkEnd w:id="1208"/>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r>
        <w:br w:type="page"/>
      </w:r>
    </w:p>
    <w:p>
      <w:pPr>
        <w:pStyle w:val="Style2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378"/>
        <w:gridCol w:w="1368"/>
        <w:gridCol w:w="1373"/>
        <w:gridCol w:w="1368"/>
        <w:gridCol w:w="1368"/>
        <w:gridCol w:w="1373"/>
        <w:gridCol w:w="1378"/>
      </w:tblGrid>
      <w:tr>
        <w:trPr>
          <w:trHeight w:val="41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期末余额</w:t>
            </w:r>
          </w:p>
        </w:tc>
      </w:tr>
      <w:tr>
        <w:trPr>
          <w:trHeight w:val="39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4D4D4"/>
            <w:vAlign w:val="center"/>
          </w:tcPr>
          <w:p>
            <w:pP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按单项计提坏账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按组合计提坏账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160,513,663.59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20,062,467.70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180,576,131.29</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161,513,663.59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20,062,467.70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180,576,131.29</w:t>
            </w:r>
          </w:p>
        </w:tc>
      </w:tr>
    </w:tbl>
    <w:p>
      <w:pPr>
        <w:widowControl w:val="0"/>
        <w:spacing w:after="319" w:line="1" w:lineRule="exact"/>
      </w:pPr>
    </w:p>
    <w:p>
      <w:pPr>
        <w:pStyle w:val="Style61"/>
        <w:keepNext/>
        <w:keepLines/>
        <w:widowControl w:val="0"/>
        <w:shd w:val="clear" w:color="auto" w:fill="auto"/>
        <w:tabs>
          <w:tab w:pos="483" w:val="left"/>
        </w:tabs>
        <w:bidi w:val="0"/>
        <w:spacing w:before="0" w:line="240" w:lineRule="auto"/>
        <w:ind w:left="0" w:right="0" w:firstLine="0"/>
        <w:jc w:val="left"/>
      </w:pPr>
      <w:bookmarkStart w:id="1209" w:name="bookmark1209"/>
      <w:bookmarkStart w:id="1210" w:name="bookmark1210"/>
      <w:bookmarkStart w:id="1211" w:name="bookmark1211"/>
      <w:bookmarkStart w:id="1212" w:name="bookmark1212"/>
      <w:r>
        <w:rPr>
          <w:color w:val="000000"/>
          <w:spacing w:val="0"/>
          <w:w w:val="100"/>
          <w:position w:val="0"/>
        </w:rPr>
        <w:t>（</w:t>
      </w:r>
      <w:bookmarkEnd w:id="1211"/>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209"/>
      <w:bookmarkEnd w:id="1210"/>
      <w:bookmarkEnd w:id="1212"/>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61"/>
        <w:keepNext/>
        <w:keepLines/>
        <w:widowControl w:val="0"/>
        <w:shd w:val="clear" w:color="auto" w:fill="auto"/>
        <w:tabs>
          <w:tab w:pos="483" w:val="left"/>
        </w:tabs>
        <w:bidi w:val="0"/>
        <w:spacing w:before="0" w:line="240" w:lineRule="auto"/>
        <w:ind w:left="0" w:right="0" w:firstLine="0"/>
        <w:jc w:val="left"/>
      </w:pPr>
      <w:bookmarkStart w:id="1213" w:name="bookmark1213"/>
      <w:bookmarkStart w:id="1214" w:name="bookmark1214"/>
      <w:bookmarkStart w:id="1215" w:name="bookmark1215"/>
      <w:bookmarkStart w:id="1216" w:name="bookmark1216"/>
      <w:r>
        <w:rPr>
          <w:color w:val="000000"/>
          <w:spacing w:val="0"/>
          <w:w w:val="100"/>
          <w:position w:val="0"/>
        </w:rPr>
        <w:t>（</w:t>
      </w:r>
      <w:bookmarkEnd w:id="1215"/>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213"/>
      <w:bookmarkEnd w:id="1214"/>
      <w:bookmarkEnd w:id="121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846"/>
        <w:gridCol w:w="2414"/>
        <w:gridCol w:w="1800"/>
        <w:gridCol w:w="2530"/>
      </w:tblGrid>
      <w:tr>
        <w:trPr>
          <w:trHeight w:val="73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应收账款期末余额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占应收账款期末余额</w:t>
            </w:r>
          </w:p>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合计数的比例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坏账准备期末余额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上海市卫生健康委员会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44,722,090.77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43,694,440.22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上海申康医院发展中心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26,535,718.00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 xml:space="preserve">办公室 </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23,560,000.00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办公室 </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19285,054.34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泸州金能移动能源科技有限公司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12,743,866.65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637,193.33</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126,846,729.76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w:t>
            </w: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319" w:line="1" w:lineRule="exact"/>
      </w:pPr>
    </w:p>
    <w:p>
      <w:pPr>
        <w:pStyle w:val="Style61"/>
        <w:keepNext/>
        <w:keepLines/>
        <w:widowControl w:val="0"/>
        <w:shd w:val="clear" w:color="auto" w:fill="auto"/>
        <w:tabs>
          <w:tab w:pos="483" w:val="left"/>
        </w:tabs>
        <w:bidi w:val="0"/>
        <w:spacing w:before="0" w:line="240" w:lineRule="auto"/>
        <w:ind w:left="0" w:right="0" w:firstLine="0"/>
        <w:jc w:val="left"/>
      </w:pPr>
      <w:bookmarkStart w:id="1217" w:name="bookmark1217"/>
      <w:bookmarkStart w:id="1218" w:name="bookmark1218"/>
      <w:bookmarkStart w:id="1219" w:name="bookmark1219"/>
      <w:bookmarkStart w:id="1220" w:name="bookmark1220"/>
      <w:r>
        <w:rPr>
          <w:color w:val="000000"/>
          <w:spacing w:val="0"/>
          <w:w w:val="100"/>
          <w:position w:val="0"/>
        </w:rPr>
        <w:t>（</w:t>
      </w:r>
      <w:bookmarkEnd w:id="1219"/>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217"/>
      <w:bookmarkEnd w:id="1218"/>
      <w:bookmarkEnd w:id="1220"/>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61"/>
        <w:keepNext/>
        <w:keepLines/>
        <w:widowControl w:val="0"/>
        <w:shd w:val="clear" w:color="auto" w:fill="auto"/>
        <w:tabs>
          <w:tab w:pos="483" w:val="left"/>
        </w:tabs>
        <w:bidi w:val="0"/>
        <w:spacing w:before="0" w:line="240" w:lineRule="auto"/>
        <w:ind w:left="0" w:right="0" w:firstLine="0"/>
        <w:jc w:val="left"/>
      </w:pPr>
      <w:bookmarkStart w:id="1221" w:name="bookmark1221"/>
      <w:bookmarkStart w:id="1222" w:name="bookmark1222"/>
      <w:bookmarkStart w:id="1223" w:name="bookmark1223"/>
      <w:bookmarkStart w:id="1224" w:name="bookmark1224"/>
      <w:r>
        <w:rPr>
          <w:color w:val="000000"/>
          <w:spacing w:val="0"/>
          <w:w w:val="100"/>
          <w:position w:val="0"/>
        </w:rPr>
        <w:t>（</w:t>
      </w:r>
      <w:bookmarkEnd w:id="1223"/>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221"/>
      <w:bookmarkEnd w:id="1222"/>
      <w:bookmarkEnd w:id="1224"/>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225" w:name="bookmark1225"/>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6</w:t>
      </w:r>
      <w:bookmarkEnd w:id="1227"/>
      <w:r>
        <w:rPr>
          <w:color w:val="000000"/>
          <w:spacing w:val="0"/>
          <w:w w:val="100"/>
          <w:position w:val="0"/>
        </w:rPr>
        <w:t>、应收款项融资</w:t>
      </w:r>
      <w:bookmarkEnd w:id="1225"/>
      <w:bookmarkEnd w:id="1226"/>
      <w:bookmarkEnd w:id="1228"/>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33"/>
        <w:keepNext/>
        <w:keepLines/>
        <w:widowControl w:val="0"/>
        <w:shd w:val="clear" w:color="auto" w:fill="auto"/>
        <w:bidi w:val="0"/>
        <w:spacing w:before="0" w:after="340" w:line="240" w:lineRule="auto"/>
        <w:ind w:left="0" w:right="0" w:firstLine="0"/>
        <w:jc w:val="left"/>
      </w:pPr>
      <w:bookmarkStart w:id="1229" w:name="bookmark1229"/>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7</w:t>
      </w:r>
      <w:bookmarkEnd w:id="1231"/>
      <w:r>
        <w:rPr>
          <w:color w:val="000000"/>
          <w:spacing w:val="0"/>
          <w:w w:val="100"/>
          <w:position w:val="0"/>
        </w:rPr>
        <w:t>、预付款项</w:t>
      </w:r>
      <w:bookmarkEnd w:id="1229"/>
      <w:bookmarkEnd w:id="1230"/>
      <w:bookmarkEnd w:id="1232"/>
    </w:p>
    <w:p>
      <w:pPr>
        <w:pStyle w:val="Style61"/>
        <w:keepNext/>
        <w:keepLines/>
        <w:widowControl w:val="0"/>
        <w:shd w:val="clear" w:color="auto" w:fill="auto"/>
        <w:bidi w:val="0"/>
        <w:spacing w:before="0" w:after="340" w:line="240" w:lineRule="auto"/>
        <w:ind w:left="0" w:right="0" w:firstLine="0"/>
        <w:jc w:val="left"/>
      </w:pPr>
      <w:bookmarkStart w:id="1233" w:name="bookmark1233"/>
      <w:bookmarkStart w:id="1234" w:name="bookmark1234"/>
      <w:bookmarkStart w:id="1235" w:name="bookmark12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33"/>
      <w:bookmarkEnd w:id="1234"/>
      <w:bookmarkEnd w:id="1235"/>
    </w:p>
    <w:p>
      <w:pPr>
        <w:pStyle w:val="Style2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925"/>
        <w:gridCol w:w="1920"/>
        <w:gridCol w:w="1906"/>
        <w:gridCol w:w="1925"/>
        <w:gridCol w:w="1930"/>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20,992,800.78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35,139,744.37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97.64%</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53,805.25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714,357.83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165,794.40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111,833.00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132,976.04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21,345,376.47</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35,987,078.24</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61"/>
        <w:keepNext/>
        <w:keepLines/>
        <w:widowControl w:val="0"/>
        <w:shd w:val="clear" w:color="auto" w:fill="auto"/>
        <w:bidi w:val="0"/>
        <w:spacing w:before="0" w:after="340" w:line="240" w:lineRule="auto"/>
        <w:ind w:left="0" w:right="0" w:firstLine="0"/>
        <w:jc w:val="left"/>
      </w:pPr>
      <w:bookmarkStart w:id="1236" w:name="bookmark1236"/>
      <w:bookmarkStart w:id="1237" w:name="bookmark1237"/>
      <w:bookmarkStart w:id="1238" w:name="bookmark123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36"/>
      <w:bookmarkEnd w:id="1237"/>
      <w:bookmarkEnd w:id="1238"/>
    </w:p>
    <w:tbl>
      <w:tblPr>
        <w:tblOverlap w:val="never"/>
        <w:jc w:val="center"/>
        <w:tblLayout w:type="fixed"/>
      </w:tblPr>
      <w:tblGrid>
        <w:gridCol w:w="4378"/>
        <w:gridCol w:w="2635"/>
        <w:gridCol w:w="2674"/>
      </w:tblGrid>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预付对象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占预付款项期末余额合计数 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无锡欣泽软件有限公司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1,268,941.45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北京信德天诚科技有限公司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1,193,200.00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中国电信股份有限公司上海分公司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1,172,865.59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天津市中天启悦科技有限公司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新疆洲明信息科技有限公司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5,865,007.04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27.47</w:t>
            </w:r>
          </w:p>
        </w:tc>
      </w:tr>
    </w:tbl>
    <w:p>
      <w:pPr>
        <w:widowControl w:val="0"/>
        <w:spacing w:after="339" w:line="1" w:lineRule="exact"/>
      </w:pPr>
    </w:p>
    <w:p>
      <w:pPr>
        <w:pStyle w:val="Style33"/>
        <w:keepNext/>
        <w:keepLines/>
        <w:widowControl w:val="0"/>
        <w:shd w:val="clear" w:color="auto" w:fill="auto"/>
        <w:bidi w:val="0"/>
        <w:spacing w:before="0" w:after="400" w:line="240" w:lineRule="auto"/>
        <w:ind w:left="0" w:right="0" w:firstLine="0"/>
        <w:jc w:val="left"/>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8</w:t>
      </w:r>
      <w:bookmarkEnd w:id="1241"/>
      <w:r>
        <w:rPr>
          <w:color w:val="000000"/>
          <w:spacing w:val="0"/>
          <w:w w:val="100"/>
          <w:position w:val="0"/>
        </w:rPr>
        <w:t>、其他应收款</w:t>
      </w:r>
      <w:bookmarkEnd w:id="1239"/>
      <w:bookmarkEnd w:id="1240"/>
      <w:bookmarkEnd w:id="124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120,337,194.46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142,227,191.97</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120,337,194.46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142,227,191.97</w:t>
            </w:r>
          </w:p>
        </w:tc>
      </w:tr>
    </w:tbl>
    <w:p>
      <w:pPr>
        <w:widowControl w:val="0"/>
        <w:spacing w:after="339" w:line="1" w:lineRule="exact"/>
      </w:pPr>
    </w:p>
    <w:p>
      <w:pPr>
        <w:pStyle w:val="Style61"/>
        <w:keepNext/>
        <w:keepLines/>
        <w:widowControl w:val="0"/>
        <w:shd w:val="clear" w:color="auto" w:fill="auto"/>
        <w:tabs>
          <w:tab w:pos="483" w:val="left"/>
        </w:tabs>
        <w:bidi w:val="0"/>
        <w:spacing w:before="0" w:after="400" w:line="240" w:lineRule="auto"/>
        <w:ind w:left="0" w:right="0" w:firstLine="0"/>
        <w:jc w:val="left"/>
      </w:pPr>
      <w:bookmarkStart w:id="1243" w:name="bookmark1243"/>
      <w:bookmarkStart w:id="1244" w:name="bookmark1244"/>
      <w:bookmarkStart w:id="1245" w:name="bookmark1245"/>
      <w:bookmarkStart w:id="1246" w:name="bookmark1246"/>
      <w:r>
        <w:rPr>
          <w:color w:val="000000"/>
          <w:spacing w:val="0"/>
          <w:w w:val="100"/>
          <w:position w:val="0"/>
        </w:rPr>
        <w:t>（</w:t>
      </w:r>
      <w:bookmarkEnd w:id="1245"/>
      <w:r>
        <w:rPr>
          <w:rFonts w:ascii="Times New Roman" w:eastAsia="Times New Roman" w:hAnsi="Times New Roman" w:cs="Times New Roman"/>
          <w:color w:val="000000"/>
          <w:spacing w:val="0"/>
          <w:w w:val="100"/>
          <w:position w:val="0"/>
        </w:rPr>
        <w:t>1</w:t>
      </w:r>
      <w:r>
        <w:rPr>
          <w:color w:val="000000"/>
          <w:spacing w:val="0"/>
          <w:w w:val="100"/>
          <w:position w:val="0"/>
        </w:rPr>
        <w:t>）</w:t>
        <w:tab/>
        <w:t>应收利息</w:t>
      </w:r>
      <w:bookmarkEnd w:id="1243"/>
      <w:bookmarkEnd w:id="1244"/>
      <w:bookmarkEnd w:id="1246"/>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61"/>
        <w:keepNext/>
        <w:keepLines/>
        <w:widowControl w:val="0"/>
        <w:shd w:val="clear" w:color="auto" w:fill="auto"/>
        <w:tabs>
          <w:tab w:pos="483" w:val="left"/>
        </w:tabs>
        <w:bidi w:val="0"/>
        <w:spacing w:before="0" w:after="400" w:line="240" w:lineRule="auto"/>
        <w:ind w:left="0" w:right="0" w:firstLine="0"/>
        <w:jc w:val="left"/>
      </w:pPr>
      <w:bookmarkStart w:id="1247" w:name="bookmark1247"/>
      <w:bookmarkStart w:id="1248" w:name="bookmark1248"/>
      <w:bookmarkStart w:id="1249" w:name="bookmark1249"/>
      <w:bookmarkStart w:id="1250" w:name="bookmark1250"/>
      <w:r>
        <w:rPr>
          <w:color w:val="000000"/>
          <w:spacing w:val="0"/>
          <w:w w:val="100"/>
          <w:position w:val="0"/>
        </w:rPr>
        <w:t>（</w:t>
      </w:r>
      <w:bookmarkEnd w:id="1249"/>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1247"/>
      <w:bookmarkEnd w:id="1248"/>
      <w:bookmarkEnd w:id="1250"/>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r>
        <w:br w:type="page"/>
      </w:r>
    </w:p>
    <w:p>
      <w:pPr>
        <w:pStyle w:val="Style61"/>
        <w:keepNext/>
        <w:keepLines/>
        <w:widowControl w:val="0"/>
        <w:shd w:val="clear" w:color="auto" w:fill="auto"/>
        <w:bidi w:val="0"/>
        <w:spacing w:before="0" w:line="240" w:lineRule="auto"/>
        <w:ind w:left="0" w:right="0" w:firstLine="0"/>
        <w:jc w:val="left"/>
      </w:pPr>
      <w:bookmarkStart w:id="1251" w:name="bookmark1251"/>
      <w:bookmarkStart w:id="1252" w:name="bookmark1252"/>
      <w:bookmarkStart w:id="1253" w:name="bookmark1253"/>
      <w:bookmarkStart w:id="1254" w:name="bookmark1254"/>
      <w:r>
        <w:rPr>
          <w:color w:val="000000"/>
          <w:spacing w:val="0"/>
          <w:w w:val="100"/>
          <w:position w:val="0"/>
        </w:rPr>
        <w:t>（</w:t>
      </w:r>
      <w:bookmarkEnd w:id="1253"/>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251"/>
      <w:bookmarkEnd w:id="1252"/>
      <w:bookmarkEnd w:id="1254"/>
    </w:p>
    <w:p>
      <w:pPr>
        <w:pStyle w:val="Style92"/>
        <w:keepNext/>
        <w:keepLines/>
        <w:widowControl w:val="0"/>
        <w:shd w:val="clear" w:color="auto" w:fill="auto"/>
        <w:bidi w:val="0"/>
        <w:spacing w:before="0" w:line="240" w:lineRule="auto"/>
        <w:ind w:left="0" w:right="0" w:firstLine="0"/>
        <w:jc w:val="left"/>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1</w:t>
      </w:r>
      <w:bookmarkEnd w:id="1257"/>
      <w:r>
        <w:rPr>
          <w:color w:val="000000"/>
          <w:spacing w:val="0"/>
          <w:w w:val="100"/>
          <w:position w:val="0"/>
        </w:rPr>
        <w:t>）其他应收款按款项性质分类情况</w:t>
      </w:r>
      <w:bookmarkEnd w:id="1255"/>
      <w:bookmarkEnd w:id="1256"/>
      <w:bookmarkEnd w:id="1258"/>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21,074,099.86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39,783278.21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133,569,887.16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139,268,090.59</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154,643,987.02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179,051,368.80</w:t>
            </w:r>
          </w:p>
        </w:tc>
      </w:tr>
    </w:tbl>
    <w:p>
      <w:pPr>
        <w:widowControl w:val="0"/>
        <w:spacing w:after="319" w:line="1" w:lineRule="exact"/>
      </w:pPr>
    </w:p>
    <w:p>
      <w:pPr>
        <w:pStyle w:val="Style92"/>
        <w:keepNext/>
        <w:keepLines/>
        <w:widowControl w:val="0"/>
        <w:shd w:val="clear" w:color="auto" w:fill="auto"/>
        <w:bidi w:val="0"/>
        <w:spacing w:before="0" w:line="240" w:lineRule="auto"/>
        <w:ind w:left="0" w:right="0" w:firstLine="0"/>
        <w:jc w:val="left"/>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2</w:t>
      </w:r>
      <w:bookmarkEnd w:id="1261"/>
      <w:r>
        <w:rPr>
          <w:color w:val="000000"/>
          <w:spacing w:val="0"/>
          <w:w w:val="100"/>
          <w:position w:val="0"/>
        </w:rPr>
        <w:t>）坏账准备计提情况</w:t>
      </w:r>
      <w:bookmarkEnd w:id="1259"/>
      <w:bookmarkEnd w:id="1260"/>
      <w:bookmarkEnd w:id="126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34"/>
        <w:gridCol w:w="1646"/>
        <w:gridCol w:w="2102"/>
        <w:gridCol w:w="2102"/>
        <w:gridCol w:w="1805"/>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第一阶段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合计</w:t>
            </w:r>
          </w:p>
        </w:tc>
      </w:tr>
      <w:tr>
        <w:trPr>
          <w:trHeight w:val="72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4D4D4"/>
            <w:vAlign w:val="center"/>
          </w:tcPr>
          <w:p>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678,300.08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36,145,876.75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36,824,176.83</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-678,300.08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678,300.08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693,204.82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693,204.82</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-3,210,589.09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-3,210,589.09</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693,204.82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33,613,587.74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34,306,792.56</w:t>
            </w: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按账龄披露</w:t>
      </w:r>
    </w:p>
    <w:p>
      <w:pPr>
        <w:widowControl w:val="0"/>
        <w:spacing w:after="139" w:line="1" w:lineRule="exact"/>
      </w:pP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60,686,518.35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个月及以内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34,394,877.85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26291,640.50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33,403,857.72</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18,876281.62</w:t>
            </w:r>
          </w:p>
        </w:tc>
      </w:tr>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41,677,329.33</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11,564,150.98</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3,620,571.72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26,492,606.63</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154,643,987.02</w:t>
            </w:r>
          </w:p>
        </w:tc>
      </w:tr>
    </w:tbl>
    <w:p>
      <w:pPr>
        <w:spacing w:lineRule="exact" w:line="1"/>
        <w:rPr>
          <w:sz w:val="2"/>
          <w:szCs w:val="2"/>
        </w:rPr>
      </w:pPr>
      <w:r>
        <w:br w:type="page"/>
      </w:r>
    </w:p>
    <w:p>
      <w:pPr>
        <w:pStyle w:val="Style92"/>
        <w:keepNext/>
        <w:keepLines/>
        <w:widowControl w:val="0"/>
        <w:shd w:val="clear" w:color="auto" w:fill="auto"/>
        <w:bidi w:val="0"/>
        <w:spacing w:before="0" w:line="240" w:lineRule="auto"/>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3</w:t>
      </w:r>
      <w:bookmarkEnd w:id="1265"/>
      <w:r>
        <w:rPr>
          <w:color w:val="000000"/>
          <w:spacing w:val="0"/>
          <w:w w:val="100"/>
          <w:position w:val="0"/>
        </w:rPr>
        <w:t>）本期计提、收回或转回的坏账准备情况</w:t>
      </w:r>
      <w:bookmarkEnd w:id="1263"/>
      <w:bookmarkEnd w:id="1264"/>
      <w:bookmarkEnd w:id="126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094"/>
        <w:gridCol w:w="1344"/>
        <w:gridCol w:w="1334"/>
        <w:gridCol w:w="1334"/>
        <w:gridCol w:w="1325"/>
        <w:gridCol w:w="1733"/>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4D4D4"/>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按组合计提坏账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36,824,176.83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-2,517,384.27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34,306,792.56</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36,824,176.83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-2,517,384.27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34,306,792.56</w:t>
            </w:r>
          </w:p>
        </w:tc>
      </w:tr>
    </w:tbl>
    <w:p>
      <w:pPr>
        <w:widowControl w:val="0"/>
        <w:spacing w:after="319" w:line="1" w:lineRule="exact"/>
      </w:pPr>
    </w:p>
    <w:p>
      <w:pPr>
        <w:pStyle w:val="Style92"/>
        <w:keepNext/>
        <w:keepLines/>
        <w:widowControl w:val="0"/>
        <w:shd w:val="clear" w:color="auto" w:fill="auto"/>
        <w:tabs>
          <w:tab w:pos="387" w:val="left"/>
        </w:tabs>
        <w:bidi w:val="0"/>
        <w:spacing w:before="0" w:line="240" w:lineRule="auto"/>
        <w:ind w:left="0" w:right="0" w:firstLine="0"/>
        <w:jc w:val="left"/>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4</w:t>
      </w:r>
      <w:bookmarkEnd w:id="1269"/>
      <w:r>
        <w:rPr>
          <w:color w:val="000000"/>
          <w:spacing w:val="0"/>
          <w:w w:val="100"/>
          <w:position w:val="0"/>
        </w:rPr>
        <w:t>）</w:t>
        <w:tab/>
        <w:t>本期实际核销的其他应收款情况</w:t>
      </w:r>
      <w:bookmarkEnd w:id="1267"/>
      <w:bookmarkEnd w:id="1268"/>
      <w:bookmarkEnd w:id="1270"/>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92"/>
        <w:keepNext/>
        <w:keepLines/>
        <w:widowControl w:val="0"/>
        <w:shd w:val="clear" w:color="auto" w:fill="auto"/>
        <w:tabs>
          <w:tab w:pos="387" w:val="left"/>
        </w:tabs>
        <w:bidi w:val="0"/>
        <w:spacing w:before="0" w:line="240" w:lineRule="auto"/>
        <w:ind w:left="0" w:right="0" w:firstLine="0"/>
        <w:jc w:val="left"/>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5</w:t>
      </w:r>
      <w:bookmarkEnd w:id="1273"/>
      <w:r>
        <w:rPr>
          <w:color w:val="000000"/>
          <w:spacing w:val="0"/>
          <w:w w:val="100"/>
          <w:position w:val="0"/>
        </w:rPr>
        <w:t>）</w:t>
        <w:tab/>
        <w:t>按欠款方归集的期末余额前五名的其他应收款情况</w:t>
      </w:r>
      <w:bookmarkEnd w:id="1271"/>
      <w:bookmarkEnd w:id="1272"/>
      <w:bookmarkEnd w:id="127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4"/>
        <w:gridCol w:w="1598"/>
        <w:gridCol w:w="1594"/>
        <w:gridCol w:w="1589"/>
        <w:gridCol w:w="1608"/>
      </w:tblGrid>
      <w:tr>
        <w:trPr>
          <w:trHeight w:val="72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款项的性质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坏账准备期末余额</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中国民生银行股份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13,569,186.40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个月以内、</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 xml:space="preserve">个月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郭明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5,834,778.85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5,834,778.85</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上海东熙投资发展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顶杰（上海）置业有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4,692,120.99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312,808.07</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上海市公安局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4,659,645.00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个月以内、</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 xml:space="preserve">个月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141,406.50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34255,731.24</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6,288,993.42</w:t>
            </w:r>
          </w:p>
        </w:tc>
      </w:tr>
    </w:tbl>
    <w:p>
      <w:pPr>
        <w:widowControl w:val="0"/>
        <w:spacing w:after="319" w:line="1" w:lineRule="exact"/>
      </w:pPr>
    </w:p>
    <w:p>
      <w:pPr>
        <w:pStyle w:val="Style92"/>
        <w:keepNext/>
        <w:keepLines/>
        <w:widowControl w:val="0"/>
        <w:shd w:val="clear" w:color="auto" w:fill="auto"/>
        <w:tabs>
          <w:tab w:pos="387" w:val="left"/>
        </w:tabs>
        <w:bidi w:val="0"/>
        <w:spacing w:before="0" w:line="240" w:lineRule="auto"/>
        <w:ind w:left="0" w:right="0" w:firstLine="0"/>
        <w:jc w:val="left"/>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6</w:t>
      </w:r>
      <w:bookmarkEnd w:id="1277"/>
      <w:r>
        <w:rPr>
          <w:color w:val="000000"/>
          <w:spacing w:val="0"/>
          <w:w w:val="100"/>
          <w:position w:val="0"/>
        </w:rPr>
        <w:t>）</w:t>
        <w:tab/>
        <w:t>涉及政府补助的应收款项</w:t>
      </w:r>
      <w:bookmarkEnd w:id="1275"/>
      <w:bookmarkEnd w:id="1276"/>
      <w:bookmarkEnd w:id="1278"/>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92"/>
        <w:keepNext/>
        <w:keepLines/>
        <w:widowControl w:val="0"/>
        <w:shd w:val="clear" w:color="auto" w:fill="auto"/>
        <w:tabs>
          <w:tab w:pos="382" w:val="left"/>
        </w:tabs>
        <w:bidi w:val="0"/>
        <w:spacing w:before="0" w:line="240" w:lineRule="auto"/>
        <w:ind w:left="0" w:right="0" w:firstLine="0"/>
        <w:jc w:val="left"/>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7</w:t>
      </w:r>
      <w:bookmarkEnd w:id="1281"/>
      <w:r>
        <w:rPr>
          <w:color w:val="000000"/>
          <w:spacing w:val="0"/>
          <w:w w:val="100"/>
          <w:position w:val="0"/>
        </w:rPr>
        <w:t>）</w:t>
        <w:tab/>
        <w:t>因金融资产转移而终止确认的其他应收款</w:t>
      </w:r>
      <w:bookmarkEnd w:id="1279"/>
      <w:bookmarkEnd w:id="1280"/>
      <w:bookmarkEnd w:id="1282"/>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92"/>
        <w:keepNext/>
        <w:keepLines/>
        <w:widowControl w:val="0"/>
        <w:shd w:val="clear" w:color="auto" w:fill="auto"/>
        <w:bidi w:val="0"/>
        <w:spacing w:before="0" w:line="240" w:lineRule="auto"/>
        <w:ind w:left="0" w:right="0" w:firstLine="0"/>
        <w:jc w:val="left"/>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8</w:t>
      </w:r>
      <w:bookmarkEnd w:id="1285"/>
      <w:r>
        <w:rPr>
          <w:color w:val="000000"/>
          <w:spacing w:val="0"/>
          <w:w w:val="100"/>
          <w:position w:val="0"/>
        </w:rPr>
        <w:t>）转移其他应收款且继续涉入形成的资产、负债金额</w:t>
      </w:r>
      <w:bookmarkEnd w:id="1283"/>
      <w:bookmarkEnd w:id="1284"/>
      <w:bookmarkEnd w:id="1286"/>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9</w:t>
      </w:r>
      <w:bookmarkEnd w:id="1289"/>
      <w:r>
        <w:rPr>
          <w:color w:val="000000"/>
          <w:spacing w:val="0"/>
          <w:w w:val="100"/>
          <w:position w:val="0"/>
        </w:rPr>
        <w:t>、存货</w:t>
      </w:r>
      <w:bookmarkEnd w:id="1287"/>
      <w:bookmarkEnd w:id="1288"/>
      <w:bookmarkEnd w:id="1290"/>
    </w:p>
    <w:p>
      <w:pPr>
        <w:pStyle w:val="Style61"/>
        <w:keepNext/>
        <w:keepLines/>
        <w:widowControl w:val="0"/>
        <w:shd w:val="clear" w:color="auto" w:fill="auto"/>
        <w:bidi w:val="0"/>
        <w:spacing w:before="0" w:line="240" w:lineRule="auto"/>
        <w:ind w:left="0" w:right="0" w:firstLine="0"/>
        <w:jc w:val="left"/>
      </w:pPr>
      <w:bookmarkStart w:id="1291" w:name="bookmark1291"/>
      <w:bookmarkStart w:id="1292" w:name="bookmark1292"/>
      <w:bookmarkStart w:id="1293" w:name="bookmark12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91"/>
      <w:bookmarkEnd w:id="1292"/>
      <w:bookmarkEnd w:id="1293"/>
    </w:p>
    <w:p>
      <w:pPr>
        <w:pStyle w:val="Style2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378"/>
        <w:gridCol w:w="1368"/>
        <w:gridCol w:w="1378"/>
        <w:gridCol w:w="1368"/>
        <w:gridCol w:w="1363"/>
        <w:gridCol w:w="1373"/>
        <w:gridCol w:w="137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103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存货跌价准备或</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合同履约成本减</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存货跌价准备或</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合同履约成本减</w:t>
            </w:r>
          </w:p>
          <w:p>
            <w:pPr>
              <w:pStyle w:val="Style2"/>
              <w:keepNext w:val="0"/>
              <w:keepLines w:val="0"/>
              <w:widowControl w:val="0"/>
              <w:shd w:val="clear" w:color="auto" w:fill="auto"/>
              <w:bidi w:val="0"/>
              <w:spacing w:before="0" w:after="120" w:line="240" w:lineRule="auto"/>
              <w:ind w:left="0" w:right="0" w:firstLine="420"/>
              <w:jc w:val="left"/>
              <w:rPr>
                <w:sz w:val="17"/>
                <w:szCs w:val="17"/>
              </w:rPr>
            </w:pPr>
            <w:r>
              <w:rPr>
                <w:color w:val="000000"/>
                <w:spacing w:val="0"/>
                <w:w w:val="100"/>
                <w:position w:val="0"/>
                <w:sz w:val="17"/>
                <w:szCs w:val="17"/>
              </w:rPr>
              <w:t>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账面价值</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2,701,319.36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2,701,319.36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2,734,716.71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2,734,716.71</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10285,685.13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10285,685.13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28,620.02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28,620.02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1,130,571,618.67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289,329,889.22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841,241,729.45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1,435,710,843.30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667,342,014.45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768,368,828.85</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1,143,558,623.16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289,329,889.22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854,228,733.94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1,438,474,180.03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667,342,014.45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771,132,165.58</w:t>
            </w:r>
          </w:p>
        </w:tc>
      </w:tr>
    </w:tbl>
    <w:p>
      <w:pPr>
        <w:widowControl w:val="0"/>
        <w:spacing w:after="379" w:line="1" w:lineRule="exact"/>
      </w:pPr>
    </w:p>
    <w:p>
      <w:pPr>
        <w:pStyle w:val="Style61"/>
        <w:keepNext/>
        <w:keepLines/>
        <w:widowControl w:val="0"/>
        <w:shd w:val="clear" w:color="auto" w:fill="auto"/>
        <w:bidi w:val="0"/>
        <w:spacing w:before="0" w:line="240" w:lineRule="auto"/>
        <w:ind w:left="0" w:right="0" w:firstLine="140"/>
        <w:jc w:val="left"/>
      </w:pPr>
      <w:bookmarkStart w:id="1294" w:name="bookmark1294"/>
      <w:bookmarkStart w:id="1295" w:name="bookmark1295"/>
      <w:bookmarkStart w:id="1296" w:name="bookmark1296"/>
      <w:r>
        <w:rPr>
          <w:color w:val="000000"/>
          <w:spacing w:val="0"/>
          <w:w w:val="100"/>
          <w:position w:val="0"/>
        </w:rPr>
        <w:t>⑵存货跌价准备和合同履约成本减值准备</w:t>
      </w:r>
      <w:bookmarkEnd w:id="1294"/>
      <w:bookmarkEnd w:id="1295"/>
      <w:bookmarkEnd w:id="1296"/>
    </w:p>
    <w:p>
      <w:pPr>
        <w:pStyle w:val="Style2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378"/>
        <w:gridCol w:w="1373"/>
        <w:gridCol w:w="1368"/>
        <w:gridCol w:w="1373"/>
        <w:gridCol w:w="1363"/>
        <w:gridCol w:w="1378"/>
        <w:gridCol w:w="1373"/>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期末余额</w:t>
            </w:r>
          </w:p>
        </w:tc>
      </w:tr>
      <w:tr>
        <w:trPr>
          <w:trHeight w:val="40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转销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667,342,014.45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378,012,125.23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289,329,889.22</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667,342,014.45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378,012,125.23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289,329,889.22</w:t>
            </w:r>
          </w:p>
        </w:tc>
      </w:tr>
    </w:tbl>
    <w:p>
      <w:pPr>
        <w:widowControl w:val="0"/>
        <w:spacing w:after="379" w:line="1" w:lineRule="exact"/>
      </w:pPr>
    </w:p>
    <w:p>
      <w:pPr>
        <w:pStyle w:val="Style61"/>
        <w:keepNext/>
        <w:keepLines/>
        <w:widowControl w:val="0"/>
        <w:shd w:val="clear" w:color="auto" w:fill="auto"/>
        <w:tabs>
          <w:tab w:pos="483" w:val="left"/>
        </w:tabs>
        <w:bidi w:val="0"/>
        <w:spacing w:before="0" w:line="240" w:lineRule="auto"/>
        <w:ind w:left="0" w:right="0" w:firstLine="0"/>
        <w:jc w:val="left"/>
      </w:pPr>
      <w:bookmarkStart w:id="1297" w:name="bookmark1297"/>
      <w:bookmarkStart w:id="1298" w:name="bookmark1298"/>
      <w:bookmarkStart w:id="1299" w:name="bookmark1299"/>
      <w:bookmarkStart w:id="1300" w:name="bookmark1300"/>
      <w:r>
        <w:rPr>
          <w:color w:val="000000"/>
          <w:spacing w:val="0"/>
          <w:w w:val="100"/>
          <w:position w:val="0"/>
        </w:rPr>
        <w:t>（</w:t>
      </w:r>
      <w:bookmarkEnd w:id="1299"/>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297"/>
      <w:bookmarkEnd w:id="1298"/>
      <w:bookmarkEnd w:id="1300"/>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61"/>
        <w:keepNext/>
        <w:keepLines/>
        <w:widowControl w:val="0"/>
        <w:shd w:val="clear" w:color="auto" w:fill="auto"/>
        <w:tabs>
          <w:tab w:pos="483" w:val="left"/>
        </w:tabs>
        <w:bidi w:val="0"/>
        <w:spacing w:before="0" w:line="240" w:lineRule="auto"/>
        <w:ind w:left="0" w:right="0" w:firstLine="0"/>
        <w:jc w:val="left"/>
      </w:pPr>
      <w:bookmarkStart w:id="1301" w:name="bookmark1301"/>
      <w:bookmarkStart w:id="1302" w:name="bookmark1302"/>
      <w:bookmarkStart w:id="1303" w:name="bookmark1303"/>
      <w:bookmarkStart w:id="1304" w:name="bookmark1304"/>
      <w:r>
        <w:rPr>
          <w:color w:val="000000"/>
          <w:spacing w:val="0"/>
          <w:w w:val="100"/>
          <w:position w:val="0"/>
        </w:rPr>
        <w:t>（</w:t>
      </w:r>
      <w:bookmarkEnd w:id="1303"/>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301"/>
      <w:bookmarkEnd w:id="1302"/>
      <w:bookmarkEnd w:id="1304"/>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1</w:t>
      </w:r>
      <w:bookmarkEnd w:id="1307"/>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305"/>
      <w:bookmarkEnd w:id="1306"/>
      <w:bookmarkEnd w:id="130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50"/>
        <w:gridCol w:w="1190"/>
        <w:gridCol w:w="1334"/>
        <w:gridCol w:w="1200"/>
        <w:gridCol w:w="1190"/>
        <w:gridCol w:w="1195"/>
        <w:gridCol w:w="1330"/>
      </w:tblGrid>
      <w:tr>
        <w:trPr>
          <w:trHeight w:val="41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4"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7"/>
                <w:szCs w:val="17"/>
              </w:rPr>
              <w:t>账面价值</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已完工未结算资产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892,519,050.16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26,775,571.51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865,743,478.65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438,392,515.30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13,151,775.46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425,240,739.84</w:t>
            </w:r>
          </w:p>
        </w:tc>
      </w:tr>
    </w:tbl>
    <w:p>
      <w:pPr>
        <w:widowControl w:val="0"/>
        <w:spacing w:line="1" w:lineRule="exact"/>
      </w:pPr>
      <w:r>
        <w:br w:type="page"/>
      </w:r>
    </w:p>
    <w:tbl>
      <w:tblPr>
        <w:tblOverlap w:val="never"/>
        <w:jc w:val="center"/>
        <w:tblLayout w:type="fixed"/>
      </w:tblPr>
      <w:tblGrid>
        <w:gridCol w:w="2150"/>
        <w:gridCol w:w="1190"/>
        <w:gridCol w:w="1334"/>
        <w:gridCol w:w="1200"/>
        <w:gridCol w:w="1190"/>
        <w:gridCol w:w="1195"/>
        <w:gridCol w:w="1330"/>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7"/>
                <w:szCs w:val="17"/>
              </w:rPr>
              <w:t>账面价值</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892,519,050.16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26,775,571.51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865,743,478.65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438,392,515.30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13,151,775.46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425,240,739.84</w:t>
            </w: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本期合同资产计提减值准备情况</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920"/>
        <w:gridCol w:w="1925"/>
        <w:gridCol w:w="1915"/>
        <w:gridCol w:w="1915"/>
        <w:gridCol w:w="1930"/>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本期转回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核销</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已完工未结算资产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13,623,796.05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根据公司执行的会计政 策及会计估计计提</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13,623,796.05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3"/>
        <w:keepNext/>
        <w:keepLines/>
        <w:widowControl w:val="0"/>
        <w:shd w:val="clear" w:color="auto" w:fill="auto"/>
        <w:tabs>
          <w:tab w:pos="469" w:val="left"/>
        </w:tabs>
        <w:bidi w:val="0"/>
        <w:spacing w:before="0" w:after="380" w:line="240" w:lineRule="auto"/>
        <w:ind w:left="0" w:right="0" w:firstLine="0"/>
        <w:jc w:val="left"/>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1</w:t>
      </w:r>
      <w:bookmarkEnd w:id="1311"/>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w:t>
      </w:r>
      <w:bookmarkEnd w:id="1309"/>
      <w:bookmarkEnd w:id="1310"/>
      <w:bookmarkEnd w:id="1312"/>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69" w:val="left"/>
        </w:tabs>
        <w:bidi w:val="0"/>
        <w:spacing w:before="0" w:after="380" w:line="240" w:lineRule="auto"/>
        <w:ind w:left="0" w:right="0" w:firstLine="0"/>
        <w:jc w:val="left"/>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1</w:t>
      </w:r>
      <w:bookmarkEnd w:id="1315"/>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313"/>
      <w:bookmarkEnd w:id="1314"/>
      <w:bookmarkEnd w:id="1316"/>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172,995,386.24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172,857,099.93</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172,995,386.24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172,857,099.93</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1</w:t>
      </w:r>
      <w:bookmarkEnd w:id="1319"/>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317"/>
      <w:bookmarkEnd w:id="1318"/>
      <w:bookmarkEnd w:id="1320"/>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待认证进项税额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4,524,487.90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14,837275.70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增值税留抵税额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33,385,482.74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34,940,362.57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预缴企业所得税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2,627,430.55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2,381,568.74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待确认销项税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15 292,062.47</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40,537,401.19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67,451269.48</w:t>
            </w:r>
          </w:p>
        </w:tc>
      </w:tr>
    </w:tbl>
    <w:p>
      <w:pPr>
        <w:widowControl w:val="0"/>
        <w:spacing w:after="319" w:line="1" w:lineRule="exact"/>
      </w:pPr>
    </w:p>
    <w:p>
      <w:pPr>
        <w:pStyle w:val="Style33"/>
        <w:keepNext/>
        <w:keepLines/>
        <w:widowControl w:val="0"/>
        <w:shd w:val="clear" w:color="auto" w:fill="auto"/>
        <w:tabs>
          <w:tab w:pos="469" w:val="left"/>
        </w:tabs>
        <w:bidi w:val="0"/>
        <w:spacing w:before="0" w:after="380" w:line="240" w:lineRule="auto"/>
        <w:ind w:left="0" w:right="0" w:firstLine="0"/>
        <w:jc w:val="left"/>
      </w:pPr>
      <w:bookmarkStart w:id="1321" w:name="bookmark1321"/>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1</w:t>
      </w:r>
      <w:bookmarkEnd w:id="1323"/>
      <w:r>
        <w:rPr>
          <w:rFonts w:ascii="Times New Roman" w:eastAsia="Times New Roman" w:hAnsi="Times New Roman" w:cs="Times New Roman"/>
          <w:color w:val="000000"/>
          <w:spacing w:val="0"/>
          <w:w w:val="100"/>
          <w:position w:val="0"/>
        </w:rPr>
        <w:t>4</w:t>
      </w:r>
      <w:r>
        <w:rPr>
          <w:color w:val="000000"/>
          <w:spacing w:val="0"/>
          <w:w w:val="100"/>
          <w:position w:val="0"/>
        </w:rPr>
        <w:t>、</w:t>
        <w:tab/>
        <w:t>债权投资</w:t>
      </w:r>
      <w:bookmarkEnd w:id="1321"/>
      <w:bookmarkEnd w:id="1322"/>
      <w:bookmarkEnd w:id="1324"/>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69" w:val="left"/>
        </w:tabs>
        <w:bidi w:val="0"/>
        <w:spacing w:before="0" w:after="380" w:line="240" w:lineRule="auto"/>
        <w:ind w:left="0" w:right="0" w:firstLine="0"/>
        <w:jc w:val="left"/>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1</w:t>
      </w:r>
      <w:bookmarkEnd w:id="1327"/>
      <w:r>
        <w:rPr>
          <w:rFonts w:ascii="Times New Roman" w:eastAsia="Times New Roman" w:hAnsi="Times New Roman" w:cs="Times New Roman"/>
          <w:color w:val="000000"/>
          <w:spacing w:val="0"/>
          <w:w w:val="100"/>
          <w:position w:val="0"/>
        </w:rPr>
        <w:t>5</w:t>
      </w:r>
      <w:r>
        <w:rPr>
          <w:color w:val="000000"/>
          <w:spacing w:val="0"/>
          <w:w w:val="100"/>
          <w:position w:val="0"/>
        </w:rPr>
        <w:t>、</w:t>
        <w:tab/>
        <w:t>其他债权投资</w:t>
      </w:r>
      <w:bookmarkEnd w:id="1325"/>
      <w:bookmarkEnd w:id="1326"/>
      <w:bookmarkEnd w:id="1328"/>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33"/>
        <w:keepNext/>
        <w:keepLines/>
        <w:widowControl w:val="0"/>
        <w:shd w:val="clear" w:color="auto" w:fill="auto"/>
        <w:bidi w:val="0"/>
        <w:spacing w:before="0" w:after="380" w:line="240" w:lineRule="auto"/>
        <w:ind w:left="0" w:right="0" w:firstLine="0"/>
        <w:jc w:val="left"/>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1</w:t>
      </w:r>
      <w:bookmarkEnd w:id="1331"/>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329"/>
      <w:bookmarkEnd w:id="1330"/>
      <w:bookmarkEnd w:id="1332"/>
    </w:p>
    <w:p>
      <w:pPr>
        <w:pStyle w:val="Style61"/>
        <w:keepNext/>
        <w:keepLines/>
        <w:widowControl w:val="0"/>
        <w:shd w:val="clear" w:color="auto" w:fill="auto"/>
        <w:bidi w:val="0"/>
        <w:spacing w:before="0" w:line="240" w:lineRule="auto"/>
        <w:ind w:left="0" w:right="0" w:firstLine="0"/>
        <w:jc w:val="left"/>
      </w:pPr>
      <w:bookmarkStart w:id="1333" w:name="bookmark1333"/>
      <w:bookmarkStart w:id="1334" w:name="bookmark1334"/>
      <w:bookmarkStart w:id="1335" w:name="bookmark13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333"/>
      <w:bookmarkEnd w:id="1334"/>
      <w:bookmarkEnd w:id="1335"/>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416"/>
        <w:gridCol w:w="1162"/>
        <w:gridCol w:w="1166"/>
        <w:gridCol w:w="1181"/>
        <w:gridCol w:w="1162"/>
        <w:gridCol w:w="1166"/>
        <w:gridCol w:w="1166"/>
        <w:gridCol w:w="1171"/>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折现率区间</w:t>
            </w:r>
          </w:p>
        </w:tc>
      </w:tr>
      <w:tr>
        <w:trPr>
          <w:trHeight w:val="40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账面价值</w:t>
            </w:r>
          </w:p>
        </w:tc>
        <w:tc>
          <w:tcPr>
            <w:vMerge/>
            <w:tcBorders>
              <w:left w:val="single" w:sz="4"/>
              <w:right w:val="single" w:sz="4"/>
            </w:tcBorders>
            <w:shd w:val="clear" w:color="auto" w:fill="D4D4D4"/>
            <w:vAlign w:val="center"/>
          </w:tcPr>
          <w:p>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分期收款销售商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542,702,173.4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43,149,502.56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499,552,670.9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630,813,219.3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33,446257.01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597,366,962.3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542,702,173.4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43,149,502.56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499,552,670.9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630,813,219.3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33,446257.01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597,366,962.3</w:t>
            </w:r>
          </w:p>
          <w:p>
            <w:pPr>
              <w:pStyle w:val="Style2"/>
              <w:keepNext w:val="0"/>
              <w:keepLines w:val="0"/>
              <w:widowControl w:val="0"/>
              <w:shd w:val="clear" w:color="auto" w:fill="auto"/>
              <w:bidi w:val="0"/>
              <w:spacing w:before="0" w:after="0" w:line="180" w:lineRule="auto"/>
              <w:ind w:left="0" w:right="0" w:firstLine="0"/>
              <w:jc w:val="right"/>
            </w:pPr>
            <w:r>
              <w:rPr>
                <w:rFonts w:ascii="Times New Roman" w:eastAsia="Times New Roman" w:hAnsi="Times New Roman" w:cs="Times New Roman"/>
                <w:color w:val="000000"/>
                <w:spacing w:val="0"/>
                <w:w w:val="100"/>
                <w:position w:val="0"/>
                <w:vertAlign w:val="subscript"/>
              </w:rPr>
              <w:t>1</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坏账准备减值情况</w:t>
      </w:r>
    </w:p>
    <w:p>
      <w:pPr>
        <w:widowControl w:val="0"/>
        <w:spacing w:after="139" w:line="1" w:lineRule="exact"/>
      </w:pPr>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1646"/>
        <w:gridCol w:w="2102"/>
        <w:gridCol w:w="2098"/>
        <w:gridCol w:w="1805"/>
      </w:tblGrid>
      <w:tr>
        <w:trPr>
          <w:trHeight w:val="41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合计</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4D4D4"/>
            <w:vAlign w:val="center"/>
          </w:tcPr>
          <w:p>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33,446257.01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33,446,257.01</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9,703,245.55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9,703,245.55</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43,149,502.56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43,149,502.56</w:t>
            </w:r>
          </w:p>
        </w:tc>
      </w:tr>
    </w:tbl>
    <w:p>
      <w:pPr>
        <w:widowControl w:val="0"/>
        <w:spacing w:after="319" w:line="1" w:lineRule="exact"/>
      </w:pPr>
    </w:p>
    <w:p>
      <w:pPr>
        <w:pStyle w:val="Style61"/>
        <w:keepNext/>
        <w:keepLines/>
        <w:widowControl w:val="0"/>
        <w:shd w:val="clear" w:color="auto" w:fill="auto"/>
        <w:bidi w:val="0"/>
        <w:spacing w:before="0" w:line="240" w:lineRule="auto"/>
        <w:ind w:left="0" w:right="0" w:firstLine="0"/>
        <w:jc w:val="left"/>
      </w:pPr>
      <w:bookmarkStart w:id="1336" w:name="bookmark1336"/>
      <w:bookmarkStart w:id="1337" w:name="bookmark1337"/>
      <w:bookmarkStart w:id="1338" w:name="bookmark133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）因金融资产转移而终止确认的长期应收款</w:t>
      </w:r>
      <w:bookmarkEnd w:id="1336"/>
      <w:bookmarkEnd w:id="1337"/>
      <w:bookmarkEnd w:id="1338"/>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61"/>
        <w:keepNext/>
        <w:keepLines/>
        <w:widowControl w:val="0"/>
        <w:shd w:val="clear" w:color="auto" w:fill="auto"/>
        <w:bidi w:val="0"/>
        <w:spacing w:before="0" w:line="240" w:lineRule="auto"/>
        <w:ind w:left="0" w:right="0" w:firstLine="140"/>
        <w:jc w:val="left"/>
      </w:pPr>
      <w:bookmarkStart w:id="1339" w:name="bookmark1339"/>
      <w:bookmarkStart w:id="1340" w:name="bookmark1340"/>
      <w:bookmarkStart w:id="1341" w:name="bookmark1341"/>
      <w:r>
        <w:rPr>
          <w:color w:val="000000"/>
          <w:spacing w:val="0"/>
          <w:w w:val="100"/>
          <w:position w:val="0"/>
        </w:rPr>
        <w:t>⑶转移长期应收款且继续涉入形成的资产、负债金额</w:t>
      </w:r>
      <w:bookmarkEnd w:id="1339"/>
      <w:bookmarkEnd w:id="1340"/>
      <w:bookmarkEnd w:id="1341"/>
    </w:p>
    <w:p>
      <w:pPr>
        <w:pStyle w:val="Style29"/>
        <w:keepNext w:val="0"/>
        <w:keepLines w:val="0"/>
        <w:widowControl w:val="0"/>
        <w:shd w:val="clear" w:color="auto" w:fill="auto"/>
        <w:bidi w:val="0"/>
        <w:spacing w:before="0" w:after="380" w:line="240" w:lineRule="auto"/>
        <w:ind w:left="0" w:right="0" w:firstLine="0"/>
        <w:jc w:val="left"/>
      </w:pPr>
      <w:bookmarkStart w:id="1342" w:name="bookmark1342"/>
      <w:r>
        <w:rPr>
          <w:color w:val="000000"/>
          <w:spacing w:val="0"/>
          <w:w w:val="100"/>
          <w:position w:val="0"/>
        </w:rPr>
        <w:t>无</w:t>
      </w:r>
      <w:bookmarkEnd w:id="1342"/>
    </w:p>
    <w:p>
      <w:pPr>
        <w:pStyle w:val="Style33"/>
        <w:keepNext/>
        <w:keepLines/>
        <w:widowControl w:val="0"/>
        <w:shd w:val="clear" w:color="auto" w:fill="auto"/>
        <w:bidi w:val="0"/>
        <w:spacing w:before="0" w:after="380" w:line="240" w:lineRule="auto"/>
        <w:ind w:left="0" w:right="0" w:firstLine="0"/>
        <w:jc w:val="left"/>
      </w:pPr>
      <w:bookmarkStart w:id="1343" w:name="bookmark1343"/>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1</w:t>
      </w:r>
      <w:bookmarkEnd w:id="1345"/>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343"/>
      <w:bookmarkEnd w:id="1344"/>
      <w:bookmarkEnd w:id="1346"/>
    </w:p>
    <w:p>
      <w:pPr>
        <w:pStyle w:val="Style2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802"/>
        <w:gridCol w:w="806"/>
        <w:gridCol w:w="792"/>
        <w:gridCol w:w="816"/>
        <w:gridCol w:w="782"/>
        <w:gridCol w:w="802"/>
        <w:gridCol w:w="792"/>
        <w:gridCol w:w="806"/>
        <w:gridCol w:w="792"/>
        <w:gridCol w:w="806"/>
        <w:gridCol w:w="792"/>
        <w:gridCol w:w="816"/>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被投资单 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期初余额</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期末余额</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r>
      <w:tr>
        <w:trPr>
          <w:trHeight w:val="1037"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追加投资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权益法下</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确认的投</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资损益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其他综合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收益调整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宣告发放</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现金股利</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或利润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计提减值 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394"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418" w:hRule="exact"/>
        </w:trPr>
        <w:tc>
          <w:tcPr>
            <w:gridSpan w:val="12"/>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bl>
    <w:p>
      <w:pPr>
        <w:widowControl w:val="0"/>
        <w:spacing w:line="1" w:lineRule="exact"/>
      </w:pPr>
      <w:r>
        <w:br w:type="page"/>
      </w:r>
    </w:p>
    <w:tbl>
      <w:tblPr>
        <w:tblOverlap w:val="never"/>
        <w:jc w:val="center"/>
        <w:tblLayout w:type="fixed"/>
      </w:tblPr>
      <w:tblGrid>
        <w:gridCol w:w="802"/>
        <w:gridCol w:w="806"/>
        <w:gridCol w:w="792"/>
        <w:gridCol w:w="802"/>
        <w:gridCol w:w="797"/>
        <w:gridCol w:w="802"/>
        <w:gridCol w:w="792"/>
        <w:gridCol w:w="806"/>
        <w:gridCol w:w="792"/>
        <w:gridCol w:w="806"/>
        <w:gridCol w:w="792"/>
        <w:gridCol w:w="816"/>
      </w:tblGrid>
      <w:tr>
        <w:trPr>
          <w:trHeight w:val="403" w:hRule="exact"/>
        </w:trPr>
        <w:tc>
          <w:tcPr>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期初余额</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tcBorders>
              <w:top w:val="single" w:sz="4"/>
              <w:left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gridSpan w:val="2"/>
            <w:tcBorders>
              <w:top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期末余额</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w:t>
            </w:r>
          </w:p>
          <w:p>
            <w:pPr>
              <w:pStyle w:val="Style2"/>
              <w:keepNext w:val="0"/>
              <w:keepLines w:val="0"/>
              <w:widowControl w:val="0"/>
              <w:shd w:val="clear" w:color="auto" w:fill="auto"/>
              <w:bidi w:val="0"/>
              <w:spacing w:before="0" w:after="100" w:line="240" w:lineRule="auto"/>
              <w:ind w:left="0" w:right="260" w:firstLine="0"/>
              <w:jc w:val="right"/>
              <w:rPr>
                <w:sz w:val="18"/>
                <w:szCs w:val="18"/>
              </w:rPr>
            </w:pPr>
            <w:r>
              <w:rPr>
                <w:color w:val="000000"/>
                <w:spacing w:val="0"/>
                <w:w w:val="100"/>
                <w:position w:val="0"/>
                <w:sz w:val="17"/>
                <w:szCs w:val="17"/>
              </w:rPr>
              <w:t>值</w:t>
            </w:r>
            <w:r>
              <w:rPr>
                <w:color w:val="000000"/>
                <w:spacing w:val="0"/>
                <w:w w:val="100"/>
                <w:position w:val="0"/>
                <w:sz w:val="18"/>
                <w:szCs w:val="18"/>
              </w:rPr>
              <w:t>）</w:t>
            </w:r>
          </w:p>
        </w:tc>
        <w:tc>
          <w:tcPr>
            <w:tcBorders>
              <w:top w:val="single" w:sz="4"/>
              <w:left w:val="single" w:sz="4"/>
              <w:right w:val="single" w:sz="4"/>
            </w:tcBorders>
            <w:shd w:val="clear" w:color="auto" w:fill="D4D4D4"/>
            <w:vAlign w:val="top"/>
          </w:tcPr>
          <w:p>
            <w:pPr>
              <w:widowControl w:val="0"/>
              <w:rPr>
                <w:sz w:val="10"/>
                <w:szCs w:val="10"/>
              </w:rPr>
            </w:pPr>
          </w:p>
        </w:tc>
      </w:tr>
      <w:tr>
        <w:trPr>
          <w:trHeight w:val="1032"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317" w:lineRule="exact"/>
              <w:ind w:left="320" w:right="0" w:hanging="320"/>
              <w:jc w:val="both"/>
              <w:rPr>
                <w:sz w:val="17"/>
                <w:szCs w:val="17"/>
              </w:rPr>
            </w:pPr>
            <w:r>
              <w:rPr>
                <w:color w:val="000000"/>
                <w:spacing w:val="0"/>
                <w:w w:val="100"/>
                <w:position w:val="0"/>
                <w:sz w:val="17"/>
                <w:szCs w:val="17"/>
              </w:rPr>
              <w:t>被投资单 位</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追加投资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减少投资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权益法下</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确认的投</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其他综合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收益调整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宣告发放</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现金股利</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或利润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计提减值 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其他</w:t>
            </w:r>
          </w:p>
        </w:tc>
        <w:tc>
          <w:tcPr>
            <w:vMerge/>
            <w:tcBorders>
              <w:left w:val="single" w:sz="4"/>
            </w:tcBorders>
            <w:shd w:val="clear" w:color="auto" w:fill="D4D4D4"/>
            <w:vAlign w:val="center"/>
          </w:tcPr>
          <w:p>
            <w:pPr/>
          </w:p>
        </w:tc>
        <w:tc>
          <w:tcPr>
            <w:tcBorders>
              <w:left w:val="single" w:sz="4"/>
              <w:right w:val="single" w:sz="4"/>
            </w:tcBorders>
            <w:shd w:val="clear" w:color="auto" w:fill="D4D4D4"/>
            <w:vAlign w:val="top"/>
          </w:tcPr>
          <w:p>
            <w:pPr>
              <w:pStyle w:val="Style2"/>
              <w:keepNext w:val="0"/>
              <w:keepLines w:val="0"/>
              <w:widowControl w:val="0"/>
              <w:shd w:val="clear" w:color="auto" w:fill="auto"/>
              <w:bidi w:val="0"/>
              <w:spacing w:before="80" w:after="120" w:line="240" w:lineRule="auto"/>
              <w:ind w:left="0" w:right="0" w:firstLine="0"/>
              <w:jc w:val="right"/>
              <w:rPr>
                <w:sz w:val="17"/>
                <w:szCs w:val="17"/>
              </w:rPr>
            </w:pPr>
            <w:r>
              <w:rPr>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期末余额</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上海浦江</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科技投资</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13,300,45</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2,471,170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15,771,62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上海全程</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玖玖健康</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服务有限</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21,057,61</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-21,057,6</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上海昕鼎 网络科技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14,623,87</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-14,623,8</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17"/>
                <w:szCs w:val="17"/>
              </w:rPr>
            </w:pPr>
            <w:r>
              <w:rPr>
                <w:color w:val="000000"/>
                <w:spacing w:val="0"/>
                <w:w w:val="100"/>
                <w:position w:val="0"/>
                <w:sz w:val="17"/>
                <w:szCs w:val="17"/>
              </w:rPr>
              <w:t>上海达保 贵生信息 科技股份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6,070,979</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-999,794.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5,071,184</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上海久事</w:t>
            </w:r>
          </w:p>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智慧体育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成都天府 市民云服 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14,029,80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-2,701,44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9,622,971</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上海牵翼 网络科技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1,410,241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3,410,241</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宁夏智慧 医疗科技 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359,548.2</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-417,631.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58,083.39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长沙市民 云信息服 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716,254.4</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517,364.8</w:t>
            </w:r>
          </w:p>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1,233,619</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right w:val="single" w:sz="4"/>
            </w:tcBorders>
            <w:shd w:val="clear" w:color="auto" w:fill="FFFFFF"/>
            <w:vAlign w:val="top"/>
          </w:tcPr>
          <w:p>
            <w:pPr>
              <w:widowControl w:val="0"/>
              <w:rPr>
                <w:sz w:val="10"/>
                <w:szCs w:val="10"/>
              </w:rPr>
            </w:pPr>
          </w:p>
        </w:tc>
      </w:tr>
      <w:tr>
        <w:trPr>
          <w:trHeight w:val="13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驻马店天 中市民云 服务有限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1,089,184</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472,524.2</w:t>
            </w:r>
          </w:p>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1,561,708</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806"/>
        <w:gridCol w:w="792"/>
        <w:gridCol w:w="802"/>
        <w:gridCol w:w="797"/>
        <w:gridCol w:w="802"/>
        <w:gridCol w:w="792"/>
        <w:gridCol w:w="806"/>
        <w:gridCol w:w="792"/>
        <w:gridCol w:w="806"/>
        <w:gridCol w:w="792"/>
        <w:gridCol w:w="816"/>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320" w:right="0" w:hanging="320"/>
              <w:jc w:val="both"/>
              <w:rPr>
                <w:sz w:val="17"/>
                <w:szCs w:val="17"/>
              </w:rPr>
            </w:pPr>
            <w:r>
              <w:rPr>
                <w:color w:val="000000"/>
                <w:spacing w:val="0"/>
                <w:w w:val="100"/>
                <w:position w:val="0"/>
                <w:sz w:val="17"/>
                <w:szCs w:val="17"/>
              </w:rPr>
              <w:t>被投资单 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期初余额</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w:t>
            </w:r>
          </w:p>
          <w:p>
            <w:pPr>
              <w:pStyle w:val="Style2"/>
              <w:keepNext w:val="0"/>
              <w:keepLines w:val="0"/>
              <w:widowControl w:val="0"/>
              <w:shd w:val="clear" w:color="auto" w:fill="auto"/>
              <w:bidi w:val="0"/>
              <w:spacing w:before="0" w:after="100" w:line="240" w:lineRule="auto"/>
              <w:ind w:left="0" w:right="0" w:firstLine="280"/>
              <w:jc w:val="left"/>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期末余额</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w:t>
            </w:r>
          </w:p>
          <w:p>
            <w:pPr>
              <w:pStyle w:val="Style2"/>
              <w:keepNext w:val="0"/>
              <w:keepLines w:val="0"/>
              <w:widowControl w:val="0"/>
              <w:shd w:val="clear" w:color="auto" w:fill="auto"/>
              <w:bidi w:val="0"/>
              <w:spacing w:before="0" w:after="100" w:line="240" w:lineRule="auto"/>
              <w:ind w:left="0" w:right="260" w:firstLine="0"/>
              <w:jc w:val="right"/>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期末余额</w:t>
            </w:r>
          </w:p>
        </w:tc>
      </w:tr>
      <w:tr>
        <w:trPr>
          <w:trHeight w:val="103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追加投资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权益法下</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确认的投</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其他综合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收益调整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宣告发放</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现金股利</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或利润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计提减值 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景德镇市 国信瓷都 市民云信 息服务有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1,460,982</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1,283,284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2,744,266</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临沂容沂 办管理运 营有限公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1,661,513</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-210,661.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1,450,851</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银川市民 云服务有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-248,554.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1,751,445</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眉山市兴</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眉科技有</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363,940.3</w:t>
            </w:r>
          </w:p>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4,363,940</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万讯行综</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合设备有</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4,444,885</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-1,012,04</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3,432,835</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张家口万 达中合大 数据有限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-2,450,00</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武威市天 马行大数 据运营有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17,000,00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-1,433,13</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15,566,86</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8.10</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国菱金达</w:t>
            </w:r>
          </w:p>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医疗科技</w:t>
            </w:r>
          </w:p>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（上海）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3,390,264</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858,536.0</w:t>
            </w:r>
          </w:p>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4,248,800</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82205,35</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27,450,00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-36,099,1</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-1,620,49</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70230,36</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82205,35</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27,450,00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-36,099,1</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-1,620,49</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70230,36</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3"/>
        <w:keepNext/>
        <w:keepLines/>
        <w:widowControl w:val="0"/>
        <w:shd w:val="clear" w:color="auto" w:fill="auto"/>
        <w:tabs>
          <w:tab w:pos="469" w:val="left"/>
        </w:tabs>
        <w:bidi w:val="0"/>
        <w:spacing w:before="0" w:after="380" w:line="240" w:lineRule="auto"/>
        <w:ind w:left="0" w:right="0" w:firstLine="0"/>
        <w:jc w:val="left"/>
      </w:pPr>
      <w:bookmarkStart w:id="1347" w:name="bookmark1347"/>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1</w:t>
      </w:r>
      <w:bookmarkEnd w:id="1349"/>
      <w:r>
        <w:rPr>
          <w:rFonts w:ascii="Times New Roman" w:eastAsia="Times New Roman" w:hAnsi="Times New Roman" w:cs="Times New Roman"/>
          <w:color w:val="000000"/>
          <w:spacing w:val="0"/>
          <w:w w:val="100"/>
          <w:position w:val="0"/>
        </w:rPr>
        <w:t>8</w:t>
      </w:r>
      <w:r>
        <w:rPr>
          <w:color w:val="000000"/>
          <w:spacing w:val="0"/>
          <w:w w:val="100"/>
          <w:position w:val="0"/>
        </w:rPr>
        <w:t>、</w:t>
        <w:tab/>
        <w:t>其他权益工具投资</w:t>
      </w:r>
      <w:bookmarkEnd w:id="1347"/>
      <w:bookmarkEnd w:id="1348"/>
      <w:bookmarkEnd w:id="1350"/>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69" w:val="left"/>
        </w:tabs>
        <w:bidi w:val="0"/>
        <w:spacing w:before="0" w:after="380" w:line="240" w:lineRule="auto"/>
        <w:ind w:left="0" w:right="0" w:firstLine="0"/>
        <w:jc w:val="left"/>
      </w:pPr>
      <w:bookmarkStart w:id="1351" w:name="bookmark1351"/>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1</w:t>
      </w:r>
      <w:bookmarkEnd w:id="1353"/>
      <w:r>
        <w:rPr>
          <w:rFonts w:ascii="Times New Roman" w:eastAsia="Times New Roman" w:hAnsi="Times New Roman" w:cs="Times New Roman"/>
          <w:color w:val="000000"/>
          <w:spacing w:val="0"/>
          <w:w w:val="100"/>
          <w:position w:val="0"/>
        </w:rPr>
        <w:t>9</w:t>
      </w:r>
      <w:r>
        <w:rPr>
          <w:color w:val="000000"/>
          <w:spacing w:val="0"/>
          <w:w w:val="100"/>
          <w:position w:val="0"/>
        </w:rPr>
        <w:t>、</w:t>
        <w:tab/>
        <w:t>其他非流动金融资产</w:t>
      </w:r>
      <w:bookmarkEnd w:id="1351"/>
      <w:bookmarkEnd w:id="1352"/>
      <w:bookmarkEnd w:id="135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以公允价值计量且其变动计入当期损益</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403,505,386.63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368,421,968.59</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403,505,386.63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368,421,968.59</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2</w:t>
      </w:r>
      <w:bookmarkEnd w:id="1357"/>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355"/>
      <w:bookmarkEnd w:id="1356"/>
      <w:bookmarkEnd w:id="1358"/>
    </w:p>
    <w:p>
      <w:pPr>
        <w:pStyle w:val="Style61"/>
        <w:keepNext/>
        <w:keepLines/>
        <w:widowControl w:val="0"/>
        <w:shd w:val="clear" w:color="auto" w:fill="auto"/>
        <w:bidi w:val="0"/>
        <w:spacing w:before="0" w:line="240" w:lineRule="auto"/>
        <w:ind w:left="0" w:right="0" w:firstLine="140"/>
        <w:jc w:val="left"/>
      </w:pPr>
      <w:bookmarkStart w:id="1359" w:name="bookmark1359"/>
      <w:bookmarkStart w:id="1360" w:name="bookmark1360"/>
      <w:bookmarkStart w:id="1361" w:name="bookmark1361"/>
      <w:r>
        <w:rPr>
          <w:color w:val="000000"/>
          <w:spacing w:val="0"/>
          <w:w w:val="100"/>
          <w:position w:val="0"/>
        </w:rPr>
        <w:t>⑴采用成本计量模式的投资性房地产</w:t>
      </w:r>
      <w:bookmarkEnd w:id="1359"/>
      <w:bookmarkEnd w:id="1360"/>
      <w:bookmarkEnd w:id="1361"/>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2280"/>
        <w:gridCol w:w="1982"/>
        <w:gridCol w:w="1848"/>
        <w:gridCol w:w="1560"/>
        <w:gridCol w:w="1934"/>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土地使用权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在建工程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26,633,388.03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1,225,000.00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27,858,388.03</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26,633,388.03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1,225,000.00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27,858,388.03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6,836,048.26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71,675.63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6,907,723.89</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1,041,065.88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26,063.88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1,067,129.76</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1,041,065.88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26,063.88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1,067,129.76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7,877,114.</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97,739.51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7,974,853.65</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18,756273.89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1,127,260.49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19,883,534.38</w:t>
            </w:r>
          </w:p>
        </w:tc>
      </w:tr>
    </w:tbl>
    <w:p>
      <w:pPr>
        <w:widowControl w:val="0"/>
        <w:spacing w:line="1" w:lineRule="exact"/>
      </w:pPr>
      <w:r>
        <w:br w:type="page"/>
      </w:r>
    </w:p>
    <w:tbl>
      <w:tblPr>
        <w:tblOverlap w:val="never"/>
        <w:jc w:val="center"/>
        <w:tblLayout w:type="fixed"/>
      </w:tblPr>
      <w:tblGrid>
        <w:gridCol w:w="2285"/>
        <w:gridCol w:w="1982"/>
        <w:gridCol w:w="1848"/>
        <w:gridCol w:w="1560"/>
        <w:gridCol w:w="193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土地使用权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在建工程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19,797,339.77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1,153,324.37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20,950,664.14</w:t>
            </w:r>
          </w:p>
        </w:tc>
      </w:tr>
    </w:tbl>
    <w:p>
      <w:pPr>
        <w:widowControl w:val="0"/>
        <w:spacing w:after="359" w:line="1" w:lineRule="exact"/>
      </w:pPr>
    </w:p>
    <w:p>
      <w:pPr>
        <w:pStyle w:val="Style61"/>
        <w:keepNext/>
        <w:keepLines/>
        <w:widowControl w:val="0"/>
        <w:shd w:val="clear" w:color="auto" w:fill="auto"/>
        <w:bidi w:val="0"/>
        <w:spacing w:before="0" w:after="360" w:line="240" w:lineRule="auto"/>
        <w:ind w:left="0" w:right="0" w:firstLine="140"/>
        <w:jc w:val="left"/>
      </w:pPr>
      <w:bookmarkStart w:id="1362" w:name="bookmark1362"/>
      <w:bookmarkStart w:id="1363" w:name="bookmark1363"/>
      <w:bookmarkStart w:id="1364" w:name="bookmark1364"/>
      <w:r>
        <w:rPr>
          <w:color w:val="000000"/>
          <w:spacing w:val="0"/>
          <w:w w:val="100"/>
          <w:position w:val="0"/>
        </w:rPr>
        <w:t>⑵采用公允价值计量模式的投资性房地产</w:t>
      </w:r>
      <w:bookmarkEnd w:id="1362"/>
      <w:bookmarkEnd w:id="1363"/>
      <w:bookmarkEnd w:id="1364"/>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1"/>
        <w:keepNext/>
        <w:keepLines/>
        <w:widowControl w:val="0"/>
        <w:shd w:val="clear" w:color="auto" w:fill="auto"/>
        <w:bidi w:val="0"/>
        <w:spacing w:before="0" w:after="400" w:line="240" w:lineRule="auto"/>
        <w:ind w:left="0" w:right="0" w:firstLine="0"/>
        <w:jc w:val="both"/>
      </w:pPr>
      <w:bookmarkStart w:id="1365" w:name="bookmark1365"/>
      <w:bookmarkStart w:id="1366" w:name="bookmark1366"/>
      <w:bookmarkStart w:id="1367" w:name="bookmark1367"/>
      <w:bookmarkStart w:id="1368" w:name="bookmark1368"/>
      <w:r>
        <w:rPr>
          <w:color w:val="000000"/>
          <w:spacing w:val="0"/>
          <w:w w:val="100"/>
          <w:position w:val="0"/>
        </w:rPr>
        <w:t>（</w:t>
      </w:r>
      <w:bookmarkEnd w:id="1367"/>
      <w:r>
        <w:rPr>
          <w:rFonts w:ascii="Times New Roman" w:eastAsia="Times New Roman" w:hAnsi="Times New Roman" w:cs="Times New Roman"/>
          <w:color w:val="000000"/>
          <w:spacing w:val="0"/>
          <w:w w:val="100"/>
          <w:position w:val="0"/>
        </w:rPr>
        <w:t>3</w:t>
      </w:r>
      <w:r>
        <w:rPr>
          <w:color w:val="000000"/>
          <w:spacing w:val="0"/>
          <w:w w:val="100"/>
          <w:position w:val="0"/>
        </w:rPr>
        <w:t>）未办妥产权证书的投资性房地产情况</w:t>
      </w:r>
      <w:bookmarkEnd w:id="1365"/>
      <w:bookmarkEnd w:id="1366"/>
      <w:bookmarkEnd w:id="1368"/>
    </w:p>
    <w:p>
      <w:pPr>
        <w:pStyle w:val="Style29"/>
        <w:keepNext w:val="0"/>
        <w:keepLines w:val="0"/>
        <w:widowControl w:val="0"/>
        <w:shd w:val="clear" w:color="auto" w:fill="auto"/>
        <w:bidi w:val="0"/>
        <w:spacing w:before="0" w:after="400" w:line="240" w:lineRule="auto"/>
        <w:ind w:left="0" w:right="0" w:firstLine="0"/>
        <w:jc w:val="both"/>
      </w:pPr>
      <w:r>
        <w:rPr>
          <w:color w:val="000000"/>
          <w:spacing w:val="0"/>
          <w:w w:val="100"/>
          <w:position w:val="0"/>
        </w:rPr>
        <w:t>无</w:t>
      </w:r>
    </w:p>
    <w:p>
      <w:pPr>
        <w:pStyle w:val="Style33"/>
        <w:keepNext/>
        <w:keepLines/>
        <w:widowControl w:val="0"/>
        <w:shd w:val="clear" w:color="auto" w:fill="auto"/>
        <w:bidi w:val="0"/>
        <w:spacing w:before="0" w:after="400" w:line="240" w:lineRule="auto"/>
        <w:ind w:left="0" w:right="0" w:firstLine="0"/>
        <w:jc w:val="both"/>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2</w:t>
      </w:r>
      <w:bookmarkEnd w:id="1371"/>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369"/>
      <w:bookmarkEnd w:id="1370"/>
      <w:bookmarkEnd w:id="1372"/>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343,929,290.96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388,407,240.93</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343,929,290.96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388,407,240.93</w:t>
            </w:r>
          </w:p>
        </w:tc>
      </w:tr>
    </w:tbl>
    <w:p>
      <w:pPr>
        <w:widowControl w:val="0"/>
        <w:spacing w:after="359" w:line="1" w:lineRule="exact"/>
      </w:pPr>
    </w:p>
    <w:p>
      <w:pPr>
        <w:pStyle w:val="Style61"/>
        <w:keepNext/>
        <w:keepLines/>
        <w:widowControl w:val="0"/>
        <w:shd w:val="clear" w:color="auto" w:fill="auto"/>
        <w:bidi w:val="0"/>
        <w:spacing w:before="0" w:after="360" w:line="240" w:lineRule="auto"/>
        <w:ind w:left="0" w:right="0" w:firstLine="0"/>
        <w:jc w:val="both"/>
      </w:pPr>
      <w:bookmarkStart w:id="1373" w:name="bookmark1373"/>
      <w:bookmarkStart w:id="1374" w:name="bookmark1374"/>
      <w:bookmarkStart w:id="1375" w:name="bookmark13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73"/>
      <w:bookmarkEnd w:id="1374"/>
      <w:bookmarkEnd w:id="1375"/>
    </w:p>
    <w:p>
      <w:pPr>
        <w:pStyle w:val="Style2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378"/>
        <w:gridCol w:w="1368"/>
        <w:gridCol w:w="1373"/>
        <w:gridCol w:w="1368"/>
        <w:gridCol w:w="1368"/>
        <w:gridCol w:w="1368"/>
        <w:gridCol w:w="1382"/>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房屋及建筑物</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通用设备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专用设备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其他设备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合计</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397,229,843.82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19,594,457.54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76,320,012.97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236,733,660.38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42,948,435.35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772,826,410.06</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8,360.00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821,161.39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9,877,586.60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1,768,650.53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12,475,758.52</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8,360.00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187,956.40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9,681,214.92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1,768,650.53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11,646,181.85</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633,204.99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196,371.68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829,576.67</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924,233.45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29,977,002.02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6,986,060.91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2,765,978.23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40,653274.61</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924,233.45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29,977,002.02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6,931,761.79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2,733,998.58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40,566,995.84</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其他转出（注）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54299.12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31,979.65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86,278.77</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397,229,843.82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18,678,584.09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47,164,172.34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239,625,186.07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41,951,107.65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744,648,893.97</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368"/>
        <w:gridCol w:w="1373"/>
        <w:gridCol w:w="1368"/>
        <w:gridCol w:w="1368"/>
        <w:gridCol w:w="1368"/>
        <w:gridCol w:w="138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房屋及建筑物</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通用设备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专用设备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其他设备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117,061271.95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14,954,107.20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51298,362.52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164,430,262.61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36,675,164.85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384,419,169.13</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15266,577.00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1,113,327.06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10,738,879.79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26,239,648.44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1,917,100.87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55275,533.16</w:t>
            </w:r>
          </w:p>
        </w:tc>
      </w:tr>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15266,577.00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1,113,327.06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10,738,879.79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26,239,648.44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1,917,100.87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55275,533.16</w:t>
            </w:r>
          </w:p>
        </w:tc>
      </w:tr>
      <w:tr>
        <w:trPr>
          <w:trHeight w:val="394"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887,264.11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28,780,526.84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6,667,899.60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2,639,408.73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38,975,099.28</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887,264.11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28,780,526.84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6,639,641.06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2,624,105.13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38,931,537.</w:t>
            </w:r>
            <w:r>
              <w:rPr>
                <w:rFonts w:ascii="Times New Roman" w:eastAsia="Times New Roman" w:hAnsi="Times New Roman" w:cs="Times New Roman"/>
                <w:color w:val="000000"/>
                <w:spacing w:val="0"/>
                <w:w w:val="100"/>
                <w:position w:val="0"/>
                <w:sz w:val="18"/>
                <w:szCs w:val="18"/>
              </w:rPr>
              <w:t>14</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其他转出（注）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28258.54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43,562.14</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132,327,848.95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15,180,170.15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33256,715.47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184,002,011.45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35,952,856.99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400,719,603.01</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6" w:lineRule="exact"/>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264,901,994.87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3,498,413.94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13,907,456.87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55,623,174.62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5,998,250.66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343,929,290.96</w:t>
            </w:r>
          </w:p>
        </w:tc>
      </w:tr>
      <w:tr>
        <w:trPr>
          <w:trHeight w:val="71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280,168,571.87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4,640,350.34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25,021,650.45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72,303,397.77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6,273,270.50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388,407,240.93</w:t>
            </w:r>
          </w:p>
        </w:tc>
      </w:tr>
    </w:tbl>
    <w:p>
      <w:pPr>
        <w:widowControl w:val="0"/>
        <w:spacing w:after="319" w:line="1" w:lineRule="exact"/>
      </w:pPr>
    </w:p>
    <w:p>
      <w:pPr>
        <w:pStyle w:val="Style61"/>
        <w:keepNext/>
        <w:keepLines/>
        <w:widowControl w:val="0"/>
        <w:shd w:val="clear" w:color="auto" w:fill="auto"/>
        <w:bidi w:val="0"/>
        <w:spacing w:before="0" w:after="420" w:line="240" w:lineRule="auto"/>
        <w:ind w:left="0" w:right="0" w:firstLine="0"/>
        <w:jc w:val="left"/>
      </w:pPr>
      <w:bookmarkStart w:id="1376" w:name="bookmark1376"/>
      <w:bookmarkStart w:id="1377" w:name="bookmark1377"/>
      <w:bookmarkStart w:id="1378" w:name="bookmark137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376"/>
      <w:bookmarkEnd w:id="1377"/>
      <w:bookmarkEnd w:id="1378"/>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61"/>
        <w:keepNext/>
        <w:keepLines/>
        <w:widowControl w:val="0"/>
        <w:shd w:val="clear" w:color="auto" w:fill="auto"/>
        <w:bidi w:val="0"/>
        <w:spacing w:before="0" w:after="420" w:line="240" w:lineRule="auto"/>
        <w:ind w:left="0" w:right="0" w:firstLine="0"/>
        <w:jc w:val="left"/>
      </w:pPr>
      <w:bookmarkStart w:id="1379" w:name="bookmark1379"/>
      <w:bookmarkStart w:id="1380" w:name="bookmark1380"/>
      <w:bookmarkStart w:id="1381" w:name="bookmark1381"/>
      <w:bookmarkStart w:id="1382" w:name="bookmark1382"/>
      <w:r>
        <w:rPr>
          <w:color w:val="000000"/>
          <w:spacing w:val="0"/>
          <w:w w:val="100"/>
          <w:position w:val="0"/>
        </w:rPr>
        <w:t>（</w:t>
      </w:r>
      <w:bookmarkEnd w:id="1381"/>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379"/>
      <w:bookmarkEnd w:id="1380"/>
      <w:bookmarkEnd w:id="1382"/>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61"/>
        <w:keepNext/>
        <w:keepLines/>
        <w:widowControl w:val="0"/>
        <w:shd w:val="clear" w:color="auto" w:fill="auto"/>
        <w:bidi w:val="0"/>
        <w:spacing w:before="0" w:after="400" w:line="240" w:lineRule="auto"/>
        <w:ind w:left="0" w:right="0" w:firstLine="140"/>
        <w:jc w:val="left"/>
      </w:pPr>
      <w:bookmarkStart w:id="1383" w:name="bookmark1383"/>
      <w:bookmarkStart w:id="1384" w:name="bookmark1384"/>
      <w:bookmarkStart w:id="1385" w:name="bookmark1385"/>
      <w:r>
        <w:rPr>
          <w:color w:val="000000"/>
          <w:spacing w:val="0"/>
          <w:w w:val="100"/>
          <w:position w:val="0"/>
        </w:rPr>
        <w:t>⑷未办妥产权证书的固定资产情况</w:t>
      </w:r>
      <w:bookmarkEnd w:id="1383"/>
      <w:bookmarkEnd w:id="1384"/>
      <w:bookmarkEnd w:id="1385"/>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61"/>
        <w:keepNext/>
        <w:keepLines/>
        <w:widowControl w:val="0"/>
        <w:shd w:val="clear" w:color="auto" w:fill="auto"/>
        <w:bidi w:val="0"/>
        <w:spacing w:before="0" w:after="400" w:line="240" w:lineRule="auto"/>
        <w:ind w:left="0" w:right="0" w:firstLine="0"/>
        <w:jc w:val="left"/>
      </w:pPr>
      <w:bookmarkStart w:id="1386" w:name="bookmark1386"/>
      <w:bookmarkStart w:id="1387" w:name="bookmark1387"/>
      <w:bookmarkStart w:id="1388" w:name="bookmark1388"/>
      <w:bookmarkStart w:id="1389" w:name="bookmark1389"/>
      <w:r>
        <w:rPr>
          <w:color w:val="000000"/>
          <w:spacing w:val="0"/>
          <w:w w:val="100"/>
          <w:position w:val="0"/>
        </w:rPr>
        <w:t>（</w:t>
      </w:r>
      <w:bookmarkEnd w:id="1388"/>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386"/>
      <w:bookmarkEnd w:id="1387"/>
      <w:bookmarkEnd w:id="1389"/>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400" w:line="240" w:lineRule="auto"/>
        <w:ind w:left="0" w:right="0" w:firstLine="0"/>
        <w:jc w:val="left"/>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2</w:t>
      </w:r>
      <w:bookmarkEnd w:id="1392"/>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390"/>
      <w:bookmarkEnd w:id="1391"/>
      <w:bookmarkEnd w:id="139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2,828,754.81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3,289,746.12</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2,828,754.81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3,289,746.12</w:t>
            </w:r>
          </w:p>
        </w:tc>
      </w:tr>
    </w:tbl>
    <w:p>
      <w:pPr>
        <w:widowControl w:val="0"/>
        <w:spacing w:after="319" w:line="1" w:lineRule="exact"/>
      </w:pPr>
    </w:p>
    <w:p>
      <w:pPr>
        <w:pStyle w:val="Style61"/>
        <w:keepNext/>
        <w:keepLines/>
        <w:widowControl w:val="0"/>
        <w:shd w:val="clear" w:color="auto" w:fill="auto"/>
        <w:bidi w:val="0"/>
        <w:spacing w:before="0" w:after="400" w:line="240" w:lineRule="auto"/>
        <w:ind w:left="0" w:right="0" w:firstLine="0"/>
        <w:jc w:val="left"/>
      </w:pPr>
      <w:bookmarkStart w:id="1394" w:name="bookmark1394"/>
      <w:bookmarkStart w:id="1395" w:name="bookmark1395"/>
      <w:bookmarkStart w:id="1396" w:name="bookmark13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394"/>
      <w:bookmarkEnd w:id="1395"/>
      <w:bookmarkEnd w:id="1396"/>
    </w:p>
    <w:p>
      <w:pPr>
        <w:pStyle w:val="Style2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382"/>
        <w:gridCol w:w="1363"/>
        <w:gridCol w:w="1373"/>
        <w:gridCol w:w="1368"/>
        <w:gridCol w:w="1368"/>
        <w:gridCol w:w="1373"/>
        <w:gridCol w:w="1378"/>
      </w:tblGrid>
      <w:tr>
        <w:trPr>
          <w:trHeight w:val="41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4"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账面价值</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待安装零星工程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及设备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2,828,754.81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2,828,754.81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3,289,746.12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3,289,746.12</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2,828,754.81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2,828,754.81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3,289,746.12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3,289,746.12</w:t>
            </w:r>
          </w:p>
        </w:tc>
      </w:tr>
    </w:tbl>
    <w:p>
      <w:pPr>
        <w:widowControl w:val="0"/>
        <w:spacing w:after="319" w:line="1" w:lineRule="exact"/>
      </w:pPr>
    </w:p>
    <w:p>
      <w:pPr>
        <w:pStyle w:val="Style61"/>
        <w:keepNext/>
        <w:keepLines/>
        <w:widowControl w:val="0"/>
        <w:shd w:val="clear" w:color="auto" w:fill="auto"/>
        <w:bidi w:val="0"/>
        <w:spacing w:before="0" w:after="400" w:line="240" w:lineRule="auto"/>
        <w:ind w:left="0" w:right="0" w:firstLine="0"/>
        <w:jc w:val="left"/>
      </w:pPr>
      <w:bookmarkStart w:id="1397" w:name="bookmark1397"/>
      <w:bookmarkStart w:id="1398" w:name="bookmark1398"/>
      <w:bookmarkStart w:id="1399" w:name="bookmark139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397"/>
      <w:bookmarkEnd w:id="1398"/>
      <w:bookmarkEnd w:id="139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44"/>
        <w:gridCol w:w="734"/>
        <w:gridCol w:w="734"/>
        <w:gridCol w:w="744"/>
        <w:gridCol w:w="734"/>
        <w:gridCol w:w="734"/>
        <w:gridCol w:w="739"/>
        <w:gridCol w:w="734"/>
        <w:gridCol w:w="730"/>
        <w:gridCol w:w="749"/>
        <w:gridCol w:w="739"/>
      </w:tblGrid>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项目名 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预算数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期初余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本期增</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本期转 入固定 资产金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本期其 他减少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期末余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工程累 计投入 占预算 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工程进 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利息资 本化累 计金额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其中：本 期利息 资本化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本期利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息资本</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化率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资金来 源</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待安装</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零星工</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程及设</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3,289,74</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4,557,66</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829,576.</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4,189,07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2,828,75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3,289,74</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4,557,66</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829,576.</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4,189,07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2,828,75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61"/>
        <w:keepNext/>
        <w:keepLines/>
        <w:widowControl w:val="0"/>
        <w:shd w:val="clear" w:color="auto" w:fill="auto"/>
        <w:bidi w:val="0"/>
        <w:spacing w:before="0" w:after="400" w:line="240" w:lineRule="auto"/>
        <w:ind w:left="0" w:right="0" w:firstLine="0"/>
        <w:jc w:val="left"/>
      </w:pPr>
      <w:bookmarkStart w:id="1400" w:name="bookmark1400"/>
      <w:bookmarkStart w:id="1401" w:name="bookmark1401"/>
      <w:bookmarkStart w:id="1402" w:name="bookmark1402"/>
      <w:bookmarkStart w:id="1403" w:name="bookmark1403"/>
      <w:r>
        <w:rPr>
          <w:color w:val="000000"/>
          <w:spacing w:val="0"/>
          <w:w w:val="100"/>
          <w:position w:val="0"/>
        </w:rPr>
        <w:t>（</w:t>
      </w:r>
      <w:bookmarkEnd w:id="1402"/>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400"/>
      <w:bookmarkEnd w:id="1401"/>
      <w:bookmarkEnd w:id="1403"/>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61"/>
        <w:keepNext/>
        <w:keepLines/>
        <w:widowControl w:val="0"/>
        <w:numPr>
          <w:ilvl w:val="0"/>
          <w:numId w:val="29"/>
        </w:numPr>
        <w:shd w:val="clear" w:color="auto" w:fill="auto"/>
        <w:bidi w:val="0"/>
        <w:spacing w:before="0" w:line="240" w:lineRule="auto"/>
        <w:ind w:left="0" w:right="0" w:firstLine="0"/>
        <w:jc w:val="both"/>
      </w:pPr>
      <w:bookmarkStart w:id="1404" w:name="bookmark1404"/>
      <w:bookmarkStart w:id="1405" w:name="bookmark1405"/>
      <w:bookmarkStart w:id="1406" w:name="bookmark1406"/>
      <w:bookmarkStart w:id="1407" w:name="bookmark1407"/>
      <w:bookmarkEnd w:id="1406"/>
      <w:r>
        <w:rPr>
          <w:color w:val="000000"/>
          <w:spacing w:val="0"/>
          <w:w w:val="100"/>
          <w:position w:val="0"/>
        </w:rPr>
        <w:t>工程物资</w:t>
      </w:r>
      <w:bookmarkEnd w:id="1404"/>
      <w:bookmarkEnd w:id="1405"/>
      <w:bookmarkEnd w:id="1407"/>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3"/>
        <w:keepNext/>
        <w:keepLines/>
        <w:widowControl w:val="0"/>
        <w:shd w:val="clear" w:color="auto" w:fill="auto"/>
        <w:tabs>
          <w:tab w:pos="478" w:val="left"/>
        </w:tabs>
        <w:bidi w:val="0"/>
        <w:spacing w:before="0" w:after="380" w:line="240" w:lineRule="auto"/>
        <w:ind w:left="0" w:right="0" w:firstLine="0"/>
        <w:jc w:val="both"/>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2</w:t>
      </w:r>
      <w:bookmarkEnd w:id="1410"/>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408"/>
      <w:bookmarkEnd w:id="1409"/>
      <w:bookmarkEnd w:id="1411"/>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3"/>
        <w:keepNext/>
        <w:keepLines/>
        <w:widowControl w:val="0"/>
        <w:shd w:val="clear" w:color="auto" w:fill="auto"/>
        <w:tabs>
          <w:tab w:pos="478" w:val="left"/>
        </w:tabs>
        <w:bidi w:val="0"/>
        <w:spacing w:before="0" w:after="380" w:line="240" w:lineRule="auto"/>
        <w:ind w:left="0" w:right="0" w:firstLine="0"/>
        <w:jc w:val="both"/>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2</w:t>
      </w:r>
      <w:bookmarkEnd w:id="1414"/>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412"/>
      <w:bookmarkEnd w:id="1413"/>
      <w:bookmarkEnd w:id="1415"/>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3"/>
        <w:keepNext/>
        <w:keepLines/>
        <w:widowControl w:val="0"/>
        <w:shd w:val="clear" w:color="auto" w:fill="auto"/>
        <w:tabs>
          <w:tab w:pos="478" w:val="left"/>
        </w:tabs>
        <w:bidi w:val="0"/>
        <w:spacing w:before="0" w:after="380" w:line="240" w:lineRule="auto"/>
        <w:ind w:left="0" w:right="0" w:firstLine="0"/>
        <w:jc w:val="both"/>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2</w:t>
      </w:r>
      <w:bookmarkEnd w:id="1418"/>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416"/>
      <w:bookmarkEnd w:id="1417"/>
      <w:bookmarkEnd w:id="1419"/>
    </w:p>
    <w:p>
      <w:pPr>
        <w:pStyle w:val="Style2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3202"/>
        <w:gridCol w:w="3197"/>
        <w:gridCol w:w="3206"/>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房屋及建筑物</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84,627,655.97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84,627,655.97</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14,547,033.99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14,547,033.99</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8"/>
                <w:szCs w:val="18"/>
              </w:rPr>
              <w:t>一</w:t>
            </w:r>
            <w:r>
              <w:rPr>
                <w:color w:val="000000"/>
                <w:spacing w:val="0"/>
                <w:w w:val="100"/>
                <w:position w:val="0"/>
                <w:sz w:val="17"/>
                <w:szCs w:val="17"/>
              </w:rPr>
              <w:t>新增租赁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14,547,033.99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14,547,033.99</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99,174,689.96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99,174,689.96</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12,353,367.56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12,353,367.56</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18,518,901.65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18,518,901.65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18,518,901.65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18,518,901.65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30,872269.21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30,872269.21</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68,302,420.75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68,302,420.75</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72274288.41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72274288.41</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0"/>
        <w:jc w:val="left"/>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2</w:t>
      </w:r>
      <w:bookmarkEnd w:id="1422"/>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420"/>
      <w:bookmarkEnd w:id="1421"/>
      <w:bookmarkEnd w:id="1423"/>
    </w:p>
    <w:p>
      <w:pPr>
        <w:pStyle w:val="Style61"/>
        <w:keepNext/>
        <w:keepLines/>
        <w:widowControl w:val="0"/>
        <w:shd w:val="clear" w:color="auto" w:fill="auto"/>
        <w:bidi w:val="0"/>
        <w:spacing w:before="0" w:line="240" w:lineRule="auto"/>
        <w:ind w:left="0" w:right="0" w:firstLine="0"/>
        <w:jc w:val="left"/>
      </w:pPr>
      <w:bookmarkStart w:id="1424" w:name="bookmark1424"/>
      <w:bookmarkStart w:id="1425" w:name="bookmark1425"/>
      <w:bookmarkStart w:id="1426" w:name="bookmark14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24"/>
      <w:bookmarkEnd w:id="1425"/>
      <w:bookmarkEnd w:id="142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1190"/>
        <w:gridCol w:w="1200"/>
        <w:gridCol w:w="1200"/>
        <w:gridCol w:w="1190"/>
        <w:gridCol w:w="1200"/>
        <w:gridCol w:w="1200"/>
        <w:gridCol w:w="120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专利权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非专利技术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软件</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特许专营权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00" w:firstLine="0"/>
              <w:jc w:val="right"/>
              <w:rPr>
                <w:sz w:val="17"/>
                <w:szCs w:val="17"/>
              </w:rPr>
            </w:pPr>
            <w:r>
              <w:rPr>
                <w:color w:val="000000"/>
                <w:spacing w:val="0"/>
                <w:w w:val="100"/>
                <w:position w:val="0"/>
                <w:sz w:val="17"/>
                <w:szCs w:val="17"/>
              </w:rPr>
              <w:t>著作权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420" w:firstLine="0"/>
              <w:jc w:val="right"/>
              <w:rPr>
                <w:sz w:val="17"/>
                <w:szCs w:val="17"/>
              </w:rPr>
            </w:pPr>
            <w:r>
              <w:rPr>
                <w:color w:val="000000"/>
                <w:spacing w:val="0"/>
                <w:w w:val="100"/>
                <w:position w:val="0"/>
                <w:sz w:val="17"/>
                <w:szCs w:val="17"/>
              </w:rPr>
              <w:t>合计</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14,333,895.00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13,879,993.56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347,621.40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1,364,984,658.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24,318,438.10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40,152,000.00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1,458,016,606.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18,680,373.79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18,680,373.79</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5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661,181.43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661,181.43</w:t>
            </w:r>
          </w:p>
        </w:tc>
      </w:tr>
      <w:tr>
        <w:trPr>
          <w:trHeight w:val="72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5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）内 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18,019,192.36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18,019,192.36</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6" w:lineRule="exact"/>
              <w:ind w:left="0" w:right="0" w:firstLine="5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 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6" w:lineRule="exact"/>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5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14,333,895.00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13,879,993.56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347,621.40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1,383,665,032.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24,318,438.10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40,152,000.00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1,476,696,980.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2,318,975.49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8,114,480.89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347,621.40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793,359,744.19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9,844,926.54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40,152,000.00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854,137,748.51</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6" w:lineRule="exact"/>
              <w:ind w:left="0" w:right="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 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344,925.84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377,358.48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236,997,129.22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2,216,287.44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239,935,700.98</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5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 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344,925.84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377,358.48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236,997,129.22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2,216,287.44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239,935,700.98</w:t>
            </w:r>
          </w:p>
        </w:tc>
      </w:tr>
      <w:tr>
        <w:trPr>
          <w:trHeight w:val="394"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5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0"/>
        <w:gridCol w:w="1190"/>
        <w:gridCol w:w="1200"/>
        <w:gridCol w:w="1200"/>
        <w:gridCol w:w="1190"/>
        <w:gridCol w:w="1200"/>
        <w:gridCol w:w="1200"/>
        <w:gridCol w:w="120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专利权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非专利技术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软件</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特许专营权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著作权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420" w:firstLine="0"/>
              <w:jc w:val="right"/>
              <w:rPr>
                <w:sz w:val="17"/>
                <w:szCs w:val="17"/>
              </w:rPr>
            </w:pPr>
            <w:r>
              <w:rPr>
                <w:color w:val="000000"/>
                <w:spacing w:val="0"/>
                <w:w w:val="100"/>
                <w:position w:val="0"/>
                <w:sz w:val="17"/>
                <w:szCs w:val="17"/>
              </w:rPr>
              <w:t>合计</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6" w:lineRule="exact"/>
              <w:ind w:left="0" w:right="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2,663,901.33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8,491,839.37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347,621.40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1,030,356,873.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12,061213.98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40,152,000.00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1,094,073,449.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5,793,052.51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5,793,052.51</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2,682,516.52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2,682,516.52</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5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2,682,516.52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2,682,516.52</w:t>
            </w: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6" w:lineRule="exact"/>
              <w:ind w:left="0" w:right="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8,475,569.03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8,475,569.03</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 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11,669,993.67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5,388,154.19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353,308,159.03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3,781,655.09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374,147,961.98</w:t>
            </w:r>
          </w:p>
        </w:tc>
      </w:tr>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36" w:lineRule="exact"/>
              <w:ind w:left="0" w:right="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 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12,014,919.51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5,765,512.67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571,624,914.46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8,680,459.05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598,085,805.69</w:t>
            </w: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1.22%</w:t>
      </w:r>
      <w:r>
        <w:rPr>
          <w:rFonts w:ascii="SimSun" w:eastAsia="SimSun" w:hAnsi="SimSun" w:cs="SimSun"/>
          <w:color w:val="000000"/>
          <w:spacing w:val="0"/>
          <w:w w:val="100"/>
          <w:position w:val="0"/>
          <w:sz w:val="17"/>
          <w:szCs w:val="17"/>
        </w:rPr>
        <w:t>。</w:t>
      </w:r>
    </w:p>
    <w:p>
      <w:pPr>
        <w:widowControl w:val="0"/>
        <w:spacing w:after="359" w:line="1" w:lineRule="exact"/>
      </w:pPr>
    </w:p>
    <w:p>
      <w:pPr>
        <w:pStyle w:val="Style61"/>
        <w:keepNext/>
        <w:keepLines/>
        <w:widowControl w:val="0"/>
        <w:shd w:val="clear" w:color="auto" w:fill="auto"/>
        <w:bidi w:val="0"/>
        <w:spacing w:before="0" w:after="400" w:line="240" w:lineRule="auto"/>
        <w:ind w:left="0" w:right="0" w:firstLine="0"/>
        <w:jc w:val="left"/>
      </w:pPr>
      <w:bookmarkStart w:id="1427" w:name="bookmark1427"/>
      <w:bookmarkStart w:id="1428" w:name="bookmark1428"/>
      <w:bookmarkStart w:id="1429" w:name="bookmark142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427"/>
      <w:bookmarkEnd w:id="1428"/>
      <w:bookmarkEnd w:id="1429"/>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400" w:line="240" w:lineRule="auto"/>
        <w:ind w:left="0" w:right="0" w:firstLine="0"/>
        <w:jc w:val="left"/>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2</w:t>
      </w:r>
      <w:bookmarkEnd w:id="1432"/>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430"/>
      <w:bookmarkEnd w:id="1431"/>
      <w:bookmarkEnd w:id="143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1"/>
        <w:gridCol w:w="1066"/>
        <w:gridCol w:w="1061"/>
        <w:gridCol w:w="1070"/>
        <w:gridCol w:w="1066"/>
        <w:gridCol w:w="1056"/>
        <w:gridCol w:w="1070"/>
        <w:gridCol w:w="1066"/>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期末余额</w:t>
            </w:r>
          </w:p>
        </w:tc>
      </w:tr>
      <w:tr>
        <w:trPr>
          <w:trHeight w:val="72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内部开发支 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其他</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确认为无形</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3" w:lineRule="exact"/>
              <w:ind w:left="0" w:right="0" w:firstLine="0"/>
              <w:jc w:val="center"/>
              <w:rPr>
                <w:sz w:val="17"/>
                <w:szCs w:val="17"/>
              </w:rPr>
            </w:pPr>
            <w:r>
              <w:rPr>
                <w:color w:val="000000"/>
                <w:spacing w:val="0"/>
                <w:w w:val="100"/>
                <w:position w:val="0"/>
                <w:sz w:val="17"/>
                <w:szCs w:val="17"/>
              </w:rPr>
              <w:t>转入当期损 益</w:t>
            </w:r>
          </w:p>
        </w:tc>
        <w:tc>
          <w:tcPr>
            <w:tcBorders>
              <w:top w:val="single" w:sz="4"/>
              <w:left w:val="single" w:sz="4"/>
            </w:tcBorders>
            <w:shd w:val="clear" w:color="auto" w:fill="D4D4D4"/>
            <w:vAlign w:val="top"/>
          </w:tcPr>
          <w:p>
            <w:pPr>
              <w:widowControl w:val="0"/>
              <w:rPr>
                <w:sz w:val="10"/>
                <w:szCs w:val="10"/>
              </w:rPr>
            </w:pPr>
          </w:p>
        </w:tc>
        <w:tc>
          <w:tcPr>
            <w:vMerge/>
            <w:tcBorders>
              <w:left w:val="single" w:sz="4"/>
              <w:right w:val="single" w:sz="4"/>
            </w:tcBorders>
            <w:shd w:val="clear" w:color="auto" w:fill="D4D4D4"/>
            <w:vAlign w:val="center"/>
          </w:tcPr>
          <w:p>
            <w:pPr/>
          </w:p>
        </w:tc>
      </w:tr>
      <w:tr>
        <w:trPr>
          <w:trHeight w:val="13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 xml:space="preserve">新一代智慧 医疗一体化 </w:t>
            </w:r>
            <w:r>
              <w:rPr>
                <w:rFonts w:ascii="Times New Roman" w:eastAsia="Times New Roman" w:hAnsi="Times New Roman" w:cs="Times New Roman"/>
                <w:color w:val="000000"/>
                <w:spacing w:val="0"/>
                <w:w w:val="100"/>
                <w:position w:val="0"/>
                <w:sz w:val="18"/>
                <w:szCs w:val="18"/>
              </w:rPr>
              <w:t>HIS</w:t>
            </w:r>
            <w:r>
              <w:rPr>
                <w:color w:val="000000"/>
                <w:spacing w:val="0"/>
                <w:w w:val="100"/>
                <w:position w:val="0"/>
                <w:sz w:val="17"/>
                <w:szCs w:val="17"/>
              </w:rPr>
              <w:t>平台及 应用系统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174,619,250.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73,846,182.7</w:t>
            </w:r>
          </w:p>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248,465,433.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智慧养老综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97,759,944.9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48,341,795.4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146,101,740.</w:t>
            </w:r>
          </w:p>
        </w:tc>
      </w:tr>
    </w:tbl>
    <w:p>
      <w:pPr>
        <w:widowControl w:val="0"/>
        <w:spacing w:line="1" w:lineRule="exact"/>
      </w:pPr>
      <w:r>
        <w:br w:type="page"/>
      </w:r>
    </w:p>
    <w:tbl>
      <w:tblPr>
        <w:tblOverlap w:val="never"/>
        <w:jc w:val="center"/>
        <w:tblLayout w:type="fixed"/>
      </w:tblPr>
      <w:tblGrid>
        <w:gridCol w:w="1075"/>
        <w:gridCol w:w="1061"/>
        <w:gridCol w:w="1066"/>
        <w:gridCol w:w="1061"/>
        <w:gridCol w:w="1070"/>
        <w:gridCol w:w="1066"/>
        <w:gridCol w:w="1056"/>
        <w:gridCol w:w="1070"/>
        <w:gridCol w:w="1066"/>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期初余额</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期末余额</w:t>
            </w:r>
          </w:p>
        </w:tc>
      </w:tr>
      <w:tr>
        <w:trPr>
          <w:trHeight w:val="72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内部开发支 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其他</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确认为无形</w:t>
            </w:r>
          </w:p>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转入当期损 益</w:t>
            </w:r>
          </w:p>
        </w:tc>
        <w:tc>
          <w:tcPr>
            <w:tcBorders>
              <w:top w:val="single" w:sz="4"/>
              <w:left w:val="single" w:sz="4"/>
            </w:tcBorders>
            <w:shd w:val="clear" w:color="auto" w:fill="D4D4D4"/>
            <w:vAlign w:val="top"/>
          </w:tcPr>
          <w:p>
            <w:pPr>
              <w:widowControl w:val="0"/>
              <w:rPr>
                <w:sz w:val="10"/>
                <w:szCs w:val="10"/>
              </w:rPr>
            </w:pPr>
          </w:p>
        </w:tc>
        <w:tc>
          <w:tcPr>
            <w:vMerge/>
            <w:tcBorders>
              <w:left w:val="single" w:sz="4"/>
              <w:right w:val="single" w:sz="4"/>
            </w:tcBorders>
            <w:shd w:val="clear" w:color="auto" w:fill="D4D4D4"/>
            <w:vAlign w:val="center"/>
          </w:tcPr>
          <w:p>
            <w:pPr/>
          </w:p>
        </w:tc>
      </w:tr>
      <w:tr>
        <w:trPr>
          <w:trHeight w:val="9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合服务平台</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及其智能物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联云平台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未来城市智</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慧服务平台</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57,857,486.5</w:t>
            </w:r>
          </w:p>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57,857,486.5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企业人力资 源数字化平 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698,633.94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698,633.94</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零星开发项</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目支出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5,488,244.35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17,932,855.4</w:t>
            </w:r>
          </w:p>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18,019,192.3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2,571,537.00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2,830,370.40</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277,867,439.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198,676,954.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18,019,192.3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2,571,537.00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455,953,664.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其他说明</w:t>
      </w:r>
    </w:p>
    <w:p>
      <w:pPr>
        <w:widowControl w:val="0"/>
        <w:spacing w:after="59" w:line="1" w:lineRule="exact"/>
      </w:pPr>
    </w:p>
    <w:p>
      <w:pPr>
        <w:widowControl w:val="0"/>
        <w:spacing w:line="1" w:lineRule="exact"/>
      </w:pPr>
    </w:p>
    <w:tbl>
      <w:tblPr>
        <w:tblOverlap w:val="never"/>
        <w:jc w:val="center"/>
        <w:tblLayout w:type="fixed"/>
      </w:tblPr>
      <w:tblGrid>
        <w:gridCol w:w="3562"/>
        <w:gridCol w:w="1704"/>
        <w:gridCol w:w="3269"/>
        <w:gridCol w:w="1152"/>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资本化开始时点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资本化具体依据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期末研发进度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新一代智慧医疗一体化</w:t>
            </w:r>
            <w:r>
              <w:rPr>
                <w:rFonts w:ascii="Times New Roman" w:eastAsia="Times New Roman" w:hAnsi="Times New Roman" w:cs="Times New Roman"/>
                <w:color w:val="000000"/>
                <w:spacing w:val="0"/>
                <w:w w:val="100"/>
                <w:position w:val="0"/>
                <w:sz w:val="18"/>
                <w:szCs w:val="18"/>
              </w:rPr>
              <w:t>HIS</w:t>
            </w:r>
            <w:r>
              <w:rPr>
                <w:color w:val="000000"/>
                <w:spacing w:val="0"/>
                <w:w w:val="100"/>
                <w:position w:val="0"/>
                <w:sz w:val="17"/>
                <w:szCs w:val="17"/>
              </w:rPr>
              <w:t>平台及应用系统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已完成研究阶段工作，通过可行性研究， 并经董事会会议审批对项目进行立项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项目研发中</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智慧养老综合服务平台及其智能物联云平台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项目研发中</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未来城市智慧服务平台项目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日</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项目研发中</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企业人力资源数字化平台项目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日</w:t>
            </w:r>
          </w:p>
        </w:tc>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项目研发中</w:t>
            </w:r>
          </w:p>
        </w:tc>
      </w:tr>
    </w:tbl>
    <w:p>
      <w:pPr>
        <w:widowControl w:val="0"/>
        <w:spacing w:after="619" w:line="1" w:lineRule="exact"/>
      </w:pPr>
    </w:p>
    <w:p>
      <w:pPr>
        <w:pStyle w:val="Style33"/>
        <w:keepNext/>
        <w:keepLines/>
        <w:widowControl w:val="0"/>
        <w:shd w:val="clear" w:color="auto" w:fill="auto"/>
        <w:bidi w:val="0"/>
        <w:spacing w:before="0" w:after="380" w:line="240" w:lineRule="auto"/>
        <w:ind w:left="0" w:right="0" w:firstLine="0"/>
        <w:jc w:val="left"/>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2</w:t>
      </w:r>
      <w:bookmarkEnd w:id="1436"/>
      <w:r>
        <w:rPr>
          <w:rFonts w:ascii="Times New Roman" w:eastAsia="Times New Roman" w:hAnsi="Times New Roman" w:cs="Times New Roman"/>
          <w:color w:val="000000"/>
          <w:spacing w:val="0"/>
          <w:w w:val="100"/>
          <w:position w:val="0"/>
        </w:rPr>
        <w:t>8</w:t>
      </w:r>
      <w:r>
        <w:rPr>
          <w:color w:val="000000"/>
          <w:spacing w:val="0"/>
          <w:w w:val="100"/>
          <w:position w:val="0"/>
        </w:rPr>
        <w:t>、商誉</w:t>
      </w:r>
      <w:bookmarkEnd w:id="1434"/>
      <w:bookmarkEnd w:id="1435"/>
      <w:bookmarkEnd w:id="1437"/>
    </w:p>
    <w:p>
      <w:pPr>
        <w:pStyle w:val="Style61"/>
        <w:keepNext/>
        <w:keepLines/>
        <w:widowControl w:val="0"/>
        <w:shd w:val="clear" w:color="auto" w:fill="auto"/>
        <w:bidi w:val="0"/>
        <w:spacing w:before="0" w:line="240" w:lineRule="auto"/>
        <w:ind w:left="0" w:right="0" w:firstLine="0"/>
        <w:jc w:val="left"/>
      </w:pPr>
      <w:bookmarkStart w:id="1438" w:name="bookmark1438"/>
      <w:bookmarkStart w:id="1439" w:name="bookmark1439"/>
      <w:bookmarkStart w:id="1440" w:name="bookmark14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438"/>
      <w:bookmarkEnd w:id="1439"/>
      <w:bookmarkEnd w:id="1440"/>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68"/>
        <w:gridCol w:w="136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被投资单位名称</w:t>
            </w:r>
          </w:p>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或形成商誉的事 项</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62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企业合并形成的</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tcBorders>
            <w:shd w:val="clear" w:color="auto" w:fill="D4D4D4"/>
            <w:vAlign w:val="top"/>
          </w:tcPr>
          <w:p>
            <w:pPr>
              <w:widowControl w:val="0"/>
              <w:rPr>
                <w:sz w:val="10"/>
                <w:szCs w:val="10"/>
              </w:rPr>
            </w:pPr>
          </w:p>
        </w:tc>
        <w:tc>
          <w:tcPr>
            <w:vMerge/>
            <w:tcBorders>
              <w:left w:val="single" w:sz="4"/>
              <w:right w:val="single" w:sz="4"/>
            </w:tcBorders>
            <w:shd w:val="clear" w:color="auto" w:fill="D4D4D4"/>
            <w:vAlign w:val="center"/>
          </w:tcPr>
          <w:p>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四川浩特通信有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10,152,998.55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10,152,998.55</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70" w:lineRule="exact"/>
              <w:ind w:left="0" w:right="0" w:firstLine="0"/>
              <w:jc w:val="left"/>
              <w:rPr>
                <w:sz w:val="17"/>
                <w:szCs w:val="17"/>
              </w:rPr>
            </w:pPr>
            <w:r>
              <w:rPr>
                <w:color w:val="000000"/>
                <w:spacing w:val="0"/>
                <w:w w:val="100"/>
                <w:position w:val="0"/>
                <w:sz w:val="17"/>
                <w:szCs w:val="17"/>
              </w:rPr>
              <w:t>上海华奕医疗信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810,907.34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810,907.34</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宁波金唐软件有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420,632,306.97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420,632,306.97</w:t>
            </w:r>
          </w:p>
        </w:tc>
      </w:tr>
      <w:tr>
        <w:trPr>
          <w:trHeight w:val="71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上海复高计算机 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511,490,902.87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511,490,902.87</w:t>
            </w:r>
          </w:p>
        </w:tc>
      </w:tr>
    </w:tbl>
    <w:p>
      <w:pPr>
        <w:widowControl w:val="0"/>
        <w:spacing w:line="1" w:lineRule="exact"/>
      </w:pPr>
      <w:r>
        <w:br w:type="page"/>
      </w:r>
    </w:p>
    <w:tbl>
      <w:tblPr>
        <w:tblOverlap w:val="never"/>
        <w:jc w:val="center"/>
        <w:tblLayout w:type="fixed"/>
      </w:tblPr>
      <w:tblGrid>
        <w:gridCol w:w="1378"/>
        <w:gridCol w:w="1368"/>
        <w:gridCol w:w="1373"/>
        <w:gridCol w:w="1368"/>
        <w:gridCol w:w="1368"/>
        <w:gridCol w:w="1368"/>
        <w:gridCol w:w="136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被投资单位名称</w:t>
            </w:r>
          </w:p>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或形成商誉的事 项</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62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企业合并形成的</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tcBorders>
            <w:shd w:val="clear" w:color="auto" w:fill="D4D4D4"/>
            <w:vAlign w:val="top"/>
          </w:tcPr>
          <w:p>
            <w:pPr>
              <w:widowControl w:val="0"/>
              <w:rPr>
                <w:sz w:val="10"/>
                <w:szCs w:val="10"/>
              </w:rPr>
            </w:pPr>
          </w:p>
        </w:tc>
        <w:tc>
          <w:tcPr>
            <w:vMerge/>
            <w:tcBorders>
              <w:left w:val="single" w:sz="4"/>
              <w:right w:val="single" w:sz="4"/>
            </w:tcBorders>
            <w:shd w:val="clear" w:color="auto" w:fill="D4D4D4"/>
            <w:vAlign w:val="center"/>
          </w:tcPr>
          <w:p>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湖南凯歌医疗信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53,105,624.64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53,105,624.64</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上海市民信箱信 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28,844,769.67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28,844,769.67</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四川万达健康数 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1,856,717.03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1,856,717.03</w:t>
            </w:r>
          </w:p>
        </w:tc>
      </w:tr>
      <w:tr>
        <w:trPr>
          <w:trHeight w:val="10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宁波市万达数据 应用服务有限公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1,612,989.60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1,612,989.60</w:t>
            </w:r>
          </w:p>
        </w:tc>
      </w:tr>
      <w:tr>
        <w:trPr>
          <w:trHeight w:val="103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万达志翔医疗科 技（北京）有限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10297,657.81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10297,657.81</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正来培训业务资 产组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13,635,555.85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13,635,555.85</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1,052,440,430.33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1,052,440,430.33</w:t>
            </w:r>
          </w:p>
        </w:tc>
      </w:tr>
    </w:tbl>
    <w:p>
      <w:pPr>
        <w:widowControl w:val="0"/>
        <w:spacing w:after="319" w:line="1" w:lineRule="exact"/>
      </w:pPr>
    </w:p>
    <w:p>
      <w:pPr>
        <w:pStyle w:val="Style61"/>
        <w:keepNext/>
        <w:keepLines/>
        <w:widowControl w:val="0"/>
        <w:shd w:val="clear" w:color="auto" w:fill="auto"/>
        <w:bidi w:val="0"/>
        <w:spacing w:before="0" w:after="400" w:line="240" w:lineRule="auto"/>
        <w:ind w:left="0" w:right="0" w:firstLine="0"/>
        <w:jc w:val="left"/>
      </w:pPr>
      <w:bookmarkStart w:id="1441" w:name="bookmark1441"/>
      <w:bookmarkStart w:id="1442" w:name="bookmark1442"/>
      <w:bookmarkStart w:id="1443" w:name="bookmark144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441"/>
      <w:bookmarkEnd w:id="1442"/>
      <w:bookmarkEnd w:id="144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68"/>
        <w:gridCol w:w="1368"/>
      </w:tblGrid>
      <w:tr>
        <w:trPr>
          <w:trHeight w:val="41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被投资单位名称</w:t>
            </w:r>
          </w:p>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或形成商誉的事 项</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62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tcBorders>
            <w:shd w:val="clear" w:color="auto" w:fill="D4D4D4"/>
            <w:vAlign w:val="top"/>
          </w:tcPr>
          <w:p>
            <w:pPr>
              <w:widowControl w:val="0"/>
              <w:rPr>
                <w:sz w:val="10"/>
                <w:szCs w:val="10"/>
              </w:rPr>
            </w:pPr>
          </w:p>
        </w:tc>
        <w:tc>
          <w:tcPr>
            <w:vMerge/>
            <w:tcBorders>
              <w:left w:val="single" w:sz="4"/>
              <w:right w:val="single" w:sz="4"/>
            </w:tcBorders>
            <w:shd w:val="clear" w:color="auto" w:fill="D4D4D4"/>
            <w:vAlign w:val="center"/>
          </w:tcPr>
          <w:p>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四川浩特通信有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10,152,998.55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10,152,998.55</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上海复高计算机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89,644,138.61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89,644,138.61</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上海市民信箱信 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2,961,462.89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2,961,462.89</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四川万达健康数 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1,856,717.03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1,856,717.03</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宁波市万达数据 应用服务有限公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1,612,989.60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1,612,989.60</w:t>
            </w:r>
          </w:p>
        </w:tc>
      </w:tr>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万达志翔医疗科 技（北京）有限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10,297,657.81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10297,657.81</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116,525,964.49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116,525,964.49</w:t>
            </w:r>
          </w:p>
        </w:tc>
      </w:tr>
    </w:tbl>
    <w:p>
      <w:pPr>
        <w:widowControl w:val="0"/>
        <w:spacing w:line="1" w:lineRule="exact"/>
      </w:pPr>
    </w:p>
    <w:p>
      <w:pPr>
        <w:pStyle w:val="Style26"/>
        <w:keepNext w:val="0"/>
        <w:keepLines w:val="0"/>
        <w:widowControl w:val="0"/>
        <w:shd w:val="clear" w:color="auto" w:fill="auto"/>
        <w:bidi w:val="0"/>
        <w:spacing w:before="0" w:after="140" w:line="240" w:lineRule="auto"/>
        <w:ind w:left="5" w:right="0" w:firstLine="0"/>
        <w:jc w:val="left"/>
        <w:rPr>
          <w:sz w:val="17"/>
          <w:szCs w:val="17"/>
        </w:rPr>
      </w:pPr>
      <w:r>
        <w:rPr>
          <w:rFonts w:ascii="SimSun" w:eastAsia="SimSun" w:hAnsi="SimSun" w:cs="SimSun"/>
          <w:color w:val="000000"/>
          <w:spacing w:val="0"/>
          <w:w w:val="100"/>
          <w:position w:val="0"/>
          <w:sz w:val="17"/>
          <w:szCs w:val="17"/>
        </w:rPr>
        <w:t>商誉所在资产组或资产组组合的相关信息</w:t>
      </w:r>
    </w:p>
    <w:p>
      <w:pPr>
        <w:pStyle w:val="Style26"/>
        <w:keepNext w:val="0"/>
        <w:keepLines w:val="0"/>
        <w:widowControl w:val="0"/>
        <w:shd w:val="clear" w:color="auto" w:fill="auto"/>
        <w:bidi w:val="0"/>
        <w:spacing w:before="0" w:after="0" w:line="240" w:lineRule="auto"/>
        <w:ind w:left="5" w:right="0" w:firstLine="0"/>
        <w:jc w:val="left"/>
        <w:rPr>
          <w:sz w:val="17"/>
          <w:szCs w:val="17"/>
        </w:rPr>
      </w:pPr>
      <w:r>
        <w:rPr>
          <w:rFonts w:ascii="SimSun" w:eastAsia="SimSun" w:hAnsi="SimSun" w:cs="SimSun"/>
          <w:color w:val="000000"/>
          <w:spacing w:val="0"/>
          <w:w w:val="100"/>
          <w:position w:val="0"/>
          <w:sz w:val="17"/>
          <w:szCs w:val="17"/>
        </w:rPr>
        <w:t>本公司的所有商誉已于购买日分摊至相关的资产组或资产组组合，分摊情况根据经营分部汇总如下:</w:t>
      </w:r>
    </w:p>
    <w:tbl>
      <w:tblPr>
        <w:tblOverlap w:val="never"/>
        <w:jc w:val="center"/>
        <w:tblLayout w:type="fixed"/>
      </w:tblPr>
      <w:tblGrid>
        <w:gridCol w:w="4978"/>
        <w:gridCol w:w="2414"/>
        <w:gridCol w:w="2294"/>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业务分部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上年年末余额</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四川浩特通信有限公司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10,152,998.55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10,152,998.55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上海华奕医疗信息技术有限公司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810,907.34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810,907.34</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宁波金唐业务资产组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420,632,306.97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420,632,306.97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上海复高业务资产组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511,490,902.87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511,490,902.87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湖南凯歌医疗业务资产组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53,105,624.64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53,105,624.64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市民信箱市民云业务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28,844,769.67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28,844,769.67</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四川万达健康数据有限公司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1,856,717.03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1,856,717.03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宁波市万达数据应用服务有限公司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1,612,989.60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1,612,989.60</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万达志翔医疗科技（北京）有限责任公司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10,297,657.81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10,297,657.81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正来培训业务资产组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13,635,555.85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13,635,555.85</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1,052,440,430.33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1,052,440,430.33</w:t>
            </w:r>
          </w:p>
        </w:tc>
      </w:tr>
    </w:tbl>
    <w:p>
      <w:pPr>
        <w:pStyle w:val="Style2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在进行商誉减值测试时，本公司将相关资产（含商誉）的账面价值与其可收回金额进行比较，如果可收回金额低于账面价值， 相关差额计入当期损益。</w:t>
      </w:r>
    </w:p>
    <w:p>
      <w:pPr>
        <w:widowControl w:val="0"/>
        <w:spacing w:after="259" w:line="1" w:lineRule="exact"/>
      </w:pPr>
    </w:p>
    <w:p>
      <w:pPr>
        <w:pStyle w:val="Style29"/>
        <w:keepNext w:val="0"/>
        <w:keepLines w:val="0"/>
        <w:widowControl w:val="0"/>
        <w:shd w:val="clear" w:color="auto" w:fill="auto"/>
        <w:bidi w:val="0"/>
        <w:spacing w:before="0" w:after="140" w:line="312"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9"/>
        <w:keepNext w:val="0"/>
        <w:keepLines w:val="0"/>
        <w:widowControl w:val="0"/>
        <w:shd w:val="clear" w:color="auto" w:fill="auto"/>
        <w:bidi w:val="0"/>
        <w:spacing w:before="0" w:after="0" w:line="360" w:lineRule="auto"/>
        <w:ind w:left="0" w:right="0" w:firstLine="0"/>
        <w:jc w:val="both"/>
      </w:pPr>
      <w:bookmarkStart w:id="1444" w:name="bookmark1444"/>
      <w:r>
        <w:rPr>
          <w:rFonts w:ascii="Times New Roman" w:eastAsia="Times New Roman" w:hAnsi="Times New Roman" w:cs="Times New Roman"/>
          <w:color w:val="000000"/>
          <w:spacing w:val="0"/>
          <w:w w:val="100"/>
          <w:position w:val="0"/>
          <w:sz w:val="18"/>
          <w:szCs w:val="18"/>
        </w:rPr>
        <w:t>1</w:t>
      </w:r>
      <w:bookmarkEnd w:id="1444"/>
      <w:r>
        <w:rPr>
          <w:color w:val="000000"/>
          <w:spacing w:val="0"/>
          <w:w w:val="100"/>
          <w:position w:val="0"/>
        </w:rPr>
        <w:t>、商誉计算过程</w:t>
      </w:r>
    </w:p>
    <w:p>
      <w:pPr>
        <w:pStyle w:val="Style29"/>
        <w:keepNext w:val="0"/>
        <w:keepLines w:val="0"/>
        <w:widowControl w:val="0"/>
        <w:shd w:val="clear" w:color="auto" w:fill="auto"/>
        <w:tabs>
          <w:tab w:pos="325" w:val="left"/>
        </w:tabs>
        <w:bidi w:val="0"/>
        <w:spacing w:before="0" w:after="0" w:line="315" w:lineRule="exact"/>
        <w:ind w:left="0" w:right="0" w:firstLine="0"/>
        <w:jc w:val="both"/>
      </w:pPr>
      <w:bookmarkStart w:id="1445" w:name="bookmark1445"/>
      <w:r>
        <w:rPr>
          <w:rFonts w:ascii="Times New Roman" w:eastAsia="Times New Roman" w:hAnsi="Times New Roman" w:cs="Times New Roman"/>
          <w:color w:val="000000"/>
          <w:spacing w:val="0"/>
          <w:w w:val="100"/>
          <w:position w:val="0"/>
          <w:sz w:val="18"/>
          <w:szCs w:val="18"/>
        </w:rPr>
        <w:t>1</w:t>
      </w:r>
      <w:bookmarkEnd w:id="1445"/>
      <w:r>
        <w:rPr>
          <w:color w:val="000000"/>
          <w:spacing w:val="0"/>
          <w:w w:val="100"/>
          <w:position w:val="0"/>
        </w:rPr>
        <w:t>）</w:t>
        <w:tab/>
        <w:t>本公司于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年以人民币</w:t>
      </w:r>
      <w:r>
        <w:rPr>
          <w:rFonts w:ascii="Times New Roman" w:eastAsia="Times New Roman" w:hAnsi="Times New Roman" w:cs="Times New Roman"/>
          <w:color w:val="000000"/>
          <w:spacing w:val="0"/>
          <w:w w:val="100"/>
          <w:position w:val="0"/>
          <w:sz w:val="18"/>
          <w:szCs w:val="18"/>
        </w:rPr>
        <w:t>5,100.00</w:t>
      </w:r>
      <w:r>
        <w:rPr>
          <w:color w:val="000000"/>
          <w:spacing w:val="0"/>
          <w:w w:val="100"/>
          <w:position w:val="0"/>
        </w:rPr>
        <w:t>万元为合并成本购买四川浩特通信有限公司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权益。归属于本公司的可辨认净资产在 购买日的公允价值为人民币</w:t>
      </w:r>
      <w:r>
        <w:rPr>
          <w:rFonts w:ascii="Times New Roman" w:eastAsia="Times New Roman" w:hAnsi="Times New Roman" w:cs="Times New Roman"/>
          <w:color w:val="000000"/>
          <w:spacing w:val="0"/>
          <w:w w:val="100"/>
          <w:position w:val="0"/>
          <w:sz w:val="18"/>
          <w:szCs w:val="18"/>
        </w:rPr>
        <w:t>4,084.70</w:t>
      </w:r>
      <w:r>
        <w:rPr>
          <w:color w:val="000000"/>
          <w:spacing w:val="0"/>
          <w:w w:val="100"/>
          <w:position w:val="0"/>
        </w:rPr>
        <w:t>万元，两者的差额人民币</w:t>
      </w:r>
      <w:r>
        <w:rPr>
          <w:rFonts w:ascii="Times New Roman" w:eastAsia="Times New Roman" w:hAnsi="Times New Roman" w:cs="Times New Roman"/>
          <w:color w:val="000000"/>
          <w:spacing w:val="0"/>
          <w:w w:val="100"/>
          <w:position w:val="0"/>
          <w:sz w:val="18"/>
          <w:szCs w:val="18"/>
        </w:rPr>
        <w:t>1,015.30</w:t>
      </w:r>
      <w:r>
        <w:rPr>
          <w:color w:val="000000"/>
          <w:spacing w:val="0"/>
          <w:w w:val="100"/>
          <w:position w:val="0"/>
        </w:rPr>
        <w:t>万元确认为商誉。</w:t>
      </w:r>
    </w:p>
    <w:p>
      <w:pPr>
        <w:pStyle w:val="Style29"/>
        <w:keepNext w:val="0"/>
        <w:keepLines w:val="0"/>
        <w:widowControl w:val="0"/>
        <w:shd w:val="clear" w:color="auto" w:fill="auto"/>
        <w:tabs>
          <w:tab w:pos="330" w:val="left"/>
        </w:tabs>
        <w:bidi w:val="0"/>
        <w:spacing w:before="0" w:after="0" w:line="315" w:lineRule="exact"/>
        <w:ind w:left="0" w:right="0" w:firstLine="0"/>
        <w:jc w:val="both"/>
      </w:pPr>
      <w:bookmarkStart w:id="1446" w:name="bookmark1446"/>
      <w:r>
        <w:rPr>
          <w:rFonts w:ascii="Times New Roman" w:eastAsia="Times New Roman" w:hAnsi="Times New Roman" w:cs="Times New Roman"/>
          <w:color w:val="000000"/>
          <w:spacing w:val="0"/>
          <w:w w:val="100"/>
          <w:position w:val="0"/>
          <w:sz w:val="18"/>
          <w:szCs w:val="18"/>
        </w:rPr>
        <w:t>2</w:t>
      </w:r>
      <w:bookmarkEnd w:id="1446"/>
      <w:r>
        <w:rPr>
          <w:color w:val="000000"/>
          <w:spacing w:val="0"/>
          <w:w w:val="100"/>
          <w:position w:val="0"/>
        </w:rPr>
        <w:t>）</w:t>
        <w:tab/>
        <w:t>本公司于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年以人民币</w:t>
      </w:r>
      <w:r>
        <w:rPr>
          <w:rFonts w:ascii="Times New Roman" w:eastAsia="Times New Roman" w:hAnsi="Times New Roman" w:cs="Times New Roman"/>
          <w:color w:val="000000"/>
          <w:spacing w:val="0"/>
          <w:w w:val="100"/>
          <w:position w:val="0"/>
          <w:sz w:val="18"/>
          <w:szCs w:val="18"/>
        </w:rPr>
        <w:t>274.32</w:t>
      </w:r>
      <w:r>
        <w:rPr>
          <w:color w:val="000000"/>
          <w:spacing w:val="0"/>
          <w:w w:val="100"/>
          <w:position w:val="0"/>
        </w:rPr>
        <w:t>万元为合并成本购买上海华奕医疗信息技术有限公司</w:t>
      </w:r>
      <w:r>
        <w:rPr>
          <w:rFonts w:ascii="Times New Roman" w:eastAsia="Times New Roman" w:hAnsi="Times New Roman" w:cs="Times New Roman"/>
          <w:color w:val="000000"/>
          <w:spacing w:val="0"/>
          <w:w w:val="100"/>
          <w:position w:val="0"/>
          <w:sz w:val="18"/>
          <w:szCs w:val="18"/>
        </w:rPr>
        <w:t>52%</w:t>
      </w:r>
      <w:r>
        <w:rPr>
          <w:color w:val="000000"/>
          <w:spacing w:val="0"/>
          <w:w w:val="100"/>
          <w:position w:val="0"/>
        </w:rPr>
        <w:t>权益。归属于本公司的可辨认 净资产在购买日的公允价值为人民币</w:t>
      </w:r>
      <w:r>
        <w:rPr>
          <w:rFonts w:ascii="Times New Roman" w:eastAsia="Times New Roman" w:hAnsi="Times New Roman" w:cs="Times New Roman"/>
          <w:color w:val="000000"/>
          <w:spacing w:val="0"/>
          <w:w w:val="100"/>
          <w:position w:val="0"/>
          <w:sz w:val="18"/>
          <w:szCs w:val="18"/>
        </w:rPr>
        <w:t>193.23</w:t>
      </w:r>
      <w:r>
        <w:rPr>
          <w:color w:val="000000"/>
          <w:spacing w:val="0"/>
          <w:w w:val="100"/>
          <w:position w:val="0"/>
        </w:rPr>
        <w:t>万元，两者的差额人民币</w:t>
      </w:r>
      <w:r>
        <w:rPr>
          <w:rFonts w:ascii="Times New Roman" w:eastAsia="Times New Roman" w:hAnsi="Times New Roman" w:cs="Times New Roman"/>
          <w:color w:val="000000"/>
          <w:spacing w:val="0"/>
          <w:w w:val="100"/>
          <w:position w:val="0"/>
          <w:sz w:val="18"/>
          <w:szCs w:val="18"/>
        </w:rPr>
        <w:t>81.09</w:t>
      </w:r>
      <w:r>
        <w:rPr>
          <w:color w:val="000000"/>
          <w:spacing w:val="0"/>
          <w:w w:val="100"/>
          <w:position w:val="0"/>
        </w:rPr>
        <w:t>万元确认为商誉。</w:t>
      </w:r>
    </w:p>
    <w:p>
      <w:pPr>
        <w:pStyle w:val="Style29"/>
        <w:keepNext w:val="0"/>
        <w:keepLines w:val="0"/>
        <w:widowControl w:val="0"/>
        <w:shd w:val="clear" w:color="auto" w:fill="auto"/>
        <w:tabs>
          <w:tab w:pos="335" w:val="left"/>
        </w:tabs>
        <w:bidi w:val="0"/>
        <w:spacing w:before="0" w:after="0" w:line="315" w:lineRule="exact"/>
        <w:ind w:left="0" w:right="0" w:firstLine="0"/>
        <w:jc w:val="both"/>
      </w:pPr>
      <w:bookmarkStart w:id="1447" w:name="bookmark1447"/>
      <w:r>
        <w:rPr>
          <w:rFonts w:ascii="Times New Roman" w:eastAsia="Times New Roman" w:hAnsi="Times New Roman" w:cs="Times New Roman"/>
          <w:color w:val="000000"/>
          <w:spacing w:val="0"/>
          <w:w w:val="100"/>
          <w:position w:val="0"/>
          <w:sz w:val="18"/>
          <w:szCs w:val="18"/>
        </w:rPr>
        <w:t>3</w:t>
      </w:r>
      <w:bookmarkEnd w:id="1447"/>
      <w:r>
        <w:rPr>
          <w:color w:val="000000"/>
          <w:spacing w:val="0"/>
          <w:w w:val="100"/>
          <w:position w:val="0"/>
        </w:rPr>
        <w:t>）</w:t>
        <w:tab/>
        <w:t>本公司于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年以人民币</w:t>
      </w:r>
      <w:r>
        <w:rPr>
          <w:rFonts w:ascii="Times New Roman" w:eastAsia="Times New Roman" w:hAnsi="Times New Roman" w:cs="Times New Roman"/>
          <w:color w:val="000000"/>
          <w:spacing w:val="0"/>
          <w:w w:val="100"/>
          <w:position w:val="0"/>
          <w:sz w:val="18"/>
          <w:szCs w:val="18"/>
        </w:rPr>
        <w:t>50,000.00</w:t>
      </w:r>
      <w:r>
        <w:rPr>
          <w:color w:val="000000"/>
          <w:spacing w:val="0"/>
          <w:w w:val="100"/>
          <w:position w:val="0"/>
        </w:rPr>
        <w:t>万元为合并成本购买宁波金唐软件有限公司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权益。归属于本公司的可辨认净资产 在购买日的公允价值为人民币</w:t>
      </w:r>
      <w:r>
        <w:rPr>
          <w:rFonts w:ascii="Times New Roman" w:eastAsia="Times New Roman" w:hAnsi="Times New Roman" w:cs="Times New Roman"/>
          <w:color w:val="000000"/>
          <w:spacing w:val="0"/>
          <w:w w:val="100"/>
          <w:position w:val="0"/>
          <w:sz w:val="18"/>
          <w:szCs w:val="18"/>
        </w:rPr>
        <w:t>7,936.77</w:t>
      </w:r>
      <w:r>
        <w:rPr>
          <w:color w:val="000000"/>
          <w:spacing w:val="0"/>
          <w:w w:val="100"/>
          <w:position w:val="0"/>
        </w:rPr>
        <w:t>万元，两者的差额人民币</w:t>
      </w:r>
      <w:r>
        <w:rPr>
          <w:rFonts w:ascii="Times New Roman" w:eastAsia="Times New Roman" w:hAnsi="Times New Roman" w:cs="Times New Roman"/>
          <w:color w:val="000000"/>
          <w:spacing w:val="0"/>
          <w:w w:val="100"/>
          <w:position w:val="0"/>
          <w:sz w:val="18"/>
          <w:szCs w:val="18"/>
        </w:rPr>
        <w:t>42,063.23</w:t>
      </w:r>
      <w:r>
        <w:rPr>
          <w:color w:val="000000"/>
          <w:spacing w:val="0"/>
          <w:w w:val="100"/>
          <w:position w:val="0"/>
        </w:rPr>
        <w:t>万元确认为商誉。</w:t>
      </w:r>
    </w:p>
    <w:p>
      <w:pPr>
        <w:pStyle w:val="Style29"/>
        <w:keepNext w:val="0"/>
        <w:keepLines w:val="0"/>
        <w:widowControl w:val="0"/>
        <w:shd w:val="clear" w:color="auto" w:fill="auto"/>
        <w:tabs>
          <w:tab w:pos="330" w:val="left"/>
        </w:tabs>
        <w:bidi w:val="0"/>
        <w:spacing w:before="0" w:after="0" w:line="315" w:lineRule="exact"/>
        <w:ind w:left="0" w:right="0" w:firstLine="0"/>
        <w:jc w:val="both"/>
      </w:pPr>
      <w:bookmarkStart w:id="1448" w:name="bookmark1448"/>
      <w:r>
        <w:rPr>
          <w:rFonts w:ascii="Times New Roman" w:eastAsia="Times New Roman" w:hAnsi="Times New Roman" w:cs="Times New Roman"/>
          <w:color w:val="000000"/>
          <w:spacing w:val="0"/>
          <w:w w:val="100"/>
          <w:position w:val="0"/>
          <w:sz w:val="18"/>
          <w:szCs w:val="18"/>
        </w:rPr>
        <w:t>4</w:t>
      </w:r>
      <w:bookmarkEnd w:id="1448"/>
      <w:r>
        <w:rPr>
          <w:color w:val="000000"/>
          <w:spacing w:val="0"/>
          <w:w w:val="100"/>
          <w:position w:val="0"/>
        </w:rPr>
        <w:t>）</w:t>
        <w:tab/>
        <w:t>本公司于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年以人民币</w:t>
      </w:r>
      <w:r>
        <w:rPr>
          <w:rFonts w:ascii="Times New Roman" w:eastAsia="Times New Roman" w:hAnsi="Times New Roman" w:cs="Times New Roman"/>
          <w:color w:val="000000"/>
          <w:spacing w:val="0"/>
          <w:w w:val="100"/>
          <w:position w:val="0"/>
          <w:sz w:val="18"/>
          <w:szCs w:val="18"/>
        </w:rPr>
        <w:t>65,000.00</w:t>
      </w:r>
      <w:r>
        <w:rPr>
          <w:color w:val="000000"/>
          <w:spacing w:val="0"/>
          <w:w w:val="100"/>
          <w:position w:val="0"/>
        </w:rPr>
        <w:t>万元为合并成本购买上海复高计算机科技有限公司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权益。归属于本公司的可辨认 净资产在购买日的公允价值为人民币</w:t>
      </w:r>
      <w:r>
        <w:rPr>
          <w:rFonts w:ascii="Times New Roman" w:eastAsia="Times New Roman" w:hAnsi="Times New Roman" w:cs="Times New Roman"/>
          <w:color w:val="000000"/>
          <w:spacing w:val="0"/>
          <w:w w:val="100"/>
          <w:position w:val="0"/>
          <w:sz w:val="18"/>
          <w:szCs w:val="18"/>
        </w:rPr>
        <w:t>13,850.91</w:t>
      </w:r>
      <w:r>
        <w:rPr>
          <w:color w:val="000000"/>
          <w:spacing w:val="0"/>
          <w:w w:val="100"/>
          <w:position w:val="0"/>
        </w:rPr>
        <w:t>万元，两者的差额人民币</w:t>
      </w:r>
      <w:r>
        <w:rPr>
          <w:rFonts w:ascii="Times New Roman" w:eastAsia="Times New Roman" w:hAnsi="Times New Roman" w:cs="Times New Roman"/>
          <w:color w:val="000000"/>
          <w:spacing w:val="0"/>
          <w:w w:val="100"/>
          <w:position w:val="0"/>
          <w:sz w:val="18"/>
          <w:szCs w:val="18"/>
        </w:rPr>
        <w:t>51,149.09</w:t>
      </w:r>
      <w:r>
        <w:rPr>
          <w:color w:val="000000"/>
          <w:spacing w:val="0"/>
          <w:w w:val="100"/>
          <w:position w:val="0"/>
        </w:rPr>
        <w:t>万元确认为商誉。</w:t>
      </w:r>
    </w:p>
    <w:p>
      <w:pPr>
        <w:pStyle w:val="Style29"/>
        <w:keepNext w:val="0"/>
        <w:keepLines w:val="0"/>
        <w:widowControl w:val="0"/>
        <w:shd w:val="clear" w:color="auto" w:fill="auto"/>
        <w:tabs>
          <w:tab w:pos="330" w:val="left"/>
        </w:tabs>
        <w:bidi w:val="0"/>
        <w:spacing w:before="0" w:after="0" w:line="315" w:lineRule="exact"/>
        <w:ind w:left="0" w:right="0" w:firstLine="0"/>
        <w:jc w:val="both"/>
      </w:pPr>
      <w:bookmarkStart w:id="1449" w:name="bookmark1449"/>
      <w:r>
        <w:rPr>
          <w:rFonts w:ascii="Times New Roman" w:eastAsia="Times New Roman" w:hAnsi="Times New Roman" w:cs="Times New Roman"/>
          <w:color w:val="000000"/>
          <w:spacing w:val="0"/>
          <w:w w:val="100"/>
          <w:position w:val="0"/>
          <w:sz w:val="18"/>
          <w:szCs w:val="18"/>
        </w:rPr>
        <w:t>5</w:t>
      </w:r>
      <w:bookmarkEnd w:id="1449"/>
      <w:r>
        <w:rPr>
          <w:color w:val="000000"/>
          <w:spacing w:val="0"/>
          <w:w w:val="100"/>
          <w:position w:val="0"/>
        </w:rPr>
        <w:t>）</w:t>
        <w:tab/>
        <w:t>本公司于</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年以人民币</w:t>
      </w:r>
      <w:r>
        <w:rPr>
          <w:rFonts w:ascii="Times New Roman" w:eastAsia="Times New Roman" w:hAnsi="Times New Roman" w:cs="Times New Roman"/>
          <w:color w:val="000000"/>
          <w:spacing w:val="0"/>
          <w:w w:val="100"/>
          <w:position w:val="0"/>
          <w:sz w:val="18"/>
          <w:szCs w:val="18"/>
        </w:rPr>
        <w:t>5,800.00</w:t>
      </w:r>
      <w:r>
        <w:rPr>
          <w:color w:val="000000"/>
          <w:spacing w:val="0"/>
          <w:w w:val="100"/>
          <w:position w:val="0"/>
        </w:rPr>
        <w:t>万元为合并成本购买湖南凯歌医疗信息技术有限公司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权益。归属于本公司的可辨 认净资产在购买日的公允价值为人民币</w:t>
      </w:r>
      <w:r>
        <w:rPr>
          <w:rFonts w:ascii="Times New Roman" w:eastAsia="Times New Roman" w:hAnsi="Times New Roman" w:cs="Times New Roman"/>
          <w:color w:val="000000"/>
          <w:spacing w:val="0"/>
          <w:w w:val="100"/>
          <w:position w:val="0"/>
          <w:sz w:val="18"/>
          <w:szCs w:val="18"/>
        </w:rPr>
        <w:t>489.44</w:t>
      </w:r>
      <w:r>
        <w:rPr>
          <w:color w:val="000000"/>
          <w:spacing w:val="0"/>
          <w:w w:val="100"/>
          <w:position w:val="0"/>
        </w:rPr>
        <w:t>万元，两者的差额人民币</w:t>
      </w:r>
      <w:r>
        <w:rPr>
          <w:rFonts w:ascii="Times New Roman" w:eastAsia="Times New Roman" w:hAnsi="Times New Roman" w:cs="Times New Roman"/>
          <w:color w:val="000000"/>
          <w:spacing w:val="0"/>
          <w:w w:val="100"/>
          <w:position w:val="0"/>
          <w:sz w:val="18"/>
          <w:szCs w:val="18"/>
        </w:rPr>
        <w:t>5,310.56</w:t>
      </w:r>
      <w:r>
        <w:rPr>
          <w:color w:val="000000"/>
          <w:spacing w:val="0"/>
          <w:w w:val="100"/>
          <w:position w:val="0"/>
        </w:rPr>
        <w:t>万元确认为商誉。</w:t>
      </w:r>
    </w:p>
    <w:p>
      <w:pPr>
        <w:pStyle w:val="Style29"/>
        <w:keepNext w:val="0"/>
        <w:keepLines w:val="0"/>
        <w:widowControl w:val="0"/>
        <w:shd w:val="clear" w:color="auto" w:fill="auto"/>
        <w:tabs>
          <w:tab w:pos="330" w:val="left"/>
        </w:tabs>
        <w:bidi w:val="0"/>
        <w:spacing w:before="0" w:after="0" w:line="315" w:lineRule="exact"/>
        <w:ind w:left="0" w:right="0" w:firstLine="0"/>
        <w:jc w:val="both"/>
      </w:pPr>
      <w:bookmarkStart w:id="1450" w:name="bookmark1450"/>
      <w:r>
        <w:rPr>
          <w:rFonts w:ascii="Times New Roman" w:eastAsia="Times New Roman" w:hAnsi="Times New Roman" w:cs="Times New Roman"/>
          <w:color w:val="000000"/>
          <w:spacing w:val="0"/>
          <w:w w:val="100"/>
          <w:position w:val="0"/>
          <w:sz w:val="18"/>
          <w:szCs w:val="18"/>
        </w:rPr>
        <w:t>6</w:t>
      </w:r>
      <w:bookmarkEnd w:id="1450"/>
      <w:r>
        <w:rPr>
          <w:color w:val="000000"/>
          <w:spacing w:val="0"/>
          <w:w w:val="100"/>
          <w:position w:val="0"/>
        </w:rPr>
        <w:t>）</w:t>
        <w:tab/>
        <w:t>本公司于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年以人民币</w:t>
      </w:r>
      <w:r>
        <w:rPr>
          <w:rFonts w:ascii="Times New Roman" w:eastAsia="Times New Roman" w:hAnsi="Times New Roman" w:cs="Times New Roman"/>
          <w:color w:val="000000"/>
          <w:spacing w:val="0"/>
          <w:w w:val="100"/>
          <w:position w:val="0"/>
          <w:sz w:val="18"/>
          <w:szCs w:val="18"/>
        </w:rPr>
        <w:t>5,196.02</w:t>
      </w:r>
      <w:r>
        <w:rPr>
          <w:color w:val="000000"/>
          <w:spacing w:val="0"/>
          <w:w w:val="100"/>
          <w:position w:val="0"/>
        </w:rPr>
        <w:t>万元为合并成本购买上海市民信箱信息服务有限公司</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权益。归属于本公司的可辨认 净资产在购买日的公允价值为人民币</w:t>
      </w:r>
      <w:r>
        <w:rPr>
          <w:rFonts w:ascii="Times New Roman" w:eastAsia="Times New Roman" w:hAnsi="Times New Roman" w:cs="Times New Roman"/>
          <w:color w:val="000000"/>
          <w:spacing w:val="0"/>
          <w:w w:val="100"/>
          <w:position w:val="0"/>
          <w:sz w:val="18"/>
          <w:szCs w:val="18"/>
        </w:rPr>
        <w:t>2,311.54</w:t>
      </w:r>
      <w:r>
        <w:rPr>
          <w:color w:val="000000"/>
          <w:spacing w:val="0"/>
          <w:w w:val="100"/>
          <w:position w:val="0"/>
        </w:rPr>
        <w:t>万元，两者的差额人民币</w:t>
      </w:r>
      <w:r>
        <w:rPr>
          <w:rFonts w:ascii="Times New Roman" w:eastAsia="Times New Roman" w:hAnsi="Times New Roman" w:cs="Times New Roman"/>
          <w:color w:val="000000"/>
          <w:spacing w:val="0"/>
          <w:w w:val="100"/>
          <w:position w:val="0"/>
          <w:sz w:val="18"/>
          <w:szCs w:val="18"/>
        </w:rPr>
        <w:t>2,884.48</w:t>
      </w:r>
      <w:r>
        <w:rPr>
          <w:color w:val="000000"/>
          <w:spacing w:val="0"/>
          <w:w w:val="100"/>
          <w:position w:val="0"/>
        </w:rPr>
        <w:t>万元确认为商誉。</w:t>
      </w:r>
    </w:p>
    <w:p>
      <w:pPr>
        <w:pStyle w:val="Style29"/>
        <w:keepNext w:val="0"/>
        <w:keepLines w:val="0"/>
        <w:widowControl w:val="0"/>
        <w:shd w:val="clear" w:color="auto" w:fill="auto"/>
        <w:tabs>
          <w:tab w:pos="330" w:val="left"/>
        </w:tabs>
        <w:bidi w:val="0"/>
        <w:spacing w:before="0" w:after="0" w:line="315" w:lineRule="exact"/>
        <w:ind w:left="0" w:right="0" w:firstLine="0"/>
        <w:jc w:val="both"/>
      </w:pPr>
      <w:bookmarkStart w:id="1451" w:name="bookmark1451"/>
      <w:r>
        <w:rPr>
          <w:rFonts w:ascii="Times New Roman" w:eastAsia="Times New Roman" w:hAnsi="Times New Roman" w:cs="Times New Roman"/>
          <w:color w:val="000000"/>
          <w:spacing w:val="0"/>
          <w:w w:val="100"/>
          <w:position w:val="0"/>
          <w:sz w:val="18"/>
          <w:szCs w:val="18"/>
        </w:rPr>
        <w:t>7</w:t>
      </w:r>
      <w:bookmarkEnd w:id="1451"/>
      <w:r>
        <w:rPr>
          <w:color w:val="000000"/>
          <w:spacing w:val="0"/>
          <w:w w:val="100"/>
          <w:position w:val="0"/>
        </w:rPr>
        <w:t>）</w:t>
        <w:tab/>
        <w:t>本公司于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年以人民币</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万元为合并成本购买四川万达健康数据有限公司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权益。归属于本公司的可辨认净资 产在购买日的公允价值为人民币</w:t>
      </w:r>
      <w:r>
        <w:rPr>
          <w:rFonts w:ascii="Times New Roman" w:eastAsia="Times New Roman" w:hAnsi="Times New Roman" w:cs="Times New Roman"/>
          <w:color w:val="000000"/>
          <w:spacing w:val="0"/>
          <w:w w:val="100"/>
          <w:position w:val="0"/>
          <w:sz w:val="18"/>
          <w:szCs w:val="18"/>
        </w:rPr>
        <w:t>14.33</w:t>
      </w:r>
      <w:r>
        <w:rPr>
          <w:color w:val="000000"/>
          <w:spacing w:val="0"/>
          <w:w w:val="100"/>
          <w:position w:val="0"/>
        </w:rPr>
        <w:t>万元，两者的差额人民币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85.67</w:t>
      </w:r>
      <w:r>
        <w:rPr>
          <w:color w:val="000000"/>
          <w:spacing w:val="0"/>
          <w:w w:val="100"/>
          <w:position w:val="0"/>
        </w:rPr>
        <w:t>万元确认为商誉。</w:t>
      </w:r>
    </w:p>
    <w:p>
      <w:pPr>
        <w:pStyle w:val="Style29"/>
        <w:keepNext w:val="0"/>
        <w:keepLines w:val="0"/>
        <w:widowControl w:val="0"/>
        <w:shd w:val="clear" w:color="auto" w:fill="auto"/>
        <w:bidi w:val="0"/>
        <w:spacing w:before="0" w:after="0" w:line="315" w:lineRule="exact"/>
        <w:ind w:left="0" w:right="0" w:firstLine="0"/>
        <w:jc w:val="both"/>
      </w:pPr>
      <w:bookmarkStart w:id="1452" w:name="bookmark1452"/>
      <w:r>
        <w:rPr>
          <w:rFonts w:ascii="Times New Roman" w:eastAsia="Times New Roman" w:hAnsi="Times New Roman" w:cs="Times New Roman"/>
          <w:color w:val="000000"/>
          <w:spacing w:val="0"/>
          <w:w w:val="100"/>
          <w:position w:val="0"/>
          <w:sz w:val="18"/>
          <w:szCs w:val="18"/>
        </w:rPr>
        <w:t>8</w:t>
      </w:r>
      <w:bookmarkEnd w:id="1452"/>
      <w:r>
        <w:rPr>
          <w:color w:val="000000"/>
          <w:spacing w:val="0"/>
          <w:w w:val="100"/>
          <w:position w:val="0"/>
        </w:rPr>
        <w:t>） 本公司于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年以人民币</w:t>
      </w:r>
      <w:r>
        <w:rPr>
          <w:rFonts w:ascii="Times New Roman" w:eastAsia="Times New Roman" w:hAnsi="Times New Roman" w:cs="Times New Roman"/>
          <w:color w:val="000000"/>
          <w:spacing w:val="0"/>
          <w:w w:val="100"/>
          <w:position w:val="0"/>
          <w:sz w:val="18"/>
          <w:szCs w:val="18"/>
        </w:rPr>
        <w:t>1,200.00</w:t>
      </w:r>
      <w:r>
        <w:rPr>
          <w:color w:val="000000"/>
          <w:spacing w:val="0"/>
          <w:w w:val="100"/>
          <w:position w:val="0"/>
        </w:rPr>
        <w:t>万元为合并成本购买宁波市万达数据应用服务有限公司公司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权益。归属于本公司 的可辨认净资产在购买日的公允价值为人民币</w:t>
      </w:r>
      <w:r>
        <w:rPr>
          <w:rFonts w:ascii="Times New Roman" w:eastAsia="Times New Roman" w:hAnsi="Times New Roman" w:cs="Times New Roman"/>
          <w:color w:val="000000"/>
          <w:spacing w:val="0"/>
          <w:w w:val="100"/>
          <w:position w:val="0"/>
          <w:sz w:val="18"/>
          <w:szCs w:val="18"/>
        </w:rPr>
        <w:t>1,038.70</w:t>
      </w:r>
      <w:r>
        <w:rPr>
          <w:color w:val="000000"/>
          <w:spacing w:val="0"/>
          <w:w w:val="100"/>
          <w:position w:val="0"/>
        </w:rPr>
        <w:t>万元，两者的差额人民币</w:t>
      </w:r>
      <w:r>
        <w:rPr>
          <w:rFonts w:ascii="Times New Roman" w:eastAsia="Times New Roman" w:hAnsi="Times New Roman" w:cs="Times New Roman"/>
          <w:color w:val="000000"/>
          <w:spacing w:val="0"/>
          <w:w w:val="100"/>
          <w:position w:val="0"/>
          <w:sz w:val="18"/>
          <w:szCs w:val="18"/>
        </w:rPr>
        <w:t>161.30</w:t>
      </w:r>
      <w:r>
        <w:rPr>
          <w:color w:val="000000"/>
          <w:spacing w:val="0"/>
          <w:w w:val="100"/>
          <w:position w:val="0"/>
        </w:rPr>
        <w:t>万元确认为商誉。</w:t>
      </w:r>
    </w:p>
    <w:p>
      <w:pPr>
        <w:pStyle w:val="Style29"/>
        <w:keepNext w:val="0"/>
        <w:keepLines w:val="0"/>
        <w:widowControl w:val="0"/>
        <w:shd w:val="clear" w:color="auto" w:fill="auto"/>
        <w:bidi w:val="0"/>
        <w:spacing w:before="0" w:after="0" w:line="315" w:lineRule="exact"/>
        <w:ind w:left="0" w:right="0" w:firstLine="0"/>
        <w:jc w:val="both"/>
      </w:pPr>
      <w:bookmarkStart w:id="1453" w:name="bookmark1453"/>
      <w:r>
        <w:rPr>
          <w:rFonts w:ascii="Times New Roman" w:eastAsia="Times New Roman" w:hAnsi="Times New Roman" w:cs="Times New Roman"/>
          <w:color w:val="000000"/>
          <w:spacing w:val="0"/>
          <w:w w:val="100"/>
          <w:position w:val="0"/>
          <w:sz w:val="18"/>
          <w:szCs w:val="18"/>
        </w:rPr>
        <w:t>9</w:t>
      </w:r>
      <w:bookmarkEnd w:id="1453"/>
      <w:r>
        <w:rPr>
          <w:color w:val="000000"/>
          <w:spacing w:val="0"/>
          <w:w w:val="100"/>
          <w:position w:val="0"/>
        </w:rPr>
        <w:t>） 本公司于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年以人民币</w:t>
      </w:r>
      <w:r>
        <w:rPr>
          <w:rFonts w:ascii="Times New Roman" w:eastAsia="Times New Roman" w:hAnsi="Times New Roman" w:cs="Times New Roman"/>
          <w:color w:val="000000"/>
          <w:spacing w:val="0"/>
          <w:w w:val="100"/>
          <w:position w:val="0"/>
          <w:sz w:val="18"/>
          <w:szCs w:val="18"/>
        </w:rPr>
        <w:t>3,500.00</w:t>
      </w:r>
      <w:r>
        <w:rPr>
          <w:color w:val="000000"/>
          <w:spacing w:val="0"/>
          <w:w w:val="100"/>
          <w:position w:val="0"/>
        </w:rPr>
        <w:t>万元为合并成本购买万达志翔医疗科技（北京）有限责任公司</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权益。归属于本公司 的可辨认净资产在购买日的公允价值为人民币</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,470.23</w:t>
      </w:r>
      <w:r>
        <w:rPr>
          <w:color w:val="000000"/>
          <w:spacing w:val="0"/>
          <w:w w:val="100"/>
          <w:position w:val="0"/>
        </w:rPr>
        <w:t>万元，两者的差额人民币</w:t>
      </w:r>
      <w:r>
        <w:rPr>
          <w:rFonts w:ascii="Times New Roman" w:eastAsia="Times New Roman" w:hAnsi="Times New Roman" w:cs="Times New Roman"/>
          <w:color w:val="000000"/>
          <w:spacing w:val="0"/>
          <w:w w:val="100"/>
          <w:position w:val="0"/>
          <w:sz w:val="18"/>
          <w:szCs w:val="18"/>
        </w:rPr>
        <w:t>1,029.7</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万元确认为商誉。</w:t>
      </w:r>
    </w:p>
    <w:p>
      <w:pPr>
        <w:pStyle w:val="Style29"/>
        <w:keepNext w:val="0"/>
        <w:keepLines w:val="0"/>
        <w:widowControl w:val="0"/>
        <w:shd w:val="clear" w:color="auto" w:fill="auto"/>
        <w:tabs>
          <w:tab w:pos="402" w:val="left"/>
        </w:tabs>
        <w:bidi w:val="0"/>
        <w:spacing w:before="0" w:after="420" w:line="315" w:lineRule="exact"/>
        <w:ind w:left="0" w:right="0" w:firstLine="0"/>
        <w:jc w:val="both"/>
      </w:pPr>
      <w:bookmarkStart w:id="1454" w:name="bookmark1454"/>
      <w:r>
        <w:rPr>
          <w:rFonts w:ascii="Times New Roman" w:eastAsia="Times New Roman" w:hAnsi="Times New Roman" w:cs="Times New Roman"/>
          <w:color w:val="000000"/>
          <w:spacing w:val="0"/>
          <w:w w:val="100"/>
          <w:position w:val="0"/>
          <w:sz w:val="18"/>
          <w:szCs w:val="18"/>
        </w:rPr>
        <w:t>1</w:t>
      </w:r>
      <w:bookmarkEnd w:id="1454"/>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t>本公司子公司蛮牛健康管理服务有限公司于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年以人民币</w:t>
      </w:r>
      <w:r>
        <w:rPr>
          <w:rFonts w:ascii="Times New Roman" w:eastAsia="Times New Roman" w:hAnsi="Times New Roman" w:cs="Times New Roman"/>
          <w:color w:val="000000"/>
          <w:spacing w:val="0"/>
          <w:w w:val="100"/>
          <w:position w:val="0"/>
          <w:sz w:val="18"/>
          <w:szCs w:val="18"/>
        </w:rPr>
        <w:t>1,500.00</w:t>
      </w:r>
      <w:r>
        <w:rPr>
          <w:color w:val="000000"/>
          <w:spacing w:val="0"/>
          <w:w w:val="100"/>
          <w:position w:val="0"/>
        </w:rPr>
        <w:t>万元为合并成本购买中山市正来咨询有限公司和中 山市慧来科技有限公司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权益。归属于蛮牛健康管理服务有限公司的可辨认净资产在购买日的公允价值为人民币</w:t>
      </w:r>
      <w:r>
        <w:rPr>
          <w:rFonts w:ascii="Times New Roman" w:eastAsia="Times New Roman" w:hAnsi="Times New Roman" w:cs="Times New Roman"/>
          <w:color w:val="000000"/>
          <w:spacing w:val="0"/>
          <w:w w:val="100"/>
          <w:position w:val="0"/>
          <w:sz w:val="18"/>
          <w:szCs w:val="18"/>
        </w:rPr>
        <w:t xml:space="preserve">136.44 </w:t>
      </w:r>
      <w:r>
        <w:rPr>
          <w:color w:val="000000"/>
          <w:spacing w:val="0"/>
          <w:w w:val="100"/>
          <w:position w:val="0"/>
        </w:rPr>
        <w:t>万元，两者的差额人民币</w:t>
      </w:r>
      <w:r>
        <w:rPr>
          <w:rFonts w:ascii="Times New Roman" w:eastAsia="Times New Roman" w:hAnsi="Times New Roman" w:cs="Times New Roman"/>
          <w:color w:val="000000"/>
          <w:spacing w:val="0"/>
          <w:w w:val="100"/>
          <w:position w:val="0"/>
          <w:sz w:val="18"/>
          <w:szCs w:val="18"/>
        </w:rPr>
        <w:t>1,363.56</w:t>
      </w:r>
      <w:r>
        <w:rPr>
          <w:color w:val="000000"/>
          <w:spacing w:val="0"/>
          <w:w w:val="100"/>
          <w:position w:val="0"/>
        </w:rPr>
        <w:t>万元确认为商誉。</w:t>
      </w:r>
    </w:p>
    <w:p>
      <w:pPr>
        <w:pStyle w:val="Style29"/>
        <w:keepNext w:val="0"/>
        <w:keepLines w:val="0"/>
        <w:widowControl w:val="0"/>
        <w:shd w:val="clear" w:color="auto" w:fill="auto"/>
        <w:bidi w:val="0"/>
        <w:spacing w:before="0" w:after="0" w:line="240" w:lineRule="auto"/>
        <w:ind w:left="0" w:right="0" w:firstLine="0"/>
        <w:jc w:val="both"/>
      </w:pPr>
      <w:bookmarkStart w:id="1455" w:name="bookmark1455"/>
      <w:r>
        <w:rPr>
          <w:rFonts w:ascii="Times New Roman" w:eastAsia="Times New Roman" w:hAnsi="Times New Roman" w:cs="Times New Roman"/>
          <w:color w:val="000000"/>
          <w:spacing w:val="0"/>
          <w:w w:val="100"/>
          <w:position w:val="0"/>
          <w:sz w:val="18"/>
          <w:szCs w:val="18"/>
        </w:rPr>
        <w:t>2</w:t>
      </w:r>
      <w:bookmarkEnd w:id="1455"/>
      <w:r>
        <w:rPr>
          <w:color w:val="000000"/>
          <w:spacing w:val="0"/>
          <w:w w:val="100"/>
          <w:position w:val="0"/>
        </w:rPr>
        <w:t>、商誉所在资产组或资产组组合的相关信息</w:t>
      </w:r>
      <w:r>
        <w:br w:type="page"/>
      </w:r>
    </w:p>
    <w:p>
      <w:pPr>
        <w:pStyle w:val="Style26"/>
        <w:keepNext w:val="0"/>
        <w:keepLines w:val="0"/>
        <w:widowControl w:val="0"/>
        <w:shd w:val="clear" w:color="auto" w:fill="auto"/>
        <w:bidi w:val="0"/>
        <w:spacing w:before="0" w:after="0" w:line="240" w:lineRule="auto"/>
        <w:ind w:left="5" w:right="0" w:firstLine="0"/>
        <w:jc w:val="left"/>
        <w:rPr>
          <w:sz w:val="17"/>
          <w:szCs w:val="17"/>
        </w:rPr>
      </w:pPr>
      <w:r>
        <w:rPr>
          <w:rFonts w:ascii="SimSun" w:eastAsia="SimSun" w:hAnsi="SimSun" w:cs="SimSun"/>
          <w:color w:val="000000"/>
          <w:spacing w:val="0"/>
          <w:w w:val="100"/>
          <w:position w:val="0"/>
          <w:sz w:val="17"/>
          <w:szCs w:val="17"/>
        </w:rPr>
        <w:t>本公司的所有商誉已于购买日分摊至相关的资产组或资产组组合，分摊情况根据经营分部汇总如下:</w:t>
      </w:r>
    </w:p>
    <w:tbl>
      <w:tblPr>
        <w:tblOverlap w:val="never"/>
        <w:jc w:val="center"/>
        <w:tblLayout w:type="fixed"/>
      </w:tblPr>
      <w:tblGrid>
        <w:gridCol w:w="4978"/>
        <w:gridCol w:w="2414"/>
        <w:gridCol w:w="2294"/>
      </w:tblGrid>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业务分部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上年年末余额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四川浩特通信有限公司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10,152,998.55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10,152,998.55</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上海华奕医疗信息技术有限公司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810,907.34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810,907.34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宁波金唐业务资产组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420,632,306.97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420,632,306.97</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上海复高业务资产组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511,490,902.87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511,490,902.87</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湖南凯歌医疗业务资产组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53,105,624.64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53,105,624.64</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市民信箱市民云业务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28,844,769.67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28,844,769.67</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四川万达健康数据有限公司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1,856,717.03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1,856,717.03</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宁波市万达数据应用服务有限公司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1,612,989.60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1,612,989.60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万达志翔医疗科技（北京）有限责任公司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10297,657.81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10,297,657.81</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正来培训业务资产组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13,635,555.85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13,635,555.85</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1,052,440,430.33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1,052,440,430.33</w:t>
            </w:r>
          </w:p>
        </w:tc>
      </w:tr>
    </w:tbl>
    <w:p>
      <w:pPr>
        <w:pStyle w:val="Style2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在进行商誉减值测试时，本公司将相关资产（含商誉）的账面价值与其可收回金额进行比较，如果可收回金额低于账面价值， 相关差额计入当期损益。</w:t>
      </w:r>
    </w:p>
    <w:p>
      <w:pPr>
        <w:widowControl w:val="0"/>
        <w:spacing w:after="239" w:line="1" w:lineRule="exact"/>
      </w:pPr>
    </w:p>
    <w:p>
      <w:pPr>
        <w:pStyle w:val="Style29"/>
        <w:keepNext w:val="0"/>
        <w:keepLines w:val="0"/>
        <w:widowControl w:val="0"/>
        <w:shd w:val="clear" w:color="auto" w:fill="auto"/>
        <w:bidi w:val="0"/>
        <w:spacing w:before="0" w:after="0" w:line="313" w:lineRule="exact"/>
        <w:ind w:left="0" w:right="0" w:firstLine="0"/>
        <w:jc w:val="left"/>
      </w:pPr>
      <w:bookmarkStart w:id="1456" w:name="bookmark1456"/>
      <w:r>
        <w:rPr>
          <w:rFonts w:ascii="Times New Roman" w:eastAsia="Times New Roman" w:hAnsi="Times New Roman" w:cs="Times New Roman"/>
          <w:color w:val="000000"/>
          <w:spacing w:val="0"/>
          <w:w w:val="100"/>
          <w:position w:val="0"/>
          <w:sz w:val="18"/>
          <w:szCs w:val="18"/>
        </w:rPr>
        <w:t>3</w:t>
      </w:r>
      <w:bookmarkEnd w:id="1456"/>
      <w:r>
        <w:rPr>
          <w:color w:val="000000"/>
          <w:spacing w:val="0"/>
          <w:w w:val="100"/>
          <w:position w:val="0"/>
        </w:rPr>
        <w:t>、评估方法的说明与选择</w:t>
      </w:r>
    </w:p>
    <w:p>
      <w:pPr>
        <w:pStyle w:val="Style29"/>
        <w:keepNext w:val="0"/>
        <w:keepLines w:val="0"/>
        <w:widowControl w:val="0"/>
        <w:shd w:val="clear" w:color="auto" w:fill="auto"/>
        <w:bidi w:val="0"/>
        <w:spacing w:before="0" w:after="420" w:line="313" w:lineRule="exact"/>
        <w:ind w:left="0" w:right="0" w:firstLine="0"/>
        <w:jc w:val="both"/>
      </w:pPr>
      <w:r>
        <w:rPr>
          <w:color w:val="000000"/>
          <w:spacing w:val="0"/>
          <w:w w:val="100"/>
          <w:position w:val="0"/>
        </w:rPr>
        <w:t>根据《企业会计准则第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号——资产减值》的要求，可收回金额应当根据资产的公允价值减去处置费用后的净额与资产预 计未来现金流量的现值两者之间较高者确定。商誉减值测试时采用的评估方法，应该充分考虑与商誉形成以及前期商誉减值 测试采用的评估方法的一致性。四川浩特通信有限公司、四川万达健康数据有限公司以及万达志翔医疗科技（北京）有限责 任公司以前期间的商誉减值测试方法选用成本法，相关商誉在以前期间已全额计提商誉减值准备，其余业务模块采用收益法 中的现金流量折现模型。</w:t>
      </w:r>
    </w:p>
    <w:p>
      <w:pPr>
        <w:pStyle w:val="Style29"/>
        <w:keepNext w:val="0"/>
        <w:keepLines w:val="0"/>
        <w:widowControl w:val="0"/>
        <w:shd w:val="clear" w:color="auto" w:fill="auto"/>
        <w:bidi w:val="0"/>
        <w:spacing w:before="0" w:after="360" w:line="240" w:lineRule="auto"/>
        <w:ind w:left="0" w:right="0" w:firstLine="0"/>
        <w:jc w:val="both"/>
      </w:pPr>
      <w:bookmarkStart w:id="1457" w:name="bookmark1457"/>
      <w:r>
        <w:rPr>
          <w:rFonts w:ascii="Times New Roman" w:eastAsia="Times New Roman" w:hAnsi="Times New Roman" w:cs="Times New Roman"/>
          <w:color w:val="000000"/>
          <w:spacing w:val="0"/>
          <w:w w:val="100"/>
          <w:position w:val="0"/>
          <w:sz w:val="18"/>
          <w:szCs w:val="18"/>
        </w:rPr>
        <w:t>4</w:t>
      </w:r>
      <w:bookmarkEnd w:id="1457"/>
      <w:r>
        <w:rPr>
          <w:color w:val="000000"/>
          <w:spacing w:val="0"/>
          <w:w w:val="100"/>
          <w:position w:val="0"/>
        </w:rPr>
        <w:t>、采用未来现金流量折现方法的主要假设</w:t>
      </w:r>
    </w:p>
    <w:tbl>
      <w:tblPr>
        <w:tblOverlap w:val="never"/>
        <w:jc w:val="center"/>
        <w:tblLayout w:type="fixed"/>
      </w:tblPr>
      <w:tblGrid>
        <w:gridCol w:w="3706"/>
        <w:gridCol w:w="1704"/>
        <w:gridCol w:w="1277"/>
        <w:gridCol w:w="1579"/>
        <w:gridCol w:w="1421"/>
      </w:tblGrid>
      <w:tr>
        <w:trPr>
          <w:trHeight w:val="3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业务分部</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预测期平均增长率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稳定期增长率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预测期平均毛利率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折现率（税前）</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上海华奕医疗信息技术有限公司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宁波金唐业务资产组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上海复高业务资产组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湖南凯歌医疗业务资产组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市民信箱市民云业务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正来培训业务资产组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w:t>
            </w:r>
          </w:p>
        </w:tc>
      </w:tr>
    </w:tbl>
    <w:p>
      <w:pPr>
        <w:widowControl w:val="0"/>
        <w:spacing w:after="239" w:line="1" w:lineRule="exact"/>
      </w:pPr>
    </w:p>
    <w:p>
      <w:pPr>
        <w:pStyle w:val="Style29"/>
        <w:keepNext w:val="0"/>
        <w:keepLines w:val="0"/>
        <w:widowControl w:val="0"/>
        <w:shd w:val="clear" w:color="auto" w:fill="auto"/>
        <w:bidi w:val="0"/>
        <w:spacing w:before="0" w:after="0" w:line="311" w:lineRule="exact"/>
        <w:ind w:left="0" w:right="0" w:firstLine="0"/>
        <w:jc w:val="both"/>
      </w:pPr>
      <w:bookmarkStart w:id="1458" w:name="bookmark1458"/>
      <w:r>
        <w:rPr>
          <w:rFonts w:ascii="Times New Roman" w:eastAsia="Times New Roman" w:hAnsi="Times New Roman" w:cs="Times New Roman"/>
          <w:color w:val="000000"/>
          <w:spacing w:val="0"/>
          <w:w w:val="100"/>
          <w:position w:val="0"/>
          <w:sz w:val="18"/>
          <w:szCs w:val="18"/>
        </w:rPr>
        <w:t>5</w:t>
      </w:r>
      <w:bookmarkEnd w:id="1458"/>
      <w:r>
        <w:rPr>
          <w:color w:val="000000"/>
          <w:spacing w:val="0"/>
          <w:w w:val="100"/>
          <w:position w:val="0"/>
        </w:rPr>
        <w:t>、商誉减值测试的方法</w:t>
      </w:r>
    </w:p>
    <w:p>
      <w:pPr>
        <w:pStyle w:val="Style29"/>
        <w:keepNext w:val="0"/>
        <w:keepLines w:val="0"/>
        <w:widowControl w:val="0"/>
        <w:shd w:val="clear" w:color="auto" w:fill="auto"/>
        <w:bidi w:val="0"/>
        <w:spacing w:before="0" w:after="100" w:line="311" w:lineRule="exact"/>
        <w:ind w:left="0" w:right="0" w:firstLine="0"/>
        <w:jc w:val="both"/>
      </w:pPr>
      <w:r>
        <w:rPr>
          <w:color w:val="000000"/>
          <w:spacing w:val="0"/>
          <w:w w:val="100"/>
          <w:position w:val="0"/>
        </w:rPr>
        <w:t>资产负债表日，公司对前述采用现金流量折现模型测试的非同一控制下的企业并购形成的商誉进行了减值测试，在预计可回 收金额时，采用了与商誉有关的资产组来预测其未来现金流量现值。公司管理层根据最近一期的财务预算来编制未来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年（预 算期）的现金流量预测，并推算之后年度的现金流量，并假定超过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年财务预算之后年份的现金流量保持稳定。在预计未来 现金流量时，根据该资产组未来的战略目标、业务发展及经营规划，通过结合历史年度的销售数据和预计市场需求变化、产 品预期价格变化等诸因素进行测算确定。在确定可收回金额所采用的折现率时，公司考虑了该资产组的行业资产回报率、预 期外部资金风险利率的变化等因素，通过对选取的可比公司相关数据进行分析后调整确定。另外对前述采用成本法测试的非 同一控制下的企业并购形成的商誉也进行了减值测试。截止资产负债表日，本公司商誉减值测试情况如下：形成商誉时的并</w:t>
        <w:br w:type="page"/>
      </w:r>
      <w:r>
        <w:rPr>
          <w:color w:val="000000"/>
          <w:spacing w:val="0"/>
          <w:w w:val="100"/>
          <w:position w:val="0"/>
        </w:rPr>
        <w:t>购重组相关方有业绩承诺的，应充分披露业绩承诺的完成情况及其对商誉减值测试的影响。</w:t>
      </w:r>
    </w:p>
    <w:p>
      <w:pPr>
        <w:pStyle w:val="Style2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单位：万元</w:t>
      </w:r>
    </w:p>
    <w:tbl>
      <w:tblPr>
        <w:tblOverlap w:val="never"/>
        <w:jc w:val="center"/>
        <w:tblLayout w:type="fixed"/>
      </w:tblPr>
      <w:tblGrid>
        <w:gridCol w:w="1555"/>
        <w:gridCol w:w="802"/>
        <w:gridCol w:w="816"/>
        <w:gridCol w:w="806"/>
        <w:gridCol w:w="998"/>
        <w:gridCol w:w="1008"/>
        <w:gridCol w:w="1118"/>
        <w:gridCol w:w="950"/>
        <w:gridCol w:w="960"/>
        <w:gridCol w:w="672"/>
      </w:tblGrid>
      <w:tr>
        <w:trPr>
          <w:trHeight w:val="15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业务分部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母公司持 股比例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b/>
                <w:bCs/>
                <w:color w:val="000000"/>
                <w:spacing w:val="0"/>
                <w:w w:val="100"/>
                <w:position w:val="0"/>
                <w:sz w:val="17"/>
                <w:szCs w:val="17"/>
              </w:rPr>
              <w:t>母公司商 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b/>
                <w:bCs/>
                <w:color w:val="000000"/>
                <w:spacing w:val="0"/>
                <w:w w:val="100"/>
                <w:position w:val="0"/>
                <w:sz w:val="17"/>
                <w:szCs w:val="17"/>
              </w:rPr>
              <w:t>未确认归 属于少数 股东权益 的商誉价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商誉合计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可辨认资产 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b/>
                <w:bCs/>
                <w:color w:val="000000"/>
                <w:spacing w:val="0"/>
                <w:w w:val="100"/>
                <w:position w:val="0"/>
                <w:sz w:val="17"/>
                <w:szCs w:val="17"/>
              </w:rPr>
              <w:t>包含商誉的资 产组账面价值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可收回金额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center"/>
              <w:rPr>
                <w:sz w:val="17"/>
                <w:szCs w:val="17"/>
              </w:rPr>
            </w:pPr>
            <w:r>
              <w:rPr>
                <w:b/>
                <w:bCs/>
                <w:color w:val="000000"/>
                <w:spacing w:val="0"/>
                <w:w w:val="100"/>
                <w:position w:val="0"/>
                <w:sz w:val="17"/>
                <w:szCs w:val="17"/>
              </w:rPr>
              <w:t>可收回一账 面价值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center"/>
              <w:rPr>
                <w:sz w:val="17"/>
                <w:szCs w:val="17"/>
              </w:rPr>
            </w:pPr>
            <w:r>
              <w:rPr>
                <w:b/>
                <w:bCs/>
                <w:color w:val="000000"/>
                <w:spacing w:val="0"/>
                <w:w w:val="100"/>
                <w:position w:val="0"/>
                <w:sz w:val="17"/>
                <w:szCs w:val="17"/>
              </w:rPr>
              <w:t>是否减 值</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left"/>
              <w:rPr>
                <w:sz w:val="17"/>
                <w:szCs w:val="17"/>
              </w:rPr>
            </w:pPr>
            <w:r>
              <w:rPr>
                <w:color w:val="000000"/>
                <w:spacing w:val="0"/>
                <w:w w:val="100"/>
                <w:position w:val="0"/>
                <w:sz w:val="17"/>
                <w:szCs w:val="17"/>
              </w:rPr>
              <w:t>上海华奕医疗信息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532.08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否</w:t>
            </w:r>
          </w:p>
        </w:tc>
      </w:tr>
      <w:tr>
        <w:trPr>
          <w:trHeight w:val="6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宁波金唐业务资产 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42,063.23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42,063.23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1,072.41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43,135.64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45,800.00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否</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上海复高业务资产 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42,184.68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42,184.68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42263.64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55,200.00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12,936.36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否</w:t>
            </w:r>
          </w:p>
        </w:tc>
      </w:tr>
      <w:tr>
        <w:trPr>
          <w:trHeight w:val="6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湖南凯歌医疗业务 资产组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5,310.56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5,310.56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5,334.25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165.75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否</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市民信箱市民云业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2,588.33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1,654.84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4,243.17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1,332.80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5,575.97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10,424.03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否</w:t>
            </w:r>
          </w:p>
        </w:tc>
      </w:tr>
      <w:tr>
        <w:trPr>
          <w:trHeight w:val="6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正来培训业务资产 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1,363.56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1,363.56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1,429.13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否</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93,591.45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1,729.69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95,321.14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33"/>
        <w:keepNext/>
        <w:keepLines/>
        <w:widowControl w:val="0"/>
        <w:shd w:val="clear" w:color="auto" w:fill="auto"/>
        <w:bidi w:val="0"/>
        <w:spacing w:before="0" w:after="380" w:line="240" w:lineRule="auto"/>
        <w:ind w:left="0" w:right="0" w:firstLine="0"/>
        <w:jc w:val="left"/>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2</w:t>
      </w:r>
      <w:bookmarkEnd w:id="1461"/>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459"/>
      <w:bookmarkEnd w:id="1460"/>
      <w:bookmarkEnd w:id="1462"/>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8"/>
        <w:gridCol w:w="1598"/>
        <w:gridCol w:w="1594"/>
        <w:gridCol w:w="1589"/>
        <w:gridCol w:w="1603"/>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本期增加金额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本期摊销金额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其他减少金额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期末余额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装修款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33,002,460.17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10,582,880.71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11,176,734.69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32,408,606.19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2,254,747.69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951,300.84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1,303,446.85</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35 257207.86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10,582,880.71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12,128,035.53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33,712,053.04</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463" w:name="bookmark1463"/>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3</w:t>
      </w:r>
      <w:bookmarkEnd w:id="1465"/>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63"/>
      <w:bookmarkEnd w:id="1464"/>
      <w:bookmarkEnd w:id="1466"/>
    </w:p>
    <w:p>
      <w:pPr>
        <w:pStyle w:val="Style61"/>
        <w:keepNext/>
        <w:keepLines/>
        <w:widowControl w:val="0"/>
        <w:shd w:val="clear" w:color="auto" w:fill="auto"/>
        <w:bidi w:val="0"/>
        <w:spacing w:before="0" w:line="240" w:lineRule="auto"/>
        <w:ind w:left="0" w:right="0" w:firstLine="0"/>
        <w:jc w:val="left"/>
      </w:pPr>
      <w:bookmarkStart w:id="1467" w:name="bookmark1467"/>
      <w:bookmarkStart w:id="1468" w:name="bookmark1468"/>
      <w:bookmarkStart w:id="1469" w:name="bookmark14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67"/>
      <w:bookmarkEnd w:id="1468"/>
      <w:bookmarkEnd w:id="1469"/>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61"/>
        <w:keepNext/>
        <w:keepLines/>
        <w:widowControl w:val="0"/>
        <w:shd w:val="clear" w:color="auto" w:fill="auto"/>
        <w:bidi w:val="0"/>
        <w:spacing w:before="0" w:line="240" w:lineRule="auto"/>
        <w:ind w:left="0" w:right="0" w:firstLine="0"/>
        <w:jc w:val="left"/>
      </w:pPr>
      <w:bookmarkStart w:id="1470" w:name="bookmark1470"/>
      <w:bookmarkStart w:id="1471" w:name="bookmark1471"/>
      <w:bookmarkStart w:id="1472" w:name="bookmark14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470"/>
      <w:bookmarkEnd w:id="1471"/>
      <w:bookmarkEnd w:id="1472"/>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61"/>
        <w:keepNext/>
        <w:keepLines/>
        <w:widowControl w:val="0"/>
        <w:shd w:val="clear" w:color="auto" w:fill="auto"/>
        <w:bidi w:val="0"/>
        <w:spacing w:before="0" w:line="240" w:lineRule="auto"/>
        <w:ind w:left="0" w:right="0" w:firstLine="0"/>
        <w:jc w:val="left"/>
      </w:pPr>
      <w:bookmarkStart w:id="1473" w:name="bookmark1473"/>
      <w:bookmarkStart w:id="1474" w:name="bookmark1474"/>
      <w:bookmarkStart w:id="1475" w:name="bookmark1475"/>
      <w:bookmarkStart w:id="1476" w:name="bookmark1476"/>
      <w:r>
        <w:rPr>
          <w:color w:val="000000"/>
          <w:spacing w:val="0"/>
          <w:w w:val="100"/>
          <w:position w:val="0"/>
        </w:rPr>
        <w:t>（</w:t>
      </w:r>
      <w:bookmarkEnd w:id="1475"/>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473"/>
      <w:bookmarkEnd w:id="1474"/>
      <w:bookmarkEnd w:id="1476"/>
    </w:p>
    <w:p>
      <w:pPr>
        <w:pStyle w:val="Style2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930"/>
        <w:gridCol w:w="1915"/>
        <w:gridCol w:w="1915"/>
        <w:gridCol w:w="1915"/>
        <w:gridCol w:w="1930"/>
      </w:tblGrid>
      <w:tr>
        <w:trPr>
          <w:trHeight w:val="72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递延所得税资产和负债 期末互抵金额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抵销后递延所得税资产 或负债期末余额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抵销后递延所得税资产 或负债期初余额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15,444250.45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10,333,987.74</w:t>
            </w:r>
          </w:p>
        </w:tc>
      </w:tr>
    </w:tbl>
    <w:p>
      <w:pPr>
        <w:widowControl w:val="0"/>
        <w:spacing w:after="659" w:line="1" w:lineRule="exact"/>
      </w:pPr>
    </w:p>
    <w:p>
      <w:pPr>
        <w:pStyle w:val="Style61"/>
        <w:keepNext/>
        <w:keepLines/>
        <w:widowControl w:val="0"/>
        <w:shd w:val="clear" w:color="auto" w:fill="auto"/>
        <w:tabs>
          <w:tab w:pos="483" w:val="left"/>
        </w:tabs>
        <w:bidi w:val="0"/>
        <w:spacing w:before="0" w:line="240" w:lineRule="auto"/>
        <w:ind w:left="0" w:right="0" w:firstLine="0"/>
        <w:jc w:val="left"/>
      </w:pPr>
      <w:bookmarkStart w:id="1477" w:name="bookmark1477"/>
      <w:bookmarkStart w:id="1478" w:name="bookmark1478"/>
      <w:bookmarkStart w:id="1479" w:name="bookmark1479"/>
      <w:bookmarkStart w:id="1480" w:name="bookmark1480"/>
      <w:r>
        <w:rPr>
          <w:color w:val="000000"/>
          <w:spacing w:val="0"/>
          <w:w w:val="100"/>
          <w:position w:val="0"/>
        </w:rPr>
        <w:t>（</w:t>
      </w:r>
      <w:bookmarkEnd w:id="1479"/>
      <w:r>
        <w:rPr>
          <w:rFonts w:ascii="Times New Roman" w:eastAsia="Times New Roman" w:hAnsi="Times New Roman" w:cs="Times New Roman"/>
          <w:color w:val="000000"/>
          <w:spacing w:val="0"/>
          <w:w w:val="100"/>
          <w:position w:val="0"/>
        </w:rPr>
        <w:t>4</w:t>
      </w:r>
      <w:r>
        <w:rPr>
          <w:color w:val="000000"/>
          <w:spacing w:val="0"/>
          <w:w w:val="100"/>
          <w:position w:val="0"/>
        </w:rPr>
        <w:t>）</w:t>
        <w:tab/>
        <w:t>未确认递延所得税资产明细</w:t>
      </w:r>
      <w:bookmarkEnd w:id="1477"/>
      <w:bookmarkEnd w:id="1478"/>
      <w:bookmarkEnd w:id="1480"/>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61"/>
        <w:keepNext/>
        <w:keepLines/>
        <w:widowControl w:val="0"/>
        <w:shd w:val="clear" w:color="auto" w:fill="auto"/>
        <w:tabs>
          <w:tab w:pos="483" w:val="left"/>
        </w:tabs>
        <w:bidi w:val="0"/>
        <w:spacing w:before="0" w:line="240" w:lineRule="auto"/>
        <w:ind w:left="0" w:right="0" w:firstLine="0"/>
        <w:jc w:val="left"/>
      </w:pPr>
      <w:bookmarkStart w:id="1481" w:name="bookmark1481"/>
      <w:bookmarkStart w:id="1482" w:name="bookmark1482"/>
      <w:bookmarkStart w:id="1483" w:name="bookmark1483"/>
      <w:bookmarkStart w:id="1484" w:name="bookmark1484"/>
      <w:r>
        <w:rPr>
          <w:color w:val="000000"/>
          <w:spacing w:val="0"/>
          <w:w w:val="100"/>
          <w:position w:val="0"/>
        </w:rPr>
        <w:t>（</w:t>
      </w:r>
      <w:bookmarkEnd w:id="1483"/>
      <w:r>
        <w:rPr>
          <w:rFonts w:ascii="Times New Roman" w:eastAsia="Times New Roman" w:hAnsi="Times New Roman" w:cs="Times New Roman"/>
          <w:color w:val="000000"/>
          <w:spacing w:val="0"/>
          <w:w w:val="100"/>
          <w:position w:val="0"/>
        </w:rPr>
        <w:t>5</w:t>
      </w:r>
      <w:r>
        <w:rPr>
          <w:color w:val="000000"/>
          <w:spacing w:val="0"/>
          <w:w w:val="100"/>
          <w:position w:val="0"/>
        </w:rPr>
        <w:t>）</w:t>
        <w:tab/>
        <w:t>未确认递延所得税资产的可抵扣亏损将于以下年度到期</w:t>
      </w:r>
      <w:bookmarkEnd w:id="1481"/>
      <w:bookmarkEnd w:id="1482"/>
      <w:bookmarkEnd w:id="1484"/>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78" w:val="left"/>
        </w:tabs>
        <w:bidi w:val="0"/>
        <w:spacing w:before="0" w:after="380" w:line="240" w:lineRule="auto"/>
        <w:ind w:left="0" w:right="0" w:firstLine="0"/>
        <w:jc w:val="left"/>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3</w:t>
      </w:r>
      <w:bookmarkEnd w:id="1487"/>
      <w:r>
        <w:rPr>
          <w:rFonts w:ascii="Times New Roman" w:eastAsia="Times New Roman" w:hAnsi="Times New Roman" w:cs="Times New Roman"/>
          <w:color w:val="000000"/>
          <w:spacing w:val="0"/>
          <w:w w:val="100"/>
          <w:position w:val="0"/>
        </w:rPr>
        <w:t>1</w:t>
      </w:r>
      <w:r>
        <w:rPr>
          <w:color w:val="000000"/>
          <w:spacing w:val="0"/>
          <w:w w:val="100"/>
          <w:position w:val="0"/>
        </w:rPr>
        <w:t>、</w:t>
        <w:tab/>
        <w:t>其他非流动资产</w:t>
      </w:r>
      <w:bookmarkEnd w:id="1485"/>
      <w:bookmarkEnd w:id="1486"/>
      <w:bookmarkEnd w:id="1488"/>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78" w:val="left"/>
        </w:tabs>
        <w:bidi w:val="0"/>
        <w:spacing w:before="0" w:after="380" w:line="240" w:lineRule="auto"/>
        <w:ind w:left="0" w:right="0" w:firstLine="0"/>
        <w:jc w:val="left"/>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3</w:t>
      </w:r>
      <w:bookmarkEnd w:id="1491"/>
      <w:r>
        <w:rPr>
          <w:rFonts w:ascii="Times New Roman" w:eastAsia="Times New Roman" w:hAnsi="Times New Roman" w:cs="Times New Roman"/>
          <w:color w:val="000000"/>
          <w:spacing w:val="0"/>
          <w:w w:val="100"/>
          <w:position w:val="0"/>
        </w:rPr>
        <w:t>2</w:t>
      </w:r>
      <w:r>
        <w:rPr>
          <w:color w:val="000000"/>
          <w:spacing w:val="0"/>
          <w:w w:val="100"/>
          <w:position w:val="0"/>
        </w:rPr>
        <w:t>、</w:t>
        <w:tab/>
        <w:t>短期借款</w:t>
      </w:r>
      <w:bookmarkEnd w:id="1489"/>
      <w:bookmarkEnd w:id="1490"/>
      <w:bookmarkEnd w:id="1492"/>
    </w:p>
    <w:p>
      <w:pPr>
        <w:pStyle w:val="Style61"/>
        <w:keepNext/>
        <w:keepLines/>
        <w:widowControl w:val="0"/>
        <w:shd w:val="clear" w:color="auto" w:fill="auto"/>
        <w:bidi w:val="0"/>
        <w:spacing w:before="0" w:line="240" w:lineRule="auto"/>
        <w:ind w:left="0" w:right="0" w:firstLine="0"/>
        <w:jc w:val="left"/>
      </w:pPr>
      <w:bookmarkStart w:id="1493" w:name="bookmark1493"/>
      <w:bookmarkStart w:id="1494" w:name="bookmark1494"/>
      <w:bookmarkStart w:id="1495" w:name="bookmark14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93"/>
      <w:bookmarkEnd w:id="1494"/>
      <w:bookmarkEnd w:id="1495"/>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32,816267.00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14,922,028.75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2,883,589247.88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2,791,833,739.68</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2,916,405,514.88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2,806,755,768.43</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短期借款分类的说明：</w:t>
      </w:r>
    </w:p>
    <w:p>
      <w:pPr>
        <w:pStyle w:val="Style18"/>
        <w:keepNext w:val="0"/>
        <w:keepLines w:val="0"/>
        <w:widowControl w:val="0"/>
        <w:shd w:val="clear" w:color="auto" w:fill="auto"/>
        <w:bidi w:val="0"/>
        <w:spacing w:before="0" w:after="660" w:line="240" w:lineRule="auto"/>
        <w:ind w:left="0" w:right="0" w:firstLine="0"/>
        <w:jc w:val="left"/>
      </w:pPr>
      <w:r>
        <w:rPr>
          <w:color w:val="000000"/>
          <w:spacing w:val="0"/>
          <w:w w:val="100"/>
          <w:position w:val="0"/>
        </w:rPr>
        <w:t>详见本附注</w:t>
      </w:r>
      <w:r>
        <w:rPr>
          <w:rFonts w:ascii="Times New Roman" w:eastAsia="Times New Roman" w:hAnsi="Times New Roman" w:cs="Times New Roman"/>
          <w:color w:val="000000"/>
          <w:spacing w:val="0"/>
          <w:w w:val="100"/>
          <w:position w:val="0"/>
        </w:rPr>
        <w:t>“</w:t>
      </w:r>
      <w:r>
        <w:rPr>
          <w:color w:val="000000"/>
          <w:spacing w:val="0"/>
          <w:w w:val="100"/>
          <w:position w:val="0"/>
        </w:rPr>
        <w:t>七、</w:t>
      </w: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r>
        <w:rPr>
          <w:rFonts w:ascii="Times New Roman" w:eastAsia="Times New Roman" w:hAnsi="Times New Roman" w:cs="Times New Roman"/>
          <w:color w:val="000000"/>
          <w:spacing w:val="0"/>
          <w:w w:val="100"/>
          <w:position w:val="0"/>
        </w:rPr>
        <w:t>”</w:t>
      </w:r>
    </w:p>
    <w:p>
      <w:pPr>
        <w:pStyle w:val="Style61"/>
        <w:keepNext/>
        <w:keepLines/>
        <w:widowControl w:val="0"/>
        <w:shd w:val="clear" w:color="auto" w:fill="auto"/>
        <w:bidi w:val="0"/>
        <w:spacing w:before="0" w:line="240" w:lineRule="auto"/>
        <w:ind w:left="0" w:right="0" w:firstLine="0"/>
        <w:jc w:val="left"/>
      </w:pPr>
      <w:bookmarkStart w:id="1496" w:name="bookmark1496"/>
      <w:bookmarkStart w:id="1497" w:name="bookmark1497"/>
      <w:bookmarkStart w:id="1498" w:name="bookmark149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496"/>
      <w:bookmarkEnd w:id="1497"/>
      <w:bookmarkEnd w:id="1498"/>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3</w:t>
      </w:r>
      <w:bookmarkEnd w:id="1501"/>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499"/>
      <w:bookmarkEnd w:id="1500"/>
      <w:bookmarkEnd w:id="1502"/>
    </w:p>
    <w:p>
      <w:pPr>
        <w:pStyle w:val="Style33"/>
        <w:keepNext/>
        <w:keepLines/>
        <w:widowControl w:val="0"/>
        <w:shd w:val="clear" w:color="auto" w:fill="auto"/>
        <w:tabs>
          <w:tab w:pos="478" w:val="left"/>
        </w:tabs>
        <w:bidi w:val="0"/>
        <w:spacing w:before="0" w:after="380" w:line="240" w:lineRule="auto"/>
        <w:ind w:left="0" w:right="0" w:firstLine="0"/>
        <w:jc w:val="left"/>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3</w:t>
      </w:r>
      <w:bookmarkEnd w:id="1505"/>
      <w:r>
        <w:rPr>
          <w:rFonts w:ascii="Times New Roman" w:eastAsia="Times New Roman" w:hAnsi="Times New Roman" w:cs="Times New Roman"/>
          <w:color w:val="000000"/>
          <w:spacing w:val="0"/>
          <w:w w:val="100"/>
          <w:position w:val="0"/>
        </w:rPr>
        <w:t>4</w:t>
      </w:r>
      <w:r>
        <w:rPr>
          <w:color w:val="000000"/>
          <w:spacing w:val="0"/>
          <w:w w:val="100"/>
          <w:position w:val="0"/>
        </w:rPr>
        <w:t>、</w:t>
        <w:tab/>
        <w:t>衍生金融负债</w:t>
      </w:r>
      <w:bookmarkEnd w:id="1503"/>
      <w:bookmarkEnd w:id="1504"/>
      <w:bookmarkEnd w:id="1506"/>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78" w:val="left"/>
        </w:tabs>
        <w:bidi w:val="0"/>
        <w:spacing w:before="0" w:after="380" w:line="240" w:lineRule="auto"/>
        <w:ind w:left="0" w:right="0" w:firstLine="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3</w:t>
      </w:r>
      <w:bookmarkEnd w:id="1509"/>
      <w:r>
        <w:rPr>
          <w:rFonts w:ascii="Times New Roman" w:eastAsia="Times New Roman" w:hAnsi="Times New Roman" w:cs="Times New Roman"/>
          <w:color w:val="000000"/>
          <w:spacing w:val="0"/>
          <w:w w:val="100"/>
          <w:position w:val="0"/>
        </w:rPr>
        <w:t>5</w:t>
      </w:r>
      <w:r>
        <w:rPr>
          <w:color w:val="000000"/>
          <w:spacing w:val="0"/>
          <w:w w:val="100"/>
          <w:position w:val="0"/>
        </w:rPr>
        <w:t>、</w:t>
        <w:tab/>
        <w:t>应付票据</w:t>
      </w:r>
      <w:bookmarkEnd w:id="1507"/>
      <w:bookmarkEnd w:id="1508"/>
      <w:bookmarkEnd w:id="151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种类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34,628,464.39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119,613,784.71</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34,628,464.39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119,613,784.71</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keepLines/>
        <w:widowControl w:val="0"/>
        <w:shd w:val="clear" w:color="auto" w:fill="auto"/>
        <w:bidi w:val="0"/>
        <w:spacing w:before="0" w:after="380" w:line="240" w:lineRule="auto"/>
        <w:ind w:left="0" w:right="0" w:firstLine="0"/>
        <w:jc w:val="left"/>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3</w:t>
      </w:r>
      <w:bookmarkEnd w:id="1513"/>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511"/>
      <w:bookmarkEnd w:id="1512"/>
      <w:bookmarkEnd w:id="1514"/>
    </w:p>
    <w:p>
      <w:pPr>
        <w:pStyle w:val="Style61"/>
        <w:keepNext/>
        <w:keepLines/>
        <w:widowControl w:val="0"/>
        <w:shd w:val="clear" w:color="auto" w:fill="auto"/>
        <w:bidi w:val="0"/>
        <w:spacing w:before="0" w:line="240" w:lineRule="auto"/>
        <w:ind w:left="0" w:right="0" w:firstLine="0"/>
        <w:jc w:val="left"/>
      </w:pPr>
      <w:bookmarkStart w:id="1515" w:name="bookmark1515"/>
      <w:bookmarkStart w:id="1516" w:name="bookmark1516"/>
      <w:bookmarkStart w:id="1517" w:name="bookmark15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515"/>
      <w:bookmarkEnd w:id="1516"/>
      <w:bookmarkEnd w:id="151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应付采购款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422,769,895.75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427,635,379.16</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422,769,895.75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427,635,379.16</w:t>
            </w:r>
          </w:p>
        </w:tc>
      </w:tr>
    </w:tbl>
    <w:p>
      <w:pPr>
        <w:widowControl w:val="0"/>
        <w:spacing w:after="379" w:line="1" w:lineRule="exact"/>
      </w:pPr>
    </w:p>
    <w:p>
      <w:pPr>
        <w:pStyle w:val="Style61"/>
        <w:keepNext/>
        <w:keepLines/>
        <w:widowControl w:val="0"/>
        <w:shd w:val="clear" w:color="auto" w:fill="auto"/>
        <w:bidi w:val="0"/>
        <w:spacing w:before="0" w:line="240" w:lineRule="auto"/>
        <w:ind w:left="0" w:right="0" w:firstLine="0"/>
        <w:jc w:val="left"/>
      </w:pPr>
      <w:bookmarkStart w:id="1518" w:name="bookmark1518"/>
      <w:bookmarkStart w:id="1519" w:name="bookmark1519"/>
      <w:bookmarkStart w:id="1520" w:name="bookmark15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18"/>
      <w:bookmarkEnd w:id="1519"/>
      <w:bookmarkEnd w:id="1520"/>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78" w:val="left"/>
        </w:tabs>
        <w:bidi w:val="0"/>
        <w:spacing w:before="0" w:after="380" w:line="240" w:lineRule="auto"/>
        <w:ind w:left="0" w:right="0" w:firstLine="0"/>
        <w:jc w:val="left"/>
      </w:pPr>
      <w:bookmarkStart w:id="1521" w:name="bookmark1521"/>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3</w:t>
      </w:r>
      <w:bookmarkEnd w:id="1523"/>
      <w:r>
        <w:rPr>
          <w:rFonts w:ascii="Times New Roman" w:eastAsia="Times New Roman" w:hAnsi="Times New Roman" w:cs="Times New Roman"/>
          <w:color w:val="000000"/>
          <w:spacing w:val="0"/>
          <w:w w:val="100"/>
          <w:position w:val="0"/>
        </w:rPr>
        <w:t>7</w:t>
      </w:r>
      <w:r>
        <w:rPr>
          <w:color w:val="000000"/>
          <w:spacing w:val="0"/>
          <w:w w:val="100"/>
          <w:position w:val="0"/>
        </w:rPr>
        <w:t>、</w:t>
        <w:tab/>
        <w:t>预收款项</w:t>
      </w:r>
      <w:bookmarkEnd w:id="1521"/>
      <w:bookmarkEnd w:id="1522"/>
      <w:bookmarkEnd w:id="1524"/>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78" w:val="left"/>
        </w:tabs>
        <w:bidi w:val="0"/>
        <w:spacing w:before="0" w:after="380" w:line="240" w:lineRule="auto"/>
        <w:ind w:left="0" w:right="0" w:firstLine="0"/>
        <w:jc w:val="left"/>
      </w:pPr>
      <w:bookmarkStart w:id="1525" w:name="bookmark1525"/>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3</w:t>
      </w:r>
      <w:bookmarkEnd w:id="1527"/>
      <w:r>
        <w:rPr>
          <w:rFonts w:ascii="Times New Roman" w:eastAsia="Times New Roman" w:hAnsi="Times New Roman" w:cs="Times New Roman"/>
          <w:color w:val="000000"/>
          <w:spacing w:val="0"/>
          <w:w w:val="100"/>
          <w:position w:val="0"/>
        </w:rPr>
        <w:t>8</w:t>
      </w:r>
      <w:r>
        <w:rPr>
          <w:color w:val="000000"/>
          <w:spacing w:val="0"/>
          <w:w w:val="100"/>
          <w:position w:val="0"/>
        </w:rPr>
        <w:t>、</w:t>
        <w:tab/>
        <w:t>合同负债</w:t>
      </w:r>
      <w:bookmarkEnd w:id="1525"/>
      <w:bookmarkEnd w:id="1526"/>
      <w:bookmarkEnd w:id="152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预收销货款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1,447,523,006.70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1,493,704,048.29</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1,447,523,006.70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1,493,704,048.29</w:t>
            </w:r>
          </w:p>
        </w:tc>
      </w:tr>
    </w:tbl>
    <w:p>
      <w:pPr>
        <w:widowControl w:val="0"/>
        <w:spacing w:after="379" w:line="1" w:lineRule="exact"/>
      </w:pPr>
    </w:p>
    <w:p>
      <w:pPr>
        <w:pStyle w:val="Style33"/>
        <w:keepNext/>
        <w:keepLines/>
        <w:widowControl w:val="0"/>
        <w:shd w:val="clear" w:color="auto" w:fill="auto"/>
        <w:bidi w:val="0"/>
        <w:spacing w:before="0" w:after="380" w:line="240" w:lineRule="auto"/>
        <w:ind w:left="0" w:right="0" w:firstLine="0"/>
        <w:jc w:val="left"/>
      </w:pPr>
      <w:bookmarkStart w:id="1529" w:name="bookmark1529"/>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rPr>
        <w:t>3</w:t>
      </w:r>
      <w:bookmarkEnd w:id="1531"/>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529"/>
      <w:bookmarkEnd w:id="1530"/>
      <w:bookmarkEnd w:id="1532"/>
    </w:p>
    <w:p>
      <w:pPr>
        <w:pStyle w:val="Style61"/>
        <w:keepNext/>
        <w:keepLines/>
        <w:widowControl w:val="0"/>
        <w:shd w:val="clear" w:color="auto" w:fill="auto"/>
        <w:bidi w:val="0"/>
        <w:spacing w:before="0" w:line="240" w:lineRule="auto"/>
        <w:ind w:left="0" w:right="0" w:firstLine="0"/>
        <w:jc w:val="left"/>
      </w:pPr>
      <w:bookmarkStart w:id="1533" w:name="bookmark1533"/>
      <w:bookmarkStart w:id="1534" w:name="bookmark1534"/>
      <w:bookmarkStart w:id="1535" w:name="bookmark15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33"/>
      <w:bookmarkEnd w:id="1534"/>
      <w:bookmarkEnd w:id="1535"/>
    </w:p>
    <w:p>
      <w:pPr>
        <w:pStyle w:val="Style2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25"/>
        <w:gridCol w:w="1915"/>
        <w:gridCol w:w="1915"/>
        <w:gridCol w:w="193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1,483,154.19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1,530,852,640.48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1,530,453,344.30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1,882,450.37</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59242.94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155,892,241.14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155,908,970.17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42,513.91</w:t>
            </w:r>
          </w:p>
        </w:tc>
      </w:tr>
      <w:tr>
        <w:trPr>
          <w:trHeight w:val="42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1,542,397.13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1,686,744,881.62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1,686,362,314.47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1,924,964.28</w:t>
            </w:r>
          </w:p>
        </w:tc>
      </w:tr>
    </w:tbl>
    <w:p>
      <w:pPr>
        <w:widowControl w:val="0"/>
        <w:spacing w:after="319" w:line="1" w:lineRule="exact"/>
      </w:pPr>
    </w:p>
    <w:p>
      <w:pPr>
        <w:pStyle w:val="Style61"/>
        <w:keepNext/>
        <w:keepLines/>
        <w:widowControl w:val="0"/>
        <w:shd w:val="clear" w:color="auto" w:fill="auto"/>
        <w:bidi w:val="0"/>
        <w:spacing w:before="0" w:line="240" w:lineRule="auto"/>
        <w:ind w:left="0" w:right="0" w:firstLine="0"/>
        <w:jc w:val="left"/>
      </w:pPr>
      <w:bookmarkStart w:id="1536" w:name="bookmark1536"/>
      <w:bookmarkStart w:id="1537" w:name="bookmark1537"/>
      <w:bookmarkStart w:id="1538" w:name="bookmark153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36"/>
      <w:bookmarkEnd w:id="1537"/>
      <w:bookmarkEnd w:id="1538"/>
    </w:p>
    <w:p>
      <w:pPr>
        <w:pStyle w:val="Style2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920"/>
        <w:gridCol w:w="1920"/>
        <w:gridCol w:w="1920"/>
        <w:gridCol w:w="1910"/>
        <w:gridCol w:w="1934"/>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1,445,910.70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1,331,858,322.26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1,331,433,142.74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1,871,090.22</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12,809,175.99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12,809,175.99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14,835.49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94,516,591.41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94,523,699.75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7,727.15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12,530.31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90,269,041.92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90,276,150.26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5,421.97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1,857,946.08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1,857,946.08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510.90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1,849,078.53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1,849,078.53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1,794.28</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540,524.88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540,524.88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22,408.00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89,187,135.81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89,205,910.81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3,633.00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2,481,415.01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2,481,415.01</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1,483,154.19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1,530,852,640.48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1,530,453,344.30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1,882,450.37</w:t>
            </w:r>
          </w:p>
        </w:tc>
      </w:tr>
    </w:tbl>
    <w:p>
      <w:pPr>
        <w:widowControl w:val="0"/>
        <w:spacing w:after="319" w:line="1" w:lineRule="exact"/>
      </w:pPr>
    </w:p>
    <w:p>
      <w:pPr>
        <w:pStyle w:val="Style61"/>
        <w:keepNext/>
        <w:keepLines/>
        <w:widowControl w:val="0"/>
        <w:numPr>
          <w:ilvl w:val="0"/>
          <w:numId w:val="31"/>
        </w:numPr>
        <w:shd w:val="clear" w:color="auto" w:fill="auto"/>
        <w:bidi w:val="0"/>
        <w:spacing w:before="0" w:line="240" w:lineRule="auto"/>
        <w:ind w:left="0" w:right="0" w:firstLine="0"/>
        <w:jc w:val="left"/>
      </w:pPr>
      <w:bookmarkStart w:id="1539" w:name="bookmark1539"/>
      <w:bookmarkStart w:id="1540" w:name="bookmark1540"/>
      <w:bookmarkStart w:id="1541" w:name="bookmark1541"/>
      <w:bookmarkStart w:id="1542" w:name="bookmark1542"/>
      <w:bookmarkEnd w:id="1541"/>
      <w:r>
        <w:rPr>
          <w:color w:val="000000"/>
          <w:spacing w:val="0"/>
          <w:w w:val="100"/>
          <w:position w:val="0"/>
        </w:rPr>
        <w:t>设定提存计划列示</w:t>
      </w:r>
      <w:bookmarkEnd w:id="1539"/>
      <w:bookmarkEnd w:id="1540"/>
      <w:bookmarkEnd w:id="1542"/>
    </w:p>
    <w:p>
      <w:pPr>
        <w:pStyle w:val="Style2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920"/>
        <w:gridCol w:w="1925"/>
        <w:gridCol w:w="1915"/>
        <w:gridCol w:w="1915"/>
        <w:gridCol w:w="1930"/>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55,050.02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151,078,965.35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151,093,904.93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40,110.44</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4,813,275.79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4,815,065.24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2,403.47</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59242.94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155,892,241.14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155,908,970.17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42,513.91</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543" w:name="bookmark1543"/>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4</w:t>
      </w:r>
      <w:bookmarkEnd w:id="1545"/>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543"/>
      <w:bookmarkEnd w:id="1544"/>
      <w:bookmarkEnd w:id="154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74,730,901.33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55,422,015.57</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7,869,458.74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5,478,100.88</w:t>
            </w:r>
          </w:p>
        </w:tc>
      </w:tr>
    </w:tbl>
    <w:p>
      <w:pPr>
        <w:widowControl w:val="0"/>
        <w:spacing w:line="1" w:lineRule="exact"/>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61,026,180.01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59,801,783.08</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4,074,954.65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1,560,378.13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1,530,904.84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786,404.80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2,945,474.78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965,971.15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35,774.60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152,606.48</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152,211,527.95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124,203,034.69</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both"/>
      </w:pPr>
      <w:bookmarkStart w:id="1547" w:name="bookmark1547"/>
      <w:bookmarkStart w:id="1548" w:name="bookmark1548"/>
      <w:bookmarkStart w:id="1549" w:name="bookmark1549"/>
      <w:bookmarkStart w:id="1550" w:name="bookmark1550"/>
      <w:r>
        <w:rPr>
          <w:rFonts w:ascii="Times New Roman" w:eastAsia="Times New Roman" w:hAnsi="Times New Roman" w:cs="Times New Roman"/>
          <w:color w:val="000000"/>
          <w:spacing w:val="0"/>
          <w:w w:val="100"/>
          <w:position w:val="0"/>
        </w:rPr>
        <w:t>4</w:t>
      </w:r>
      <w:bookmarkEnd w:id="1549"/>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47"/>
      <w:bookmarkEnd w:id="1548"/>
      <w:bookmarkEnd w:id="155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2,351,825.34</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93,082,781.66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97,162,487.32</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93,082,781.66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99,514,312.66</w:t>
            </w:r>
          </w:p>
        </w:tc>
      </w:tr>
    </w:tbl>
    <w:p>
      <w:pPr>
        <w:widowControl w:val="0"/>
        <w:spacing w:after="319" w:line="1" w:lineRule="exact"/>
      </w:pPr>
    </w:p>
    <w:p>
      <w:pPr>
        <w:pStyle w:val="Style61"/>
        <w:keepNext/>
        <w:keepLines/>
        <w:widowControl w:val="0"/>
        <w:shd w:val="clear" w:color="auto" w:fill="auto"/>
        <w:bidi w:val="0"/>
        <w:spacing w:before="0" w:line="240" w:lineRule="auto"/>
        <w:ind w:left="0" w:right="0" w:firstLine="0"/>
        <w:jc w:val="both"/>
      </w:pPr>
      <w:bookmarkStart w:id="1551" w:name="bookmark1551"/>
      <w:bookmarkStart w:id="1552" w:name="bookmark1552"/>
      <w:bookmarkStart w:id="1553" w:name="bookmark15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551"/>
      <w:bookmarkEnd w:id="1552"/>
      <w:bookmarkEnd w:id="1553"/>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其他借款利息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2,351,825.34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2,351,825.34</w:t>
            </w:r>
          </w:p>
        </w:tc>
      </w:tr>
    </w:tbl>
    <w:p>
      <w:pPr>
        <w:widowControl w:val="0"/>
        <w:spacing w:after="319" w:line="1" w:lineRule="exact"/>
      </w:pPr>
    </w:p>
    <w:p>
      <w:pPr>
        <w:pStyle w:val="Style61"/>
        <w:keepNext/>
        <w:keepLines/>
        <w:widowControl w:val="0"/>
        <w:shd w:val="clear" w:color="auto" w:fill="auto"/>
        <w:tabs>
          <w:tab w:pos="483" w:val="left"/>
        </w:tabs>
        <w:bidi w:val="0"/>
        <w:spacing w:before="0" w:line="240" w:lineRule="auto"/>
        <w:ind w:left="0" w:right="0" w:firstLine="0"/>
        <w:jc w:val="left"/>
      </w:pPr>
      <w:bookmarkStart w:id="1554" w:name="bookmark1554"/>
      <w:bookmarkStart w:id="1555" w:name="bookmark1555"/>
      <w:bookmarkStart w:id="1556" w:name="bookmark1556"/>
      <w:bookmarkStart w:id="1557" w:name="bookmark1557"/>
      <w:r>
        <w:rPr>
          <w:color w:val="000000"/>
          <w:spacing w:val="0"/>
          <w:w w:val="100"/>
          <w:position w:val="0"/>
        </w:rPr>
        <w:t>（</w:t>
      </w:r>
      <w:bookmarkEnd w:id="1556"/>
      <w:r>
        <w:rPr>
          <w:rFonts w:ascii="Times New Roman" w:eastAsia="Times New Roman" w:hAnsi="Times New Roman" w:cs="Times New Roman"/>
          <w:color w:val="000000"/>
          <w:spacing w:val="0"/>
          <w:w w:val="100"/>
          <w:position w:val="0"/>
        </w:rPr>
        <w:t>2</w:t>
      </w:r>
      <w:r>
        <w:rPr>
          <w:color w:val="000000"/>
          <w:spacing w:val="0"/>
          <w:w w:val="100"/>
          <w:position w:val="0"/>
        </w:rPr>
        <w:t>）</w:t>
        <w:tab/>
        <w:t>应付股利</w:t>
      </w:r>
      <w:bookmarkEnd w:id="1554"/>
      <w:bookmarkEnd w:id="1555"/>
      <w:bookmarkEnd w:id="1557"/>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61"/>
        <w:keepNext/>
        <w:keepLines/>
        <w:widowControl w:val="0"/>
        <w:shd w:val="clear" w:color="auto" w:fill="auto"/>
        <w:tabs>
          <w:tab w:pos="483" w:val="left"/>
        </w:tabs>
        <w:bidi w:val="0"/>
        <w:spacing w:before="0" w:line="240" w:lineRule="auto"/>
        <w:ind w:left="0" w:right="0" w:firstLine="0"/>
        <w:jc w:val="left"/>
      </w:pPr>
      <w:bookmarkStart w:id="1558" w:name="bookmark1558"/>
      <w:bookmarkStart w:id="1559" w:name="bookmark1559"/>
      <w:bookmarkStart w:id="1560" w:name="bookmark1560"/>
      <w:bookmarkStart w:id="1561" w:name="bookmark1561"/>
      <w:r>
        <w:rPr>
          <w:color w:val="000000"/>
          <w:spacing w:val="0"/>
          <w:w w:val="100"/>
          <w:position w:val="0"/>
        </w:rPr>
        <w:t>（</w:t>
      </w:r>
      <w:bookmarkEnd w:id="1560"/>
      <w:r>
        <w:rPr>
          <w:rFonts w:ascii="Times New Roman" w:eastAsia="Times New Roman" w:hAnsi="Times New Roman" w:cs="Times New Roman"/>
          <w:color w:val="000000"/>
          <w:spacing w:val="0"/>
          <w:w w:val="100"/>
          <w:position w:val="0"/>
        </w:rPr>
        <w:t>3</w:t>
      </w:r>
      <w:r>
        <w:rPr>
          <w:color w:val="000000"/>
          <w:spacing w:val="0"/>
          <w:w w:val="100"/>
          <w:position w:val="0"/>
        </w:rPr>
        <w:t>）</w:t>
        <w:tab/>
        <w:t>其他应付款</w:t>
      </w:r>
      <w:bookmarkEnd w:id="1558"/>
      <w:bookmarkEnd w:id="1559"/>
      <w:bookmarkEnd w:id="1561"/>
    </w:p>
    <w:p>
      <w:pPr>
        <w:pStyle w:val="Style92"/>
        <w:keepNext/>
        <w:keepLines/>
        <w:widowControl w:val="0"/>
        <w:shd w:val="clear" w:color="auto" w:fill="auto"/>
        <w:bidi w:val="0"/>
        <w:spacing w:before="0" w:line="240" w:lineRule="auto"/>
        <w:ind w:left="0" w:right="0" w:firstLine="0"/>
        <w:jc w:val="left"/>
      </w:pPr>
      <w:bookmarkStart w:id="1562" w:name="bookmark1562"/>
      <w:bookmarkStart w:id="1563" w:name="bookmark1563"/>
      <w:bookmarkStart w:id="1564" w:name="bookmark1564"/>
      <w:bookmarkStart w:id="1565" w:name="bookmark1565"/>
      <w:r>
        <w:rPr>
          <w:rFonts w:ascii="Times New Roman" w:eastAsia="Times New Roman" w:hAnsi="Times New Roman" w:cs="Times New Roman"/>
          <w:color w:val="000000"/>
          <w:spacing w:val="0"/>
          <w:w w:val="100"/>
          <w:position w:val="0"/>
        </w:rPr>
        <w:t>1</w:t>
      </w:r>
      <w:bookmarkEnd w:id="1564"/>
      <w:r>
        <w:rPr>
          <w:color w:val="000000"/>
          <w:spacing w:val="0"/>
          <w:w w:val="100"/>
          <w:position w:val="0"/>
        </w:rPr>
        <w:t>）按款项性质列示其他应付款</w:t>
      </w:r>
      <w:bookmarkEnd w:id="1562"/>
      <w:bookmarkEnd w:id="1563"/>
      <w:bookmarkEnd w:id="1565"/>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科技三项经费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3,299,570.40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3,201,670.40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89,783,211.26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93,960,816.92</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93,082,781.66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97,162,487.32</w:t>
            </w:r>
          </w:p>
        </w:tc>
      </w:tr>
    </w:tbl>
    <w:p>
      <w:pPr>
        <w:pStyle w:val="Style92"/>
        <w:keepNext/>
        <w:keepLines/>
        <w:widowControl w:val="0"/>
        <w:shd w:val="clear" w:color="auto" w:fill="auto"/>
        <w:bidi w:val="0"/>
        <w:spacing w:before="0" w:line="240" w:lineRule="auto"/>
        <w:ind w:left="0" w:right="0" w:firstLine="0"/>
        <w:jc w:val="left"/>
      </w:pPr>
      <w:bookmarkStart w:id="1566" w:name="bookmark1566"/>
      <w:bookmarkStart w:id="1567" w:name="bookmark1567"/>
      <w:bookmarkStart w:id="1568" w:name="bookmark1568"/>
      <w:bookmarkStart w:id="1569" w:name="bookmark1569"/>
      <w:r>
        <w:rPr>
          <w:rFonts w:ascii="Times New Roman" w:eastAsia="Times New Roman" w:hAnsi="Times New Roman" w:cs="Times New Roman"/>
          <w:color w:val="000000"/>
          <w:spacing w:val="0"/>
          <w:w w:val="100"/>
          <w:position w:val="0"/>
        </w:rPr>
        <w:t>2</w:t>
      </w:r>
      <w:bookmarkEnd w:id="1568"/>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66"/>
      <w:bookmarkEnd w:id="1567"/>
      <w:bookmarkEnd w:id="1569"/>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78" w:val="left"/>
        </w:tabs>
        <w:bidi w:val="0"/>
        <w:spacing w:before="0" w:after="380" w:line="240" w:lineRule="auto"/>
        <w:ind w:left="0" w:right="0" w:firstLine="0"/>
        <w:jc w:val="left"/>
      </w:pPr>
      <w:bookmarkStart w:id="1570" w:name="bookmark1570"/>
      <w:bookmarkStart w:id="1571" w:name="bookmark1571"/>
      <w:bookmarkStart w:id="1572" w:name="bookmark1572"/>
      <w:bookmarkStart w:id="1573" w:name="bookmark1573"/>
      <w:r>
        <w:rPr>
          <w:rFonts w:ascii="Times New Roman" w:eastAsia="Times New Roman" w:hAnsi="Times New Roman" w:cs="Times New Roman"/>
          <w:color w:val="000000"/>
          <w:spacing w:val="0"/>
          <w:w w:val="100"/>
          <w:position w:val="0"/>
        </w:rPr>
        <w:t>4</w:t>
      </w:r>
      <w:bookmarkEnd w:id="1572"/>
      <w:r>
        <w:rPr>
          <w:rFonts w:ascii="Times New Roman" w:eastAsia="Times New Roman" w:hAnsi="Times New Roman" w:cs="Times New Roman"/>
          <w:color w:val="000000"/>
          <w:spacing w:val="0"/>
          <w:w w:val="100"/>
          <w:position w:val="0"/>
        </w:rPr>
        <w:t>2</w:t>
      </w:r>
      <w:r>
        <w:rPr>
          <w:color w:val="000000"/>
          <w:spacing w:val="0"/>
          <w:w w:val="100"/>
          <w:position w:val="0"/>
        </w:rPr>
        <w:t>、</w:t>
        <w:tab/>
        <w:t>持有待售负债</w:t>
      </w:r>
      <w:bookmarkEnd w:id="1570"/>
      <w:bookmarkEnd w:id="1571"/>
      <w:bookmarkEnd w:id="1573"/>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78" w:val="left"/>
        </w:tabs>
        <w:bidi w:val="0"/>
        <w:spacing w:before="0" w:after="380" w:line="240" w:lineRule="auto"/>
        <w:ind w:left="0" w:right="0" w:firstLine="0"/>
        <w:jc w:val="left"/>
      </w:pPr>
      <w:bookmarkStart w:id="1574" w:name="bookmark1574"/>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4</w:t>
      </w:r>
      <w:bookmarkEnd w:id="1576"/>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bookmarkEnd w:id="1574"/>
      <w:bookmarkEnd w:id="1575"/>
      <w:bookmarkEnd w:id="1577"/>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2,002,658.34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159,159,102.47</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17,572,165.33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15,821,693.64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19,574,823.67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174,980,796.11</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20" w:line="240" w:lineRule="auto"/>
        <w:ind w:left="0" w:right="0" w:firstLine="0"/>
        <w:jc w:val="left"/>
      </w:pPr>
      <w:r>
        <w:rPr>
          <w:b/>
          <w:bCs/>
          <w:color w:val="000000"/>
          <w:spacing w:val="0"/>
          <w:w w:val="100"/>
          <w:position w:val="0"/>
        </w:rPr>
        <w:t>一年内到期的长期借款类别明细</w:t>
      </w:r>
    </w:p>
    <w:tbl>
      <w:tblPr>
        <w:tblOverlap w:val="never"/>
        <w:jc w:val="center"/>
        <w:tblLayout w:type="fixed"/>
      </w:tblPr>
      <w:tblGrid>
        <w:gridCol w:w="3946"/>
        <w:gridCol w:w="2774"/>
        <w:gridCol w:w="295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上年年末余额</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43,983,408.01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2,002,658.34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115,175,694.46</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2,002,658.34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159,159,102.47</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578" w:name="bookmark1578"/>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4</w:t>
      </w:r>
      <w:bookmarkEnd w:id="1580"/>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78"/>
      <w:bookmarkEnd w:id="1579"/>
      <w:bookmarkEnd w:id="1581"/>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待转销项税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92256212.59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73,796,301.71</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92256212.59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73,796,301.71</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582" w:name="bookmark1582"/>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4</w:t>
      </w:r>
      <w:bookmarkEnd w:id="1584"/>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582"/>
      <w:bookmarkEnd w:id="1583"/>
      <w:bookmarkEnd w:id="1585"/>
    </w:p>
    <w:p>
      <w:pPr>
        <w:pStyle w:val="Style61"/>
        <w:keepNext/>
        <w:keepLines/>
        <w:widowControl w:val="0"/>
        <w:shd w:val="clear" w:color="auto" w:fill="auto"/>
        <w:bidi w:val="0"/>
        <w:spacing w:before="0" w:line="240" w:lineRule="auto"/>
        <w:ind w:left="0" w:right="0" w:firstLine="0"/>
        <w:jc w:val="left"/>
      </w:pPr>
      <w:bookmarkStart w:id="1586" w:name="bookmark1586"/>
      <w:bookmarkStart w:id="1587" w:name="bookmark1587"/>
      <w:bookmarkStart w:id="1588" w:name="bookmark15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86"/>
      <w:bookmarkEnd w:id="1587"/>
      <w:bookmarkEnd w:id="1588"/>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22,012,100.00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33,019,832.22</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197,261,845.84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219,273,945.84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33,019,832.22</w:t>
            </w: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长期借款分类的说明: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注：保证情况详见本附注</w:t>
      </w:r>
      <w:r>
        <w:rPr>
          <w:rFonts w:ascii="Times New Roman" w:eastAsia="Times New Roman" w:hAnsi="Times New Roman" w:cs="Times New Roman"/>
          <w:color w:val="000000"/>
          <w:spacing w:val="0"/>
          <w:w w:val="100"/>
          <w:position w:val="0"/>
        </w:rPr>
        <w:t>“</w:t>
      </w:r>
      <w:r>
        <w:rPr>
          <w:color w:val="000000"/>
          <w:spacing w:val="0"/>
          <w:w w:val="100"/>
          <w:position w:val="0"/>
        </w:rPr>
        <w:t>十二、</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）、关联担保情况</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3"/>
        <w:keepNext/>
        <w:keepLines/>
        <w:widowControl w:val="0"/>
        <w:shd w:val="clear" w:color="auto" w:fill="auto"/>
        <w:tabs>
          <w:tab w:pos="478" w:val="left"/>
        </w:tabs>
        <w:bidi w:val="0"/>
        <w:spacing w:before="0" w:after="380" w:line="240" w:lineRule="auto"/>
        <w:ind w:left="0" w:right="0" w:firstLine="0"/>
        <w:jc w:val="left"/>
      </w:pPr>
      <w:bookmarkStart w:id="1589" w:name="bookmark1589"/>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4</w:t>
      </w:r>
      <w:bookmarkEnd w:id="1591"/>
      <w:r>
        <w:rPr>
          <w:rFonts w:ascii="Times New Roman" w:eastAsia="Times New Roman" w:hAnsi="Times New Roman" w:cs="Times New Roman"/>
          <w:color w:val="000000"/>
          <w:spacing w:val="0"/>
          <w:w w:val="100"/>
          <w:position w:val="0"/>
        </w:rPr>
        <w:t>6</w:t>
      </w:r>
      <w:r>
        <w:rPr>
          <w:color w:val="000000"/>
          <w:spacing w:val="0"/>
          <w:w w:val="100"/>
          <w:position w:val="0"/>
        </w:rPr>
        <w:t>、</w:t>
        <w:tab/>
        <w:t>应付债券</w:t>
      </w:r>
      <w:bookmarkEnd w:id="1589"/>
      <w:bookmarkEnd w:id="1590"/>
      <w:bookmarkEnd w:id="1592"/>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78" w:val="left"/>
        </w:tabs>
        <w:bidi w:val="0"/>
        <w:spacing w:before="0" w:after="380" w:line="240" w:lineRule="auto"/>
        <w:ind w:left="0" w:right="0" w:firstLine="0"/>
        <w:jc w:val="left"/>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4</w:t>
      </w:r>
      <w:bookmarkEnd w:id="1595"/>
      <w:r>
        <w:rPr>
          <w:rFonts w:ascii="Times New Roman" w:eastAsia="Times New Roman" w:hAnsi="Times New Roman" w:cs="Times New Roman"/>
          <w:color w:val="000000"/>
          <w:spacing w:val="0"/>
          <w:w w:val="100"/>
          <w:position w:val="0"/>
        </w:rPr>
        <w:t>7</w:t>
      </w:r>
      <w:r>
        <w:rPr>
          <w:color w:val="000000"/>
          <w:spacing w:val="0"/>
          <w:w w:val="100"/>
          <w:position w:val="0"/>
        </w:rPr>
        <w:t>、</w:t>
        <w:tab/>
        <w:t>租赁负债</w:t>
      </w:r>
      <w:bookmarkEnd w:id="1593"/>
      <w:bookmarkEnd w:id="1594"/>
      <w:bookmarkEnd w:id="1596"/>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租赁付款额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59,509,120.32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64,026,495.40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59,509,120.32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64,026,495.40</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78" w:val="left"/>
        </w:tabs>
        <w:bidi w:val="0"/>
        <w:spacing w:before="0" w:after="380" w:line="240" w:lineRule="auto"/>
        <w:ind w:left="0" w:right="0" w:firstLine="0"/>
        <w:jc w:val="left"/>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4</w:t>
      </w:r>
      <w:bookmarkEnd w:id="1599"/>
      <w:r>
        <w:rPr>
          <w:rFonts w:ascii="Times New Roman" w:eastAsia="Times New Roman" w:hAnsi="Times New Roman" w:cs="Times New Roman"/>
          <w:color w:val="000000"/>
          <w:spacing w:val="0"/>
          <w:w w:val="100"/>
          <w:position w:val="0"/>
        </w:rPr>
        <w:t>8</w:t>
      </w:r>
      <w:r>
        <w:rPr>
          <w:color w:val="000000"/>
          <w:spacing w:val="0"/>
          <w:w w:val="100"/>
          <w:position w:val="0"/>
        </w:rPr>
        <w:t>、</w:t>
        <w:tab/>
        <w:t>长期应付款</w:t>
      </w:r>
      <w:bookmarkEnd w:id="1597"/>
      <w:bookmarkEnd w:id="1598"/>
      <w:bookmarkEnd w:id="1600"/>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78" w:val="left"/>
        </w:tabs>
        <w:bidi w:val="0"/>
        <w:spacing w:before="0" w:after="380" w:line="240" w:lineRule="auto"/>
        <w:ind w:left="0" w:right="0" w:firstLine="0"/>
        <w:jc w:val="left"/>
      </w:pPr>
      <w:bookmarkStart w:id="1601" w:name="bookmark1601"/>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4</w:t>
      </w:r>
      <w:bookmarkEnd w:id="1603"/>
      <w:r>
        <w:rPr>
          <w:rFonts w:ascii="Times New Roman" w:eastAsia="Times New Roman" w:hAnsi="Times New Roman" w:cs="Times New Roman"/>
          <w:color w:val="000000"/>
          <w:spacing w:val="0"/>
          <w:w w:val="100"/>
          <w:position w:val="0"/>
        </w:rPr>
        <w:t>9</w:t>
      </w:r>
      <w:r>
        <w:rPr>
          <w:color w:val="000000"/>
          <w:spacing w:val="0"/>
          <w:w w:val="100"/>
          <w:position w:val="0"/>
        </w:rPr>
        <w:t>、</w:t>
        <w:tab/>
        <w:t>长期应付职工薪酬</w:t>
      </w:r>
      <w:bookmarkEnd w:id="1601"/>
      <w:bookmarkEnd w:id="1602"/>
      <w:bookmarkEnd w:id="1604"/>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78" w:val="left"/>
        </w:tabs>
        <w:bidi w:val="0"/>
        <w:spacing w:before="0" w:after="380" w:line="240" w:lineRule="auto"/>
        <w:ind w:left="0" w:right="0" w:firstLine="0"/>
        <w:jc w:val="left"/>
      </w:pPr>
      <w:bookmarkStart w:id="1605" w:name="bookmark1605"/>
      <w:bookmarkStart w:id="1606" w:name="bookmark1606"/>
      <w:bookmarkStart w:id="1607" w:name="bookmark1607"/>
      <w:bookmarkStart w:id="1608" w:name="bookmark1608"/>
      <w:r>
        <w:rPr>
          <w:rFonts w:ascii="Times New Roman" w:eastAsia="Times New Roman" w:hAnsi="Times New Roman" w:cs="Times New Roman"/>
          <w:color w:val="000000"/>
          <w:spacing w:val="0"/>
          <w:w w:val="100"/>
          <w:position w:val="0"/>
        </w:rPr>
        <w:t>5</w:t>
      </w:r>
      <w:bookmarkEnd w:id="1607"/>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605"/>
      <w:bookmarkEnd w:id="1606"/>
      <w:bookmarkEnd w:id="1608"/>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78" w:val="left"/>
        </w:tabs>
        <w:bidi w:val="0"/>
        <w:spacing w:before="0" w:after="380" w:line="240" w:lineRule="auto"/>
        <w:ind w:left="0" w:right="0" w:firstLine="0"/>
        <w:jc w:val="left"/>
      </w:pPr>
      <w:bookmarkStart w:id="1609" w:name="bookmark1609"/>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5</w:t>
      </w:r>
      <w:bookmarkEnd w:id="1611"/>
      <w:r>
        <w:rPr>
          <w:rFonts w:ascii="Times New Roman" w:eastAsia="Times New Roman" w:hAnsi="Times New Roman" w:cs="Times New Roman"/>
          <w:color w:val="000000"/>
          <w:spacing w:val="0"/>
          <w:w w:val="100"/>
          <w:position w:val="0"/>
        </w:rPr>
        <w:t>1</w:t>
      </w:r>
      <w:r>
        <w:rPr>
          <w:color w:val="000000"/>
          <w:spacing w:val="0"/>
          <w:w w:val="100"/>
          <w:position w:val="0"/>
        </w:rPr>
        <w:t>、</w:t>
        <w:tab/>
        <w:t>递延收益</w:t>
      </w:r>
      <w:bookmarkEnd w:id="1609"/>
      <w:bookmarkEnd w:id="1610"/>
      <w:bookmarkEnd w:id="1612"/>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4"/>
        <w:gridCol w:w="1598"/>
        <w:gridCol w:w="1594"/>
        <w:gridCol w:w="1589"/>
        <w:gridCol w:w="1603"/>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本期减少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形成原因</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60,433,702.95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22,138,780.65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23,655,148.29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58,917,335.31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尚未结转</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60,433,702.95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22,138,780.65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23,655,148.29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58,917,335.31</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涉及政府补助的项目:</w:t>
      </w:r>
    </w:p>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22"/>
        <w:gridCol w:w="1243"/>
        <w:gridCol w:w="1027"/>
        <w:gridCol w:w="1003"/>
        <w:gridCol w:w="1008"/>
        <w:gridCol w:w="1013"/>
        <w:gridCol w:w="1008"/>
        <w:gridCol w:w="1248"/>
        <w:gridCol w:w="1018"/>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负债项目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本期新增补</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助金额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本期计入营 业外收入金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本期计入其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他收益金额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本期冲减成</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本费用金额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与收益相关</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面向医疗健</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康服务行业</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的公共云计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15,961,583.55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1,009,604.12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14,951,979.43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bl>
    <w:p>
      <w:pPr>
        <w:widowControl w:val="0"/>
        <w:spacing w:line="1" w:lineRule="exact"/>
      </w:pPr>
      <w:r>
        <w:br w:type="page"/>
      </w:r>
    </w:p>
    <w:tbl>
      <w:tblPr>
        <w:tblOverlap w:val="never"/>
        <w:jc w:val="center"/>
        <w:tblLayout w:type="fixed"/>
      </w:tblPr>
      <w:tblGrid>
        <w:gridCol w:w="1018"/>
        <w:gridCol w:w="1248"/>
        <w:gridCol w:w="1022"/>
        <w:gridCol w:w="1008"/>
        <w:gridCol w:w="1008"/>
        <w:gridCol w:w="1013"/>
        <w:gridCol w:w="1008"/>
        <w:gridCol w:w="1248"/>
        <w:gridCol w:w="1018"/>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负债项目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本期新增补 助金额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本期计入营 业外收入金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本期计入其</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他收益金额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本期冲减成</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本费用金额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与收益相关</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算服务平台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用户复杂异 构交互行为 数据分析建 模平台研究 及应用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房租补贴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1,238,554.00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516,064.17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722,489.83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安全可控桌 面计算机在 电子政务领 域的应用迁 移技术研究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12,450,053.82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1,432,812.60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11,017,241.22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22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经信委基于 医疗健康大 数据的上海 市重点疾病 预防与综合 评价的应用 示范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轨道交通大</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数据服务平</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台关键技术</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年首席</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技师资助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40,975.90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40,975.90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万达信息云 业务支撑平 台研发与行</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业应用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Al</w:t>
            </w:r>
            <w:r>
              <w:rPr>
                <w:color w:val="000000"/>
                <w:spacing w:val="0"/>
                <w:w w:val="100"/>
                <w:position w:val="0"/>
                <w:sz w:val="17"/>
                <w:szCs w:val="17"/>
              </w:rPr>
              <w:t>驱动的多 模态融合雪 上竞技大数 据智慧服务 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666,989.93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666,989.93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年度科</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委电子政务 工程技术研 究中心能力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1,722,600.00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1,722,600.00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018"/>
        <w:gridCol w:w="1248"/>
        <w:gridCol w:w="1022"/>
        <w:gridCol w:w="1008"/>
        <w:gridCol w:w="1008"/>
        <w:gridCol w:w="1013"/>
        <w:gridCol w:w="1008"/>
        <w:gridCol w:w="1248"/>
        <w:gridCol w:w="1018"/>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负债项目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本期新增补 助金额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本期计入营 业外收入金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本期计入其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他收益金额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本期冲减成</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本费用金额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与收益相关</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年度科</w:t>
            </w:r>
          </w:p>
          <w:p>
            <w:pPr>
              <w:pStyle w:val="Style2"/>
              <w:keepNext w:val="0"/>
              <w:keepLines w:val="0"/>
              <w:widowControl w:val="0"/>
              <w:shd w:val="clear" w:color="auto" w:fill="auto"/>
              <w:bidi w:val="0"/>
              <w:spacing w:before="0" w:after="0" w:line="318" w:lineRule="exact"/>
              <w:ind w:left="0" w:right="0" w:firstLine="0"/>
              <w:jc w:val="both"/>
              <w:rPr>
                <w:sz w:val="17"/>
                <w:szCs w:val="17"/>
              </w:rPr>
            </w:pPr>
            <w:r>
              <w:rPr>
                <w:color w:val="000000"/>
                <w:spacing w:val="0"/>
                <w:w w:val="100"/>
                <w:position w:val="0"/>
                <w:sz w:val="17"/>
                <w:szCs w:val="17"/>
              </w:rPr>
              <w:t>委卫生信息 工程技术研 究中心能力 提升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特大城市服 务集成与治 理技术研究 与应用示范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7,556,582.45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-5,499,123.2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6,292,459.19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异构服务协 同共性关键 技术研究与 城市智能服 务系统研制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1,856,066.64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809,949.84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2,666,016.48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地级市市民 公共服务平 台示范应用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769,555.18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365,078.32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1,134,633.50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特大城市市 民公共服务 平台示范应 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1,687,831.27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705,477.28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2,393,308.55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年首席 技师资助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88,377.00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基于中医优 势病种的新 药临床疗效 评价关键技</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面向专病的</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智能病理诊</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断平台研究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鲸的寻游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沉浸参与式 科普舞台剧 的创制和推 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基于大数据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1,325,000.00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018"/>
        <w:gridCol w:w="1248"/>
        <w:gridCol w:w="1022"/>
        <w:gridCol w:w="1008"/>
        <w:gridCol w:w="1008"/>
        <w:gridCol w:w="1013"/>
        <w:gridCol w:w="1008"/>
        <w:gridCol w:w="1248"/>
        <w:gridCol w:w="1018"/>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负债项目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本期新增补 助金额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本期计入营 业外收入金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本期计入其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他收益金额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本期冲减成</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本费用金额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与收益相关</w:t>
            </w:r>
          </w:p>
        </w:tc>
      </w:tr>
      <w:tr>
        <w:trPr>
          <w:trHeight w:val="13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的传染性疾</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病重点人群</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筛查与管控</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万达信息医</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疗大健康云</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面向复杂传</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染病智能诊</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疗的数据共</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享平台建设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特大城市服</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务集成与治 理技术研究 与应用示范</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（配套）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1,703,900.00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522,600.00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2,226,500.00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面向临床诊</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疗的智能决</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策服务平台</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研发与运营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呼吸慢病健 康管理平台 及智能评估 模型构建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教育大数据 治理体系与 面向大规模 智慧学习的 教育大脑研 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城市智能系 统可信任机 理与关键技 术研究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-802,720.07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947,279.93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6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rPr>
                <w:sz w:val="17"/>
                <w:szCs w:val="17"/>
              </w:rPr>
            </w:pPr>
            <w:r>
              <w:rPr>
                <w:color w:val="000000"/>
                <w:spacing w:val="0"/>
                <w:w w:val="100"/>
                <w:position w:val="0"/>
                <w:sz w:val="17"/>
                <w:szCs w:val="17"/>
              </w:rPr>
              <w:t>国家重点研 发计划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主 动健康和老 龄化科技应 对'专项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1,130,000.00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018"/>
        <w:gridCol w:w="1248"/>
        <w:gridCol w:w="1022"/>
        <w:gridCol w:w="1008"/>
        <w:gridCol w:w="1008"/>
        <w:gridCol w:w="1013"/>
        <w:gridCol w:w="1008"/>
        <w:gridCol w:w="1248"/>
        <w:gridCol w:w="1018"/>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负债项目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本期新增补 助金额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本期计入营 业外收入金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本期计入其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他收益金额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本期冲减成</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本费用金额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与收益相关</w:t>
            </w:r>
          </w:p>
        </w:tc>
      </w:tr>
      <w:tr>
        <w:trPr>
          <w:trHeight w:val="9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慧健身区域</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服务综合示</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一网通办</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无人干预自 动审批关键 技术研究与 应用示范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259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基于健康物 联网与移动 互联网的心 力衰竭疾病 服务支撑平 台及自我健 康管理服务 应用研发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3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崇明岛生态 环境监控平 台开发与集 成（子课题）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首席技师</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戴永亮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7"/>
                <w:szCs w:val="17"/>
              </w:rPr>
              <w:t>首席技师</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吴颖健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17"/>
                <w:szCs w:val="17"/>
              </w:rPr>
            </w:pPr>
            <w:r>
              <w:rPr>
                <w:color w:val="000000"/>
                <w:spacing w:val="0"/>
                <w:w w:val="100"/>
                <w:position w:val="0"/>
                <w:sz w:val="17"/>
                <w:szCs w:val="17"/>
              </w:rPr>
              <w:t>国家技能大</w:t>
            </w:r>
          </w:p>
          <w:p>
            <w:pPr>
              <w:pStyle w:val="Style2"/>
              <w:keepNext w:val="0"/>
              <w:keepLines w:val="0"/>
              <w:widowControl w:val="0"/>
              <w:shd w:val="clear" w:color="auto" w:fill="auto"/>
              <w:bidi w:val="0"/>
              <w:spacing w:before="0" w:after="140" w:line="240" w:lineRule="auto"/>
              <w:ind w:left="0" w:right="0" w:firstLine="0"/>
              <w:jc w:val="both"/>
              <w:rPr>
                <w:sz w:val="18"/>
                <w:szCs w:val="18"/>
              </w:rPr>
            </w:pPr>
            <w:r>
              <w:rPr>
                <w:color w:val="000000"/>
                <w:spacing w:val="0"/>
                <w:w w:val="100"/>
                <w:position w:val="0"/>
                <w:sz w:val="17"/>
                <w:szCs w:val="17"/>
              </w:rPr>
              <w:t>师工作室</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张敬谊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长三角区域 重大公共卫 生风险联合 研判预警处 置体系研究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7"/>
                <w:szCs w:val="17"/>
              </w:rPr>
              <w:t>万达信息云 业务支撑平 台研发与行 业应用（徐</w:t>
            </w:r>
          </w:p>
          <w:p>
            <w:pPr>
              <w:pStyle w:val="Style2"/>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7"/>
                <w:szCs w:val="17"/>
              </w:rPr>
              <w:t>汇配套）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大数据与人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43,500.00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43,500.00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018"/>
        <w:gridCol w:w="1248"/>
        <w:gridCol w:w="1022"/>
        <w:gridCol w:w="1008"/>
        <w:gridCol w:w="1008"/>
        <w:gridCol w:w="1013"/>
        <w:gridCol w:w="1008"/>
        <w:gridCol w:w="1248"/>
        <w:gridCol w:w="1018"/>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负债项目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本期新增补 助金额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本期计入营 业外收入金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本期计入其</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他收益金额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本期冲减成</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本费用金额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与收益相关</w:t>
            </w:r>
          </w:p>
        </w:tc>
      </w:tr>
      <w:tr>
        <w:trPr>
          <w:trHeight w:val="6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工智能应用</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合作协议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基于人工智 能的儿童青 少年屈光筛 查及屈光档 案的建立和 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与收益相关</w:t>
            </w:r>
          </w:p>
        </w:tc>
      </w:tr>
      <w:tr>
        <w:trPr>
          <w:trHeight w:val="16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多源高维科</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技政务大数</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据融合治理</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关建技术及</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示范应用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1,843,960.40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1,843,960.40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与收益相关</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城市智能交</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通感知与决</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与收益相关</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长三角全</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数字智能病</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理远程诊断</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专项</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基于大数据</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全景洞察的 上海医保支 付模式构建 与应用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与收益相关</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特大城市服 务集成与治 理技术研究 与应用示范 课题任务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492,603.81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266,621.21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546,201.07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213,023.95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与收益相关</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60,433,702.95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22,138,780.6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17,341,681.9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-6,313,466.3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58,917,335.31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613" w:name="bookmark1613"/>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5</w:t>
      </w:r>
      <w:bookmarkEnd w:id="1615"/>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613"/>
      <w:bookmarkEnd w:id="1614"/>
      <w:bookmarkEnd w:id="161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42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72,660,122.16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82,411,707.81</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72,660,122.16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82,411,707.81</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both"/>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5</w:t>
      </w:r>
      <w:bookmarkEnd w:id="1619"/>
      <w:r>
        <w:rPr>
          <w:rFonts w:ascii="Times New Roman" w:eastAsia="Times New Roman" w:hAnsi="Times New Roman" w:cs="Times New Roman"/>
          <w:color w:val="000000"/>
          <w:spacing w:val="0"/>
          <w:w w:val="100"/>
          <w:position w:val="0"/>
        </w:rPr>
        <w:t>3</w:t>
      </w:r>
      <w:r>
        <w:rPr>
          <w:color w:val="000000"/>
          <w:spacing w:val="0"/>
          <w:w w:val="100"/>
          <w:position w:val="0"/>
        </w:rPr>
        <w:t>、股本</w:t>
      </w:r>
      <w:bookmarkEnd w:id="1617"/>
      <w:bookmarkEnd w:id="1618"/>
      <w:bookmarkEnd w:id="162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1190"/>
        <w:gridCol w:w="1200"/>
        <w:gridCol w:w="1200"/>
        <w:gridCol w:w="1190"/>
        <w:gridCol w:w="1200"/>
        <w:gridCol w:w="1200"/>
        <w:gridCol w:w="1200"/>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期初余额</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期末余额</w:t>
            </w:r>
          </w:p>
        </w:tc>
      </w:tr>
      <w:tr>
        <w:trPr>
          <w:trHeight w:val="408"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发行新股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公积金转股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1,187,584,762.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1,187,584,762.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319" w:line="1" w:lineRule="exact"/>
      </w:pPr>
    </w:p>
    <w:p>
      <w:pPr>
        <w:pStyle w:val="Style33"/>
        <w:keepNext/>
        <w:keepLines/>
        <w:widowControl w:val="0"/>
        <w:shd w:val="clear" w:color="auto" w:fill="auto"/>
        <w:tabs>
          <w:tab w:pos="478" w:val="left"/>
        </w:tabs>
        <w:bidi w:val="0"/>
        <w:spacing w:before="0" w:after="380" w:line="240" w:lineRule="auto"/>
        <w:ind w:left="0" w:right="0" w:firstLine="0"/>
        <w:jc w:val="both"/>
      </w:pPr>
      <w:bookmarkStart w:id="1621" w:name="bookmark1621"/>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5</w:t>
      </w:r>
      <w:bookmarkEnd w:id="1623"/>
      <w:r>
        <w:rPr>
          <w:rFonts w:ascii="Times New Roman" w:eastAsia="Times New Roman" w:hAnsi="Times New Roman" w:cs="Times New Roman"/>
          <w:color w:val="000000"/>
          <w:spacing w:val="0"/>
          <w:w w:val="100"/>
          <w:position w:val="0"/>
        </w:rPr>
        <w:t>4</w:t>
      </w:r>
      <w:r>
        <w:rPr>
          <w:color w:val="000000"/>
          <w:spacing w:val="0"/>
          <w:w w:val="100"/>
          <w:position w:val="0"/>
        </w:rPr>
        <w:t>、</w:t>
        <w:tab/>
        <w:t>其他权益工具</w:t>
      </w:r>
      <w:bookmarkEnd w:id="1621"/>
      <w:bookmarkEnd w:id="1622"/>
      <w:bookmarkEnd w:id="1624"/>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3"/>
        <w:keepNext/>
        <w:keepLines/>
        <w:widowControl w:val="0"/>
        <w:shd w:val="clear" w:color="auto" w:fill="auto"/>
        <w:tabs>
          <w:tab w:pos="478" w:val="left"/>
        </w:tabs>
        <w:bidi w:val="0"/>
        <w:spacing w:before="0" w:after="380" w:line="240" w:lineRule="auto"/>
        <w:ind w:left="0" w:right="0" w:firstLine="0"/>
        <w:jc w:val="both"/>
      </w:pPr>
      <w:bookmarkStart w:id="1625" w:name="bookmark1625"/>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5</w:t>
      </w:r>
      <w:bookmarkEnd w:id="1627"/>
      <w:r>
        <w:rPr>
          <w:rFonts w:ascii="Times New Roman" w:eastAsia="Times New Roman" w:hAnsi="Times New Roman" w:cs="Times New Roman"/>
          <w:color w:val="000000"/>
          <w:spacing w:val="0"/>
          <w:w w:val="100"/>
          <w:position w:val="0"/>
        </w:rPr>
        <w:t>5</w:t>
      </w:r>
      <w:r>
        <w:rPr>
          <w:color w:val="000000"/>
          <w:spacing w:val="0"/>
          <w:w w:val="100"/>
          <w:position w:val="0"/>
        </w:rPr>
        <w:t>、</w:t>
        <w:tab/>
        <w:t>资本公积</w:t>
      </w:r>
      <w:bookmarkEnd w:id="1625"/>
      <w:bookmarkEnd w:id="1626"/>
      <w:bookmarkEnd w:id="1628"/>
    </w:p>
    <w:p>
      <w:pPr>
        <w:pStyle w:val="Style2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925"/>
        <w:gridCol w:w="1920"/>
        <w:gridCol w:w="1915"/>
        <w:gridCol w:w="1915"/>
        <w:gridCol w:w="193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2,189,126,952.17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28,873,015.45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2,217,999,967.62</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2,189,126,952.17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28,873,015.45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2,217,999,967.62</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both"/>
      </w:pPr>
      <w:bookmarkStart w:id="1629" w:name="bookmark1629"/>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5</w:t>
      </w:r>
      <w:bookmarkEnd w:id="1631"/>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629"/>
      <w:bookmarkEnd w:id="1630"/>
      <w:bookmarkEnd w:id="1632"/>
    </w:p>
    <w:p>
      <w:pPr>
        <w:pStyle w:val="Style2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925"/>
        <w:gridCol w:w="1920"/>
        <w:gridCol w:w="1915"/>
        <w:gridCol w:w="1915"/>
        <w:gridCol w:w="1930"/>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股份回购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29,984265.25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29,984,265.25</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29,984265.25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29,984,265.25</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both"/>
      </w:pPr>
      <w:bookmarkStart w:id="1633" w:name="bookmark1633"/>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5</w:t>
      </w:r>
      <w:bookmarkEnd w:id="1635"/>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33"/>
      <w:bookmarkEnd w:id="1634"/>
      <w:bookmarkEnd w:id="163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78"/>
        <w:gridCol w:w="970"/>
        <w:gridCol w:w="854"/>
        <w:gridCol w:w="1056"/>
        <w:gridCol w:w="854"/>
        <w:gridCol w:w="850"/>
        <w:gridCol w:w="854"/>
        <w:gridCol w:w="854"/>
        <w:gridCol w:w="720"/>
      </w:tblGrid>
      <w:tr>
        <w:trPr>
          <w:trHeight w:val="41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6"/>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期末余 额</w:t>
            </w:r>
          </w:p>
        </w:tc>
      </w:tr>
      <w:tr>
        <w:trPr>
          <w:trHeight w:val="1646"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本期所得</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税前发生</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减:前期计入 其他综合收 益当期转入 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减：前期 计入其他 综合收益 当期转入 留存收益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减：所得</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税费用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税后归属 于母公司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税后归属</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于少数股</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东</w:t>
            </w:r>
          </w:p>
        </w:tc>
        <w:tc>
          <w:tcPr>
            <w:vMerge/>
            <w:tcBorders>
              <w:left w:val="single" w:sz="4"/>
              <w:right w:val="single" w:sz="4"/>
            </w:tcBorders>
            <w:shd w:val="clear" w:color="auto" w:fill="D4D4D4"/>
            <w:vAlign w:val="center"/>
          </w:tcPr>
          <w:p>
            <w:pP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一、不能重分类进损益的其他综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573"/>
        <w:gridCol w:w="970"/>
        <w:gridCol w:w="850"/>
        <w:gridCol w:w="1061"/>
        <w:gridCol w:w="854"/>
        <w:gridCol w:w="850"/>
        <w:gridCol w:w="854"/>
        <w:gridCol w:w="854"/>
        <w:gridCol w:w="725"/>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期初余额</w:t>
            </w:r>
          </w:p>
        </w:tc>
        <w:tc>
          <w:tcPr>
            <w:gridSpan w:val="6"/>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期末余 额</w:t>
            </w:r>
          </w:p>
        </w:tc>
      </w:tr>
      <w:tr>
        <w:trPr>
          <w:trHeight w:val="1656"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本期所得</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税前发生</w:t>
            </w:r>
          </w:p>
          <w:p>
            <w:pPr>
              <w:pStyle w:val="Style2"/>
              <w:keepNext w:val="0"/>
              <w:keepLines w:val="0"/>
              <w:widowControl w:val="0"/>
              <w:shd w:val="clear" w:color="auto" w:fill="auto"/>
              <w:bidi w:val="0"/>
              <w:spacing w:before="0" w:after="120" w:line="240" w:lineRule="auto"/>
              <w:ind w:left="0" w:right="0" w:firstLine="340"/>
              <w:jc w:val="left"/>
              <w:rPr>
                <w:sz w:val="17"/>
                <w:szCs w:val="17"/>
              </w:rPr>
            </w:pPr>
            <w:r>
              <w:rPr>
                <w:color w:val="000000"/>
                <w:spacing w:val="0"/>
                <w:w w:val="100"/>
                <w:position w:val="0"/>
                <w:sz w:val="17"/>
                <w:szCs w:val="17"/>
              </w:rPr>
              <w:t>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减:前期计入 其他综合收 益当期转入 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减：前期 计入其他 综合收益 当期转入 留存收益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减：所得</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税费用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税后归属 于母公司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税后归属</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于少数股</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东</w:t>
            </w:r>
          </w:p>
        </w:tc>
        <w:tc>
          <w:tcPr>
            <w:vMerge/>
            <w:tcBorders>
              <w:left w:val="single" w:sz="4"/>
              <w:right w:val="single" w:sz="4"/>
            </w:tcBorders>
            <w:shd w:val="clear" w:color="auto" w:fill="D4D4D4"/>
            <w:vAlign w:val="center"/>
          </w:tcPr>
          <w:p>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1,027,724.2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-232,722.8</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-232,722.8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795,001.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其中：权益法下可转损益的其他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2,382,218.6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2,382,21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-1,354,494.3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-232,722.8</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-232,722.8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1,027,724.2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-232,722.8</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-232,722.8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795,001.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bl>
    <w:p>
      <w:pPr>
        <w:widowControl w:val="0"/>
        <w:spacing w:after="319" w:line="1" w:lineRule="exact"/>
      </w:pPr>
    </w:p>
    <w:p>
      <w:pPr>
        <w:pStyle w:val="Style33"/>
        <w:keepNext/>
        <w:keepLines/>
        <w:widowControl w:val="0"/>
        <w:shd w:val="clear" w:color="auto" w:fill="auto"/>
        <w:tabs>
          <w:tab w:pos="478" w:val="left"/>
        </w:tabs>
        <w:bidi w:val="0"/>
        <w:spacing w:before="0" w:after="380" w:line="240" w:lineRule="auto"/>
        <w:ind w:left="0" w:right="0" w:firstLine="0"/>
        <w:jc w:val="both"/>
      </w:pPr>
      <w:bookmarkStart w:id="1637" w:name="bookmark1637"/>
      <w:bookmarkStart w:id="1638" w:name="bookmark1638"/>
      <w:bookmarkStart w:id="1639" w:name="bookmark1639"/>
      <w:bookmarkStart w:id="1640" w:name="bookmark1640"/>
      <w:r>
        <w:rPr>
          <w:rFonts w:ascii="Times New Roman" w:eastAsia="Times New Roman" w:hAnsi="Times New Roman" w:cs="Times New Roman"/>
          <w:color w:val="000000"/>
          <w:spacing w:val="0"/>
          <w:w w:val="100"/>
          <w:position w:val="0"/>
        </w:rPr>
        <w:t>5</w:t>
      </w:r>
      <w:bookmarkEnd w:id="1639"/>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637"/>
      <w:bookmarkEnd w:id="1638"/>
      <w:bookmarkEnd w:id="1640"/>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3"/>
        <w:keepNext/>
        <w:keepLines/>
        <w:widowControl w:val="0"/>
        <w:shd w:val="clear" w:color="auto" w:fill="auto"/>
        <w:tabs>
          <w:tab w:pos="478" w:val="left"/>
        </w:tabs>
        <w:bidi w:val="0"/>
        <w:spacing w:before="0" w:after="380" w:line="240" w:lineRule="auto"/>
        <w:ind w:left="0" w:right="0" w:firstLine="0"/>
        <w:jc w:val="both"/>
      </w:pPr>
      <w:bookmarkStart w:id="1641" w:name="bookmark1641"/>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5</w:t>
      </w:r>
      <w:bookmarkEnd w:id="1643"/>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bookmarkEnd w:id="1641"/>
      <w:bookmarkEnd w:id="1642"/>
      <w:bookmarkEnd w:id="1644"/>
    </w:p>
    <w:p>
      <w:pPr>
        <w:pStyle w:val="Style2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925"/>
        <w:gridCol w:w="1920"/>
        <w:gridCol w:w="1915"/>
        <w:gridCol w:w="1915"/>
        <w:gridCol w:w="193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150,153,223.42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150,153,223.42</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150,153,223.42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150,153,223.42</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both"/>
      </w:pPr>
      <w:bookmarkStart w:id="1645" w:name="bookmark1645"/>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6</w:t>
      </w:r>
      <w:bookmarkEnd w:id="1647"/>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45"/>
      <w:bookmarkEnd w:id="1646"/>
      <w:bookmarkEnd w:id="164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8"/>
        <w:gridCol w:w="2928"/>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-2,033,778293.70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-97,486,373.67</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-7,584,971.05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-644,739,561.08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-2,041,363264.75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-742,225,934.75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69241,554.98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-1,291,552,358.95</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-1,972,121,709.77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-2,033,778,293.70</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29"/>
        <w:keepNext w:val="0"/>
        <w:keepLines w:val="0"/>
        <w:widowControl w:val="0"/>
        <w:shd w:val="clear" w:color="auto" w:fill="auto"/>
        <w:tabs>
          <w:tab w:pos="325" w:val="left"/>
        </w:tabs>
        <w:bidi w:val="0"/>
        <w:spacing w:before="0" w:after="140" w:line="240" w:lineRule="auto"/>
        <w:ind w:left="0" w:right="0" w:firstLine="0"/>
        <w:jc w:val="left"/>
      </w:pPr>
      <w:bookmarkStart w:id="1649" w:name="bookmark1649"/>
      <w:r>
        <w:rPr>
          <w:rFonts w:ascii="Times New Roman" w:eastAsia="Times New Roman" w:hAnsi="Times New Roman" w:cs="Times New Roman"/>
          <w:color w:val="000000"/>
          <w:spacing w:val="0"/>
          <w:w w:val="100"/>
          <w:position w:val="0"/>
          <w:sz w:val="18"/>
          <w:szCs w:val="18"/>
        </w:rPr>
        <w:t>1</w:t>
      </w:r>
      <w:bookmarkEnd w:id="164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4" w:val="left"/>
        </w:tabs>
        <w:bidi w:val="0"/>
        <w:spacing w:before="0" w:after="320" w:line="240" w:lineRule="auto"/>
        <w:ind w:left="0" w:right="0" w:firstLine="0"/>
        <w:jc w:val="left"/>
      </w:pPr>
      <w:bookmarkStart w:id="1650" w:name="bookmark1650"/>
      <w:r>
        <w:rPr>
          <w:rFonts w:ascii="Times New Roman" w:eastAsia="Times New Roman" w:hAnsi="Times New Roman" w:cs="Times New Roman"/>
          <w:color w:val="000000"/>
          <w:spacing w:val="0"/>
          <w:w w:val="100"/>
          <w:position w:val="0"/>
          <w:sz w:val="18"/>
          <w:szCs w:val="18"/>
        </w:rPr>
        <w:t>2</w:t>
      </w:r>
      <w:bookmarkEnd w:id="165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-7,584,971.05</w:t>
      </w:r>
      <w:r>
        <w:rPr>
          <w:color w:val="000000"/>
          <w:spacing w:val="0"/>
          <w:w w:val="100"/>
          <w:position w:val="0"/>
        </w:rPr>
        <w:t>元。</w:t>
      </w:r>
      <w:r>
        <w:br w:type="page"/>
      </w:r>
    </w:p>
    <w:p>
      <w:pPr>
        <w:pStyle w:val="Style29"/>
        <w:keepNext w:val="0"/>
        <w:keepLines w:val="0"/>
        <w:widowControl w:val="0"/>
        <w:shd w:val="clear" w:color="auto" w:fill="auto"/>
        <w:tabs>
          <w:tab w:pos="334" w:val="left"/>
        </w:tabs>
        <w:bidi w:val="0"/>
        <w:spacing w:before="0" w:line="240" w:lineRule="auto"/>
        <w:ind w:left="0" w:right="0" w:firstLine="0"/>
        <w:jc w:val="left"/>
      </w:pPr>
      <w:bookmarkStart w:id="1651" w:name="bookmark1651"/>
      <w:r>
        <w:rPr>
          <w:rFonts w:ascii="Times New Roman" w:eastAsia="Times New Roman" w:hAnsi="Times New Roman" w:cs="Times New Roman"/>
          <w:color w:val="000000"/>
          <w:spacing w:val="0"/>
          <w:w w:val="100"/>
          <w:position w:val="0"/>
          <w:sz w:val="18"/>
          <w:szCs w:val="18"/>
        </w:rPr>
        <w:t>3</w:t>
      </w:r>
      <w:bookmarkEnd w:id="165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4" w:val="left"/>
        </w:tabs>
        <w:bidi w:val="0"/>
        <w:spacing w:before="0" w:line="240" w:lineRule="auto"/>
        <w:ind w:left="0" w:right="0" w:firstLine="0"/>
        <w:jc w:val="left"/>
      </w:pPr>
      <w:bookmarkStart w:id="1652" w:name="bookmark1652"/>
      <w:r>
        <w:rPr>
          <w:rFonts w:ascii="Times New Roman" w:eastAsia="Times New Roman" w:hAnsi="Times New Roman" w:cs="Times New Roman"/>
          <w:color w:val="000000"/>
          <w:spacing w:val="0"/>
          <w:w w:val="100"/>
          <w:position w:val="0"/>
          <w:sz w:val="18"/>
          <w:szCs w:val="18"/>
        </w:rPr>
        <w:t>4</w:t>
      </w:r>
      <w:bookmarkEnd w:id="165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4" w:val="left"/>
        </w:tabs>
        <w:bidi w:val="0"/>
        <w:spacing w:before="0" w:after="340" w:line="240" w:lineRule="auto"/>
        <w:ind w:left="0" w:right="0" w:firstLine="0"/>
        <w:jc w:val="left"/>
      </w:pPr>
      <w:bookmarkStart w:id="1653" w:name="bookmark1653"/>
      <w:r>
        <w:rPr>
          <w:rFonts w:ascii="Times New Roman" w:eastAsia="Times New Roman" w:hAnsi="Times New Roman" w:cs="Times New Roman"/>
          <w:color w:val="000000"/>
          <w:spacing w:val="0"/>
          <w:w w:val="100"/>
          <w:position w:val="0"/>
          <w:sz w:val="18"/>
          <w:szCs w:val="18"/>
        </w:rPr>
        <w:t>5</w:t>
      </w:r>
      <w:bookmarkEnd w:id="165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keepLines/>
        <w:widowControl w:val="0"/>
        <w:shd w:val="clear" w:color="auto" w:fill="auto"/>
        <w:bidi w:val="0"/>
        <w:spacing w:before="0" w:after="400" w:line="240" w:lineRule="auto"/>
        <w:ind w:left="0" w:right="0" w:firstLine="0"/>
        <w:jc w:val="left"/>
      </w:pPr>
      <w:bookmarkStart w:id="1654" w:name="bookmark1654"/>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6</w:t>
      </w:r>
      <w:bookmarkEnd w:id="1656"/>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54"/>
      <w:bookmarkEnd w:id="1655"/>
      <w:bookmarkEnd w:id="1657"/>
    </w:p>
    <w:p>
      <w:pPr>
        <w:pStyle w:val="Style2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925"/>
        <w:gridCol w:w="1920"/>
        <w:gridCol w:w="1915"/>
        <w:gridCol w:w="1915"/>
        <w:gridCol w:w="1930"/>
      </w:tblGrid>
      <w:tr>
        <w:trPr>
          <w:trHeight w:val="41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4"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3,511,995,397.11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2,335,358,053.18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3,007,515,862.72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2,530,412,499.23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1,118,617.33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1,067,129.76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755,209.73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1,069,379.33</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3,513,114,014.44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2,336,425,182.94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3,008,271,072.45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2,531,481,878.56</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经审计扣除非经常损益前后净利润孰低是否为负值</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收入相关信息：</w:t>
      </w:r>
    </w:p>
    <w:p>
      <w:pPr>
        <w:pStyle w:val="Style2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3240"/>
        <w:gridCol w:w="3230"/>
        <w:gridCol w:w="3254"/>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合同分类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软件开发收入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1,845,205,867.83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1,845,205,867.83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运营维护服务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612,451,188.11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612,451,188.11</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集成收入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1,054,338,341.17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1,054,338,341.17</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境内经营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3,511,995,397.11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3,511,995,397.11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境外经营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在某一时点确认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2,919,154,365.26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2,919,154,365.26</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在某一时段内确认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592,841,031.85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592,841,031.85</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与履约义务相关的信息：</w:t>
      </w: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公司合同的履约义务期间主要在</w:t>
      </w:r>
      <w:r>
        <w:rPr>
          <w:rFonts w:ascii="Times New Roman" w:eastAsia="Times New Roman" w:hAnsi="Times New Roman" w:cs="Times New Roman"/>
          <w:color w:val="000000"/>
          <w:spacing w:val="0"/>
          <w:w w:val="100"/>
          <w:position w:val="0"/>
          <w:sz w:val="18"/>
          <w:szCs w:val="18"/>
        </w:rPr>
        <w:t>3-36</w:t>
      </w:r>
      <w:r>
        <w:rPr>
          <w:color w:val="000000"/>
          <w:spacing w:val="0"/>
          <w:w w:val="100"/>
          <w:position w:val="0"/>
        </w:rPr>
        <w:t>个月左右，主要受合同约定服务期间、软件服务项目规模等有关。</w:t>
      </w:r>
    </w:p>
    <w:p>
      <w:pPr>
        <w:pStyle w:val="Style33"/>
        <w:keepNext/>
        <w:keepLines/>
        <w:widowControl w:val="0"/>
        <w:shd w:val="clear" w:color="auto" w:fill="auto"/>
        <w:bidi w:val="0"/>
        <w:spacing w:before="0" w:after="400" w:line="240" w:lineRule="auto"/>
        <w:ind w:left="0" w:right="0" w:firstLine="0"/>
        <w:jc w:val="left"/>
      </w:pPr>
      <w:bookmarkStart w:id="1658" w:name="bookmark1658"/>
      <w:bookmarkStart w:id="1659" w:name="bookmark1659"/>
      <w:bookmarkStart w:id="1660" w:name="bookmark1660"/>
      <w:bookmarkStart w:id="1661" w:name="bookmark1661"/>
      <w:r>
        <w:rPr>
          <w:rFonts w:ascii="Times New Roman" w:eastAsia="Times New Roman" w:hAnsi="Times New Roman" w:cs="Times New Roman"/>
          <w:color w:val="000000"/>
          <w:spacing w:val="0"/>
          <w:w w:val="100"/>
          <w:position w:val="0"/>
        </w:rPr>
        <w:t>6</w:t>
      </w:r>
      <w:bookmarkEnd w:id="1660"/>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58"/>
      <w:bookmarkEnd w:id="1659"/>
      <w:bookmarkEnd w:id="1661"/>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4,888,320.14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2,457,038.81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3,581,402.64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1,829,282.90</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3,196,068.48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3,257,239.26</w:t>
            </w:r>
          </w:p>
        </w:tc>
      </w:tr>
    </w:tbl>
    <w:p>
      <w:pPr>
        <w:widowControl w:val="0"/>
        <w:spacing w:line="1" w:lineRule="exact"/>
      </w:pPr>
      <w:r>
        <w:br w:type="page"/>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142,010.56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105,148.35</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200,109.20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144,815.20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19,493.32</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12,022,633.30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7,813,017.84</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662" w:name="bookmark1662"/>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6</w:t>
      </w:r>
      <w:bookmarkEnd w:id="1664"/>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62"/>
      <w:bookmarkEnd w:id="1663"/>
      <w:bookmarkEnd w:id="1665"/>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工资薪酬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95,172,312.75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86,905,610.</w:t>
            </w:r>
            <w:r>
              <w:rPr>
                <w:rFonts w:ascii="Times New Roman" w:eastAsia="Times New Roman" w:hAnsi="Times New Roman" w:cs="Times New Roman"/>
                <w:color w:val="000000"/>
                <w:spacing w:val="0"/>
                <w:w w:val="100"/>
                <w:position w:val="0"/>
                <w:sz w:val="18"/>
                <w:szCs w:val="18"/>
              </w:rPr>
              <w:t>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差旅、交通费其他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40,066,358.57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41,139254.64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11,571,016.22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21,418,449.98</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146,809,687.54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149,463,314.74</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666" w:name="bookmark1666"/>
      <w:bookmarkStart w:id="1667" w:name="bookmark1667"/>
      <w:bookmarkStart w:id="1668" w:name="bookmark1668"/>
      <w:bookmarkStart w:id="1669" w:name="bookmark1669"/>
      <w:r>
        <w:rPr>
          <w:rFonts w:ascii="Times New Roman" w:eastAsia="Times New Roman" w:hAnsi="Times New Roman" w:cs="Times New Roman"/>
          <w:color w:val="000000"/>
          <w:spacing w:val="0"/>
          <w:w w:val="100"/>
          <w:position w:val="0"/>
        </w:rPr>
        <w:t>6</w:t>
      </w:r>
      <w:bookmarkEnd w:id="1668"/>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66"/>
      <w:bookmarkEnd w:id="1667"/>
      <w:bookmarkEnd w:id="1669"/>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工资薪酬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293,210,669.22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185,086,863.73</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期权费用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-28214,800.00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折旧与摊销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47,993,906.58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41,442,085.69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81,494,357.86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101,508,674.46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先行实施项目费用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5,576,053.04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抗疫人员支出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144,881,540.14</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428,274,986.70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444,704,364.02</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670" w:name="bookmark1670"/>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6</w:t>
      </w:r>
      <w:bookmarkEnd w:id="1672"/>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670"/>
      <w:bookmarkEnd w:id="1671"/>
      <w:bookmarkEnd w:id="1673"/>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220,381,608.22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342,325,225.44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折旧摊销费用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242,372,705.12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267,088,398.83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9,078,251.46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31,700,129.21</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471,832,564.80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641,113,753.48</w:t>
            </w:r>
          </w:p>
        </w:tc>
      </w:tr>
    </w:tbl>
    <w:p>
      <w:pPr>
        <w:spacing w:lineRule="exact" w:line="1"/>
        <w:rPr>
          <w:sz w:val="2"/>
          <w:szCs w:val="2"/>
        </w:rPr>
      </w:pPr>
      <w:r>
        <w:br w:type="page"/>
      </w:r>
    </w:p>
    <w:p>
      <w:pPr>
        <w:pStyle w:val="Style33"/>
        <w:keepNext/>
        <w:keepLines/>
        <w:widowControl w:val="0"/>
        <w:shd w:val="clear" w:color="auto" w:fill="auto"/>
        <w:bidi w:val="0"/>
        <w:spacing w:before="0" w:after="400" w:line="240" w:lineRule="auto"/>
        <w:ind w:left="0" w:right="0" w:firstLine="0"/>
        <w:jc w:val="left"/>
      </w:pPr>
      <w:bookmarkStart w:id="1674" w:name="bookmark1674"/>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6</w:t>
      </w:r>
      <w:bookmarkEnd w:id="1676"/>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674"/>
      <w:bookmarkEnd w:id="1675"/>
      <w:bookmarkEnd w:id="1677"/>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136,501,990.92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149,285,008.30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其中：租赁负债利息费用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3,809,718.19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9,347,011.14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11,274,946.56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80,775.67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224,914.32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3,821,987.26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4,346,743.33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减：融资收益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15,078,181.67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36,458,535.14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115,979,561.04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106,123,184.25</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678" w:name="bookmark1678"/>
      <w:bookmarkStart w:id="1679" w:name="bookmark1679"/>
      <w:bookmarkStart w:id="1680" w:name="bookmark1680"/>
      <w:bookmarkStart w:id="1681" w:name="bookmark1681"/>
      <w:r>
        <w:rPr>
          <w:rFonts w:ascii="Times New Roman" w:eastAsia="Times New Roman" w:hAnsi="Times New Roman" w:cs="Times New Roman"/>
          <w:color w:val="000000"/>
          <w:spacing w:val="0"/>
          <w:w w:val="100"/>
          <w:position w:val="0"/>
        </w:rPr>
        <w:t>6</w:t>
      </w:r>
      <w:bookmarkEnd w:id="1680"/>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678"/>
      <w:bookmarkEnd w:id="1679"/>
      <w:bookmarkEnd w:id="1681"/>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产生其他收益的来源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33,487,027.85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49,974,635.66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进项税加计抵减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20,787205.02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3,351,751.40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代扣个人所得税手续费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1,452,167.15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1,365,510.31</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55,726,400.02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54,691,897.37</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682" w:name="bookmark1682"/>
      <w:bookmarkStart w:id="1683" w:name="bookmark1683"/>
      <w:bookmarkStart w:id="1684" w:name="bookmark1684"/>
      <w:bookmarkStart w:id="1685" w:name="bookmark1685"/>
      <w:r>
        <w:rPr>
          <w:rFonts w:ascii="Times New Roman" w:eastAsia="Times New Roman" w:hAnsi="Times New Roman" w:cs="Times New Roman"/>
          <w:color w:val="000000"/>
          <w:spacing w:val="0"/>
          <w:w w:val="100"/>
          <w:position w:val="0"/>
        </w:rPr>
        <w:t>6</w:t>
      </w:r>
      <w:bookmarkEnd w:id="1684"/>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82"/>
      <w:bookmarkEnd w:id="1683"/>
      <w:bookmarkEnd w:id="1685"/>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66"/>
        <w:gridCol w:w="3197"/>
        <w:gridCol w:w="2928"/>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5,379,402.23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-51,102,683.41</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-612,750.40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-30,046.87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219,019.98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385,107.12</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其他非流动金融资产在持有期间的投资收 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3,991,892.62</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13,085,671.81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-46,755,730.54</w:t>
            </w:r>
          </w:p>
        </w:tc>
      </w:tr>
    </w:tbl>
    <w:p>
      <w:pPr>
        <w:widowControl w:val="0"/>
        <w:spacing w:after="319" w:line="1" w:lineRule="exact"/>
      </w:pPr>
    </w:p>
    <w:p>
      <w:pPr>
        <w:pStyle w:val="Style33"/>
        <w:keepNext/>
        <w:keepLines/>
        <w:widowControl w:val="0"/>
        <w:shd w:val="clear" w:color="auto" w:fill="auto"/>
        <w:tabs>
          <w:tab w:pos="478" w:val="left"/>
        </w:tabs>
        <w:bidi w:val="0"/>
        <w:spacing w:before="0" w:after="400" w:line="240" w:lineRule="auto"/>
        <w:ind w:left="0" w:right="0" w:firstLine="0"/>
        <w:jc w:val="left"/>
      </w:pPr>
      <w:bookmarkStart w:id="1686" w:name="bookmark1686"/>
      <w:bookmarkStart w:id="1687" w:name="bookmark1687"/>
      <w:bookmarkStart w:id="1688" w:name="bookmark1688"/>
      <w:bookmarkStart w:id="1689" w:name="bookmark1689"/>
      <w:r>
        <w:rPr>
          <w:rFonts w:ascii="Times New Roman" w:eastAsia="Times New Roman" w:hAnsi="Times New Roman" w:cs="Times New Roman"/>
          <w:color w:val="000000"/>
          <w:spacing w:val="0"/>
          <w:w w:val="100"/>
          <w:position w:val="0"/>
        </w:rPr>
        <w:t>6</w:t>
      </w:r>
      <w:bookmarkEnd w:id="1688"/>
      <w:r>
        <w:rPr>
          <w:rFonts w:ascii="Times New Roman" w:eastAsia="Times New Roman" w:hAnsi="Times New Roman" w:cs="Times New Roman"/>
          <w:color w:val="000000"/>
          <w:spacing w:val="0"/>
          <w:w w:val="100"/>
          <w:position w:val="0"/>
        </w:rPr>
        <w:t>9</w:t>
      </w:r>
      <w:r>
        <w:rPr>
          <w:color w:val="000000"/>
          <w:spacing w:val="0"/>
          <w:w w:val="100"/>
          <w:position w:val="0"/>
        </w:rPr>
        <w:t>、</w:t>
        <w:tab/>
        <w:t>净敞口套期收益</w:t>
      </w:r>
      <w:bookmarkEnd w:id="1686"/>
      <w:bookmarkEnd w:id="1687"/>
      <w:bookmarkEnd w:id="1689"/>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74" w:val="left"/>
        </w:tabs>
        <w:bidi w:val="0"/>
        <w:spacing w:before="0" w:after="400" w:line="240" w:lineRule="auto"/>
        <w:ind w:left="0" w:right="0" w:firstLine="0"/>
        <w:jc w:val="left"/>
      </w:pPr>
      <w:bookmarkStart w:id="1690" w:name="bookmark1690"/>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rPr>
        <w:t>7</w:t>
      </w:r>
      <w:bookmarkEnd w:id="1692"/>
      <w:r>
        <w:rPr>
          <w:rFonts w:ascii="Times New Roman" w:eastAsia="Times New Roman" w:hAnsi="Times New Roman" w:cs="Times New Roman"/>
          <w:color w:val="000000"/>
          <w:spacing w:val="0"/>
          <w:w w:val="100"/>
          <w:position w:val="0"/>
        </w:rPr>
        <w:t>0</w:t>
      </w:r>
      <w:r>
        <w:rPr>
          <w:color w:val="000000"/>
          <w:spacing w:val="0"/>
          <w:w w:val="100"/>
          <w:position w:val="0"/>
        </w:rPr>
        <w:t>、</w:t>
        <w:tab/>
        <w:t>公允价值变动收益</w:t>
      </w:r>
      <w:bookmarkEnd w:id="1690"/>
      <w:bookmarkEnd w:id="1691"/>
      <w:bookmarkEnd w:id="1693"/>
    </w:p>
    <w:p>
      <w:pPr>
        <w:pStyle w:val="Style29"/>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产生公允价值变动收益的来源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78,713.99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911,983.36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34,068,418.04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10,836217.59</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34,147,132.03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11,748,200.95</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694" w:name="bookmark1694"/>
      <w:bookmarkStart w:id="1695" w:name="bookmark1695"/>
      <w:bookmarkStart w:id="1696" w:name="bookmark1696"/>
      <w:bookmarkStart w:id="1697" w:name="bookmark1697"/>
      <w:r>
        <w:rPr>
          <w:rFonts w:ascii="Times New Roman" w:eastAsia="Times New Roman" w:hAnsi="Times New Roman" w:cs="Times New Roman"/>
          <w:color w:val="000000"/>
          <w:spacing w:val="0"/>
          <w:w w:val="100"/>
          <w:position w:val="0"/>
        </w:rPr>
        <w:t>7</w:t>
      </w:r>
      <w:bookmarkEnd w:id="1696"/>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694"/>
      <w:bookmarkEnd w:id="1695"/>
      <w:bookmarkEnd w:id="1697"/>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2,517,384.27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6,343,178.89</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-10275,509.22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-5,321,751.09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应收票据坏账损失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-372,480.00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-19,062,467.70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-24,716,423.21</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-27,193,072.65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-23,694,995.41</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698" w:name="bookmark1698"/>
      <w:bookmarkStart w:id="1699" w:name="bookmark1699"/>
      <w:bookmarkStart w:id="1700" w:name="bookmark1700"/>
      <w:bookmarkStart w:id="1701" w:name="bookmark1701"/>
      <w:r>
        <w:rPr>
          <w:rFonts w:ascii="Times New Roman" w:eastAsia="Times New Roman" w:hAnsi="Times New Roman" w:cs="Times New Roman"/>
          <w:color w:val="000000"/>
          <w:spacing w:val="0"/>
          <w:w w:val="100"/>
          <w:position w:val="0"/>
        </w:rPr>
        <w:t>7</w:t>
      </w:r>
      <w:bookmarkEnd w:id="1700"/>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698"/>
      <w:bookmarkEnd w:id="1699"/>
      <w:bookmarkEnd w:id="1701"/>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存货跌价损失及合同履约成本减值损失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-371,786,884.41</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-24,681,485.81</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-2,682,516.52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-419,501.66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-13,623,796.05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-13,151,775.46</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-16,306,312.57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-410,039,647.34</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702" w:name="bookmark1702"/>
      <w:bookmarkStart w:id="1703" w:name="bookmark1703"/>
      <w:bookmarkStart w:id="1704" w:name="bookmark1704"/>
      <w:bookmarkStart w:id="1705" w:name="bookmark1705"/>
      <w:r>
        <w:rPr>
          <w:rFonts w:ascii="Times New Roman" w:eastAsia="Times New Roman" w:hAnsi="Times New Roman" w:cs="Times New Roman"/>
          <w:color w:val="000000"/>
          <w:spacing w:val="0"/>
          <w:w w:val="100"/>
          <w:position w:val="0"/>
        </w:rPr>
        <w:t>7</w:t>
      </w:r>
      <w:bookmarkEnd w:id="1704"/>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702"/>
      <w:bookmarkEnd w:id="1703"/>
      <w:bookmarkEnd w:id="1705"/>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资产处置收益的来源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固定资产处置利得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343,131.86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59,818.06</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706" w:name="bookmark1706"/>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7</w:t>
      </w:r>
      <w:bookmarkEnd w:id="1708"/>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706"/>
      <w:bookmarkEnd w:id="1707"/>
      <w:bookmarkEnd w:id="1709"/>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72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1,790,000.00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收购子公司利得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609,282.45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05"/>
        <w:gridCol w:w="2400"/>
        <w:gridCol w:w="2390"/>
        <w:gridCol w:w="2395"/>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575,087.04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575,087.04</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2,365,087.04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12,984,730.10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2,365,087.04</w:t>
            </w: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计入当期损益的政府补助:</w:t>
      </w:r>
    </w:p>
    <w:p>
      <w:pPr>
        <w:widowControl w:val="0"/>
        <w:spacing w:after="139" w:line="1" w:lineRule="exact"/>
      </w:pP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1"/>
        <w:gridCol w:w="1070"/>
        <w:gridCol w:w="1066"/>
        <w:gridCol w:w="1056"/>
        <w:gridCol w:w="1070"/>
        <w:gridCol w:w="1056"/>
        <w:gridCol w:w="1070"/>
        <w:gridCol w:w="1066"/>
      </w:tblGrid>
      <w:tr>
        <w:trPr>
          <w:trHeight w:val="72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补助项目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发放主体</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发放原因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性质类型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补贴是否影</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响当年盈亏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是否特殊补 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本期发生金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上期发生金 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地方政府扶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财政所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12,171,000.0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6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先进企业奖 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高新区管委 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因符合地方 政府招商引 资等地方性 扶持政策而 获得的补助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710" w:name="bookmark1710"/>
      <w:bookmarkStart w:id="1711" w:name="bookmark1711"/>
      <w:bookmarkStart w:id="1712" w:name="bookmark1712"/>
      <w:bookmarkStart w:id="1713" w:name="bookmark1713"/>
      <w:r>
        <w:rPr>
          <w:rFonts w:ascii="Times New Roman" w:eastAsia="Times New Roman" w:hAnsi="Times New Roman" w:cs="Times New Roman"/>
          <w:color w:val="000000"/>
          <w:spacing w:val="0"/>
          <w:w w:val="100"/>
          <w:position w:val="0"/>
        </w:rPr>
        <w:t>7</w:t>
      </w:r>
      <w:bookmarkEnd w:id="1712"/>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710"/>
      <w:bookmarkEnd w:id="1711"/>
      <w:bookmarkEnd w:id="171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72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1,333,868.97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545,642.73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1,333,868.97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4,207,044.95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929,891.19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4,207,044.95</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5,630,913.92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1,475,533.92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5,630,913.92</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714" w:name="bookmark1714"/>
      <w:bookmarkStart w:id="1715" w:name="bookmark1715"/>
      <w:bookmarkStart w:id="1716" w:name="bookmark1716"/>
      <w:bookmarkStart w:id="1717" w:name="bookmark1717"/>
      <w:r>
        <w:rPr>
          <w:rFonts w:ascii="Times New Roman" w:eastAsia="Times New Roman" w:hAnsi="Times New Roman" w:cs="Times New Roman"/>
          <w:color w:val="000000"/>
          <w:spacing w:val="0"/>
          <w:w w:val="100"/>
          <w:position w:val="0"/>
        </w:rPr>
        <w:t>7</w:t>
      </w:r>
      <w:bookmarkEnd w:id="1716"/>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714"/>
      <w:bookmarkEnd w:id="1715"/>
      <w:bookmarkEnd w:id="171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9,839,989.09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9,248,293.31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5,110,262.71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1,625,432.64</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14,950,251.80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10,873,725.95</w:t>
            </w:r>
          </w:p>
        </w:tc>
      </w:tr>
    </w:tbl>
    <w:p>
      <w:pPr>
        <w:spacing w:lineRule="exact" w:line="1"/>
        <w:rPr>
          <w:sz w:val="2"/>
          <w:szCs w:val="2"/>
        </w:rPr>
      </w:pPr>
      <w:r>
        <w:br w:type="page"/>
      </w:r>
    </w:p>
    <w:p>
      <w:pPr>
        <w:pStyle w:val="Style33"/>
        <w:keepNext/>
        <w:keepLines/>
        <w:widowControl w:val="0"/>
        <w:shd w:val="clear" w:color="auto" w:fill="auto"/>
        <w:bidi w:val="0"/>
        <w:spacing w:before="0" w:after="400" w:line="240" w:lineRule="auto"/>
        <w:ind w:left="0" w:right="0" w:firstLine="0"/>
        <w:jc w:val="left"/>
      </w:pPr>
      <w:bookmarkStart w:id="1718" w:name="bookmark1718"/>
      <w:bookmarkStart w:id="1719" w:name="bookmark1719"/>
      <w:bookmarkStart w:id="1720" w:name="bookmark1720"/>
      <w:bookmarkStart w:id="1721" w:name="bookmark1721"/>
      <w:r>
        <w:rPr>
          <w:rFonts w:ascii="Times New Roman" w:eastAsia="Times New Roman" w:hAnsi="Times New Roman" w:cs="Times New Roman"/>
          <w:color w:val="000000"/>
          <w:spacing w:val="0"/>
          <w:w w:val="100"/>
          <w:position w:val="0"/>
        </w:rPr>
        <w:t>7</w:t>
      </w:r>
      <w:bookmarkEnd w:id="1720"/>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718"/>
      <w:bookmarkEnd w:id="1719"/>
      <w:bookmarkEnd w:id="1721"/>
    </w:p>
    <w:p>
      <w:pPr>
        <w:pStyle w:val="Style29"/>
        <w:keepNext w:val="0"/>
        <w:keepLines w:val="0"/>
        <w:widowControl w:val="0"/>
        <w:shd w:val="clear" w:color="auto" w:fill="auto"/>
        <w:bidi w:val="0"/>
        <w:spacing w:before="0" w:after="32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w:t>
      </w:r>
    </w:p>
    <w:p>
      <w:pPr>
        <w:pStyle w:val="Style33"/>
        <w:keepNext/>
        <w:keepLines/>
        <w:widowControl w:val="0"/>
        <w:shd w:val="clear" w:color="auto" w:fill="auto"/>
        <w:bidi w:val="0"/>
        <w:spacing w:before="0" w:after="400" w:line="240" w:lineRule="auto"/>
        <w:ind w:left="0" w:right="0" w:firstLine="0"/>
        <w:jc w:val="left"/>
      </w:pPr>
      <w:bookmarkStart w:id="1722" w:name="bookmark1722"/>
      <w:bookmarkStart w:id="1723" w:name="bookmark1723"/>
      <w:bookmarkStart w:id="1724" w:name="bookmark1724"/>
      <w:bookmarkStart w:id="1725" w:name="bookmark1725"/>
      <w:r>
        <w:rPr>
          <w:rFonts w:ascii="Times New Roman" w:eastAsia="Times New Roman" w:hAnsi="Times New Roman" w:cs="Times New Roman"/>
          <w:color w:val="000000"/>
          <w:spacing w:val="0"/>
          <w:w w:val="100"/>
          <w:position w:val="0"/>
        </w:rPr>
        <w:t>7</w:t>
      </w:r>
      <w:bookmarkEnd w:id="1724"/>
      <w:r>
        <w:rPr>
          <w:rFonts w:ascii="Times New Roman" w:eastAsia="Times New Roman" w:hAnsi="Times New Roman" w:cs="Times New Roman"/>
          <w:color w:val="000000"/>
          <w:spacing w:val="0"/>
          <w:w w:val="100"/>
          <w:position w:val="0"/>
        </w:rPr>
        <w:t>8</w:t>
      </w:r>
      <w:r>
        <w:rPr>
          <w:color w:val="000000"/>
          <w:spacing w:val="0"/>
          <w:w w:val="100"/>
          <w:position w:val="0"/>
        </w:rPr>
        <w:t>、现金流量表项目</w:t>
      </w:r>
      <w:bookmarkEnd w:id="1722"/>
      <w:bookmarkEnd w:id="1723"/>
      <w:bookmarkEnd w:id="1725"/>
    </w:p>
    <w:p>
      <w:pPr>
        <w:pStyle w:val="Style61"/>
        <w:keepNext/>
        <w:keepLines/>
        <w:widowControl w:val="0"/>
        <w:shd w:val="clear" w:color="auto" w:fill="auto"/>
        <w:bidi w:val="0"/>
        <w:spacing w:before="0" w:after="400" w:line="240" w:lineRule="auto"/>
        <w:ind w:left="0" w:right="0" w:firstLine="0"/>
        <w:jc w:val="left"/>
      </w:pPr>
      <w:bookmarkStart w:id="1726" w:name="bookmark1726"/>
      <w:bookmarkStart w:id="1727" w:name="bookmark1727"/>
      <w:bookmarkStart w:id="1728" w:name="bookmark17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26"/>
      <w:bookmarkEnd w:id="1727"/>
      <w:bookmarkEnd w:id="1728"/>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176,833,328.08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211,116,102.08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28,931,171.60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45,193,315.20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受限货币资金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21,195,727.97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9,347,011.14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11,274,946.56</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1,118,617.33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755,209.73</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32235.94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728.63</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237,458,092.06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268,340,302.20</w:t>
            </w:r>
          </w:p>
        </w:tc>
      </w:tr>
    </w:tbl>
    <w:p>
      <w:pPr>
        <w:widowControl w:val="0"/>
        <w:spacing w:after="319" w:line="1" w:lineRule="exact"/>
      </w:pPr>
    </w:p>
    <w:p>
      <w:pPr>
        <w:pStyle w:val="Style61"/>
        <w:keepNext/>
        <w:keepLines/>
        <w:widowControl w:val="0"/>
        <w:shd w:val="clear" w:color="auto" w:fill="auto"/>
        <w:bidi w:val="0"/>
        <w:spacing w:before="0" w:after="400" w:line="240" w:lineRule="auto"/>
        <w:ind w:left="0" w:right="0" w:firstLine="0"/>
        <w:jc w:val="left"/>
      </w:pPr>
      <w:bookmarkStart w:id="1729" w:name="bookmark1729"/>
      <w:bookmarkStart w:id="1730" w:name="bookmark1730"/>
      <w:bookmarkStart w:id="1731" w:name="bookmark17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29"/>
      <w:bookmarkEnd w:id="1730"/>
      <w:bookmarkEnd w:id="1731"/>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期间费用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143,351,505.83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230,174,519.97</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155,790,035.97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160,218,635.05</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受限货币资金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24,583,630.60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4,296,441.52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1,942,959.40</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306,277,983.32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416,919,745.02</w:t>
            </w:r>
          </w:p>
        </w:tc>
      </w:tr>
    </w:tbl>
    <w:p>
      <w:pPr>
        <w:widowControl w:val="0"/>
        <w:spacing w:after="319" w:line="1" w:lineRule="exact"/>
      </w:pPr>
    </w:p>
    <w:p>
      <w:pPr>
        <w:pStyle w:val="Style61"/>
        <w:keepNext/>
        <w:keepLines/>
        <w:widowControl w:val="0"/>
        <w:shd w:val="clear" w:color="auto" w:fill="auto"/>
        <w:bidi w:val="0"/>
        <w:spacing w:before="0" w:after="400" w:line="240" w:lineRule="auto"/>
        <w:ind w:left="0" w:right="0" w:firstLine="0"/>
        <w:jc w:val="left"/>
      </w:pPr>
      <w:bookmarkStart w:id="1732" w:name="bookmark1732"/>
      <w:bookmarkStart w:id="1733" w:name="bookmark1733"/>
      <w:bookmarkStart w:id="1734" w:name="bookmark1734"/>
      <w:r>
        <w:rPr>
          <w:color w:val="000000"/>
          <w:spacing w:val="0"/>
          <w:w w:val="100"/>
          <w:position w:val="0"/>
        </w:rPr>
        <w:t>⑶收到的其他与投资活动有关的现金</w:t>
      </w:r>
      <w:bookmarkEnd w:id="1732"/>
      <w:bookmarkEnd w:id="1733"/>
      <w:bookmarkEnd w:id="1734"/>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取得子公司支付的现金净额负数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741,558.20</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741,558.20</w:t>
            </w:r>
          </w:p>
        </w:tc>
      </w:tr>
    </w:tbl>
    <w:p>
      <w:pPr>
        <w:widowControl w:val="0"/>
        <w:spacing w:after="319" w:line="1" w:lineRule="exact"/>
      </w:pPr>
    </w:p>
    <w:p>
      <w:pPr>
        <w:pStyle w:val="Style61"/>
        <w:keepNext/>
        <w:keepLines/>
        <w:widowControl w:val="0"/>
        <w:shd w:val="clear" w:color="auto" w:fill="auto"/>
        <w:bidi w:val="0"/>
        <w:spacing w:before="0" w:after="400" w:line="240" w:lineRule="auto"/>
        <w:ind w:left="0" w:right="0" w:firstLine="0"/>
        <w:jc w:val="left"/>
      </w:pPr>
      <w:bookmarkStart w:id="1735" w:name="bookmark1735"/>
      <w:bookmarkStart w:id="1736" w:name="bookmark1736"/>
      <w:bookmarkStart w:id="1737" w:name="bookmark1737"/>
      <w:bookmarkStart w:id="1738" w:name="bookmark1738"/>
      <w:r>
        <w:rPr>
          <w:color w:val="000000"/>
          <w:spacing w:val="0"/>
          <w:w w:val="100"/>
          <w:position w:val="0"/>
        </w:rPr>
        <w:t>（</w:t>
      </w:r>
      <w:bookmarkEnd w:id="1737"/>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735"/>
      <w:bookmarkEnd w:id="1736"/>
      <w:bookmarkEnd w:id="1738"/>
    </w:p>
    <w:p>
      <w:pPr>
        <w:pStyle w:val="Style29"/>
        <w:keepNext w:val="0"/>
        <w:keepLines w:val="0"/>
        <w:widowControl w:val="0"/>
        <w:shd w:val="clear" w:color="auto" w:fill="auto"/>
        <w:bidi w:val="0"/>
        <w:spacing w:before="0" w:after="200" w:line="240" w:lineRule="auto"/>
        <w:ind w:left="8940" w:right="0" w:firstLine="0"/>
        <w:jc w:val="left"/>
      </w:pPr>
      <w:r>
        <w:rPr>
          <w:color w:val="000000"/>
          <w:spacing w:val="0"/>
          <w:w w:val="100"/>
          <w:position w:val="0"/>
        </w:rPr>
        <w:t>单位：元</w:t>
      </w:r>
    </w:p>
    <w:p>
      <w:pPr>
        <w:pStyle w:val="Style29"/>
        <w:keepNext w:val="0"/>
        <w:keepLines w:val="0"/>
        <w:widowControl w:val="0"/>
        <w:pBdr>
          <w:top w:val="single" w:sz="4" w:space="0" w:color="D3D3D3"/>
          <w:left w:val="single" w:sz="4" w:space="0" w:color="D3D3D3"/>
          <w:bottom w:val="single" w:sz="4" w:space="0" w:color="D3D3D3"/>
          <w:right w:val="single" w:sz="4" w:space="0" w:color="D3D3D3"/>
        </w:pBdr>
        <w:shd w:val="clear" w:color="auto" w:fill="D3D3D3"/>
        <w:bidi w:val="0"/>
        <w:spacing w:before="0" w:after="320" w:line="240" w:lineRule="auto"/>
        <w:ind w:left="2080" w:right="0" w:firstLine="0"/>
        <w:jc w:val="left"/>
      </w:pPr>
      <w:r>
        <mc:AlternateContent>
          <mc:Choice Requires="wps">
            <w:drawing>
              <wp:anchor distT="3175" distB="0" distL="114300" distR="2315210" simplePos="0" relativeHeight="125829455" behindDoc="0" locked="0" layoutInCell="1" allowOverlap="1">
                <wp:simplePos x="0" y="0"/>
                <wp:positionH relativeFrom="page">
                  <wp:posOffset>1597660</wp:posOffset>
                </wp:positionH>
                <wp:positionV relativeFrom="paragraph">
                  <wp:posOffset>15875</wp:posOffset>
                </wp:positionV>
                <wp:extent cx="252730" cy="146050"/>
                <wp:wrapSquare wrapText="right"/>
                <wp:docPr id="86" name="Shape 86"/>
                <a:graphic xmlns:a="http://schemas.openxmlformats.org/drawingml/2006/main">
                  <a:graphicData uri="http://schemas.microsoft.com/office/word/2010/wordprocessingShape">
                    <wps:wsp>
                      <wps:cNvSpPr txBox="1"/>
                      <wps:spPr>
                        <a:xfrm>
                          <a:ext cx="252730" cy="146050"/>
                        </a:xfrm>
                        <a:prstGeom prst="rect"/>
                        <a:solidFill>
                          <a:srgbClr val="D3D3D3"/>
                        </a:solidFill>
                      </wps:spPr>
                      <wps:txbx>
                        <w:txbxContent>
                          <w:p>
                            <w:pPr>
                              <w:pStyle w:val="Style29"/>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112" type="#_x0000_t202" style="position:absolute;margin-left:125.8pt;margin-top:1.25pt;width:19.900000000000002pt;height:11.5pt;z-index:-125829298;mso-wrap-distance-left:9.pt;mso-wrap-distance-top:0.25pt;mso-wrap-distance-right:182.30000000000001pt;mso-position-horizontal-relative:page" fillcolor="#D3D3D3" stroked="f">
                <v:textbox inset="0,0,0,0">
                  <w:txbxContent>
                    <w:p>
                      <w:pPr>
                        <w:pStyle w:val="Style29"/>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square" side="right" anchorx="page"/>
              </v:shape>
            </w:pict>
          </mc:Fallback>
        </mc:AlternateContent>
      </w:r>
      <w:r>
        <mc:AlternateContent>
          <mc:Choice Requires="wps">
            <w:drawing>
              <wp:anchor distT="0" distB="0" distL="1970405" distR="114300" simplePos="0" relativeHeight="125829457" behindDoc="0" locked="0" layoutInCell="1" allowOverlap="1">
                <wp:simplePos x="0" y="0"/>
                <wp:positionH relativeFrom="page">
                  <wp:posOffset>3453765</wp:posOffset>
                </wp:positionH>
                <wp:positionV relativeFrom="paragraph">
                  <wp:posOffset>12700</wp:posOffset>
                </wp:positionV>
                <wp:extent cx="597535" cy="149225"/>
                <wp:wrapSquare wrapText="right"/>
                <wp:docPr id="88" name="Shape 88"/>
                <a:graphic xmlns:a="http://schemas.openxmlformats.org/drawingml/2006/main">
                  <a:graphicData uri="http://schemas.microsoft.com/office/word/2010/wordprocessingShape">
                    <wps:wsp>
                      <wps:cNvSpPr txBox="1"/>
                      <wps:spPr>
                        <a:xfrm>
                          <a:ext cx="597535" cy="149225"/>
                        </a:xfrm>
                        <a:prstGeom prst="rect"/>
                        <a:solidFill>
                          <a:srgbClr val="D3D3D3"/>
                        </a:solidFill>
                      </wps:spPr>
                      <wps:txbx>
                        <w:txbxContent>
                          <w:p>
                            <w:pPr>
                              <w:pStyle w:val="Style29"/>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本期发生额</w:t>
                            </w:r>
                          </w:p>
                        </w:txbxContent>
                      </wps:txbx>
                      <wps:bodyPr wrap="none" lIns="0" tIns="0" rIns="0" bIns="0">
                        <a:noAutoFit/>
                      </wps:bodyPr>
                    </wps:wsp>
                  </a:graphicData>
                </a:graphic>
              </wp:anchor>
            </w:drawing>
          </mc:Choice>
          <mc:Fallback>
            <w:pict>
              <v:shape id="_x0000_s1114" type="#_x0000_t202" style="position:absolute;margin-left:271.94999999999999pt;margin-top:1.pt;width:47.050000000000004pt;height:11.75pt;z-index:-125829296;mso-wrap-distance-left:155.15000000000001pt;mso-wrap-distance-right:9.pt;mso-position-horizontal-relative:page" fillcolor="#D3D3D3" stroked="f">
                <v:textbox inset="0,0,0,0">
                  <w:txbxContent>
                    <w:p>
                      <w:pPr>
                        <w:pStyle w:val="Style29"/>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本期发生额</w:t>
                      </w:r>
                    </w:p>
                  </w:txbxContent>
                </v:textbox>
                <w10:wrap type="square" side="right" anchorx="page"/>
              </v:shape>
            </w:pict>
          </mc:Fallback>
        </mc:AlternateContent>
      </w:r>
      <w:r>
        <w:rPr>
          <w:color w:val="000000"/>
          <w:spacing w:val="0"/>
          <w:w w:val="100"/>
          <w:position w:val="0"/>
        </w:rPr>
        <w:t>上期发生额</w:t>
      </w:r>
      <w:r>
        <w:br w:type="page"/>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丧失控制权日子公司持有的现金及现金 等价物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132,657.63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132,657.63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61"/>
        <w:keepNext/>
        <w:keepLines/>
        <w:widowControl w:val="0"/>
        <w:shd w:val="clear" w:color="auto" w:fill="auto"/>
        <w:tabs>
          <w:tab w:pos="483" w:val="left"/>
        </w:tabs>
        <w:bidi w:val="0"/>
        <w:spacing w:before="0" w:line="240" w:lineRule="auto"/>
        <w:ind w:left="0" w:right="0" w:firstLine="0"/>
        <w:jc w:val="left"/>
      </w:pPr>
      <w:bookmarkStart w:id="1739" w:name="bookmark1739"/>
      <w:bookmarkStart w:id="1740" w:name="bookmark1740"/>
      <w:bookmarkStart w:id="1741" w:name="bookmark1741"/>
      <w:bookmarkStart w:id="1742" w:name="bookmark1742"/>
      <w:r>
        <w:rPr>
          <w:color w:val="000000"/>
          <w:spacing w:val="0"/>
          <w:w w:val="100"/>
          <w:position w:val="0"/>
        </w:rPr>
        <w:t>（</w:t>
      </w:r>
      <w:bookmarkEnd w:id="1741"/>
      <w:r>
        <w:rPr>
          <w:rFonts w:ascii="Times New Roman" w:eastAsia="Times New Roman" w:hAnsi="Times New Roman" w:cs="Times New Roman"/>
          <w:color w:val="000000"/>
          <w:spacing w:val="0"/>
          <w:w w:val="100"/>
          <w:position w:val="0"/>
        </w:rPr>
        <w:t>5</w:t>
      </w:r>
      <w:r>
        <w:rPr>
          <w:color w:val="000000"/>
          <w:spacing w:val="0"/>
          <w:w w:val="100"/>
          <w:position w:val="0"/>
        </w:rPr>
        <w:t>）</w:t>
        <w:tab/>
        <w:t>收到的其他与筹资活动有关的现金</w:t>
      </w:r>
      <w:bookmarkEnd w:id="1739"/>
      <w:bookmarkEnd w:id="1740"/>
      <w:bookmarkEnd w:id="1742"/>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61"/>
        <w:keepNext/>
        <w:keepLines/>
        <w:widowControl w:val="0"/>
        <w:shd w:val="clear" w:color="auto" w:fill="auto"/>
        <w:tabs>
          <w:tab w:pos="483" w:val="left"/>
        </w:tabs>
        <w:bidi w:val="0"/>
        <w:spacing w:before="0" w:line="240" w:lineRule="auto"/>
        <w:ind w:left="0" w:right="0" w:firstLine="0"/>
        <w:jc w:val="left"/>
      </w:pPr>
      <w:bookmarkStart w:id="1743" w:name="bookmark1743"/>
      <w:bookmarkStart w:id="1744" w:name="bookmark1744"/>
      <w:bookmarkStart w:id="1745" w:name="bookmark1745"/>
      <w:bookmarkStart w:id="1746" w:name="bookmark1746"/>
      <w:r>
        <w:rPr>
          <w:color w:val="000000"/>
          <w:spacing w:val="0"/>
          <w:w w:val="100"/>
          <w:position w:val="0"/>
        </w:rPr>
        <w:t>（</w:t>
      </w:r>
      <w:bookmarkEnd w:id="1745"/>
      <w:r>
        <w:rPr>
          <w:rFonts w:ascii="Times New Roman" w:eastAsia="Times New Roman" w:hAnsi="Times New Roman" w:cs="Times New Roman"/>
          <w:color w:val="000000"/>
          <w:spacing w:val="0"/>
          <w:w w:val="100"/>
          <w:position w:val="0"/>
        </w:rPr>
        <w:t>6</w:t>
      </w:r>
      <w:r>
        <w:rPr>
          <w:color w:val="000000"/>
          <w:spacing w:val="0"/>
          <w:w w:val="100"/>
          <w:position w:val="0"/>
        </w:rPr>
        <w:t>）</w:t>
        <w:tab/>
        <w:t>支付的其他与筹资活动有关的现金</w:t>
      </w:r>
      <w:bookmarkEnd w:id="1743"/>
      <w:bookmarkEnd w:id="1744"/>
      <w:bookmarkEnd w:id="1746"/>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租赁负债支付的现金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21,123,655.57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21,123,655.57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both"/>
      </w:pPr>
      <w:bookmarkStart w:id="1747" w:name="bookmark1747"/>
      <w:bookmarkStart w:id="1748" w:name="bookmark1748"/>
      <w:bookmarkStart w:id="1749" w:name="bookmark1749"/>
      <w:bookmarkStart w:id="1750" w:name="bookmark1750"/>
      <w:r>
        <w:rPr>
          <w:rFonts w:ascii="Times New Roman" w:eastAsia="Times New Roman" w:hAnsi="Times New Roman" w:cs="Times New Roman"/>
          <w:color w:val="000000"/>
          <w:spacing w:val="0"/>
          <w:w w:val="100"/>
          <w:position w:val="0"/>
        </w:rPr>
        <w:t>7</w:t>
      </w:r>
      <w:bookmarkEnd w:id="1749"/>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747"/>
      <w:bookmarkEnd w:id="1748"/>
      <w:bookmarkEnd w:id="1750"/>
    </w:p>
    <w:p>
      <w:pPr>
        <w:pStyle w:val="Style61"/>
        <w:keepNext/>
        <w:keepLines/>
        <w:widowControl w:val="0"/>
        <w:shd w:val="clear" w:color="auto" w:fill="auto"/>
        <w:bidi w:val="0"/>
        <w:spacing w:before="0" w:line="240" w:lineRule="auto"/>
        <w:ind w:left="0" w:right="0" w:firstLine="0"/>
        <w:jc w:val="both"/>
      </w:pPr>
      <w:bookmarkStart w:id="1751" w:name="bookmark1751"/>
      <w:bookmarkStart w:id="1752" w:name="bookmark1752"/>
      <w:bookmarkStart w:id="1753" w:name="bookmark17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51"/>
      <w:bookmarkEnd w:id="1752"/>
      <w:bookmarkEnd w:id="175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254"/>
        <w:gridCol w:w="1704"/>
        <w:gridCol w:w="163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补充资料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上期金额</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.将净利润调节为经营活动现金流量：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43,356269.94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-1,285,783,427.12</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43,499,385.22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433,734,642.75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固定资产折旧、油气资产折耗、生产性生物资产折旧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56299,516.26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62,535,902.72</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18,518,901.65</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239,961,764.86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263,960,363.55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12,128,035.53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11,317,011.21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处置固定资产、无形资产和其他长期资产的损失（收益以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-343,131.86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485,824.67</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1,333,868.97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-34,147,132.03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-11,748,200.95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136,305,853.59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149,509,922.62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-6,085,777.83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46,755,730.54</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5,110,262.71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1,625,432.64</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-83,096,568.36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572,808,432.38</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-190,918,356.54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-294,982,520.25</w:t>
            </w:r>
          </w:p>
        </w:tc>
      </w:tr>
    </w:tbl>
    <w:p>
      <w:pPr>
        <w:widowControl w:val="0"/>
        <w:spacing w:line="1" w:lineRule="exact"/>
      </w:pPr>
      <w:r>
        <w:br w:type="page"/>
      </w:r>
    </w:p>
    <w:tbl>
      <w:tblPr>
        <w:tblOverlap w:val="never"/>
        <w:jc w:val="center"/>
        <w:tblLayout w:type="fixed"/>
      </w:tblPr>
      <w:tblGrid>
        <w:gridCol w:w="6259"/>
        <w:gridCol w:w="1699"/>
        <w:gridCol w:w="163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补充资料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上期金额</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-177,935,473.42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335,537,039.82</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-28214,800.00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63,987,418.69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257,541,354.58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不涉及现金收支的重大投资和筹资活动：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.现金及现金等价物净变动情况：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1,205,097,453.01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1,357,493,345.23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1,357,493,345.23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1,620,212260.90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-152,395,892.22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-262,718,915.67</w:t>
            </w:r>
          </w:p>
        </w:tc>
      </w:tr>
    </w:tbl>
    <w:p>
      <w:pPr>
        <w:widowControl w:val="0"/>
        <w:spacing w:after="339" w:line="1" w:lineRule="exact"/>
      </w:pPr>
    </w:p>
    <w:p>
      <w:pPr>
        <w:pStyle w:val="Style61"/>
        <w:keepNext/>
        <w:keepLines/>
        <w:widowControl w:val="0"/>
        <w:shd w:val="clear" w:color="auto" w:fill="auto"/>
        <w:tabs>
          <w:tab w:pos="483" w:val="left"/>
        </w:tabs>
        <w:bidi w:val="0"/>
        <w:spacing w:before="0" w:after="400" w:line="240" w:lineRule="auto"/>
        <w:ind w:left="0" w:right="0" w:firstLine="0"/>
        <w:jc w:val="left"/>
      </w:pPr>
      <w:bookmarkStart w:id="1754" w:name="bookmark1754"/>
      <w:bookmarkStart w:id="1755" w:name="bookmark1755"/>
      <w:bookmarkStart w:id="1756" w:name="bookmark1756"/>
      <w:bookmarkStart w:id="1757" w:name="bookmark1757"/>
      <w:r>
        <w:rPr>
          <w:color w:val="000000"/>
          <w:spacing w:val="0"/>
          <w:w w:val="100"/>
          <w:position w:val="0"/>
        </w:rPr>
        <w:t>（</w:t>
      </w:r>
      <w:bookmarkEnd w:id="1756"/>
      <w:r>
        <w:rPr>
          <w:rFonts w:ascii="Times New Roman" w:eastAsia="Times New Roman" w:hAnsi="Times New Roman" w:cs="Times New Roman"/>
          <w:color w:val="000000"/>
          <w:spacing w:val="0"/>
          <w:w w:val="100"/>
          <w:position w:val="0"/>
        </w:rPr>
        <w:t>2</w:t>
      </w:r>
      <w:r>
        <w:rPr>
          <w:color w:val="000000"/>
          <w:spacing w:val="0"/>
          <w:w w:val="100"/>
          <w:position w:val="0"/>
        </w:rPr>
        <w:t>）</w:t>
        <w:tab/>
        <w:t>本期支付的取得子公司的现金净额</w:t>
      </w:r>
      <w:bookmarkEnd w:id="1754"/>
      <w:bookmarkEnd w:id="1755"/>
      <w:bookmarkEnd w:id="1757"/>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61"/>
        <w:keepNext/>
        <w:keepLines/>
        <w:widowControl w:val="0"/>
        <w:shd w:val="clear" w:color="auto" w:fill="auto"/>
        <w:tabs>
          <w:tab w:pos="483" w:val="left"/>
        </w:tabs>
        <w:bidi w:val="0"/>
        <w:spacing w:before="0" w:after="400" w:line="240" w:lineRule="auto"/>
        <w:ind w:left="0" w:right="0" w:firstLine="0"/>
        <w:jc w:val="left"/>
      </w:pPr>
      <w:bookmarkStart w:id="1758" w:name="bookmark1758"/>
      <w:bookmarkStart w:id="1759" w:name="bookmark1759"/>
      <w:bookmarkStart w:id="1760" w:name="bookmark1760"/>
      <w:bookmarkStart w:id="1761" w:name="bookmark1761"/>
      <w:r>
        <w:rPr>
          <w:color w:val="000000"/>
          <w:spacing w:val="0"/>
          <w:w w:val="100"/>
          <w:position w:val="0"/>
        </w:rPr>
        <w:t>（</w:t>
      </w:r>
      <w:bookmarkEnd w:id="1760"/>
      <w:r>
        <w:rPr>
          <w:rFonts w:ascii="Times New Roman" w:eastAsia="Times New Roman" w:hAnsi="Times New Roman" w:cs="Times New Roman"/>
          <w:color w:val="000000"/>
          <w:spacing w:val="0"/>
          <w:w w:val="100"/>
          <w:position w:val="0"/>
        </w:rPr>
        <w:t>3</w:t>
      </w:r>
      <w:r>
        <w:rPr>
          <w:color w:val="000000"/>
          <w:spacing w:val="0"/>
          <w:w w:val="100"/>
          <w:position w:val="0"/>
        </w:rPr>
        <w:t>）</w:t>
        <w:tab/>
        <w:t>本期收到的处置子公司的现金净额</w:t>
      </w:r>
      <w:bookmarkEnd w:id="1758"/>
      <w:bookmarkEnd w:id="1759"/>
      <w:bookmarkEnd w:id="1761"/>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5006"/>
        <w:gridCol w:w="4584"/>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本期处置子公司于本期收到的现金或现金等价物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减：丧失控制权日子公司持有的现金及现金等价物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132,657.63</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上海慈铭智能网络科技有限责任公司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132,657.63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加：以前期间处置子公司于本期收到的现金或现金等价物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处置子公司收到的现金净额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-132,657.63</w:t>
            </w:r>
          </w:p>
        </w:tc>
      </w:tr>
    </w:tbl>
    <w:p>
      <w:pPr>
        <w:widowControl w:val="0"/>
        <w:spacing w:after="619" w:line="1" w:lineRule="exact"/>
      </w:pPr>
    </w:p>
    <w:p>
      <w:pPr>
        <w:pStyle w:val="Style61"/>
        <w:keepNext/>
        <w:keepLines/>
        <w:widowControl w:val="0"/>
        <w:shd w:val="clear" w:color="auto" w:fill="auto"/>
        <w:bidi w:val="0"/>
        <w:spacing w:before="0" w:after="400" w:line="240" w:lineRule="auto"/>
        <w:ind w:left="0" w:right="0" w:firstLine="0"/>
        <w:jc w:val="left"/>
      </w:pPr>
      <w:bookmarkStart w:id="1762" w:name="bookmark1762"/>
      <w:bookmarkStart w:id="1763" w:name="bookmark1763"/>
      <w:bookmarkStart w:id="1764" w:name="bookmark1764"/>
      <w:bookmarkStart w:id="1765" w:name="bookmark1765"/>
      <w:r>
        <w:rPr>
          <w:color w:val="000000"/>
          <w:spacing w:val="0"/>
          <w:w w:val="100"/>
          <w:position w:val="0"/>
        </w:rPr>
        <w:t>（</w:t>
      </w:r>
      <w:bookmarkEnd w:id="1764"/>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762"/>
      <w:bookmarkEnd w:id="1763"/>
      <w:bookmarkEnd w:id="1765"/>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41"/>
        <w:gridCol w:w="3062"/>
        <w:gridCol w:w="3187"/>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1,205,097,453.01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1,357,493,345.23</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其中：库存现金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71,997.52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356,354.09</w:t>
            </w:r>
          </w:p>
        </w:tc>
      </w:tr>
    </w:tbl>
    <w:p>
      <w:pPr>
        <w:widowControl w:val="0"/>
        <w:spacing w:line="1" w:lineRule="exact"/>
      </w:pPr>
      <w:r>
        <w:br w:type="page"/>
      </w:r>
    </w:p>
    <w:tbl>
      <w:tblPr>
        <w:tblOverlap w:val="never"/>
        <w:jc w:val="center"/>
        <w:tblLayout w:type="fixed"/>
      </w:tblPr>
      <w:tblGrid>
        <w:gridCol w:w="3336"/>
        <w:gridCol w:w="3067"/>
        <w:gridCol w:w="318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1,203,441,554.06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1,356,010,414.94</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1,583,901.43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1,126,576.20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二、现金等价物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1,205,097,453.01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1,357,493,345.23</w:t>
            </w:r>
          </w:p>
        </w:tc>
      </w:tr>
    </w:tbl>
    <w:p>
      <w:pPr>
        <w:widowControl w:val="0"/>
        <w:spacing w:after="319" w:line="1" w:lineRule="exact"/>
      </w:pPr>
    </w:p>
    <w:p>
      <w:pPr>
        <w:pStyle w:val="Style33"/>
        <w:keepNext/>
        <w:keepLines/>
        <w:widowControl w:val="0"/>
        <w:shd w:val="clear" w:color="auto" w:fill="auto"/>
        <w:tabs>
          <w:tab w:pos="478" w:val="left"/>
        </w:tabs>
        <w:bidi w:val="0"/>
        <w:spacing w:before="0" w:after="380" w:line="240" w:lineRule="auto"/>
        <w:ind w:left="0" w:right="0" w:firstLine="0"/>
        <w:jc w:val="left"/>
      </w:pPr>
      <w:bookmarkStart w:id="1766" w:name="bookmark1766"/>
      <w:bookmarkStart w:id="1767" w:name="bookmark1767"/>
      <w:bookmarkStart w:id="1768" w:name="bookmark1768"/>
      <w:bookmarkStart w:id="1769" w:name="bookmark1769"/>
      <w:r>
        <w:rPr>
          <w:rFonts w:ascii="Times New Roman" w:eastAsia="Times New Roman" w:hAnsi="Times New Roman" w:cs="Times New Roman"/>
          <w:color w:val="000000"/>
          <w:spacing w:val="0"/>
          <w:w w:val="100"/>
          <w:position w:val="0"/>
        </w:rPr>
        <w:t>8</w:t>
      </w:r>
      <w:bookmarkEnd w:id="1768"/>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766"/>
      <w:bookmarkEnd w:id="1767"/>
      <w:bookmarkEnd w:id="1769"/>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78" w:val="left"/>
        </w:tabs>
        <w:bidi w:val="0"/>
        <w:spacing w:before="0" w:after="380" w:line="240" w:lineRule="auto"/>
        <w:ind w:left="0" w:right="0" w:firstLine="0"/>
        <w:jc w:val="left"/>
      </w:pPr>
      <w:bookmarkStart w:id="1770" w:name="bookmark1770"/>
      <w:bookmarkStart w:id="1771" w:name="bookmark1771"/>
      <w:bookmarkStart w:id="1772" w:name="bookmark1772"/>
      <w:bookmarkStart w:id="1773" w:name="bookmark1773"/>
      <w:r>
        <w:rPr>
          <w:rFonts w:ascii="Times New Roman" w:eastAsia="Times New Roman" w:hAnsi="Times New Roman" w:cs="Times New Roman"/>
          <w:color w:val="000000"/>
          <w:spacing w:val="0"/>
          <w:w w:val="100"/>
          <w:position w:val="0"/>
        </w:rPr>
        <w:t>8</w:t>
      </w:r>
      <w:bookmarkEnd w:id="1772"/>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770"/>
      <w:bookmarkEnd w:id="1771"/>
      <w:bookmarkEnd w:id="1773"/>
    </w:p>
    <w:p>
      <w:pPr>
        <w:pStyle w:val="Style2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3336"/>
        <w:gridCol w:w="3067"/>
        <w:gridCol w:w="318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受限原因</w:t>
            </w:r>
          </w:p>
        </w:tc>
      </w:tr>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6,227,902.63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见附注七、</w:t>
            </w:r>
            <w:r>
              <w:rPr>
                <w:rFonts w:ascii="Times New Roman" w:eastAsia="Times New Roman" w:hAnsi="Times New Roman" w:cs="Times New Roman"/>
                <w:color w:val="000000"/>
                <w:spacing w:val="0"/>
                <w:w w:val="100"/>
                <w:position w:val="0"/>
                <w:sz w:val="18"/>
                <w:szCs w:val="18"/>
              </w:rPr>
              <w:t>1</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21,074,099.86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保函保证金</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27,302,002.49</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774" w:name="bookmark1774"/>
      <w:bookmarkStart w:id="1775" w:name="bookmark1775"/>
      <w:bookmarkStart w:id="1776" w:name="bookmark1776"/>
      <w:bookmarkStart w:id="1777" w:name="bookmark1777"/>
      <w:r>
        <w:rPr>
          <w:rFonts w:ascii="Times New Roman" w:eastAsia="Times New Roman" w:hAnsi="Times New Roman" w:cs="Times New Roman"/>
          <w:color w:val="000000"/>
          <w:spacing w:val="0"/>
          <w:w w:val="100"/>
          <w:position w:val="0"/>
        </w:rPr>
        <w:t>8</w:t>
      </w:r>
      <w:bookmarkEnd w:id="1776"/>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774"/>
      <w:bookmarkEnd w:id="1775"/>
      <w:bookmarkEnd w:id="1777"/>
    </w:p>
    <w:p>
      <w:pPr>
        <w:pStyle w:val="Style61"/>
        <w:keepNext/>
        <w:keepLines/>
        <w:widowControl w:val="0"/>
        <w:shd w:val="clear" w:color="auto" w:fill="auto"/>
        <w:bidi w:val="0"/>
        <w:spacing w:before="0" w:line="240" w:lineRule="auto"/>
        <w:ind w:left="0" w:right="0" w:firstLine="0"/>
        <w:jc w:val="left"/>
      </w:pPr>
      <w:bookmarkStart w:id="1778" w:name="bookmark1778"/>
      <w:bookmarkStart w:id="1779" w:name="bookmark1779"/>
      <w:bookmarkStart w:id="1780" w:name="bookmark17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78"/>
      <w:bookmarkEnd w:id="1779"/>
      <w:bookmarkEnd w:id="178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10"/>
        <w:gridCol w:w="1954"/>
        <w:gridCol w:w="1334"/>
        <w:gridCol w:w="2136"/>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期末外币余额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折算汇率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期末折算人民币余额</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3,824,172.40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599,804.32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3,824,172.40</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5,738.13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5,738.13</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1,716,708.23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269,258.00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1,716,708.23</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127,514.00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127,514.00</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10,787.68</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6.3757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10,787.68</w:t>
            </w:r>
          </w:p>
        </w:tc>
      </w:tr>
    </w:tbl>
    <w:p>
      <w:pPr>
        <w:widowControl w:val="0"/>
        <w:spacing w:after="239" w:line="1" w:lineRule="exact"/>
      </w:pPr>
    </w:p>
    <w:p>
      <w:pPr>
        <w:pStyle w:val="Style61"/>
        <w:keepNext/>
        <w:keepLines/>
        <w:widowControl w:val="0"/>
        <w:shd w:val="clear" w:color="auto" w:fill="auto"/>
        <w:bidi w:val="0"/>
        <w:spacing w:before="0" w:line="322" w:lineRule="exact"/>
        <w:ind w:left="0" w:right="0" w:firstLine="0"/>
        <w:jc w:val="left"/>
      </w:pPr>
      <w:bookmarkStart w:id="1781" w:name="bookmark1781"/>
      <w:bookmarkStart w:id="1782" w:name="bookmark1782"/>
      <w:bookmarkStart w:id="1783" w:name="bookmark17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81"/>
      <w:bookmarkEnd w:id="1782"/>
      <w:bookmarkEnd w:id="1783"/>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3"/>
        <w:keepNext/>
        <w:keepLines/>
        <w:widowControl w:val="0"/>
        <w:shd w:val="clear" w:color="auto" w:fill="auto"/>
        <w:tabs>
          <w:tab w:pos="478" w:val="left"/>
        </w:tabs>
        <w:bidi w:val="0"/>
        <w:spacing w:before="0" w:after="380" w:line="240" w:lineRule="auto"/>
        <w:ind w:left="0" w:right="0" w:firstLine="0"/>
        <w:jc w:val="left"/>
      </w:pPr>
      <w:bookmarkStart w:id="1784" w:name="bookmark1784"/>
      <w:bookmarkStart w:id="1785" w:name="bookmark1785"/>
      <w:bookmarkStart w:id="1786" w:name="bookmark1786"/>
      <w:bookmarkStart w:id="1787" w:name="bookmark1787"/>
      <w:r>
        <w:rPr>
          <w:rFonts w:ascii="Times New Roman" w:eastAsia="Times New Roman" w:hAnsi="Times New Roman" w:cs="Times New Roman"/>
          <w:color w:val="000000"/>
          <w:spacing w:val="0"/>
          <w:w w:val="100"/>
          <w:position w:val="0"/>
        </w:rPr>
        <w:t>8</w:t>
      </w:r>
      <w:bookmarkEnd w:id="1786"/>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784"/>
      <w:bookmarkEnd w:id="1785"/>
      <w:bookmarkEnd w:id="1787"/>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78" w:val="left"/>
        </w:tabs>
        <w:bidi w:val="0"/>
        <w:spacing w:before="0" w:after="380" w:line="240" w:lineRule="auto"/>
        <w:ind w:left="0" w:right="0" w:firstLine="0"/>
        <w:jc w:val="left"/>
      </w:pPr>
      <w:bookmarkStart w:id="1788" w:name="bookmark1788"/>
      <w:bookmarkStart w:id="1789" w:name="bookmark1789"/>
      <w:bookmarkStart w:id="1790" w:name="bookmark1790"/>
      <w:bookmarkStart w:id="1791" w:name="bookmark1791"/>
      <w:r>
        <w:rPr>
          <w:rFonts w:ascii="Times New Roman" w:eastAsia="Times New Roman" w:hAnsi="Times New Roman" w:cs="Times New Roman"/>
          <w:color w:val="000000"/>
          <w:spacing w:val="0"/>
          <w:w w:val="100"/>
          <w:position w:val="0"/>
        </w:rPr>
        <w:t>8</w:t>
      </w:r>
      <w:bookmarkEnd w:id="1790"/>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788"/>
      <w:bookmarkEnd w:id="1789"/>
      <w:bookmarkEnd w:id="1791"/>
    </w:p>
    <w:p>
      <w:pPr>
        <w:pStyle w:val="Style61"/>
        <w:keepNext/>
        <w:keepLines/>
        <w:widowControl w:val="0"/>
        <w:shd w:val="clear" w:color="auto" w:fill="auto"/>
        <w:bidi w:val="0"/>
        <w:spacing w:before="0" w:line="240" w:lineRule="auto"/>
        <w:ind w:left="0" w:right="0" w:firstLine="0"/>
        <w:jc w:val="left"/>
      </w:pPr>
      <w:bookmarkStart w:id="1792" w:name="bookmark1792"/>
      <w:bookmarkStart w:id="1793" w:name="bookmark1793"/>
      <w:bookmarkStart w:id="1794" w:name="bookmark17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792"/>
      <w:bookmarkEnd w:id="1793"/>
      <w:bookmarkEnd w:id="179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694"/>
        <w:gridCol w:w="1416"/>
        <w:gridCol w:w="1416"/>
        <w:gridCol w:w="2064"/>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列报项目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计入当期损益的金额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面向医疗健康服务行业的公共云计算服务平台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1,009,604.12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科技项目经费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8,916,600.00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6,313,600.00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软件企业即征即退的增值税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9,363,033.56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5,814,869.59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基于大数据的传染性疾病重点人群筛查与管控应用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3,310,000.00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3,310,000.00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万达信息云业务支撑平台研发与行业应用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2,800,533.64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2,800,000.00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城市智能交通感知与决策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基于人工智能的儿童青少年屈光筛查及屈光档案的建立和 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安全可控桌面计算机在电子政务领域的应用迁移技术研究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12,377,158.78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1,432,812.60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万达信息云业务支撑平台研发与行业应用（徐汇配套）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1,400,000.00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创建特色型中国软件名城项目补贴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4,140,000.00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面向复杂传染病智能诊疗的数据共享平台建设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面向临床诊疗的智能决策服务平台研发与运营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900,000.00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社保补贴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1,608,835.38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757,156.06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特大城市市民公共服务平台示范应用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1,142,892.52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546,201.07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房租补贴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516,064.17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516,064.17</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经信委面向专病的智能临床辅助决策产品研发与产业化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4,935,000.00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510,000.00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徐汇区级财政贴息贴费专项资金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基于中医优势病种的新药临床疗效评价关键技术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397,000.00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分公司政府补助资金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346,898.48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346,799.48</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基于健康物联网与移动互联网的心力衰竭疾病服务支撑平 台及自我健康管理服务应用研发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320,000.00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稳岗促就业补贴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6,681,920.21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215,453.99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高新技术企业补贴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加快培育高新技术企业专项资金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成都高新技术产业开发区电子信息产业发展局投资补贴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160,000.00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困难企业培训补贴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151,200.00</w:t>
            </w:r>
          </w:p>
        </w:tc>
      </w:tr>
    </w:tbl>
    <w:p>
      <w:pPr>
        <w:widowControl w:val="0"/>
        <w:spacing w:line="1" w:lineRule="exact"/>
      </w:pPr>
    </w:p>
    <w:tbl>
      <w:tblPr>
        <w:tblOverlap w:val="never"/>
        <w:jc w:val="center"/>
        <w:tblLayout w:type="fixed"/>
      </w:tblPr>
      <w:tblGrid>
        <w:gridCol w:w="4694"/>
        <w:gridCol w:w="1416"/>
        <w:gridCol w:w="1416"/>
        <w:gridCol w:w="2064"/>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列报项目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计入当期损益的金额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以工代训企业经费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333,972.28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130,770.40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轨道交通大数据服务平台关键技术研究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崇明岛生态环境监控平台开发与集成(子课题)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上海市闵行区科学技术委员会政府补贴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高企认定奖励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人工智能社会实验案例征集项目奖励款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印花税优惠返还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未达起征点减免增值税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10,328.71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上海八六三软件孵化器突出贡献奖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成都高新技术产业开发区经济运行局专项资金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雅安市就业创业促进中心款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2,667.66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2,667.66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地方政府扶持补助资金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13,961,000.00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营业外收入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1,790,000.00</w:t>
            </w:r>
          </w:p>
        </w:tc>
      </w:tr>
    </w:tbl>
    <w:p>
      <w:pPr>
        <w:widowControl w:val="0"/>
        <w:spacing w:after="319" w:line="1" w:lineRule="exact"/>
      </w:pPr>
    </w:p>
    <w:p>
      <w:pPr>
        <w:pStyle w:val="Style61"/>
        <w:keepNext/>
        <w:keepLines/>
        <w:widowControl w:val="0"/>
        <w:shd w:val="clear" w:color="auto" w:fill="auto"/>
        <w:bidi w:val="0"/>
        <w:spacing w:before="0" w:line="240" w:lineRule="auto"/>
        <w:ind w:left="0" w:right="0" w:firstLine="0"/>
        <w:jc w:val="left"/>
      </w:pPr>
      <w:bookmarkStart w:id="1795" w:name="bookmark1795"/>
      <w:bookmarkStart w:id="1796" w:name="bookmark1796"/>
      <w:bookmarkStart w:id="1797" w:name="bookmark179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795"/>
      <w:bookmarkEnd w:id="1796"/>
      <w:bookmarkEnd w:id="1797"/>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798" w:name="bookmark1798"/>
      <w:bookmarkStart w:id="1799" w:name="bookmark1799"/>
      <w:bookmarkStart w:id="1800" w:name="bookmark1800"/>
      <w:bookmarkStart w:id="1801" w:name="bookmark1801"/>
      <w:r>
        <w:rPr>
          <w:rFonts w:ascii="Times New Roman" w:eastAsia="Times New Roman" w:hAnsi="Times New Roman" w:cs="Times New Roman"/>
          <w:color w:val="000000"/>
          <w:spacing w:val="0"/>
          <w:w w:val="100"/>
          <w:position w:val="0"/>
        </w:rPr>
        <w:t>8</w:t>
      </w:r>
      <w:bookmarkEnd w:id="1800"/>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798"/>
      <w:bookmarkEnd w:id="1799"/>
      <w:bookmarkEnd w:id="1801"/>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80" w:line="240" w:lineRule="auto"/>
        <w:ind w:left="0" w:right="0" w:firstLine="0"/>
        <w:jc w:val="left"/>
      </w:pPr>
      <w:bookmarkStart w:id="1802" w:name="bookmark1802"/>
      <w:bookmarkStart w:id="1803" w:name="bookmark1803"/>
      <w:bookmarkStart w:id="1804" w:name="bookmark1804"/>
      <w:bookmarkStart w:id="1805" w:name="bookmark1805"/>
      <w:r>
        <w:rPr>
          <w:color w:val="000000"/>
          <w:spacing w:val="0"/>
          <w:w w:val="100"/>
          <w:position w:val="0"/>
        </w:rPr>
        <w:t>八</w:t>
      </w:r>
      <w:bookmarkEnd w:id="1804"/>
      <w:r>
        <w:rPr>
          <w:color w:val="000000"/>
          <w:spacing w:val="0"/>
          <w:w w:val="100"/>
          <w:position w:val="0"/>
        </w:rPr>
        <w:t>、合并范围的变更</w:t>
      </w:r>
      <w:bookmarkEnd w:id="1802"/>
      <w:bookmarkEnd w:id="1803"/>
      <w:bookmarkEnd w:id="1805"/>
    </w:p>
    <w:p>
      <w:pPr>
        <w:pStyle w:val="Style33"/>
        <w:keepNext/>
        <w:keepLines/>
        <w:widowControl w:val="0"/>
        <w:shd w:val="clear" w:color="auto" w:fill="auto"/>
        <w:tabs>
          <w:tab w:pos="358" w:val="left"/>
        </w:tabs>
        <w:bidi w:val="0"/>
        <w:spacing w:before="0" w:after="380" w:line="240" w:lineRule="auto"/>
        <w:ind w:left="0" w:right="0" w:firstLine="0"/>
        <w:jc w:val="left"/>
      </w:pPr>
      <w:bookmarkStart w:id="1806" w:name="bookmark1806"/>
      <w:bookmarkStart w:id="1807" w:name="bookmark1807"/>
      <w:bookmarkStart w:id="1808" w:name="bookmark1808"/>
      <w:bookmarkStart w:id="1809" w:name="bookmark1809"/>
      <w:r>
        <w:rPr>
          <w:rFonts w:ascii="Times New Roman" w:eastAsia="Times New Roman" w:hAnsi="Times New Roman" w:cs="Times New Roman"/>
          <w:color w:val="000000"/>
          <w:spacing w:val="0"/>
          <w:w w:val="100"/>
          <w:position w:val="0"/>
        </w:rPr>
        <w:t>1</w:t>
      </w:r>
      <w:bookmarkEnd w:id="1808"/>
      <w:r>
        <w:rPr>
          <w:color w:val="000000"/>
          <w:spacing w:val="0"/>
          <w:w w:val="100"/>
          <w:position w:val="0"/>
        </w:rPr>
        <w:t>、</w:t>
        <w:tab/>
        <w:t>非同一控制下企业合并</w:t>
      </w:r>
      <w:bookmarkEnd w:id="1806"/>
      <w:bookmarkEnd w:id="1807"/>
      <w:bookmarkEnd w:id="1809"/>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68" w:val="left"/>
        </w:tabs>
        <w:bidi w:val="0"/>
        <w:spacing w:before="0" w:after="380" w:line="240" w:lineRule="auto"/>
        <w:ind w:left="0" w:right="0" w:firstLine="0"/>
        <w:jc w:val="left"/>
      </w:pPr>
      <w:bookmarkStart w:id="1810" w:name="bookmark1810"/>
      <w:bookmarkStart w:id="1811" w:name="bookmark1811"/>
      <w:bookmarkStart w:id="1812" w:name="bookmark1812"/>
      <w:bookmarkStart w:id="1813" w:name="bookmark1813"/>
      <w:r>
        <w:rPr>
          <w:rFonts w:ascii="Times New Roman" w:eastAsia="Times New Roman" w:hAnsi="Times New Roman" w:cs="Times New Roman"/>
          <w:color w:val="000000"/>
          <w:spacing w:val="0"/>
          <w:w w:val="100"/>
          <w:position w:val="0"/>
        </w:rPr>
        <w:t>2</w:t>
      </w:r>
      <w:bookmarkEnd w:id="1812"/>
      <w:r>
        <w:rPr>
          <w:color w:val="000000"/>
          <w:spacing w:val="0"/>
          <w:w w:val="100"/>
          <w:position w:val="0"/>
        </w:rPr>
        <w:t>、</w:t>
        <w:tab/>
        <w:t>同一控制下企业合并</w:t>
      </w:r>
      <w:bookmarkEnd w:id="1810"/>
      <w:bookmarkEnd w:id="1811"/>
      <w:bookmarkEnd w:id="1813"/>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68" w:val="left"/>
        </w:tabs>
        <w:bidi w:val="0"/>
        <w:spacing w:before="0" w:after="380" w:line="240" w:lineRule="auto"/>
        <w:ind w:left="0" w:right="0" w:firstLine="0"/>
        <w:jc w:val="left"/>
      </w:pPr>
      <w:bookmarkStart w:id="1814" w:name="bookmark1814"/>
      <w:bookmarkStart w:id="1815" w:name="bookmark1815"/>
      <w:bookmarkStart w:id="1816" w:name="bookmark1816"/>
      <w:bookmarkStart w:id="1817" w:name="bookmark1817"/>
      <w:r>
        <w:rPr>
          <w:rFonts w:ascii="Times New Roman" w:eastAsia="Times New Roman" w:hAnsi="Times New Roman" w:cs="Times New Roman"/>
          <w:color w:val="000000"/>
          <w:spacing w:val="0"/>
          <w:w w:val="100"/>
          <w:position w:val="0"/>
        </w:rPr>
        <w:t>3</w:t>
      </w:r>
      <w:bookmarkEnd w:id="1816"/>
      <w:r>
        <w:rPr>
          <w:color w:val="000000"/>
          <w:spacing w:val="0"/>
          <w:w w:val="100"/>
          <w:position w:val="0"/>
        </w:rPr>
        <w:t>、</w:t>
        <w:tab/>
        <w:t>反向购买</w:t>
      </w:r>
      <w:bookmarkEnd w:id="1814"/>
      <w:bookmarkEnd w:id="1815"/>
      <w:bookmarkEnd w:id="1817"/>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68" w:val="left"/>
        </w:tabs>
        <w:bidi w:val="0"/>
        <w:spacing w:before="0" w:after="380" w:line="240" w:lineRule="auto"/>
        <w:ind w:left="0" w:right="0" w:firstLine="0"/>
        <w:jc w:val="left"/>
      </w:pPr>
      <w:bookmarkStart w:id="1818" w:name="bookmark1818"/>
      <w:bookmarkStart w:id="1819" w:name="bookmark1819"/>
      <w:bookmarkStart w:id="1820" w:name="bookmark1820"/>
      <w:bookmarkStart w:id="1821" w:name="bookmark1821"/>
      <w:r>
        <w:rPr>
          <w:rFonts w:ascii="Times New Roman" w:eastAsia="Times New Roman" w:hAnsi="Times New Roman" w:cs="Times New Roman"/>
          <w:color w:val="000000"/>
          <w:spacing w:val="0"/>
          <w:w w:val="100"/>
          <w:position w:val="0"/>
        </w:rPr>
        <w:t>4</w:t>
      </w:r>
      <w:bookmarkEnd w:id="1820"/>
      <w:r>
        <w:rPr>
          <w:color w:val="000000"/>
          <w:spacing w:val="0"/>
          <w:w w:val="100"/>
          <w:position w:val="0"/>
        </w:rPr>
        <w:t>、</w:t>
        <w:tab/>
        <w:t>处置子公司</w:t>
      </w:r>
      <w:bookmarkEnd w:id="1818"/>
      <w:bookmarkEnd w:id="1819"/>
      <w:bookmarkEnd w:id="1821"/>
    </w:p>
    <w:p>
      <w:pPr>
        <w:pStyle w:val="Style2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744"/>
        <w:gridCol w:w="744"/>
        <w:gridCol w:w="734"/>
        <w:gridCol w:w="734"/>
        <w:gridCol w:w="739"/>
        <w:gridCol w:w="749"/>
        <w:gridCol w:w="816"/>
        <w:gridCol w:w="643"/>
        <w:gridCol w:w="739"/>
        <w:gridCol w:w="744"/>
        <w:gridCol w:w="720"/>
        <w:gridCol w:w="754"/>
        <w:gridCol w:w="730"/>
      </w:tblGrid>
      <w:tr>
        <w:trPr>
          <w:trHeight w:val="36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处置价款</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按照公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丧失控</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与原子</w:t>
            </w:r>
          </w:p>
        </w:tc>
      </w:tr>
      <w:tr>
        <w:trPr>
          <w:trHeight w:val="230" w:hRule="exact"/>
        </w:trPr>
        <w:tc>
          <w:tcPr>
            <w:vMerge w:val="restart"/>
            <w:tcBorders>
              <w:left w:val="single" w:sz="4"/>
            </w:tcBorders>
            <w:shd w:val="clear" w:color="auto" w:fill="D4D4D4"/>
            <w:vAlign w:val="top"/>
          </w:tcPr>
          <w:p>
            <w:pPr>
              <w:widowControl w:val="0"/>
              <w:rPr>
                <w:sz w:val="10"/>
                <w:szCs w:val="10"/>
              </w:rPr>
            </w:pPr>
          </w:p>
        </w:tc>
        <w:tc>
          <w:tcPr>
            <w:vMerge w:val="restart"/>
            <w:tcBorders>
              <w:left w:val="single" w:sz="4"/>
            </w:tcBorders>
            <w:shd w:val="clear" w:color="auto" w:fill="D4D4D4"/>
            <w:vAlign w:val="top"/>
          </w:tcPr>
          <w:p>
            <w:pPr>
              <w:widowControl w:val="0"/>
              <w:rPr>
                <w:sz w:val="10"/>
                <w:szCs w:val="10"/>
              </w:rPr>
            </w:pPr>
          </w:p>
        </w:tc>
        <w:tc>
          <w:tcPr>
            <w:vMerge w:val="restart"/>
            <w:tcBorders>
              <w:left w:val="single" w:sz="4"/>
            </w:tcBorders>
            <w:shd w:val="clear" w:color="auto" w:fill="D4D4D4"/>
            <w:vAlign w:val="top"/>
          </w:tcPr>
          <w:p>
            <w:pPr>
              <w:widowControl w:val="0"/>
              <w:rPr>
                <w:sz w:val="10"/>
                <w:szCs w:val="10"/>
              </w:rPr>
            </w:pPr>
          </w:p>
        </w:tc>
        <w:tc>
          <w:tcPr>
            <w:vMerge w:val="restart"/>
            <w:tcBorders>
              <w:left w:val="single" w:sz="4"/>
            </w:tcBorders>
            <w:shd w:val="clear" w:color="auto" w:fill="D4D4D4"/>
            <w:vAlign w:val="top"/>
          </w:tcPr>
          <w:p>
            <w:pPr>
              <w:widowControl w:val="0"/>
              <w:rPr>
                <w:sz w:val="10"/>
                <w:szCs w:val="10"/>
              </w:rPr>
            </w:pPr>
          </w:p>
        </w:tc>
        <w:tc>
          <w:tcPr>
            <w:vMerge w:val="restart"/>
            <w:tcBorders>
              <w:left w:val="single" w:sz="4"/>
            </w:tcBorders>
            <w:shd w:val="clear" w:color="auto" w:fill="D4D4D4"/>
            <w:vAlign w:val="top"/>
          </w:tcPr>
          <w:p>
            <w:pPr>
              <w:widowControl w:val="0"/>
              <w:rPr>
                <w:sz w:val="10"/>
                <w:szCs w:val="10"/>
              </w:rPr>
            </w:pPr>
          </w:p>
        </w:tc>
        <w:tc>
          <w:tcPr>
            <w:vMerge w:val="restart"/>
            <w:tcBorders>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丧失控</w:t>
            </w:r>
          </w:p>
        </w:tc>
        <w:tc>
          <w:tcPr>
            <w:vMerge w:val="restart"/>
            <w:tcBorders>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与处置投</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资对应的</w:t>
            </w:r>
          </w:p>
        </w:tc>
        <w:tc>
          <w:tcPr>
            <w:vMerge w:val="restart"/>
            <w:tcBorders>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丧失控</w:t>
            </w:r>
          </w:p>
        </w:tc>
        <w:tc>
          <w:tcPr>
            <w:vMerge w:val="restart"/>
            <w:tcBorders>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丧失控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制权之</w:t>
            </w:r>
          </w:p>
        </w:tc>
        <w:tc>
          <w:tcPr>
            <w:vMerge w:val="restart"/>
            <w:tcBorders>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丧失控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制权之</w:t>
            </w:r>
          </w:p>
        </w:tc>
        <w:tc>
          <w:tcPr>
            <w:vMerge/>
            <w:tcBorders>
              <w:left w:val="single" w:sz="4"/>
            </w:tcBorders>
            <w:shd w:val="clear" w:color="auto" w:fill="D4D4D4"/>
            <w:vAlign w:val="center"/>
          </w:tcPr>
          <w:p>
            <w:pPr/>
          </w:p>
        </w:tc>
        <w:tc>
          <w:tcPr>
            <w:vMerge w:val="restart"/>
            <w:tcBorders>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制权之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日剩余</w:t>
            </w:r>
          </w:p>
        </w:tc>
        <w:tc>
          <w:tcPr>
            <w:vMerge w:val="restart"/>
            <w:tcBorders>
              <w:left w:val="single" w:sz="4"/>
              <w:right w:val="single" w:sz="4"/>
            </w:tcBorders>
            <w:shd w:val="clear" w:color="auto" w:fill="D4D4D4"/>
            <w:vAlign w:val="bottom"/>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公司股</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权投资</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相关的</w:t>
            </w:r>
          </w:p>
        </w:tc>
      </w:tr>
      <w:tr>
        <w:trPr>
          <w:trHeight w:val="312" w:hRule="exact"/>
        </w:trPr>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bottom"/>
          </w:tcPr>
          <w:p>
            <w:pPr/>
          </w:p>
        </w:tc>
        <w:tc>
          <w:tcPr>
            <w:vMerge/>
            <w:tcBorders>
              <w:left w:val="single" w:sz="4"/>
            </w:tcBorders>
            <w:shd w:val="clear" w:color="auto" w:fill="D4D4D4"/>
            <w:vAlign w:val="center"/>
          </w:tcPr>
          <w:p>
            <w:pPr/>
          </w:p>
        </w:tc>
        <w:tc>
          <w:tcPr>
            <w:vMerge/>
            <w:tcBorders>
              <w:left w:val="single" w:sz="4"/>
            </w:tcBorders>
            <w:shd w:val="clear" w:color="auto" w:fill="D4D4D4"/>
            <w:vAlign w:val="bottom"/>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允价值</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bottom"/>
          </w:tcPr>
          <w:p>
            <w:pPr/>
          </w:p>
        </w:tc>
      </w:tr>
      <w:tr>
        <w:trPr>
          <w:trHeight w:val="154" w:hRule="exact"/>
        </w:trPr>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bottom"/>
          </w:tcPr>
          <w:p>
            <w:pPr/>
          </w:p>
        </w:tc>
        <w:tc>
          <w:tcPr>
            <w:vMerge/>
            <w:tcBorders>
              <w:left w:val="single" w:sz="4"/>
            </w:tcBorders>
            <w:shd w:val="clear" w:color="auto" w:fill="D4D4D4"/>
            <w:vAlign w:val="center"/>
          </w:tcPr>
          <w:p>
            <w:pPr/>
          </w:p>
        </w:tc>
        <w:tc>
          <w:tcPr>
            <w:vMerge/>
            <w:tcBorders>
              <w:left w:val="single" w:sz="4"/>
            </w:tcBorders>
            <w:shd w:val="clear" w:color="auto" w:fill="D4D4D4"/>
            <w:vAlign w:val="bottom"/>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val="restart"/>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重新计</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bottom"/>
          </w:tcPr>
          <w:p>
            <w:pPr/>
          </w:p>
        </w:tc>
      </w:tr>
      <w:tr>
        <w:trPr>
          <w:trHeight w:val="158" w:hRule="exact"/>
        </w:trPr>
        <w:tc>
          <w:tcPr>
            <w:vMerge w:val="restart"/>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vMerge w:val="restart"/>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股权处</w:t>
            </w:r>
          </w:p>
        </w:tc>
        <w:tc>
          <w:tcPr>
            <w:vMerge w:val="restart"/>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股权处</w:t>
            </w:r>
          </w:p>
        </w:tc>
        <w:tc>
          <w:tcPr>
            <w:vMerge w:val="restart"/>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股权处</w:t>
            </w:r>
          </w:p>
        </w:tc>
        <w:tc>
          <w:tcPr>
            <w:vMerge w:val="restart"/>
            <w:tcBorders>
              <w:left w:val="single" w:sz="4"/>
            </w:tcBorders>
            <w:shd w:val="clear" w:color="auto" w:fill="D4D4D4"/>
            <w:vAlign w:val="top"/>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丧失控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制权的</w:t>
            </w:r>
          </w:p>
        </w:tc>
        <w:tc>
          <w:tcPr>
            <w:vMerge/>
            <w:tcBorders>
              <w:left w:val="single" w:sz="4"/>
            </w:tcBorders>
            <w:shd w:val="clear" w:color="auto" w:fill="D4D4D4"/>
            <w:vAlign w:val="bottom"/>
          </w:tcPr>
          <w:p>
            <w:pPr/>
          </w:p>
        </w:tc>
        <w:tc>
          <w:tcPr>
            <w:vMerge w:val="restart"/>
            <w:tcBorders>
              <w:left w:val="single" w:sz="4"/>
            </w:tcBorders>
            <w:shd w:val="clear" w:color="auto" w:fill="D4D4D4"/>
            <w:vAlign w:val="top"/>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合并财务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报表层面</w:t>
            </w:r>
          </w:p>
        </w:tc>
        <w:tc>
          <w:tcPr>
            <w:vMerge w:val="restart"/>
            <w:tcBorders>
              <w:left w:val="single" w:sz="4"/>
            </w:tcBorders>
            <w:shd w:val="clear" w:color="auto" w:fill="D4D4D4"/>
            <w:vAlign w:val="top"/>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制权之</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日剩余</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top"/>
          </w:tcPr>
          <w:p>
            <w:pPr/>
          </w:p>
        </w:tc>
        <w:tc>
          <w:tcPr>
            <w:vMerge w:val="restart"/>
            <w:tcBorders>
              <w:left w:val="single" w:sz="4"/>
            </w:tcBorders>
            <w:shd w:val="clear" w:color="auto" w:fill="D4D4D4"/>
            <w:vAlign w:val="top"/>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股权公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允价值</w:t>
            </w:r>
          </w:p>
        </w:tc>
        <w:tc>
          <w:tcPr>
            <w:vMerge/>
            <w:tcBorders>
              <w:left w:val="single" w:sz="4"/>
              <w:right w:val="single" w:sz="4"/>
            </w:tcBorders>
            <w:shd w:val="clear" w:color="auto" w:fill="D4D4D4"/>
            <w:vAlign w:val="bottom"/>
          </w:tcPr>
          <w:p>
            <w:pPr/>
          </w:p>
        </w:tc>
      </w:tr>
      <w:tr>
        <w:trPr>
          <w:trHeight w:val="31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top"/>
          </w:tcPr>
          <w:p>
            <w:pP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制权时</w:t>
            </w: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日剩余</w:t>
            </w: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日剩余</w:t>
            </w: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量剩余</w:t>
            </w:r>
          </w:p>
        </w:tc>
        <w:tc>
          <w:tcPr>
            <w:vMerge/>
            <w:tcBorders>
              <w:left w:val="single" w:sz="4"/>
            </w:tcBorders>
            <w:shd w:val="clear" w:color="auto" w:fill="D4D4D4"/>
            <w:vAlign w:val="top"/>
          </w:tcPr>
          <w:p>
            <w:pPr/>
          </w:p>
        </w:tc>
        <w:tc>
          <w:tcPr>
            <w:tcBorders>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w:t>
            </w:r>
          </w:p>
        </w:tc>
      </w:tr>
      <w:tr>
        <w:trPr>
          <w:trHeight w:val="163" w:hRule="exact"/>
        </w:trPr>
        <w:tc>
          <w:tcPr>
            <w:vMerge w:val="restart"/>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vMerge w:val="restart"/>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置价款</w:t>
            </w:r>
          </w:p>
        </w:tc>
        <w:tc>
          <w:tcPr>
            <w:vMerge w:val="restart"/>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置比例</w:t>
            </w:r>
          </w:p>
        </w:tc>
        <w:tc>
          <w:tcPr>
            <w:vMerge w:val="restart"/>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置方式</w:t>
            </w:r>
          </w:p>
        </w:tc>
        <w:tc>
          <w:tcPr>
            <w:vMerge/>
            <w:tcBorders>
              <w:left w:val="single" w:sz="4"/>
            </w:tcBorders>
            <w:shd w:val="clear" w:color="auto" w:fill="D4D4D4"/>
            <w:vAlign w:val="top"/>
          </w:tcPr>
          <w:p>
            <w:pP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点的确</w:t>
            </w: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股权的</w:t>
            </w: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股权的</w:t>
            </w: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股权产</w:t>
            </w:r>
          </w:p>
        </w:tc>
        <w:tc>
          <w:tcPr>
            <w:vMerge w:val="restart"/>
            <w:tcBorders>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的确定</w:t>
            </w:r>
          </w:p>
        </w:tc>
        <w:tc>
          <w:tcPr>
            <w:vMerge w:val="restart"/>
            <w:tcBorders>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合收益</w:t>
            </w:r>
          </w:p>
        </w:tc>
      </w:tr>
      <w:tr>
        <w:trPr>
          <w:trHeight w:val="154" w:hRule="exact"/>
        </w:trPr>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val="restart"/>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时点</w:t>
            </w:r>
          </w:p>
        </w:tc>
        <w:tc>
          <w:tcPr>
            <w:vMerge w:val="restart"/>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定依据</w:t>
            </w:r>
          </w:p>
        </w:tc>
        <w:tc>
          <w:tcPr>
            <w:vMerge w:val="restart"/>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享有该子</w:t>
            </w:r>
          </w:p>
        </w:tc>
        <w:tc>
          <w:tcPr>
            <w:vMerge w:val="restart"/>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股权的</w:t>
            </w:r>
          </w:p>
        </w:tc>
        <w:tc>
          <w:tcPr>
            <w:vMerge w:val="restart"/>
            <w:tcBorders>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账面价</w:t>
            </w:r>
          </w:p>
        </w:tc>
        <w:tc>
          <w:tcPr>
            <w:vMerge w:val="restart"/>
            <w:tcBorders>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公允价</w:t>
            </w:r>
          </w:p>
        </w:tc>
        <w:tc>
          <w:tcPr>
            <w:vMerge w:val="restart"/>
            <w:tcBorders>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生的利</w:t>
            </w:r>
          </w:p>
        </w:tc>
        <w:tc>
          <w:tcPr>
            <w:vMerge/>
            <w:tcBorders>
              <w:left w:val="single" w:sz="4"/>
            </w:tcBorders>
            <w:shd w:val="clear" w:color="auto" w:fill="D4D4D4"/>
            <w:vAlign w:val="bottom"/>
          </w:tcPr>
          <w:p>
            <w:pPr/>
          </w:p>
        </w:tc>
        <w:tc>
          <w:tcPr>
            <w:vMerge/>
            <w:tcBorders>
              <w:left w:val="single" w:sz="4"/>
              <w:right w:val="single" w:sz="4"/>
            </w:tcBorders>
            <w:shd w:val="clear" w:color="auto" w:fill="D4D4D4"/>
            <w:vAlign w:val="bottom"/>
          </w:tcPr>
          <w:p>
            <w:pPr/>
          </w:p>
        </w:tc>
      </w:tr>
      <w:tr>
        <w:trPr>
          <w:trHeight w:val="15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bottom"/>
          </w:tcPr>
          <w:p>
            <w:pPr/>
          </w:p>
        </w:tc>
        <w:tc>
          <w:tcPr>
            <w:vMerge/>
            <w:tcBorders>
              <w:left w:val="single" w:sz="4"/>
            </w:tcBorders>
            <w:shd w:val="clear" w:color="auto" w:fill="D4D4D4"/>
            <w:vAlign w:val="bottom"/>
          </w:tcPr>
          <w:p>
            <w:pPr/>
          </w:p>
        </w:tc>
        <w:tc>
          <w:tcPr>
            <w:vMerge/>
            <w:tcBorders>
              <w:left w:val="single" w:sz="4"/>
            </w:tcBorders>
            <w:shd w:val="clear" w:color="auto" w:fill="D4D4D4"/>
            <w:vAlign w:val="bottom"/>
          </w:tcPr>
          <w:p>
            <w:pPr/>
          </w:p>
        </w:tc>
        <w:tc>
          <w:tcPr>
            <w:vMerge w:val="restart"/>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方法及</w:t>
            </w:r>
          </w:p>
        </w:tc>
        <w:tc>
          <w:tcPr>
            <w:vMerge w:val="restart"/>
            <w:tcBorders>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转入投</w:t>
            </w:r>
          </w:p>
        </w:tc>
      </w:tr>
      <w:tr>
        <w:trPr>
          <w:trHeight w:val="235"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公司净资</w:t>
            </w: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比例</w:t>
            </w:r>
          </w:p>
        </w:tc>
        <w:tc>
          <w:tcPr>
            <w:vMerge w:val="restart"/>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值</w:t>
            </w:r>
          </w:p>
        </w:tc>
        <w:tc>
          <w:tcPr>
            <w:vMerge w:val="restart"/>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值</w:t>
            </w:r>
          </w:p>
        </w:tc>
        <w:tc>
          <w:tcPr>
            <w:vMerge w:val="restart"/>
            <w:tcBorders>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得或损 失</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317"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产份额的</w:t>
            </w:r>
          </w:p>
        </w:tc>
        <w:tc>
          <w:tcPr>
            <w:tcBorders>
              <w:left w:val="single" w:sz="4"/>
            </w:tcBorders>
            <w:shd w:val="clear" w:color="auto" w:fill="D4D4D4"/>
            <w:vAlign w:val="top"/>
          </w:tcPr>
          <w:p>
            <w:pPr>
              <w:widowControl w:val="0"/>
              <w:rPr>
                <w:sz w:val="10"/>
                <w:szCs w:val="10"/>
              </w:rPr>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主要假</w:t>
            </w:r>
          </w:p>
        </w:tc>
        <w:tc>
          <w:tcPr>
            <w:tcBorders>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资损益</w:t>
            </w:r>
          </w:p>
        </w:tc>
      </w:tr>
      <w:tr>
        <w:trPr>
          <w:trHeight w:val="350"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差额</w:t>
            </w: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vMerge/>
            <w:tcBorders>
              <w:left w:val="single" w:sz="4"/>
            </w:tcBorders>
            <w:shd w:val="clear" w:color="auto" w:fill="D4D4D4"/>
            <w:vAlign w:val="center"/>
          </w:tcPr>
          <w:p>
            <w:pPr/>
          </w:p>
        </w:tc>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w:t>
            </w:r>
          </w:p>
        </w:tc>
        <w:tc>
          <w:tcPr>
            <w:tcBorders>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的金额</w:t>
            </w:r>
          </w:p>
        </w:tc>
      </w:tr>
      <w:tr>
        <w:trPr>
          <w:trHeight w:val="90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上海慈</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铭智能</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网络科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转让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股权转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让协议</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-195,118.8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46.90%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技有限 责任公 司</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生效</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0"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pStyle w:val="Style29"/>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是否存在通过多次交易分步处置对子公司投资且在本期丧失控制权的情形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tabs>
          <w:tab w:pos="368" w:val="left"/>
        </w:tabs>
        <w:bidi w:val="0"/>
        <w:spacing w:before="0" w:after="260" w:line="240" w:lineRule="auto"/>
        <w:ind w:left="0" w:right="0" w:firstLine="0"/>
        <w:jc w:val="left"/>
      </w:pPr>
      <w:bookmarkStart w:id="1822" w:name="bookmark1822"/>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5</w:t>
      </w:r>
      <w:bookmarkEnd w:id="1824"/>
      <w:r>
        <w:rPr>
          <w:color w:val="000000"/>
          <w:spacing w:val="0"/>
          <w:w w:val="100"/>
          <w:position w:val="0"/>
        </w:rPr>
        <w:t>、</w:t>
        <w:tab/>
        <w:t>其他原因的合并范围变动</w:t>
      </w:r>
      <w:bookmarkEnd w:id="1822"/>
      <w:bookmarkEnd w:id="1823"/>
      <w:bookmarkEnd w:id="1825"/>
    </w:p>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说明其他原因导致的合并范围变动（如，新设子公司、清算子公司等）及其相关情况：</w:t>
      </w:r>
    </w:p>
    <w:p>
      <w:pPr>
        <w:pStyle w:val="Style29"/>
        <w:keepNext w:val="0"/>
        <w:keepLines w:val="0"/>
        <w:widowControl w:val="0"/>
        <w:shd w:val="clear" w:color="auto" w:fill="auto"/>
        <w:bidi w:val="0"/>
        <w:spacing w:before="0" w:after="0" w:line="326" w:lineRule="exact"/>
        <w:ind w:left="0" w:right="0" w:firstLine="300"/>
        <w:jc w:val="left"/>
      </w:pPr>
      <w:r>
        <w:rPr>
          <w:color w:val="000000"/>
          <w:spacing w:val="0"/>
          <w:w w:val="100"/>
          <w:position w:val="0"/>
        </w:rPr>
        <w:t>公司本年度新设立子公司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家，分别为加数度数字科技有限公司与健康云（上海）数字科技有限公司。详见附注九、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在子公司中的权益。</w:t>
      </w:r>
    </w:p>
    <w:p>
      <w:pPr>
        <w:pStyle w:val="Style29"/>
        <w:keepNext w:val="0"/>
        <w:keepLines w:val="0"/>
        <w:widowControl w:val="0"/>
        <w:shd w:val="clear" w:color="auto" w:fill="auto"/>
        <w:bidi w:val="0"/>
        <w:spacing w:before="0" w:after="400" w:line="326" w:lineRule="exact"/>
        <w:ind w:left="0" w:right="0" w:firstLine="300"/>
        <w:jc w:val="left"/>
      </w:pPr>
      <w:r>
        <w:rPr>
          <w:color w:val="000000"/>
          <w:spacing w:val="0"/>
          <w:w w:val="100"/>
          <w:position w:val="0"/>
        </w:rPr>
        <w:t>公司本年度注销子公司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家，分别为河南万达软件技术有限公司与上海药荟商务咨询有限公司。</w:t>
      </w:r>
    </w:p>
    <w:p>
      <w:pPr>
        <w:pStyle w:val="Style33"/>
        <w:keepNext/>
        <w:keepLines/>
        <w:widowControl w:val="0"/>
        <w:shd w:val="clear" w:color="auto" w:fill="auto"/>
        <w:tabs>
          <w:tab w:pos="368" w:val="left"/>
        </w:tabs>
        <w:bidi w:val="0"/>
        <w:spacing w:before="0" w:after="260" w:line="240" w:lineRule="auto"/>
        <w:ind w:left="0" w:right="0" w:firstLine="0"/>
        <w:jc w:val="left"/>
      </w:pPr>
      <w:bookmarkStart w:id="1826" w:name="bookmark1826"/>
      <w:bookmarkStart w:id="1827" w:name="bookmark1827"/>
      <w:bookmarkStart w:id="1828" w:name="bookmark1828"/>
      <w:bookmarkStart w:id="1829" w:name="bookmark1829"/>
      <w:r>
        <w:rPr>
          <w:rFonts w:ascii="Times New Roman" w:eastAsia="Times New Roman" w:hAnsi="Times New Roman" w:cs="Times New Roman"/>
          <w:color w:val="000000"/>
          <w:spacing w:val="0"/>
          <w:w w:val="100"/>
          <w:position w:val="0"/>
        </w:rPr>
        <w:t>6</w:t>
      </w:r>
      <w:bookmarkEnd w:id="1828"/>
      <w:r>
        <w:rPr>
          <w:color w:val="000000"/>
          <w:spacing w:val="0"/>
          <w:w w:val="100"/>
          <w:position w:val="0"/>
        </w:rPr>
        <w:t>、</w:t>
        <w:tab/>
        <w:t>其他</w:t>
      </w:r>
      <w:bookmarkEnd w:id="1826"/>
      <w:bookmarkEnd w:id="1827"/>
      <w:bookmarkEnd w:id="1829"/>
    </w:p>
    <w:p>
      <w:pPr>
        <w:pStyle w:val="Style29"/>
        <w:keepNext w:val="0"/>
        <w:keepLines w:val="0"/>
        <w:widowControl w:val="0"/>
        <w:shd w:val="clear" w:color="auto" w:fill="auto"/>
        <w:bidi w:val="0"/>
        <w:spacing w:before="0" w:after="360" w:line="326" w:lineRule="exact"/>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60" w:line="240" w:lineRule="auto"/>
        <w:ind w:left="0" w:right="0" w:firstLine="0"/>
        <w:jc w:val="left"/>
      </w:pPr>
      <w:bookmarkStart w:id="1830" w:name="bookmark1830"/>
      <w:bookmarkStart w:id="1831" w:name="bookmark1831"/>
      <w:bookmarkStart w:id="1832" w:name="bookmark1832"/>
      <w:bookmarkStart w:id="1833" w:name="bookmark1833"/>
      <w:r>
        <w:rPr>
          <w:color w:val="000000"/>
          <w:spacing w:val="0"/>
          <w:w w:val="100"/>
          <w:position w:val="0"/>
        </w:rPr>
        <w:t>九</w:t>
      </w:r>
      <w:bookmarkEnd w:id="1832"/>
      <w:r>
        <w:rPr>
          <w:color w:val="000000"/>
          <w:spacing w:val="0"/>
          <w:w w:val="100"/>
          <w:position w:val="0"/>
        </w:rPr>
        <w:t>、在其他主体中的权益</w:t>
      </w:r>
      <w:bookmarkEnd w:id="1830"/>
      <w:bookmarkEnd w:id="1831"/>
      <w:bookmarkEnd w:id="1833"/>
    </w:p>
    <w:p>
      <w:pPr>
        <w:pStyle w:val="Style33"/>
        <w:keepNext/>
        <w:keepLines/>
        <w:widowControl w:val="0"/>
        <w:shd w:val="clear" w:color="auto" w:fill="auto"/>
        <w:bidi w:val="0"/>
        <w:spacing w:before="0" w:after="360" w:line="240" w:lineRule="auto"/>
        <w:ind w:left="0" w:right="0" w:firstLine="0"/>
        <w:jc w:val="left"/>
      </w:pPr>
      <w:bookmarkStart w:id="1834" w:name="bookmark1834"/>
      <w:bookmarkStart w:id="1835" w:name="bookmark1835"/>
      <w:bookmarkStart w:id="1836" w:name="bookmark1836"/>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834"/>
      <w:bookmarkEnd w:id="1835"/>
      <w:bookmarkEnd w:id="1836"/>
    </w:p>
    <w:p>
      <w:pPr>
        <w:pStyle w:val="Style61"/>
        <w:keepNext/>
        <w:keepLines/>
        <w:widowControl w:val="0"/>
        <w:shd w:val="clear" w:color="auto" w:fill="auto"/>
        <w:bidi w:val="0"/>
        <w:spacing w:before="0" w:after="360" w:line="240" w:lineRule="auto"/>
        <w:ind w:left="0" w:right="0" w:firstLine="0"/>
        <w:jc w:val="left"/>
      </w:pPr>
      <w:bookmarkStart w:id="1837" w:name="bookmark1837"/>
      <w:bookmarkStart w:id="1838" w:name="bookmark1838"/>
      <w:bookmarkStart w:id="1839" w:name="bookmark18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37"/>
      <w:bookmarkEnd w:id="1838"/>
      <w:bookmarkEnd w:id="1839"/>
    </w:p>
    <w:tbl>
      <w:tblPr>
        <w:tblOverlap w:val="never"/>
        <w:jc w:val="center"/>
        <w:tblLayout w:type="fixed"/>
      </w:tblPr>
      <w:tblGrid>
        <w:gridCol w:w="1378"/>
        <w:gridCol w:w="1368"/>
        <w:gridCol w:w="1373"/>
        <w:gridCol w:w="1368"/>
        <w:gridCol w:w="1368"/>
        <w:gridCol w:w="1373"/>
        <w:gridCol w:w="1378"/>
      </w:tblGrid>
      <w:tr>
        <w:trPr>
          <w:trHeight w:val="41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子公司名称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取得方式</w:t>
            </w:r>
          </w:p>
        </w:tc>
      </w:tr>
      <w:tr>
        <w:trPr>
          <w:trHeight w:val="39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直接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间接</w:t>
            </w:r>
          </w:p>
        </w:tc>
        <w:tc>
          <w:tcPr>
            <w:vMerge/>
            <w:tcBorders>
              <w:left w:val="single" w:sz="4"/>
              <w:right w:val="single" w:sz="4"/>
            </w:tcBorders>
            <w:shd w:val="clear" w:color="auto" w:fill="D4D4D4"/>
            <w:vAlign w:val="center"/>
          </w:tcPr>
          <w:p>
            <w:pP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宁波万达信息系 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杭州万达信息系 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美国万达信息有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bl>
    <w:p>
      <w:pPr>
        <w:widowControl w:val="0"/>
        <w:spacing w:line="1" w:lineRule="exact"/>
      </w:pPr>
      <w:r>
        <w:br w:type="page"/>
      </w:r>
    </w:p>
    <w:tbl>
      <w:tblPr>
        <w:tblOverlap w:val="never"/>
        <w:jc w:val="center"/>
        <w:tblLayout w:type="fixed"/>
      </w:tblPr>
      <w:tblGrid>
        <w:gridCol w:w="1378"/>
        <w:gridCol w:w="1368"/>
        <w:gridCol w:w="1373"/>
        <w:gridCol w:w="1368"/>
        <w:gridCol w:w="1368"/>
        <w:gridCol w:w="1368"/>
        <w:gridCol w:w="1382"/>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子公司名称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取得方式</w:t>
            </w:r>
          </w:p>
        </w:tc>
      </w:tr>
      <w:tr>
        <w:trPr>
          <w:trHeight w:val="40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直接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间接</w:t>
            </w:r>
          </w:p>
        </w:tc>
        <w:tc>
          <w:tcPr>
            <w:vMerge/>
            <w:tcBorders>
              <w:left w:val="single" w:sz="4"/>
              <w:right w:val="single" w:sz="4"/>
            </w:tcBorders>
            <w:shd w:val="clear" w:color="auto" w:fill="D4D4D4"/>
            <w:vAlign w:val="center"/>
          </w:tcPr>
          <w:p>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上海万达信息系 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上海褒发信息科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深圳市万达信息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上海爱递吉供应</w:t>
            </w:r>
          </w:p>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链管理服务有限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商务服务业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上海万达信息服 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上海卫生信息工</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程技术研究中心</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天津万达信息技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术有限责任公司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上海格言管理有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商务服务业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四川浩特通信有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企业合并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四川万达智能安 防数据有限公司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雅安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雅安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0"/>
              <w:jc w:val="left"/>
              <w:rPr>
                <w:sz w:val="17"/>
                <w:szCs w:val="17"/>
              </w:rPr>
            </w:pPr>
            <w:r>
              <w:rPr>
                <w:color w:val="000000"/>
                <w:spacing w:val="0"/>
                <w:w w:val="100"/>
                <w:position w:val="0"/>
                <w:sz w:val="17"/>
                <w:szCs w:val="17"/>
              </w:rPr>
              <w:t>上海华奕医疗信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企业合并</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宁波金唐软件有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企业合并</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杭州莱域科技有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企业合并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上海复高计算机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企业合并</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上海易可思信息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企业合并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上海格金信息技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企业合并</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克拉玛依市复高 计算机科技有限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克拉玛依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克拉玛依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企业合并</w:t>
            </w:r>
          </w:p>
        </w:tc>
      </w:tr>
    </w:tbl>
    <w:p>
      <w:pPr>
        <w:widowControl w:val="0"/>
        <w:spacing w:line="1" w:lineRule="exact"/>
      </w:pPr>
      <w:r>
        <w:br w:type="page"/>
      </w:r>
    </w:p>
    <w:tbl>
      <w:tblPr>
        <w:tblOverlap w:val="never"/>
        <w:jc w:val="center"/>
        <w:tblLayout w:type="fixed"/>
      </w:tblPr>
      <w:tblGrid>
        <w:gridCol w:w="1378"/>
        <w:gridCol w:w="1368"/>
        <w:gridCol w:w="1373"/>
        <w:gridCol w:w="1368"/>
        <w:gridCol w:w="1368"/>
        <w:gridCol w:w="1368"/>
        <w:gridCol w:w="1382"/>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子公司名称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取得方式</w:t>
            </w:r>
          </w:p>
        </w:tc>
      </w:tr>
      <w:tr>
        <w:trPr>
          <w:trHeight w:val="40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直接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间接</w:t>
            </w:r>
          </w:p>
        </w:tc>
        <w:tc>
          <w:tcPr>
            <w:vMerge/>
            <w:tcBorders>
              <w:left w:val="single" w:sz="4"/>
              <w:right w:val="single" w:sz="4"/>
            </w:tcBorders>
            <w:shd w:val="clear" w:color="auto" w:fill="D4D4D4"/>
            <w:vAlign w:val="center"/>
          </w:tcPr>
          <w:p>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湖南凯歌医疗信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企业合并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上海市民信箱信 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企业合并</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湖南万达智慧城 市信息技术有限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永州潇湘云技术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万达云医疗科技 健康产业（上海）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四川万达智城云 数据有限公司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四川万达健康数 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企业合并</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宁波市万达数据 应用服务有限公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企业合并</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万达志翔医疗科 技（北京）有限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企业合并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上海爱可及医疗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上海资哲企业管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商务服务业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蛮牛健康管理服 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零售业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蛮牛健康（海南） 管理服务有限公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琼海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琼海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零售业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中山市慧来科技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企业合并</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中山市正来咨询 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企业合并</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上海蛮牛健康管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商务服务业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bl>
    <w:p>
      <w:pPr>
        <w:widowControl w:val="0"/>
        <w:spacing w:line="1" w:lineRule="exact"/>
      </w:pPr>
      <w:r>
        <w:br w:type="page"/>
      </w:r>
    </w:p>
    <w:tbl>
      <w:tblPr>
        <w:tblOverlap w:val="never"/>
        <w:jc w:val="center"/>
        <w:tblLayout w:type="fixed"/>
      </w:tblPr>
      <w:tblGrid>
        <w:gridCol w:w="1378"/>
        <w:gridCol w:w="1368"/>
        <w:gridCol w:w="1373"/>
        <w:gridCol w:w="1368"/>
        <w:gridCol w:w="1368"/>
        <w:gridCol w:w="1373"/>
        <w:gridCol w:w="137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子公司名称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取得方式</w:t>
            </w:r>
          </w:p>
        </w:tc>
      </w:tr>
      <w:tr>
        <w:trPr>
          <w:trHeight w:val="40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直接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间接</w:t>
            </w:r>
          </w:p>
        </w:tc>
        <w:tc>
          <w:tcPr>
            <w:vMerge/>
            <w:tcBorders>
              <w:left w:val="single" w:sz="4"/>
              <w:right w:val="single" w:sz="4"/>
            </w:tcBorders>
            <w:shd w:val="clear" w:color="auto" w:fill="D4D4D4"/>
            <w:vAlign w:val="center"/>
          </w:tcPr>
          <w:p>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浙江万信数字科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四川万信数字科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上海嘉达信息科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企业合并</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上海万达恒安技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加数度数字科技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健康云（上海） 数字科技有限公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bl>
    <w:p>
      <w:pPr>
        <w:widowControl w:val="0"/>
        <w:spacing w:after="319" w:line="1" w:lineRule="exact"/>
      </w:pPr>
    </w:p>
    <w:p>
      <w:pPr>
        <w:pStyle w:val="Style61"/>
        <w:keepNext/>
        <w:keepLines/>
        <w:widowControl w:val="0"/>
        <w:shd w:val="clear" w:color="auto" w:fill="auto"/>
        <w:bidi w:val="0"/>
        <w:spacing w:before="0" w:line="240" w:lineRule="auto"/>
        <w:ind w:left="0" w:right="0" w:firstLine="0"/>
        <w:jc w:val="left"/>
      </w:pPr>
      <w:bookmarkStart w:id="1840" w:name="bookmark1840"/>
      <w:bookmarkStart w:id="1841" w:name="bookmark1841"/>
      <w:bookmarkStart w:id="1842" w:name="bookmark184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40"/>
      <w:bookmarkEnd w:id="1841"/>
      <w:bookmarkEnd w:id="1842"/>
    </w:p>
    <w:p>
      <w:pPr>
        <w:pStyle w:val="Style2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934"/>
        <w:gridCol w:w="1915"/>
        <w:gridCol w:w="1915"/>
        <w:gridCol w:w="1906"/>
        <w:gridCol w:w="1934"/>
      </w:tblGrid>
      <w:tr>
        <w:trPr>
          <w:trHeight w:val="77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子公司名称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少数股东持股比例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本期归属于少数股东的 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本期向少数股东宣告分 派的股利</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期末少数股东权益余额</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上海市民信箱信息服务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1,833,752.45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17217,326.72</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蛮牛健康管理服务有限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-28,161,690.45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-42,034,705.90</w:t>
            </w:r>
          </w:p>
        </w:tc>
      </w:tr>
    </w:tbl>
    <w:p>
      <w:pPr>
        <w:widowControl w:val="0"/>
        <w:spacing w:after="319" w:line="1" w:lineRule="exact"/>
      </w:pPr>
    </w:p>
    <w:p>
      <w:pPr>
        <w:pStyle w:val="Style61"/>
        <w:keepNext/>
        <w:keepLines/>
        <w:widowControl w:val="0"/>
        <w:shd w:val="clear" w:color="auto" w:fill="auto"/>
        <w:bidi w:val="0"/>
        <w:spacing w:before="0" w:line="240" w:lineRule="auto"/>
        <w:ind w:left="0" w:right="0" w:firstLine="0"/>
        <w:jc w:val="left"/>
      </w:pPr>
      <w:bookmarkStart w:id="1843" w:name="bookmark1843"/>
      <w:bookmarkStart w:id="1844" w:name="bookmark1844"/>
      <w:bookmarkStart w:id="1845" w:name="bookmark1845"/>
      <w:bookmarkStart w:id="1846" w:name="bookmark1846"/>
      <w:r>
        <w:rPr>
          <w:color w:val="000000"/>
          <w:spacing w:val="0"/>
          <w:w w:val="100"/>
          <w:position w:val="0"/>
        </w:rPr>
        <w:t>（</w:t>
      </w:r>
      <w:bookmarkEnd w:id="1845"/>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843"/>
      <w:bookmarkEnd w:id="1844"/>
      <w:bookmarkEnd w:id="184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49"/>
        <w:gridCol w:w="730"/>
        <w:gridCol w:w="734"/>
        <w:gridCol w:w="744"/>
        <w:gridCol w:w="734"/>
        <w:gridCol w:w="730"/>
        <w:gridCol w:w="734"/>
        <w:gridCol w:w="744"/>
        <w:gridCol w:w="734"/>
        <w:gridCol w:w="730"/>
        <w:gridCol w:w="749"/>
        <w:gridCol w:w="739"/>
      </w:tblGrid>
      <w:tr>
        <w:trPr>
          <w:trHeight w:val="41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子公司 名称</w:t>
            </w:r>
          </w:p>
        </w:tc>
        <w:tc>
          <w:tcPr>
            <w:gridSpan w:val="6"/>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流动资 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非流动 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资产合 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流动负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非流动 负债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负债合 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流动资 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非流动 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资产合 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流动负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非流动 负债</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负债合 计</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上海市 民信箱 信息服 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45,522,3</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13,327,9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58,8502</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14,399,5</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213,023.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34,955,7</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9,162,87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44,118,6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4,180,95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492,603.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4,673,55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蛮牛健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康管理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32,451,184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16,405,8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48,857,0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230,219,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754,944.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230,974,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12,628,8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27,348,7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83,942,0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83,942,0</w:t>
            </w:r>
          </w:p>
        </w:tc>
      </w:tr>
    </w:tbl>
    <w:p>
      <w:pPr>
        <w:widowControl w:val="0"/>
        <w:spacing w:line="1" w:lineRule="exact"/>
      </w:pPr>
      <w:r>
        <w:br w:type="page"/>
      </w:r>
    </w:p>
    <w:tbl>
      <w:tblPr>
        <w:tblOverlap w:val="never"/>
        <w:jc w:val="center"/>
        <w:tblLayout w:type="fixed"/>
      </w:tblPr>
      <w:tblGrid>
        <w:gridCol w:w="744"/>
        <w:gridCol w:w="749"/>
        <w:gridCol w:w="725"/>
        <w:gridCol w:w="734"/>
        <w:gridCol w:w="744"/>
        <w:gridCol w:w="734"/>
        <w:gridCol w:w="734"/>
        <w:gridCol w:w="730"/>
        <w:gridCol w:w="744"/>
        <w:gridCol w:w="734"/>
        <w:gridCol w:w="730"/>
        <w:gridCol w:w="754"/>
        <w:gridCol w:w="734"/>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子公司 名称</w:t>
            </w:r>
          </w:p>
        </w:tc>
        <w:tc>
          <w:tcPr>
            <w:gridSpan w:val="6"/>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2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流动资 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非流动 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资产合 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流动负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非流动 负债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负债合 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流动资 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非流动 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资产合 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流动负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非流动 负债</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负债合 计</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服务有 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.78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78.47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63.25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562.</w:t>
            </w: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506.47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13.35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53.68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53.68</w:t>
            </w:r>
          </w:p>
        </w:tc>
      </w:tr>
    </w:tbl>
    <w:p>
      <w:pPr>
        <w:widowControl w:val="0"/>
        <w:spacing w:after="79" w:line="1" w:lineRule="exact"/>
      </w:pP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70"/>
        <w:gridCol w:w="1056"/>
        <w:gridCol w:w="1070"/>
        <w:gridCol w:w="1066"/>
        <w:gridCol w:w="1061"/>
        <w:gridCol w:w="1070"/>
        <w:gridCol w:w="1066"/>
        <w:gridCol w:w="106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子公司名称</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72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综合收益总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经营活动现</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金流量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综合收益总 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260" w:firstLine="0"/>
              <w:jc w:val="right"/>
              <w:rPr>
                <w:sz w:val="17"/>
                <w:szCs w:val="17"/>
              </w:rPr>
            </w:pPr>
            <w:r>
              <w:rPr>
                <w:color w:val="000000"/>
                <w:spacing w:val="0"/>
                <w:w w:val="100"/>
                <w:position w:val="0"/>
                <w:sz w:val="17"/>
                <w:szCs w:val="17"/>
              </w:rPr>
              <w:t>经营活动现</w:t>
            </w:r>
          </w:p>
          <w:p>
            <w:pPr>
              <w:pStyle w:val="Style2"/>
              <w:keepNext w:val="0"/>
              <w:keepLines w:val="0"/>
              <w:widowControl w:val="0"/>
              <w:shd w:val="clear" w:color="auto" w:fill="auto"/>
              <w:bidi w:val="0"/>
              <w:spacing w:before="0" w:after="0" w:line="240" w:lineRule="auto"/>
              <w:ind w:left="0" w:right="260" w:firstLine="0"/>
              <w:jc w:val="right"/>
              <w:rPr>
                <w:sz w:val="17"/>
                <w:szCs w:val="17"/>
              </w:rPr>
            </w:pPr>
            <w:r>
              <w:rPr>
                <w:color w:val="000000"/>
                <w:spacing w:val="0"/>
                <w:w w:val="100"/>
                <w:position w:val="0"/>
                <w:sz w:val="17"/>
                <w:szCs w:val="17"/>
              </w:rPr>
              <w:t>金流量</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上海市民信</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箱信息服务</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34,533,936.7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4,792,673.44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4,792,673.44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11,167,444.9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19,787,478.7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1,996,575.28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1,996,575.28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9,133,547.35</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蛮牛健康管</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理服务有限</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41,907,792.6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-155,460,828.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-155,460,828.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-22,106,529.2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3,203,357.38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-91,593,340.3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-91,593,340.3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-23,140,085.8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bl>
    <w:p>
      <w:pPr>
        <w:widowControl w:val="0"/>
        <w:spacing w:after="279" w:line="1" w:lineRule="exact"/>
      </w:pPr>
    </w:p>
    <w:p>
      <w:pPr>
        <w:pStyle w:val="Style61"/>
        <w:keepNext/>
        <w:keepLines/>
        <w:widowControl w:val="0"/>
        <w:shd w:val="clear" w:color="auto" w:fill="auto"/>
        <w:bidi w:val="0"/>
        <w:spacing w:before="0" w:after="400" w:line="310" w:lineRule="exact"/>
        <w:ind w:left="0" w:right="0" w:firstLine="140"/>
        <w:jc w:val="left"/>
      </w:pPr>
      <w:bookmarkStart w:id="1847" w:name="bookmark1847"/>
      <w:bookmarkStart w:id="1848" w:name="bookmark1848"/>
      <w:bookmarkStart w:id="1849" w:name="bookmark1849"/>
      <w:r>
        <w:rPr>
          <w:color w:val="000000"/>
          <w:spacing w:val="0"/>
          <w:w w:val="100"/>
          <w:position w:val="0"/>
        </w:rPr>
        <w:t>⑷使用企业集团资产和清偿企业集团债务的重大限制</w:t>
      </w:r>
      <w:bookmarkEnd w:id="1847"/>
      <w:bookmarkEnd w:id="1848"/>
      <w:bookmarkEnd w:id="1849"/>
    </w:p>
    <w:p>
      <w:pPr>
        <w:pStyle w:val="Style29"/>
        <w:keepNext w:val="0"/>
        <w:keepLines w:val="0"/>
        <w:widowControl w:val="0"/>
        <w:shd w:val="clear" w:color="auto" w:fill="auto"/>
        <w:bidi w:val="0"/>
        <w:spacing w:before="0" w:after="280" w:line="240" w:lineRule="auto"/>
        <w:ind w:left="0" w:right="0" w:firstLine="0"/>
        <w:jc w:val="both"/>
      </w:pPr>
      <w:bookmarkStart w:id="1850" w:name="bookmark1850"/>
      <w:r>
        <w:rPr>
          <w:color w:val="000000"/>
          <w:spacing w:val="0"/>
          <w:w w:val="100"/>
          <w:position w:val="0"/>
        </w:rPr>
        <w:t>无</w:t>
      </w:r>
      <w:bookmarkEnd w:id="1850"/>
    </w:p>
    <w:p>
      <w:pPr>
        <w:pStyle w:val="Style61"/>
        <w:keepNext/>
        <w:keepLines/>
        <w:widowControl w:val="0"/>
        <w:shd w:val="clear" w:color="auto" w:fill="auto"/>
        <w:bidi w:val="0"/>
        <w:spacing w:before="0" w:after="400" w:line="310" w:lineRule="exact"/>
        <w:ind w:left="0" w:right="0" w:firstLine="0"/>
        <w:jc w:val="both"/>
      </w:pPr>
      <w:bookmarkStart w:id="1851" w:name="bookmark1851"/>
      <w:bookmarkStart w:id="1852" w:name="bookmark1852"/>
      <w:bookmarkStart w:id="1853" w:name="bookmark1853"/>
      <w:bookmarkStart w:id="1854" w:name="bookmark1854"/>
      <w:r>
        <w:rPr>
          <w:color w:val="000000"/>
          <w:spacing w:val="0"/>
          <w:w w:val="100"/>
          <w:position w:val="0"/>
        </w:rPr>
        <w:t>（</w:t>
      </w:r>
      <w:bookmarkEnd w:id="1853"/>
      <w:r>
        <w:rPr>
          <w:rFonts w:ascii="Times New Roman" w:eastAsia="Times New Roman" w:hAnsi="Times New Roman" w:cs="Times New Roman"/>
          <w:color w:val="000000"/>
          <w:spacing w:val="0"/>
          <w:w w:val="100"/>
          <w:position w:val="0"/>
        </w:rPr>
        <w:t>5</w:t>
      </w:r>
      <w:r>
        <w:rPr>
          <w:color w:val="000000"/>
          <w:spacing w:val="0"/>
          <w:w w:val="100"/>
          <w:position w:val="0"/>
        </w:rPr>
        <w:t>）向纳入合并财务报表范围的结构化主体提供的财务支持或其他支持</w:t>
      </w:r>
      <w:bookmarkEnd w:id="1851"/>
      <w:bookmarkEnd w:id="1852"/>
      <w:bookmarkEnd w:id="1854"/>
    </w:p>
    <w:p>
      <w:pPr>
        <w:pStyle w:val="Style29"/>
        <w:keepNext w:val="0"/>
        <w:keepLines w:val="0"/>
        <w:widowControl w:val="0"/>
        <w:shd w:val="clear" w:color="auto" w:fill="auto"/>
        <w:bidi w:val="0"/>
        <w:spacing w:before="0" w:after="280" w:line="240" w:lineRule="auto"/>
        <w:ind w:left="0" w:right="0" w:firstLine="0"/>
        <w:jc w:val="both"/>
      </w:pPr>
      <w:r>
        <w:rPr>
          <w:color w:val="000000"/>
          <w:spacing w:val="0"/>
          <w:w w:val="100"/>
          <w:position w:val="0"/>
        </w:rPr>
        <w:t>无</w:t>
      </w:r>
    </w:p>
    <w:p>
      <w:pPr>
        <w:pStyle w:val="Style33"/>
        <w:keepNext/>
        <w:keepLines/>
        <w:widowControl w:val="0"/>
        <w:shd w:val="clear" w:color="auto" w:fill="auto"/>
        <w:bidi w:val="0"/>
        <w:spacing w:before="0" w:after="280" w:line="310" w:lineRule="exact"/>
        <w:ind w:left="0" w:right="0" w:firstLine="0"/>
        <w:jc w:val="both"/>
      </w:pPr>
      <w:bookmarkStart w:id="1855" w:name="bookmark1855"/>
      <w:bookmarkStart w:id="1856" w:name="bookmark1856"/>
      <w:bookmarkStart w:id="1857" w:name="bookmark1857"/>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855"/>
      <w:bookmarkEnd w:id="1856"/>
      <w:bookmarkEnd w:id="1857"/>
    </w:p>
    <w:p>
      <w:pPr>
        <w:pStyle w:val="Style61"/>
        <w:keepNext/>
        <w:keepLines/>
        <w:widowControl w:val="0"/>
        <w:shd w:val="clear" w:color="auto" w:fill="auto"/>
        <w:tabs>
          <w:tab w:pos="483" w:val="left"/>
        </w:tabs>
        <w:bidi w:val="0"/>
        <w:spacing w:before="0" w:after="280" w:line="310" w:lineRule="exact"/>
        <w:ind w:left="0" w:right="0" w:firstLine="0"/>
        <w:jc w:val="both"/>
      </w:pPr>
      <w:bookmarkStart w:id="1858" w:name="bookmark1858"/>
      <w:bookmarkStart w:id="1859" w:name="bookmark1859"/>
      <w:bookmarkStart w:id="1860" w:name="bookmark1860"/>
      <w:bookmarkStart w:id="1861" w:name="bookmark1861"/>
      <w:r>
        <w:rPr>
          <w:color w:val="000000"/>
          <w:spacing w:val="0"/>
          <w:w w:val="100"/>
          <w:position w:val="0"/>
        </w:rPr>
        <w:t>（</w:t>
      </w:r>
      <w:bookmarkEnd w:id="1860"/>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858"/>
      <w:bookmarkEnd w:id="1859"/>
      <w:bookmarkEnd w:id="1861"/>
    </w:p>
    <w:p>
      <w:pPr>
        <w:pStyle w:val="Style18"/>
        <w:keepNext w:val="0"/>
        <w:keepLines w:val="0"/>
        <w:widowControl w:val="0"/>
        <w:shd w:val="clear" w:color="auto" w:fill="auto"/>
        <w:bidi w:val="0"/>
        <w:spacing w:before="0" w:after="280" w:line="310" w:lineRule="exact"/>
        <w:ind w:left="0" w:right="0" w:firstLine="0"/>
        <w:jc w:val="both"/>
      </w:pPr>
      <w:r>
        <w:rPr>
          <w:color w:val="000000"/>
          <w:spacing w:val="0"/>
          <w:w w:val="100"/>
          <w:position w:val="0"/>
        </w:rPr>
        <w:t>本公司之子公司蛮牛健康管理服务有限公司（简称</w:t>
      </w:r>
      <w:r>
        <w:rPr>
          <w:rFonts w:ascii="Times New Roman" w:eastAsia="Times New Roman" w:hAnsi="Times New Roman" w:cs="Times New Roman"/>
          <w:color w:val="000000"/>
          <w:spacing w:val="0"/>
          <w:w w:val="100"/>
          <w:position w:val="0"/>
        </w:rPr>
        <w:t>“</w:t>
      </w:r>
      <w:r>
        <w:rPr>
          <w:color w:val="000000"/>
          <w:spacing w:val="0"/>
          <w:w w:val="100"/>
          <w:position w:val="0"/>
        </w:rPr>
        <w:t>蛮牛健康</w:t>
      </w:r>
      <w:r>
        <w:rPr>
          <w:rFonts w:ascii="Times New Roman" w:eastAsia="Times New Roman" w:hAnsi="Times New Roman" w:cs="Times New Roman"/>
          <w:color w:val="000000"/>
          <w:spacing w:val="0"/>
          <w:w w:val="100"/>
          <w:position w:val="0"/>
        </w:rPr>
        <w:t>”</w:t>
      </w:r>
      <w:r>
        <w:rPr>
          <w:color w:val="000000"/>
          <w:spacing w:val="0"/>
          <w:w w:val="100"/>
          <w:position w:val="0"/>
        </w:rPr>
        <w:t>）通过增资扩股形式引入北京常智企业管理 中心（有限合伙）（以下简称</w:t>
      </w:r>
      <w:r>
        <w:rPr>
          <w:rFonts w:ascii="Times New Roman" w:eastAsia="Times New Roman" w:hAnsi="Times New Roman" w:cs="Times New Roman"/>
          <w:color w:val="000000"/>
          <w:spacing w:val="0"/>
          <w:w w:val="100"/>
          <w:position w:val="0"/>
        </w:rPr>
        <w:t>“</w:t>
      </w:r>
      <w:r>
        <w:rPr>
          <w:color w:val="000000"/>
          <w:spacing w:val="0"/>
          <w:w w:val="100"/>
          <w:position w:val="0"/>
        </w:rPr>
        <w:t>北京常智</w:t>
      </w:r>
      <w:r>
        <w:rPr>
          <w:rFonts w:ascii="Times New Roman" w:eastAsia="Times New Roman" w:hAnsi="Times New Roman" w:cs="Times New Roman"/>
          <w:color w:val="000000"/>
          <w:spacing w:val="0"/>
          <w:w w:val="100"/>
          <w:position w:val="0"/>
        </w:rPr>
        <w:t>”</w:t>
      </w:r>
      <w:r>
        <w:rPr>
          <w:color w:val="000000"/>
          <w:spacing w:val="0"/>
          <w:w w:val="100"/>
          <w:position w:val="0"/>
        </w:rPr>
        <w:t>），由北京常智增资</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,500.00</w:t>
      </w:r>
      <w:r>
        <w:rPr>
          <w:color w:val="000000"/>
          <w:spacing w:val="0"/>
          <w:w w:val="100"/>
          <w:position w:val="0"/>
        </w:rPr>
        <w:t>万元，增资完成后，北京常智持有</w:t>
      </w:r>
      <w:r>
        <w:rPr>
          <w:rFonts w:ascii="Times New Roman" w:eastAsia="Times New Roman" w:hAnsi="Times New Roman" w:cs="Times New Roman"/>
          <w:color w:val="000000"/>
          <w:spacing w:val="0"/>
          <w:w w:val="100"/>
          <w:position w:val="0"/>
        </w:rPr>
        <w:t xml:space="preserve">23.08% </w:t>
      </w:r>
      <w:r>
        <w:rPr>
          <w:color w:val="000000"/>
          <w:spacing w:val="0"/>
          <w:w w:val="100"/>
          <w:position w:val="0"/>
        </w:rPr>
        <w:t>股权。本公司在蛮牛健康的所有者权益份额由</w:t>
      </w:r>
      <w:r>
        <w:rPr>
          <w:rFonts w:ascii="Times New Roman" w:eastAsia="Times New Roman" w:hAnsi="Times New Roman" w:cs="Times New Roman"/>
          <w:color w:val="000000"/>
          <w:spacing w:val="0"/>
          <w:w w:val="100"/>
          <w:position w:val="0"/>
        </w:rPr>
        <w:t>100.</w:t>
      </w:r>
      <w:r>
        <w:rPr>
          <w:rFonts w:ascii="Times New Roman" w:eastAsia="Times New Roman" w:hAnsi="Times New Roman" w:cs="Times New Roman"/>
          <w:color w:val="000000"/>
          <w:spacing w:val="0"/>
          <w:w w:val="100"/>
          <w:position w:val="0"/>
        </w:rPr>
        <w:t>00%</w:t>
      </w:r>
      <w:r>
        <w:rPr>
          <w:color w:val="000000"/>
          <w:spacing w:val="0"/>
          <w:w w:val="100"/>
          <w:position w:val="0"/>
        </w:rPr>
        <w:t>变更为</w:t>
      </w:r>
      <w:r>
        <w:rPr>
          <w:rFonts w:ascii="Times New Roman" w:eastAsia="Times New Roman" w:hAnsi="Times New Roman" w:cs="Times New Roman"/>
          <w:color w:val="000000"/>
          <w:spacing w:val="0"/>
          <w:w w:val="100"/>
          <w:position w:val="0"/>
        </w:rPr>
        <w:t>76.92%</w:t>
      </w:r>
      <w:r>
        <w:rPr>
          <w:color w:val="000000"/>
          <w:spacing w:val="0"/>
          <w:w w:val="100"/>
          <w:position w:val="0"/>
        </w:rPr>
        <w:t>。</w:t>
      </w:r>
    </w:p>
    <w:p>
      <w:pPr>
        <w:pStyle w:val="Style61"/>
        <w:keepNext/>
        <w:keepLines/>
        <w:widowControl w:val="0"/>
        <w:shd w:val="clear" w:color="auto" w:fill="auto"/>
        <w:tabs>
          <w:tab w:pos="483" w:val="left"/>
        </w:tabs>
        <w:bidi w:val="0"/>
        <w:spacing w:before="0" w:after="400" w:line="310" w:lineRule="exact"/>
        <w:ind w:left="0" w:right="0" w:firstLine="0"/>
        <w:jc w:val="both"/>
      </w:pPr>
      <w:bookmarkStart w:id="1862" w:name="bookmark1862"/>
      <w:bookmarkStart w:id="1863" w:name="bookmark1863"/>
      <w:bookmarkStart w:id="1864" w:name="bookmark1864"/>
      <w:bookmarkStart w:id="1865" w:name="bookmark1865"/>
      <w:r>
        <w:rPr>
          <w:color w:val="000000"/>
          <w:spacing w:val="0"/>
          <w:w w:val="100"/>
          <w:position w:val="0"/>
        </w:rPr>
        <w:t>（</w:t>
      </w:r>
      <w:bookmarkEnd w:id="1864"/>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862"/>
      <w:bookmarkEnd w:id="1863"/>
      <w:bookmarkEnd w:id="186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805"/>
        <w:gridCol w:w="4786"/>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蛮牛健康</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处置对价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蛮牛健康</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处置对价合计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处置的股权比例计算的子公司净资产份额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-13,873,015.45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28,873,015.45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其中：调整资本公积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28,873,015.45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866" w:name="bookmark1866"/>
      <w:bookmarkStart w:id="1867" w:name="bookmark1867"/>
      <w:bookmarkStart w:id="1868" w:name="bookmark1868"/>
      <w:bookmarkStart w:id="1869" w:name="bookmark1869"/>
      <w:r>
        <w:rPr>
          <w:rFonts w:ascii="Times New Roman" w:eastAsia="Times New Roman" w:hAnsi="Times New Roman" w:cs="Times New Roman"/>
          <w:color w:val="000000"/>
          <w:spacing w:val="0"/>
          <w:w w:val="100"/>
          <w:position w:val="0"/>
        </w:rPr>
        <w:t>3</w:t>
      </w:r>
      <w:bookmarkEnd w:id="1868"/>
      <w:r>
        <w:rPr>
          <w:color w:val="000000"/>
          <w:spacing w:val="0"/>
          <w:w w:val="100"/>
          <w:position w:val="0"/>
        </w:rPr>
        <w:t>、在合营安排或联营企业中的权益</w:t>
      </w:r>
      <w:bookmarkEnd w:id="1866"/>
      <w:bookmarkEnd w:id="1867"/>
      <w:bookmarkEnd w:id="1869"/>
    </w:p>
    <w:p>
      <w:pPr>
        <w:pStyle w:val="Style61"/>
        <w:keepNext/>
        <w:keepLines/>
        <w:widowControl w:val="0"/>
        <w:shd w:val="clear" w:color="auto" w:fill="auto"/>
        <w:bidi w:val="0"/>
        <w:spacing w:before="0" w:after="320" w:line="240" w:lineRule="auto"/>
        <w:ind w:left="0" w:right="0" w:firstLine="0"/>
        <w:jc w:val="left"/>
      </w:pPr>
      <w:bookmarkStart w:id="1870" w:name="bookmark1870"/>
      <w:bookmarkStart w:id="1871" w:name="bookmark1871"/>
      <w:bookmarkStart w:id="1872" w:name="bookmark18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870"/>
      <w:bookmarkEnd w:id="1871"/>
      <w:bookmarkEnd w:id="1872"/>
    </w:p>
    <w:tbl>
      <w:tblPr>
        <w:tblOverlap w:val="never"/>
        <w:jc w:val="center"/>
        <w:tblLayout w:type="fixed"/>
      </w:tblPr>
      <w:tblGrid>
        <w:gridCol w:w="1378"/>
        <w:gridCol w:w="1368"/>
        <w:gridCol w:w="1373"/>
        <w:gridCol w:w="1373"/>
        <w:gridCol w:w="1363"/>
        <w:gridCol w:w="1368"/>
        <w:gridCol w:w="1382"/>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合营企业或联营</w:t>
            </w:r>
          </w:p>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企业名称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对合营企业或联 营企业投资的会 计处理方法</w:t>
            </w:r>
          </w:p>
        </w:tc>
      </w:tr>
      <w:tr>
        <w:trPr>
          <w:trHeight w:val="62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直接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right w:val="single" w:sz="4"/>
            </w:tcBorders>
            <w:shd w:val="clear" w:color="auto" w:fill="D4D4D4"/>
            <w:vAlign w:val="center"/>
          </w:tcPr>
          <w:p>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上海浦江科技投 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商务服务业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成都天府市民云 服务有限公司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r>
    </w:tbl>
    <w:p>
      <w:pPr>
        <w:widowControl w:val="0"/>
        <w:spacing w:after="319" w:line="1" w:lineRule="exact"/>
      </w:pPr>
    </w:p>
    <w:p>
      <w:pPr>
        <w:pStyle w:val="Style61"/>
        <w:keepNext/>
        <w:keepLines/>
        <w:widowControl w:val="0"/>
        <w:shd w:val="clear" w:color="auto" w:fill="auto"/>
        <w:bidi w:val="0"/>
        <w:spacing w:before="0" w:line="240" w:lineRule="auto"/>
        <w:ind w:left="0" w:right="0" w:firstLine="0"/>
        <w:jc w:val="left"/>
      </w:pPr>
      <w:bookmarkStart w:id="1873" w:name="bookmark1873"/>
      <w:bookmarkStart w:id="1874" w:name="bookmark1874"/>
      <w:bookmarkStart w:id="1875" w:name="bookmark187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873"/>
      <w:bookmarkEnd w:id="1874"/>
      <w:bookmarkEnd w:id="1875"/>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61"/>
        <w:keepNext/>
        <w:keepLines/>
        <w:widowControl w:val="0"/>
        <w:shd w:val="clear" w:color="auto" w:fill="auto"/>
        <w:bidi w:val="0"/>
        <w:spacing w:before="0" w:line="240" w:lineRule="auto"/>
        <w:ind w:left="0" w:right="0" w:firstLine="0"/>
        <w:jc w:val="left"/>
      </w:pPr>
      <w:bookmarkStart w:id="1876" w:name="bookmark1876"/>
      <w:bookmarkStart w:id="1877" w:name="bookmark1877"/>
      <w:bookmarkStart w:id="1878" w:name="bookmark1878"/>
      <w:bookmarkStart w:id="1879" w:name="bookmark1879"/>
      <w:r>
        <w:rPr>
          <w:color w:val="000000"/>
          <w:spacing w:val="0"/>
          <w:w w:val="100"/>
          <w:position w:val="0"/>
        </w:rPr>
        <w:t>（</w:t>
      </w:r>
      <w:bookmarkEnd w:id="1878"/>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876"/>
      <w:bookmarkEnd w:id="1877"/>
      <w:bookmarkEnd w:id="1879"/>
    </w:p>
    <w:p>
      <w:pPr>
        <w:pStyle w:val="Style2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930"/>
        <w:gridCol w:w="1915"/>
        <w:gridCol w:w="1915"/>
        <w:gridCol w:w="1915"/>
        <w:gridCol w:w="1930"/>
      </w:tblGrid>
      <w:tr>
        <w:trPr>
          <w:trHeight w:val="413" w:hRule="exact"/>
        </w:trPr>
        <w:tc>
          <w:tcPr>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71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上海浦江科技投资有限 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成都天府市民云服务有 限公司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上海浦江科技投资有限 公司</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成都天府市民云服务有 限公司</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4,109,185.40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22,797,540.65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3,330,222.81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25,875,038.48</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55,431,594.28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17,328,955.06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46,708,709.63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18,933,405.74</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59,540,779.68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40,126,495.71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50,038,932.44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44,808,444.22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5,720,917.96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9,071,254.52</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7,720,917.96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10,071,254.52</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归属于母公司股东权益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59,540,779.68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32,405,577.75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50,038,932.44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34,737,189.70</w:t>
            </w:r>
          </w:p>
        </w:tc>
      </w:tr>
    </w:tbl>
    <w:p>
      <w:pPr>
        <w:widowControl w:val="0"/>
        <w:spacing w:line="1" w:lineRule="exact"/>
      </w:pPr>
      <w:r>
        <w:br w:type="page"/>
      </w:r>
    </w:p>
    <w:tbl>
      <w:tblPr>
        <w:tblOverlap w:val="never"/>
        <w:jc w:val="center"/>
        <w:tblLayout w:type="fixed"/>
      </w:tblPr>
      <w:tblGrid>
        <w:gridCol w:w="1930"/>
        <w:gridCol w:w="1910"/>
        <w:gridCol w:w="1920"/>
        <w:gridCol w:w="1910"/>
        <w:gridCol w:w="1934"/>
      </w:tblGrid>
      <w:tr>
        <w:trPr>
          <w:trHeight w:val="403" w:hRule="exact"/>
        </w:trPr>
        <w:tc>
          <w:tcPr>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72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上海浦江科技投资有限 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成都天府市民云服务有 限公司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上海浦江科技投资有限 公司</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成都天府市民云服务有 限公司</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按持股比例计算的净资 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15,438,924.17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12,962231.10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12,975,095.18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13,894,875.88</w:t>
            </w:r>
          </w:p>
        </w:tc>
      </w:tr>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332,703.70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-3,339,260.02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325,362.12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134,928.13</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-3,474,188.15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332,703.70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134,928.13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325,362.12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134,928.13</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对联营企业权益投资的 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15,771,627.87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9,622,971.08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13,300,457.30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14,029,804.01</w:t>
            </w: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存在公开报价的联营企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业权益投资的公允价值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35,500,044.71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32,999,002.60</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4,678,131.67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1,931,858.77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1,662,218.15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4,678,131.67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1,931,858.77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1,662,218.15</w:t>
            </w:r>
          </w:p>
        </w:tc>
      </w:tr>
      <w:tr>
        <w:trPr>
          <w:trHeight w:val="71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本年度收到的来自联营 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1,705,388.28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61"/>
        <w:keepNext/>
        <w:keepLines/>
        <w:widowControl w:val="0"/>
        <w:shd w:val="clear" w:color="auto" w:fill="auto"/>
        <w:bidi w:val="0"/>
        <w:spacing w:before="0" w:after="400" w:line="240" w:lineRule="auto"/>
        <w:ind w:left="0" w:right="0" w:firstLine="0"/>
        <w:jc w:val="left"/>
      </w:pPr>
      <w:bookmarkStart w:id="1880" w:name="bookmark1880"/>
      <w:bookmarkStart w:id="1881" w:name="bookmark1881"/>
      <w:bookmarkStart w:id="1882" w:name="bookmark1882"/>
      <w:r>
        <w:rPr>
          <w:color w:val="000000"/>
          <w:spacing w:val="0"/>
          <w:w w:val="100"/>
          <w:position w:val="0"/>
        </w:rPr>
        <w:t>⑷不重要的合营企业和联营企业的汇总财务信息</w:t>
      </w:r>
      <w:bookmarkEnd w:id="1880"/>
      <w:bookmarkEnd w:id="1881"/>
      <w:bookmarkEnd w:id="188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41"/>
        <w:gridCol w:w="3062"/>
        <w:gridCol w:w="3187"/>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合营企业：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44,835,762.16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13,122,631.82</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-1,390,217.67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-21262,320.99</w:t>
            </w:r>
          </w:p>
        </w:tc>
      </w:tr>
    </w:tbl>
    <w:p>
      <w:pPr>
        <w:widowControl w:val="0"/>
        <w:spacing w:after="319" w:line="1" w:lineRule="exact"/>
      </w:pPr>
    </w:p>
    <w:p>
      <w:pPr>
        <w:pStyle w:val="Style61"/>
        <w:keepNext/>
        <w:keepLines/>
        <w:widowControl w:val="0"/>
        <w:shd w:val="clear" w:color="auto" w:fill="auto"/>
        <w:bidi w:val="0"/>
        <w:spacing w:before="0" w:after="400" w:line="240" w:lineRule="auto"/>
        <w:ind w:left="0" w:right="0" w:firstLine="0"/>
        <w:jc w:val="left"/>
      </w:pPr>
      <w:bookmarkStart w:id="1883" w:name="bookmark1883"/>
      <w:bookmarkStart w:id="1884" w:name="bookmark1884"/>
      <w:bookmarkStart w:id="1885" w:name="bookmark1885"/>
      <w:bookmarkStart w:id="1886" w:name="bookmark1886"/>
      <w:r>
        <w:rPr>
          <w:color w:val="000000"/>
          <w:spacing w:val="0"/>
          <w:w w:val="100"/>
          <w:position w:val="0"/>
        </w:rPr>
        <w:t>（</w:t>
      </w:r>
      <w:bookmarkEnd w:id="1885"/>
      <w:r>
        <w:rPr>
          <w:rFonts w:ascii="Times New Roman" w:eastAsia="Times New Roman" w:hAnsi="Times New Roman" w:cs="Times New Roman"/>
          <w:color w:val="000000"/>
          <w:spacing w:val="0"/>
          <w:w w:val="100"/>
          <w:position w:val="0"/>
        </w:rPr>
        <w:t>5</w:t>
      </w:r>
      <w:r>
        <w:rPr>
          <w:color w:val="000000"/>
          <w:spacing w:val="0"/>
          <w:w w:val="100"/>
          <w:position w:val="0"/>
        </w:rPr>
        <w:t>）合营企业或联营企业向本公司转移资金的能力存在重大限制的说明</w:t>
      </w:r>
      <w:bookmarkEnd w:id="1883"/>
      <w:bookmarkEnd w:id="1884"/>
      <w:bookmarkEnd w:id="1886"/>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61"/>
        <w:keepNext/>
        <w:keepLines/>
        <w:widowControl w:val="0"/>
        <w:shd w:val="clear" w:color="auto" w:fill="auto"/>
        <w:tabs>
          <w:tab w:pos="483" w:val="left"/>
        </w:tabs>
        <w:bidi w:val="0"/>
        <w:spacing w:before="0" w:line="313" w:lineRule="exact"/>
        <w:ind w:left="0" w:right="0" w:firstLine="0"/>
        <w:jc w:val="left"/>
      </w:pPr>
      <w:bookmarkStart w:id="1887" w:name="bookmark1887"/>
      <w:bookmarkStart w:id="1888" w:name="bookmark1888"/>
      <w:bookmarkStart w:id="1889" w:name="bookmark1889"/>
      <w:bookmarkStart w:id="1890" w:name="bookmark1890"/>
      <w:r>
        <w:rPr>
          <w:color w:val="000000"/>
          <w:spacing w:val="0"/>
          <w:w w:val="100"/>
          <w:position w:val="0"/>
        </w:rPr>
        <w:t>（</w:t>
      </w:r>
      <w:bookmarkEnd w:id="1889"/>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887"/>
      <w:bookmarkEnd w:id="1888"/>
      <w:bookmarkEnd w:id="1890"/>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61"/>
        <w:keepNext/>
        <w:keepLines/>
        <w:widowControl w:val="0"/>
        <w:shd w:val="clear" w:color="auto" w:fill="auto"/>
        <w:tabs>
          <w:tab w:pos="483" w:val="left"/>
        </w:tabs>
        <w:bidi w:val="0"/>
        <w:spacing w:before="0" w:line="313" w:lineRule="exact"/>
        <w:ind w:left="0" w:right="0" w:firstLine="0"/>
        <w:jc w:val="left"/>
      </w:pPr>
      <w:bookmarkStart w:id="1891" w:name="bookmark1891"/>
      <w:bookmarkStart w:id="1892" w:name="bookmark1892"/>
      <w:bookmarkStart w:id="1893" w:name="bookmark1893"/>
      <w:bookmarkStart w:id="1894" w:name="bookmark1894"/>
      <w:r>
        <w:rPr>
          <w:color w:val="000000"/>
          <w:spacing w:val="0"/>
          <w:w w:val="100"/>
          <w:position w:val="0"/>
        </w:rPr>
        <w:t>（</w:t>
      </w:r>
      <w:bookmarkEnd w:id="1893"/>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891"/>
      <w:bookmarkEnd w:id="1892"/>
      <w:bookmarkEnd w:id="1894"/>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61"/>
        <w:keepNext/>
        <w:keepLines/>
        <w:widowControl w:val="0"/>
        <w:shd w:val="clear" w:color="auto" w:fill="auto"/>
        <w:tabs>
          <w:tab w:pos="483" w:val="left"/>
        </w:tabs>
        <w:bidi w:val="0"/>
        <w:spacing w:before="0" w:line="313" w:lineRule="exact"/>
        <w:ind w:left="0" w:right="0" w:firstLine="0"/>
        <w:jc w:val="left"/>
      </w:pPr>
      <w:bookmarkStart w:id="1895" w:name="bookmark1895"/>
      <w:bookmarkStart w:id="1896" w:name="bookmark1896"/>
      <w:bookmarkStart w:id="1897" w:name="bookmark1897"/>
      <w:bookmarkStart w:id="1898" w:name="bookmark1898"/>
      <w:r>
        <w:rPr>
          <w:color w:val="000000"/>
          <w:spacing w:val="0"/>
          <w:w w:val="100"/>
          <w:position w:val="0"/>
        </w:rPr>
        <w:t>（</w:t>
      </w:r>
      <w:bookmarkEnd w:id="1897"/>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895"/>
      <w:bookmarkEnd w:id="1896"/>
      <w:bookmarkEnd w:id="1898"/>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68" w:val="left"/>
        </w:tabs>
        <w:bidi w:val="0"/>
        <w:spacing w:before="0" w:after="380" w:line="313" w:lineRule="exact"/>
        <w:ind w:left="0" w:right="0" w:firstLine="0"/>
        <w:jc w:val="left"/>
      </w:pPr>
      <w:bookmarkStart w:id="1899" w:name="bookmark1899"/>
      <w:bookmarkStart w:id="1900" w:name="bookmark1900"/>
      <w:bookmarkStart w:id="1901" w:name="bookmark1901"/>
      <w:bookmarkStart w:id="1902" w:name="bookmark1902"/>
      <w:r>
        <w:rPr>
          <w:rFonts w:ascii="Times New Roman" w:eastAsia="Times New Roman" w:hAnsi="Times New Roman" w:cs="Times New Roman"/>
          <w:color w:val="000000"/>
          <w:spacing w:val="0"/>
          <w:w w:val="100"/>
          <w:position w:val="0"/>
        </w:rPr>
        <w:t>4</w:t>
      </w:r>
      <w:bookmarkEnd w:id="1901"/>
      <w:r>
        <w:rPr>
          <w:color w:val="000000"/>
          <w:spacing w:val="0"/>
          <w:w w:val="100"/>
          <w:position w:val="0"/>
        </w:rPr>
        <w:t>、</w:t>
        <w:tab/>
        <w:t>重要的共同经营</w:t>
      </w:r>
      <w:bookmarkEnd w:id="1899"/>
      <w:bookmarkEnd w:id="1900"/>
      <w:bookmarkEnd w:id="1902"/>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68" w:val="left"/>
        </w:tabs>
        <w:bidi w:val="0"/>
        <w:spacing w:before="0" w:after="380" w:line="313" w:lineRule="exact"/>
        <w:ind w:left="0" w:right="0" w:firstLine="0"/>
        <w:jc w:val="left"/>
      </w:pPr>
      <w:bookmarkStart w:id="1903" w:name="bookmark1903"/>
      <w:bookmarkStart w:id="1904" w:name="bookmark1904"/>
      <w:bookmarkStart w:id="1905" w:name="bookmark1905"/>
      <w:bookmarkStart w:id="1906" w:name="bookmark1906"/>
      <w:r>
        <w:rPr>
          <w:rFonts w:ascii="Times New Roman" w:eastAsia="Times New Roman" w:hAnsi="Times New Roman" w:cs="Times New Roman"/>
          <w:color w:val="000000"/>
          <w:spacing w:val="0"/>
          <w:w w:val="100"/>
          <w:position w:val="0"/>
        </w:rPr>
        <w:t>5</w:t>
      </w:r>
      <w:bookmarkEnd w:id="1905"/>
      <w:r>
        <w:rPr>
          <w:color w:val="000000"/>
          <w:spacing w:val="0"/>
          <w:w w:val="100"/>
          <w:position w:val="0"/>
        </w:rPr>
        <w:t>、</w:t>
        <w:tab/>
        <w:t>在未纳入合并财务报表范围的结构化主体中的权益</w:t>
      </w:r>
      <w:bookmarkEnd w:id="1903"/>
      <w:bookmarkEnd w:id="1904"/>
      <w:bookmarkEnd w:id="1906"/>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68" w:val="left"/>
        </w:tabs>
        <w:bidi w:val="0"/>
        <w:spacing w:before="0" w:after="380" w:line="313" w:lineRule="exact"/>
        <w:ind w:left="0" w:right="0" w:firstLine="0"/>
        <w:jc w:val="left"/>
      </w:pPr>
      <w:bookmarkStart w:id="1907" w:name="bookmark1907"/>
      <w:bookmarkStart w:id="1908" w:name="bookmark1908"/>
      <w:bookmarkStart w:id="1909" w:name="bookmark1909"/>
      <w:bookmarkStart w:id="1910" w:name="bookmark1910"/>
      <w:r>
        <w:rPr>
          <w:rFonts w:ascii="Times New Roman" w:eastAsia="Times New Roman" w:hAnsi="Times New Roman" w:cs="Times New Roman"/>
          <w:color w:val="000000"/>
          <w:spacing w:val="0"/>
          <w:w w:val="100"/>
          <w:position w:val="0"/>
        </w:rPr>
        <w:t>6</w:t>
      </w:r>
      <w:bookmarkEnd w:id="1909"/>
      <w:r>
        <w:rPr>
          <w:color w:val="000000"/>
          <w:spacing w:val="0"/>
          <w:w w:val="100"/>
          <w:position w:val="0"/>
        </w:rPr>
        <w:t>、</w:t>
        <w:tab/>
        <w:t>其他</w:t>
      </w:r>
      <w:bookmarkEnd w:id="1907"/>
      <w:bookmarkEnd w:id="1908"/>
      <w:bookmarkEnd w:id="1910"/>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00" w:line="240" w:lineRule="auto"/>
        <w:ind w:left="0" w:right="0" w:firstLine="0"/>
        <w:jc w:val="left"/>
      </w:pPr>
      <w:bookmarkStart w:id="1911" w:name="bookmark1911"/>
      <w:bookmarkStart w:id="1912" w:name="bookmark1912"/>
      <w:bookmarkStart w:id="1913" w:name="bookmark1913"/>
      <w:r>
        <w:rPr>
          <w:color w:val="000000"/>
          <w:spacing w:val="0"/>
          <w:w w:val="100"/>
          <w:position w:val="0"/>
        </w:rPr>
        <w:t>十、与金融工具相关的风险</w:t>
      </w:r>
      <w:bookmarkEnd w:id="1911"/>
      <w:bookmarkEnd w:id="1912"/>
      <w:bookmarkEnd w:id="1913"/>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本公司在经营过程中面临各种金融风险：信用风险、流动性风险和市场风险（包括汇率风险、利率风 险和其他价格风险）。上述金融风险以及本公司为降低这些风险所采取的风险管理政策如下所述：</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董事会负责规划并建立本公司的风险管理架构，制定本公司的风险管理政策和相关指引并监督风险管 理措施的执行情况。本公司已制定风险管理政策以识别和分析本公司所面临的风险，这些风险管理政策对 特定风险进行了明确规定，涵盖了市场风险、信用风险和流动性风险管理等诸多方面。本公司定期评估市 场环境及本公司经营活动的变化以决定是否对风险管理政策及系统进行更新。本公司的风险管理由风险管 理委员会按照董事会批准的政策开展。风险管理委员会通过与本公司其他业务部门的紧密合作来识别、评 价和规避相关风险。本公司内部审计部门就风险管理控制及程序进行定期的审核，并将审核结果上报本公 司的审计委员会。</w:t>
      </w:r>
    </w:p>
    <w:p>
      <w:pPr>
        <w:pStyle w:val="Style18"/>
        <w:keepNext w:val="0"/>
        <w:keepLines w:val="0"/>
        <w:widowControl w:val="0"/>
        <w:shd w:val="clear" w:color="auto" w:fill="auto"/>
        <w:bidi w:val="0"/>
        <w:spacing w:before="0" w:after="300" w:line="313" w:lineRule="exact"/>
        <w:ind w:left="0" w:right="0" w:firstLine="440"/>
        <w:jc w:val="both"/>
      </w:pPr>
      <w:r>
        <w:rPr>
          <w:color w:val="000000"/>
          <w:spacing w:val="0"/>
          <w:w w:val="100"/>
          <w:position w:val="0"/>
        </w:rPr>
        <w:t>本公司通过适当的多样化投资及业务组合来分散金融工具风险，并通过制定相应的风险管理政策减 少集中于单一行业、特定地区或特定交易对手的风险。</w:t>
      </w:r>
    </w:p>
    <w:p>
      <w:pPr>
        <w:pStyle w:val="Style18"/>
        <w:keepNext w:val="0"/>
        <w:keepLines w:val="0"/>
        <w:widowControl w:val="0"/>
        <w:shd w:val="clear" w:color="auto" w:fill="auto"/>
        <w:bidi w:val="0"/>
        <w:spacing w:before="0" w:after="0" w:line="307" w:lineRule="exact"/>
        <w:ind w:left="0" w:right="0" w:firstLine="0"/>
        <w:jc w:val="left"/>
      </w:pPr>
      <w:bookmarkStart w:id="1914" w:name="bookmark1914"/>
      <w:r>
        <w:rPr>
          <w:b/>
          <w:bCs/>
          <w:color w:val="000000"/>
          <w:spacing w:val="0"/>
          <w:w w:val="100"/>
          <w:position w:val="0"/>
        </w:rPr>
        <w:t>（</w:t>
      </w:r>
      <w:bookmarkEnd w:id="1914"/>
      <w:r>
        <w:rPr>
          <w:b/>
          <w:bCs/>
          <w:color w:val="000000"/>
          <w:spacing w:val="0"/>
          <w:w w:val="100"/>
          <w:position w:val="0"/>
        </w:rPr>
        <w:t>一）信用风险</w:t>
      </w:r>
    </w:p>
    <w:p>
      <w:pPr>
        <w:pStyle w:val="Style18"/>
        <w:keepNext w:val="0"/>
        <w:keepLines w:val="0"/>
        <w:widowControl w:val="0"/>
        <w:shd w:val="clear" w:color="auto" w:fill="auto"/>
        <w:bidi w:val="0"/>
        <w:spacing w:before="0" w:after="0" w:line="307" w:lineRule="exact"/>
        <w:ind w:left="0" w:right="0" w:firstLine="440"/>
        <w:jc w:val="left"/>
      </w:pPr>
      <w:r>
        <w:rPr>
          <w:color w:val="000000"/>
          <w:spacing w:val="0"/>
          <w:w w:val="100"/>
          <w:position w:val="0"/>
        </w:rPr>
        <w:t>信用风险是指交易对手未能履行合同义务而导致本公司发生财务损失的风险。</w:t>
      </w:r>
    </w:p>
    <w:p>
      <w:pPr>
        <w:pStyle w:val="Style18"/>
        <w:keepNext w:val="0"/>
        <w:keepLines w:val="0"/>
        <w:widowControl w:val="0"/>
        <w:shd w:val="clear" w:color="auto" w:fill="auto"/>
        <w:bidi w:val="0"/>
        <w:spacing w:before="0" w:after="0" w:line="307" w:lineRule="exact"/>
        <w:ind w:left="0" w:right="0" w:firstLine="440"/>
        <w:jc w:val="both"/>
      </w:pPr>
      <w:r>
        <w:rPr>
          <w:color w:val="000000"/>
          <w:spacing w:val="0"/>
          <w:w w:val="100"/>
          <w:position w:val="0"/>
        </w:rPr>
        <w:t>本公司信用风险主要产生于货币资金、应收票据、应收账款、其他应收款和长期应收款等。于资产负 债表日，本公司金融资产的账面价值已代表其最大信用风险敞口。</w:t>
      </w:r>
    </w:p>
    <w:p>
      <w:pPr>
        <w:pStyle w:val="Style18"/>
        <w:keepNext w:val="0"/>
        <w:keepLines w:val="0"/>
        <w:widowControl w:val="0"/>
        <w:shd w:val="clear" w:color="auto" w:fill="auto"/>
        <w:bidi w:val="0"/>
        <w:spacing w:before="0" w:after="0" w:line="307" w:lineRule="exact"/>
        <w:ind w:left="0" w:right="0" w:firstLine="440"/>
        <w:jc w:val="both"/>
      </w:pPr>
      <w:r>
        <w:rPr>
          <w:color w:val="000000"/>
          <w:spacing w:val="0"/>
          <w:w w:val="100"/>
          <w:position w:val="0"/>
        </w:rPr>
        <w:t>本公司货币资金主要为存放于声誉良好并拥有较高信用评级的国有银行和其他大中型上市银行的银 行存款，本公司认为其不存在重大的信用风险，几乎不会产生因银行违约而导致的重大损失。</w:t>
      </w:r>
    </w:p>
    <w:p>
      <w:pPr>
        <w:pStyle w:val="Style18"/>
        <w:keepNext w:val="0"/>
        <w:keepLines w:val="0"/>
        <w:widowControl w:val="0"/>
        <w:shd w:val="clear" w:color="auto" w:fill="auto"/>
        <w:bidi w:val="0"/>
        <w:spacing w:before="0" w:after="320" w:line="307" w:lineRule="exact"/>
        <w:ind w:left="0" w:right="0" w:firstLine="440"/>
        <w:jc w:val="both"/>
      </w:pPr>
      <w:r>
        <w:rPr>
          <w:color w:val="000000"/>
          <w:spacing w:val="0"/>
          <w:w w:val="100"/>
          <w:position w:val="0"/>
        </w:rPr>
        <w:t xml:space="preserve">此外，对于应收票据、应收账款、其他应收款和长期应收款等，本公司设定相关政策以控制信用风险 </w:t>
      </w:r>
      <w:r>
        <w:rPr>
          <w:color w:val="000000"/>
          <w:spacing w:val="0"/>
          <w:w w:val="100"/>
          <w:position w:val="0"/>
        </w:rPr>
        <w:t>敞口。本公司基于对客户的财务状况、从第三方获取担保的可能性、信用记录及其他因素诸如目前市场状 况等评估客户的信用资质并设置相应信用期。本公司会定期对客户信用记录进行监控，对于信用记录不良 的客户，本公司会采用书面催款、缩短信用期或取消信用期等方式，以确保本公司的整体信用风险在可控 的范围内。</w:t>
      </w:r>
    </w:p>
    <w:p>
      <w:pPr>
        <w:pStyle w:val="Style18"/>
        <w:keepNext w:val="0"/>
        <w:keepLines w:val="0"/>
        <w:widowControl w:val="0"/>
        <w:shd w:val="clear" w:color="auto" w:fill="auto"/>
        <w:bidi w:val="0"/>
        <w:spacing w:before="0" w:after="0" w:line="314" w:lineRule="exact"/>
        <w:ind w:left="0" w:right="0" w:firstLine="0"/>
        <w:jc w:val="both"/>
      </w:pPr>
      <w:bookmarkStart w:id="1915" w:name="bookmark1915"/>
      <w:r>
        <w:rPr>
          <w:b/>
          <w:bCs/>
          <w:color w:val="000000"/>
          <w:spacing w:val="0"/>
          <w:w w:val="100"/>
          <w:position w:val="0"/>
        </w:rPr>
        <w:t>（</w:t>
      </w:r>
      <w:bookmarkEnd w:id="1915"/>
      <w:r>
        <w:rPr>
          <w:b/>
          <w:bCs/>
          <w:color w:val="000000"/>
          <w:spacing w:val="0"/>
          <w:w w:val="100"/>
          <w:position w:val="0"/>
        </w:rPr>
        <w:t>二）流动性风险</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流动性风险是指企业在履行以交付现金或其他金融资产的方式结算的义务时发生资金短缺的风险。</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本公司的政策是确保拥有充足的现金以偿还到期债务。流动性风险由本公司的财务部门集中控制。财 务部门通过监控现金余额、可随时变现的有价证券以及对未来</w:t>
      </w:r>
      <w:r>
        <w:rPr>
          <w:rFonts w:ascii="Times New Roman" w:eastAsia="Times New Roman" w:hAnsi="Times New Roman" w:cs="Times New Roman"/>
          <w:color w:val="000000"/>
          <w:spacing w:val="0"/>
          <w:w w:val="100"/>
          <w:position w:val="0"/>
        </w:rPr>
        <w:t>12</w:t>
      </w:r>
      <w:r>
        <w:rPr>
          <w:color w:val="000000"/>
          <w:spacing w:val="0"/>
          <w:w w:val="100"/>
          <w:position w:val="0"/>
        </w:rPr>
        <w:t>个月现金流量的滚动预测，确保公司在所 有合理预测的情况下拥有充足的资金偿还债务。同时持续监控公司是否符合借款协议的规定，从主要金融 机构获得提供足够备用资金的承诺，以满足短期和长期的资金需求。</w:t>
      </w:r>
    </w:p>
    <w:p>
      <w:pPr>
        <w:pStyle w:val="Style18"/>
        <w:keepNext w:val="0"/>
        <w:keepLines w:val="0"/>
        <w:widowControl w:val="0"/>
        <w:shd w:val="clear" w:color="auto" w:fill="auto"/>
        <w:bidi w:val="0"/>
        <w:spacing w:before="0" w:after="320" w:line="314" w:lineRule="exact"/>
        <w:ind w:left="0" w:right="0" w:firstLine="440"/>
        <w:jc w:val="both"/>
      </w:pPr>
      <w:r>
        <w:rPr>
          <w:color w:val="000000"/>
          <w:spacing w:val="0"/>
          <w:w w:val="100"/>
          <w:position w:val="0"/>
        </w:rPr>
        <w:t>本公司各项金融负债以未折现的合同现金流量按到期日列示如下：</w:t>
      </w:r>
    </w:p>
    <w:tbl>
      <w:tblPr>
        <w:tblOverlap w:val="never"/>
        <w:jc w:val="center"/>
        <w:tblLayout w:type="fixed"/>
      </w:tblPr>
      <w:tblGrid>
        <w:gridCol w:w="2242"/>
        <w:gridCol w:w="1306"/>
        <w:gridCol w:w="1190"/>
        <w:gridCol w:w="1286"/>
        <w:gridCol w:w="1176"/>
        <w:gridCol w:w="1190"/>
        <w:gridCol w:w="1296"/>
      </w:tblGrid>
      <w:tr>
        <w:trPr>
          <w:trHeight w:val="3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项目</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即时偿还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短期借款及长期借款（含一 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3,000,405229.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18,972,125.00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210,072,962.50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3,229,450,317.14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34,628,464.39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34,628,464.39</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422,769,895.75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422,769,895.75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93,082,781.66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93,082,781.66</w:t>
            </w:r>
          </w:p>
        </w:tc>
      </w:tr>
      <w:tr>
        <w:trPr>
          <w:trHeight w:val="6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租赁负债（含一年内到期的 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23,081,037.24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21,467,608.05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40,270,635.50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84,819280.79</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3,573,967,408.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40,439,733.05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250,343,598.00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3,864,750,739.73</w:t>
            </w:r>
          </w:p>
        </w:tc>
      </w:tr>
    </w:tbl>
    <w:p>
      <w:pPr>
        <w:widowControl w:val="0"/>
        <w:spacing w:after="319" w:line="1" w:lineRule="exact"/>
      </w:pPr>
    </w:p>
    <w:p>
      <w:pPr>
        <w:widowControl w:val="0"/>
        <w:spacing w:line="1" w:lineRule="exact"/>
      </w:pPr>
    </w:p>
    <w:tbl>
      <w:tblPr>
        <w:tblOverlap w:val="never"/>
        <w:jc w:val="center"/>
        <w:tblLayout w:type="fixed"/>
      </w:tblPr>
      <w:tblGrid>
        <w:gridCol w:w="2218"/>
        <w:gridCol w:w="1282"/>
        <w:gridCol w:w="1181"/>
        <w:gridCol w:w="1272"/>
        <w:gridCol w:w="1162"/>
        <w:gridCol w:w="1277"/>
        <w:gridCol w:w="1296"/>
      </w:tblGrid>
      <w:tr>
        <w:trPr>
          <w:trHeight w:val="3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上年年末余额</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即时偿还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6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短期借款及长期借款（含一 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3,023,125,879.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11,935,602.78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18,784,100.00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4,044,400.00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3,057,889,981.91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119,613,784.71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119,613,784.71</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427,635,379.16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427,635,379.16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99,514,312.66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99,514,312.66</w:t>
            </w:r>
          </w:p>
        </w:tc>
      </w:tr>
      <w:tr>
        <w:trPr>
          <w:trHeight w:val="65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3,669,889,355.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11,935,602.78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18,784,100.00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4,044,400.00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3,704,653,458.44</w:t>
            </w:r>
          </w:p>
        </w:tc>
      </w:tr>
    </w:tbl>
    <w:p>
      <w:pPr>
        <w:widowControl w:val="0"/>
        <w:spacing w:after="319" w:line="1" w:lineRule="exact"/>
      </w:pPr>
    </w:p>
    <w:p>
      <w:pPr>
        <w:pStyle w:val="Style18"/>
        <w:keepNext w:val="0"/>
        <w:keepLines w:val="0"/>
        <w:widowControl w:val="0"/>
        <w:shd w:val="clear" w:color="auto" w:fill="auto"/>
        <w:bidi w:val="0"/>
        <w:spacing w:before="0" w:after="80" w:line="240" w:lineRule="auto"/>
        <w:ind w:left="0" w:right="0" w:firstLine="0"/>
        <w:jc w:val="both"/>
      </w:pPr>
      <w:bookmarkStart w:id="1916" w:name="bookmark1916"/>
      <w:r>
        <w:rPr>
          <w:b/>
          <w:bCs/>
          <w:color w:val="000000"/>
          <w:spacing w:val="0"/>
          <w:w w:val="100"/>
          <w:position w:val="0"/>
        </w:rPr>
        <w:t>（</w:t>
      </w:r>
      <w:bookmarkEnd w:id="1916"/>
      <w:r>
        <w:rPr>
          <w:b/>
          <w:bCs/>
          <w:color w:val="000000"/>
          <w:spacing w:val="0"/>
          <w:w w:val="100"/>
          <w:position w:val="0"/>
        </w:rPr>
        <w:t>三）市场风险</w:t>
      </w:r>
    </w:p>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金融工具的市场风险是指金融工具的公允价值或未来现金流量因市场价格变动而发生波动的风险，包括汇</w:t>
      </w:r>
    </w:p>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率风险、利率风险和其他价格风险。</w:t>
      </w:r>
    </w:p>
    <w:p>
      <w:pPr>
        <w:pStyle w:val="Style18"/>
        <w:keepNext w:val="0"/>
        <w:keepLines w:val="0"/>
        <w:widowControl w:val="0"/>
        <w:shd w:val="clear" w:color="auto" w:fill="auto"/>
        <w:tabs>
          <w:tab w:pos="358" w:val="left"/>
        </w:tabs>
        <w:bidi w:val="0"/>
        <w:spacing w:before="0" w:after="80" w:line="240" w:lineRule="auto"/>
        <w:ind w:left="0" w:right="0" w:firstLine="0"/>
        <w:jc w:val="both"/>
      </w:pPr>
      <w:bookmarkStart w:id="1917" w:name="bookmark1917"/>
      <w:r>
        <w:rPr>
          <w:rFonts w:ascii="Times New Roman" w:eastAsia="Times New Roman" w:hAnsi="Times New Roman" w:cs="Times New Roman"/>
          <w:b/>
          <w:bCs/>
          <w:color w:val="000000"/>
          <w:spacing w:val="0"/>
          <w:w w:val="100"/>
          <w:position w:val="0"/>
        </w:rPr>
        <w:t>1</w:t>
      </w:r>
      <w:bookmarkEnd w:id="1917"/>
      <w:r>
        <w:rPr>
          <w:b/>
          <w:bCs/>
          <w:color w:val="000000"/>
          <w:spacing w:val="0"/>
          <w:w w:val="100"/>
          <w:position w:val="0"/>
        </w:rPr>
        <w:t>、</w:t>
        <w:tab/>
        <w:t>利率风险</w:t>
      </w:r>
    </w:p>
    <w:p>
      <w:pPr>
        <w:pStyle w:val="Style18"/>
        <w:keepNext w:val="0"/>
        <w:keepLines w:val="0"/>
        <w:widowControl w:val="0"/>
        <w:shd w:val="clear" w:color="auto" w:fill="auto"/>
        <w:bidi w:val="0"/>
        <w:spacing w:before="0" w:after="80" w:line="240" w:lineRule="auto"/>
        <w:ind w:left="0" w:right="0" w:firstLine="440"/>
        <w:jc w:val="both"/>
      </w:pPr>
      <w:r>
        <w:rPr>
          <w:color w:val="000000"/>
          <w:spacing w:val="0"/>
          <w:w w:val="100"/>
          <w:position w:val="0"/>
        </w:rPr>
        <w:t>利率风险是指金融工具的公允价值或未来现金流量因市场利率变动而发生波动的风险。本公司无重大</w:t>
      </w:r>
    </w:p>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利率风险。</w:t>
      </w:r>
    </w:p>
    <w:p>
      <w:pPr>
        <w:pStyle w:val="Style18"/>
        <w:keepNext w:val="0"/>
        <w:keepLines w:val="0"/>
        <w:widowControl w:val="0"/>
        <w:shd w:val="clear" w:color="auto" w:fill="auto"/>
        <w:tabs>
          <w:tab w:pos="368" w:val="left"/>
        </w:tabs>
        <w:bidi w:val="0"/>
        <w:spacing w:before="0" w:after="80" w:line="240" w:lineRule="auto"/>
        <w:ind w:left="0" w:right="0" w:firstLine="0"/>
        <w:jc w:val="both"/>
      </w:pPr>
      <w:bookmarkStart w:id="1918" w:name="bookmark1918"/>
      <w:r>
        <w:rPr>
          <w:rFonts w:ascii="Times New Roman" w:eastAsia="Times New Roman" w:hAnsi="Times New Roman" w:cs="Times New Roman"/>
          <w:b/>
          <w:bCs/>
          <w:color w:val="000000"/>
          <w:spacing w:val="0"/>
          <w:w w:val="100"/>
          <w:position w:val="0"/>
        </w:rPr>
        <w:t>2</w:t>
      </w:r>
      <w:bookmarkEnd w:id="1918"/>
      <w:r>
        <w:rPr>
          <w:b/>
          <w:bCs/>
          <w:color w:val="000000"/>
          <w:spacing w:val="0"/>
          <w:w w:val="100"/>
          <w:position w:val="0"/>
        </w:rPr>
        <w:t>、</w:t>
        <w:tab/>
        <w:t>汇率风险</w:t>
      </w:r>
    </w:p>
    <w:p>
      <w:pPr>
        <w:pStyle w:val="Style18"/>
        <w:keepNext w:val="0"/>
        <w:keepLines w:val="0"/>
        <w:widowControl w:val="0"/>
        <w:shd w:val="clear" w:color="auto" w:fill="auto"/>
        <w:bidi w:val="0"/>
        <w:spacing w:before="0" w:after="80" w:line="240" w:lineRule="auto"/>
        <w:ind w:left="0" w:right="0" w:firstLine="440"/>
        <w:jc w:val="both"/>
      </w:pPr>
      <w:r>
        <w:rPr>
          <w:color w:val="000000"/>
          <w:spacing w:val="0"/>
          <w:w w:val="100"/>
          <w:position w:val="0"/>
        </w:rPr>
        <w:t>汇率风险是指金融工具的公允价值或未来现金流量因外汇汇率变动而发生波动的风险。本公司主要于</w:t>
        <w:br w:type="page"/>
      </w:r>
      <w:r>
        <w:rPr>
          <w:color w:val="000000"/>
          <w:spacing w:val="0"/>
          <w:w w:val="100"/>
          <w:position w:val="0"/>
        </w:rPr>
        <w:t>中国内地经营，且主要活动以人民币计价。因此，本公司所承担的外汇变动市场风险不重大。</w:t>
      </w:r>
    </w:p>
    <w:p>
      <w:pPr>
        <w:pStyle w:val="Style18"/>
        <w:keepNext w:val="0"/>
        <w:keepLines w:val="0"/>
        <w:widowControl w:val="0"/>
        <w:shd w:val="clear" w:color="auto" w:fill="auto"/>
        <w:bidi w:val="0"/>
        <w:spacing w:before="0" w:after="0" w:line="322" w:lineRule="auto"/>
        <w:ind w:left="0" w:right="0" w:firstLine="0"/>
        <w:jc w:val="left"/>
      </w:pPr>
      <w:bookmarkStart w:id="1919" w:name="bookmark1919"/>
      <w:r>
        <w:rPr>
          <w:rFonts w:ascii="Times New Roman" w:eastAsia="Times New Roman" w:hAnsi="Times New Roman" w:cs="Times New Roman"/>
          <w:b/>
          <w:bCs/>
          <w:color w:val="000000"/>
          <w:spacing w:val="0"/>
          <w:w w:val="100"/>
          <w:position w:val="0"/>
        </w:rPr>
        <w:t>3</w:t>
      </w:r>
      <w:bookmarkEnd w:id="1919"/>
      <w:r>
        <w:rPr>
          <w:b/>
          <w:bCs/>
          <w:color w:val="000000"/>
          <w:spacing w:val="0"/>
          <w:w w:val="100"/>
          <w:position w:val="0"/>
        </w:rPr>
        <w:t>、其他价格风险</w:t>
      </w:r>
    </w:p>
    <w:p>
      <w:pPr>
        <w:pStyle w:val="Style18"/>
        <w:keepNext w:val="0"/>
        <w:keepLines w:val="0"/>
        <w:widowControl w:val="0"/>
        <w:shd w:val="clear" w:color="auto" w:fill="auto"/>
        <w:bidi w:val="0"/>
        <w:spacing w:before="0" w:after="0" w:line="307" w:lineRule="exact"/>
        <w:ind w:left="0" w:right="0" w:firstLine="440"/>
        <w:jc w:val="left"/>
      </w:pPr>
      <w:r>
        <w:rPr>
          <w:color w:val="000000"/>
          <w:spacing w:val="0"/>
          <w:w w:val="100"/>
          <w:position w:val="0"/>
        </w:rPr>
        <w:t>其他价格风险是指金融工具的公允价值或未来现金流量因汇率风险和利率风险以外的市场价格变动 而发生波动的风险。</w:t>
      </w:r>
    </w:p>
    <w:p>
      <w:pPr>
        <w:pStyle w:val="Style18"/>
        <w:keepNext w:val="0"/>
        <w:keepLines w:val="0"/>
        <w:widowControl w:val="0"/>
        <w:shd w:val="clear" w:color="auto" w:fill="auto"/>
        <w:bidi w:val="0"/>
        <w:spacing w:before="0" w:after="360" w:line="307" w:lineRule="exact"/>
        <w:ind w:left="0" w:right="0" w:firstLine="440"/>
        <w:jc w:val="left"/>
      </w:pPr>
      <w:r>
        <w:rPr>
          <w:color w:val="000000"/>
          <w:spacing w:val="0"/>
          <w:w w:val="100"/>
          <w:position w:val="0"/>
        </w:rPr>
        <w:t>本公司其他价格风险主要产生于各类权益工具投资，存在权益工具价格变动的风险。</w:t>
      </w:r>
    </w:p>
    <w:p>
      <w:pPr>
        <w:pStyle w:val="Style24"/>
        <w:keepNext/>
        <w:keepLines/>
        <w:widowControl w:val="0"/>
        <w:shd w:val="clear" w:color="auto" w:fill="auto"/>
        <w:bidi w:val="0"/>
        <w:spacing w:before="0" w:after="360" w:line="240" w:lineRule="auto"/>
        <w:ind w:left="0" w:right="0" w:firstLine="0"/>
        <w:jc w:val="left"/>
      </w:pPr>
      <w:bookmarkStart w:id="1920" w:name="bookmark1920"/>
      <w:bookmarkStart w:id="1921" w:name="bookmark1921"/>
      <w:bookmarkStart w:id="1922" w:name="bookmark1922"/>
      <w:r>
        <w:rPr>
          <w:color w:val="000000"/>
          <w:spacing w:val="0"/>
          <w:w w:val="100"/>
          <w:position w:val="0"/>
        </w:rPr>
        <w:t>十一、公允价值的披露</w:t>
      </w:r>
      <w:bookmarkEnd w:id="1920"/>
      <w:bookmarkEnd w:id="1921"/>
      <w:bookmarkEnd w:id="1922"/>
    </w:p>
    <w:p>
      <w:pPr>
        <w:pStyle w:val="Style33"/>
        <w:keepNext/>
        <w:keepLines/>
        <w:widowControl w:val="0"/>
        <w:shd w:val="clear" w:color="auto" w:fill="auto"/>
        <w:bidi w:val="0"/>
        <w:spacing w:before="0" w:after="280" w:line="322" w:lineRule="auto"/>
        <w:ind w:left="0" w:right="0" w:firstLine="0"/>
        <w:jc w:val="left"/>
      </w:pPr>
      <w:bookmarkStart w:id="1923" w:name="bookmark1923"/>
      <w:bookmarkStart w:id="1924" w:name="bookmark1924"/>
      <w:bookmarkStart w:id="1925" w:name="bookmark1925"/>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923"/>
      <w:bookmarkEnd w:id="1924"/>
      <w:bookmarkEnd w:id="1925"/>
    </w:p>
    <w:p>
      <w:pPr>
        <w:pStyle w:val="Style2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2006"/>
        <w:gridCol w:w="1838"/>
        <w:gridCol w:w="1920"/>
        <w:gridCol w:w="1910"/>
        <w:gridCol w:w="1930"/>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期末公允价值</w:t>
            </w:r>
          </w:p>
        </w:tc>
      </w:tr>
      <w:tr>
        <w:trPr>
          <w:trHeight w:val="72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第一层次公允价值计 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第二层次公允价值计量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第三层次公允价值计量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合计</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一、持续的公允价值计量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5,487,054.93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5,487,054.93</w:t>
            </w:r>
          </w:p>
        </w:tc>
      </w:tr>
      <w:tr>
        <w:trPr>
          <w:trHeight w:val="10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以公允价值计量且其变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5,487,054.93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5,487,054.93</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5,487,054.93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5,487,054.93</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0"/>
              <w:jc w:val="left"/>
              <w:rPr>
                <w:sz w:val="17"/>
                <w:szCs w:val="17"/>
              </w:rPr>
            </w:pPr>
            <w:r>
              <w:rPr>
                <w:color w:val="000000"/>
                <w:spacing w:val="0"/>
                <w:w w:val="100"/>
                <w:position w:val="0"/>
                <w:sz w:val="17"/>
                <w:szCs w:val="17"/>
              </w:rPr>
              <w:t>（二）其他非流动金融资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403,505,386.63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403,505,386.63</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2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以公允价值计量且其 变动计入当期损益的金 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403,505,386.63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403,505,386.63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403,505,386.63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403,505,386.63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持续以公允价值计量的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408,992,441.56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408,992,441.56</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50" w:lineRule="exact"/>
              <w:ind w:left="0" w:right="0" w:firstLine="0"/>
              <w:jc w:val="left"/>
              <w:rPr>
                <w:sz w:val="17"/>
                <w:szCs w:val="17"/>
              </w:rPr>
            </w:pPr>
            <w:r>
              <w:rPr>
                <w:color w:val="000000"/>
                <w:spacing w:val="0"/>
                <w:w w:val="100"/>
                <w:position w:val="0"/>
                <w:sz w:val="17"/>
                <w:szCs w:val="17"/>
              </w:rPr>
              <w:t>二、非持续的公允价值计 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keepLines/>
        <w:widowControl w:val="0"/>
        <w:shd w:val="clear" w:color="auto" w:fill="auto"/>
        <w:tabs>
          <w:tab w:pos="368" w:val="left"/>
        </w:tabs>
        <w:bidi w:val="0"/>
        <w:spacing w:before="0" w:after="300" w:line="312" w:lineRule="exact"/>
        <w:ind w:left="0" w:right="0" w:firstLine="0"/>
        <w:jc w:val="both"/>
      </w:pPr>
      <w:bookmarkStart w:id="1926" w:name="bookmark1926"/>
      <w:bookmarkStart w:id="1927" w:name="bookmark1927"/>
      <w:bookmarkStart w:id="1928" w:name="bookmark1928"/>
      <w:bookmarkStart w:id="1929" w:name="bookmark1929"/>
      <w:r>
        <w:rPr>
          <w:rFonts w:ascii="Times New Roman" w:eastAsia="Times New Roman" w:hAnsi="Times New Roman" w:cs="Times New Roman"/>
          <w:color w:val="000000"/>
          <w:spacing w:val="0"/>
          <w:w w:val="100"/>
          <w:position w:val="0"/>
        </w:rPr>
        <w:t>2</w:t>
      </w:r>
      <w:bookmarkEnd w:id="1928"/>
      <w:r>
        <w:rPr>
          <w:color w:val="000000"/>
          <w:spacing w:val="0"/>
          <w:w w:val="100"/>
          <w:position w:val="0"/>
        </w:rPr>
        <w:t>、</w:t>
        <w:tab/>
        <w:t>持续和非持续第一层次公允价值计量项目市价的确定依据</w:t>
      </w:r>
      <w:bookmarkEnd w:id="1926"/>
      <w:bookmarkEnd w:id="1927"/>
      <w:bookmarkEnd w:id="1929"/>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第一层次输入值是在计量日能够取得的相同资产或负债在活跃市场上未经调整的报价。</w:t>
      </w:r>
    </w:p>
    <w:p>
      <w:pPr>
        <w:pStyle w:val="Style1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本期无</w:t>
      </w:r>
    </w:p>
    <w:p>
      <w:pPr>
        <w:pStyle w:val="Style33"/>
        <w:keepNext/>
        <w:keepLines/>
        <w:widowControl w:val="0"/>
        <w:shd w:val="clear" w:color="auto" w:fill="auto"/>
        <w:tabs>
          <w:tab w:pos="368" w:val="left"/>
        </w:tabs>
        <w:bidi w:val="0"/>
        <w:spacing w:before="0" w:after="300" w:line="312" w:lineRule="exact"/>
        <w:ind w:left="0" w:right="0" w:firstLine="0"/>
        <w:jc w:val="both"/>
      </w:pPr>
      <w:bookmarkStart w:id="1930" w:name="bookmark1930"/>
      <w:bookmarkStart w:id="1931" w:name="bookmark1931"/>
      <w:bookmarkStart w:id="1932" w:name="bookmark1932"/>
      <w:bookmarkStart w:id="1933" w:name="bookmark1933"/>
      <w:r>
        <w:rPr>
          <w:rFonts w:ascii="Times New Roman" w:eastAsia="Times New Roman" w:hAnsi="Times New Roman" w:cs="Times New Roman"/>
          <w:color w:val="000000"/>
          <w:spacing w:val="0"/>
          <w:w w:val="100"/>
          <w:position w:val="0"/>
        </w:rPr>
        <w:t>3</w:t>
      </w:r>
      <w:bookmarkEnd w:id="1932"/>
      <w:r>
        <w:rPr>
          <w:color w:val="000000"/>
          <w:spacing w:val="0"/>
          <w:w w:val="100"/>
          <w:position w:val="0"/>
        </w:rPr>
        <w:t>、</w:t>
        <w:tab/>
        <w:t>持续和非持续第二层次公允价值计量项目，采用的估值技术和重要参数的定性及定量信息</w:t>
      </w:r>
      <w:bookmarkEnd w:id="1930"/>
      <w:bookmarkEnd w:id="1931"/>
      <w:bookmarkEnd w:id="1933"/>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第二层次输入值是除第一层次输入值外相关资产或负债直接或间接可观察的输入值。</w:t>
      </w:r>
    </w:p>
    <w:p>
      <w:pPr>
        <w:pStyle w:val="Style1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本期无</w:t>
      </w:r>
    </w:p>
    <w:p>
      <w:pPr>
        <w:pStyle w:val="Style33"/>
        <w:keepNext/>
        <w:keepLines/>
        <w:widowControl w:val="0"/>
        <w:shd w:val="clear" w:color="auto" w:fill="auto"/>
        <w:tabs>
          <w:tab w:pos="368" w:val="left"/>
        </w:tabs>
        <w:bidi w:val="0"/>
        <w:spacing w:before="0" w:after="300" w:line="312" w:lineRule="exact"/>
        <w:ind w:left="0" w:right="0" w:firstLine="0"/>
        <w:jc w:val="both"/>
      </w:pPr>
      <w:bookmarkStart w:id="1934" w:name="bookmark1934"/>
      <w:bookmarkStart w:id="1935" w:name="bookmark1935"/>
      <w:bookmarkStart w:id="1936" w:name="bookmark1936"/>
      <w:bookmarkStart w:id="1937" w:name="bookmark1937"/>
      <w:r>
        <w:rPr>
          <w:rFonts w:ascii="Times New Roman" w:eastAsia="Times New Roman" w:hAnsi="Times New Roman" w:cs="Times New Roman"/>
          <w:color w:val="000000"/>
          <w:spacing w:val="0"/>
          <w:w w:val="100"/>
          <w:position w:val="0"/>
        </w:rPr>
        <w:t>4</w:t>
      </w:r>
      <w:bookmarkEnd w:id="1936"/>
      <w:r>
        <w:rPr>
          <w:color w:val="000000"/>
          <w:spacing w:val="0"/>
          <w:w w:val="100"/>
          <w:position w:val="0"/>
        </w:rPr>
        <w:t>、</w:t>
        <w:tab/>
        <w:t>持续和非持续第三层次公允价值计量项目，采用的估值技术和重要参数的定性及定量信息</w:t>
      </w:r>
      <w:bookmarkEnd w:id="1934"/>
      <w:bookmarkEnd w:id="1935"/>
      <w:bookmarkEnd w:id="1937"/>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第三层次输入值是相关资产或负债的不可观察输入值。</w:t>
      </w:r>
    </w:p>
    <w:p>
      <w:pPr>
        <w:pStyle w:val="Style1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对于以公允价值计量且其变动计入当期损益的金融资产以期末金融机构出具报价作为公允价值计量。对于 非上市股权投资，公司采用自对手方处获取估值报价，或使用估值技术确定其公允价值，包括成本法、市 场法（最近融资价格法、市场乘数法）和期权定价模型等。这些金融工具的公允价值可能基于对估值有重 大影响的不可观测输入值，不可观测输入值包括市净率、缺少流通性折扣率等。</w:t>
      </w:r>
    </w:p>
    <w:p>
      <w:pPr>
        <w:pStyle w:val="Style33"/>
        <w:keepNext/>
        <w:keepLines/>
        <w:widowControl w:val="0"/>
        <w:shd w:val="clear" w:color="auto" w:fill="auto"/>
        <w:tabs>
          <w:tab w:pos="368" w:val="left"/>
        </w:tabs>
        <w:bidi w:val="0"/>
        <w:spacing w:before="0" w:after="380" w:line="312" w:lineRule="exact"/>
        <w:ind w:left="0" w:right="0" w:firstLine="0"/>
        <w:jc w:val="both"/>
      </w:pPr>
      <w:bookmarkStart w:id="1938" w:name="bookmark1938"/>
      <w:bookmarkStart w:id="1939" w:name="bookmark1939"/>
      <w:bookmarkStart w:id="1940" w:name="bookmark1940"/>
      <w:bookmarkStart w:id="1941" w:name="bookmark1941"/>
      <w:r>
        <w:rPr>
          <w:rFonts w:ascii="Times New Roman" w:eastAsia="Times New Roman" w:hAnsi="Times New Roman" w:cs="Times New Roman"/>
          <w:color w:val="000000"/>
          <w:spacing w:val="0"/>
          <w:w w:val="100"/>
          <w:position w:val="0"/>
        </w:rPr>
        <w:t>5</w:t>
      </w:r>
      <w:bookmarkEnd w:id="1940"/>
      <w:r>
        <w:rPr>
          <w:color w:val="000000"/>
          <w:spacing w:val="0"/>
          <w:w w:val="100"/>
          <w:position w:val="0"/>
        </w:rPr>
        <w:t>、</w:t>
        <w:tab/>
        <w:t>持续的第三层次公允价值计量项目期初与期末账面价值间的调节信息及不可观察参数敏感性分析</w:t>
      </w:r>
      <w:bookmarkEnd w:id="1938"/>
      <w:bookmarkEnd w:id="1939"/>
      <w:bookmarkEnd w:id="1941"/>
    </w:p>
    <w:p>
      <w:pPr>
        <w:pStyle w:val="Style29"/>
        <w:keepNext w:val="0"/>
        <w:keepLines w:val="0"/>
        <w:widowControl w:val="0"/>
        <w:shd w:val="clear" w:color="auto" w:fill="auto"/>
        <w:bidi w:val="0"/>
        <w:spacing w:before="0" w:after="300" w:line="240" w:lineRule="auto"/>
        <w:ind w:left="0" w:right="0" w:firstLine="0"/>
        <w:jc w:val="both"/>
      </w:pPr>
      <w:r>
        <w:rPr>
          <w:color w:val="000000"/>
          <w:spacing w:val="0"/>
          <w:w w:val="100"/>
          <w:position w:val="0"/>
        </w:rPr>
        <w:t>无</w:t>
      </w:r>
    </w:p>
    <w:p>
      <w:pPr>
        <w:pStyle w:val="Style33"/>
        <w:keepNext/>
        <w:keepLines/>
        <w:widowControl w:val="0"/>
        <w:shd w:val="clear" w:color="auto" w:fill="auto"/>
        <w:tabs>
          <w:tab w:pos="368" w:val="left"/>
        </w:tabs>
        <w:bidi w:val="0"/>
        <w:spacing w:before="0" w:after="380" w:line="312" w:lineRule="exact"/>
        <w:ind w:left="0" w:right="0" w:firstLine="0"/>
        <w:jc w:val="both"/>
      </w:pPr>
      <w:bookmarkStart w:id="1942" w:name="bookmark1942"/>
      <w:bookmarkStart w:id="1943" w:name="bookmark1943"/>
      <w:bookmarkStart w:id="1944" w:name="bookmark1944"/>
      <w:bookmarkStart w:id="1945" w:name="bookmark1945"/>
      <w:r>
        <w:rPr>
          <w:rFonts w:ascii="Times New Roman" w:eastAsia="Times New Roman" w:hAnsi="Times New Roman" w:cs="Times New Roman"/>
          <w:color w:val="000000"/>
          <w:spacing w:val="0"/>
          <w:w w:val="100"/>
          <w:position w:val="0"/>
        </w:rPr>
        <w:t>6</w:t>
      </w:r>
      <w:bookmarkEnd w:id="1944"/>
      <w:r>
        <w:rPr>
          <w:color w:val="000000"/>
          <w:spacing w:val="0"/>
          <w:w w:val="100"/>
          <w:position w:val="0"/>
        </w:rPr>
        <w:t>、</w:t>
        <w:tab/>
        <w:t>持续的公允价值计量项目，本期内发生各层级之间转换的，转换的原因及确定转换时点的政策</w:t>
      </w:r>
      <w:bookmarkEnd w:id="1942"/>
      <w:bookmarkEnd w:id="1943"/>
      <w:bookmarkEnd w:id="1945"/>
    </w:p>
    <w:p>
      <w:pPr>
        <w:pStyle w:val="Style29"/>
        <w:keepNext w:val="0"/>
        <w:keepLines w:val="0"/>
        <w:widowControl w:val="0"/>
        <w:shd w:val="clear" w:color="auto" w:fill="auto"/>
        <w:bidi w:val="0"/>
        <w:spacing w:before="0" w:after="300" w:line="240" w:lineRule="auto"/>
        <w:ind w:left="0" w:right="0" w:firstLine="0"/>
        <w:jc w:val="both"/>
      </w:pPr>
      <w:r>
        <w:rPr>
          <w:color w:val="000000"/>
          <w:spacing w:val="0"/>
          <w:w w:val="100"/>
          <w:position w:val="0"/>
        </w:rPr>
        <w:t>无</w:t>
      </w:r>
    </w:p>
    <w:p>
      <w:pPr>
        <w:pStyle w:val="Style33"/>
        <w:keepNext/>
        <w:keepLines/>
        <w:widowControl w:val="0"/>
        <w:shd w:val="clear" w:color="auto" w:fill="auto"/>
        <w:tabs>
          <w:tab w:pos="368" w:val="left"/>
        </w:tabs>
        <w:bidi w:val="0"/>
        <w:spacing w:before="0" w:after="380" w:line="312" w:lineRule="exact"/>
        <w:ind w:left="0" w:right="0" w:firstLine="0"/>
        <w:jc w:val="both"/>
      </w:pPr>
      <w:bookmarkStart w:id="1946" w:name="bookmark1946"/>
      <w:bookmarkStart w:id="1947" w:name="bookmark1947"/>
      <w:bookmarkStart w:id="1948" w:name="bookmark1948"/>
      <w:bookmarkStart w:id="1949" w:name="bookmark1949"/>
      <w:r>
        <w:rPr>
          <w:rFonts w:ascii="Times New Roman" w:eastAsia="Times New Roman" w:hAnsi="Times New Roman" w:cs="Times New Roman"/>
          <w:color w:val="000000"/>
          <w:spacing w:val="0"/>
          <w:w w:val="100"/>
          <w:position w:val="0"/>
        </w:rPr>
        <w:t>7</w:t>
      </w:r>
      <w:bookmarkEnd w:id="1948"/>
      <w:r>
        <w:rPr>
          <w:color w:val="000000"/>
          <w:spacing w:val="0"/>
          <w:w w:val="100"/>
          <w:position w:val="0"/>
        </w:rPr>
        <w:t>、</w:t>
        <w:tab/>
        <w:t>本期内发生的估值技术变更及变更原因</w:t>
      </w:r>
      <w:bookmarkEnd w:id="1946"/>
      <w:bookmarkEnd w:id="1947"/>
      <w:bookmarkEnd w:id="1949"/>
    </w:p>
    <w:p>
      <w:pPr>
        <w:pStyle w:val="Style29"/>
        <w:keepNext w:val="0"/>
        <w:keepLines w:val="0"/>
        <w:widowControl w:val="0"/>
        <w:shd w:val="clear" w:color="auto" w:fill="auto"/>
        <w:bidi w:val="0"/>
        <w:spacing w:before="0" w:after="300" w:line="240" w:lineRule="auto"/>
        <w:ind w:left="0" w:right="0" w:firstLine="0"/>
        <w:jc w:val="both"/>
      </w:pPr>
      <w:r>
        <w:rPr>
          <w:color w:val="000000"/>
          <w:spacing w:val="0"/>
          <w:w w:val="100"/>
          <w:position w:val="0"/>
        </w:rPr>
        <w:t>无</w:t>
      </w:r>
    </w:p>
    <w:p>
      <w:pPr>
        <w:pStyle w:val="Style33"/>
        <w:keepNext/>
        <w:keepLines/>
        <w:widowControl w:val="0"/>
        <w:shd w:val="clear" w:color="auto" w:fill="auto"/>
        <w:tabs>
          <w:tab w:pos="368" w:val="left"/>
        </w:tabs>
        <w:bidi w:val="0"/>
        <w:spacing w:before="0" w:after="380" w:line="312" w:lineRule="exact"/>
        <w:ind w:left="0" w:right="0" w:firstLine="0"/>
        <w:jc w:val="both"/>
      </w:pPr>
      <w:bookmarkStart w:id="1950" w:name="bookmark1950"/>
      <w:bookmarkStart w:id="1951" w:name="bookmark1951"/>
      <w:bookmarkStart w:id="1952" w:name="bookmark1952"/>
      <w:bookmarkStart w:id="1953" w:name="bookmark1953"/>
      <w:r>
        <w:rPr>
          <w:rFonts w:ascii="Times New Roman" w:eastAsia="Times New Roman" w:hAnsi="Times New Roman" w:cs="Times New Roman"/>
          <w:color w:val="000000"/>
          <w:spacing w:val="0"/>
          <w:w w:val="100"/>
          <w:position w:val="0"/>
        </w:rPr>
        <w:t>8</w:t>
      </w:r>
      <w:bookmarkEnd w:id="1952"/>
      <w:r>
        <w:rPr>
          <w:color w:val="000000"/>
          <w:spacing w:val="0"/>
          <w:w w:val="100"/>
          <w:position w:val="0"/>
        </w:rPr>
        <w:t>、</w:t>
        <w:tab/>
        <w:t>不以公允价值计量的金融资产和金融负债的公允价值情况</w:t>
      </w:r>
      <w:bookmarkEnd w:id="1950"/>
      <w:bookmarkEnd w:id="1951"/>
      <w:bookmarkEnd w:id="1953"/>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3"/>
        <w:keepNext/>
        <w:keepLines/>
        <w:widowControl w:val="0"/>
        <w:shd w:val="clear" w:color="auto" w:fill="auto"/>
        <w:tabs>
          <w:tab w:pos="368" w:val="left"/>
        </w:tabs>
        <w:bidi w:val="0"/>
        <w:spacing w:before="0" w:after="300" w:line="326" w:lineRule="auto"/>
        <w:ind w:left="0" w:right="0" w:firstLine="0"/>
        <w:jc w:val="both"/>
      </w:pPr>
      <w:bookmarkStart w:id="1954" w:name="bookmark1954"/>
      <w:bookmarkStart w:id="1955" w:name="bookmark1955"/>
      <w:bookmarkStart w:id="1956" w:name="bookmark1956"/>
      <w:bookmarkStart w:id="1957" w:name="bookmark1957"/>
      <w:r>
        <w:rPr>
          <w:rFonts w:ascii="Times New Roman" w:eastAsia="Times New Roman" w:hAnsi="Times New Roman" w:cs="Times New Roman"/>
          <w:color w:val="000000"/>
          <w:spacing w:val="0"/>
          <w:w w:val="100"/>
          <w:position w:val="0"/>
        </w:rPr>
        <w:t>9</w:t>
      </w:r>
      <w:bookmarkEnd w:id="1956"/>
      <w:r>
        <w:rPr>
          <w:color w:val="000000"/>
          <w:spacing w:val="0"/>
          <w:w w:val="100"/>
          <w:position w:val="0"/>
        </w:rPr>
        <w:t>、</w:t>
        <w:tab/>
        <w:t>其他</w:t>
      </w:r>
      <w:bookmarkEnd w:id="1954"/>
      <w:bookmarkEnd w:id="1955"/>
      <w:bookmarkEnd w:id="1957"/>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4"/>
        <w:keepNext/>
        <w:keepLines/>
        <w:widowControl w:val="0"/>
        <w:shd w:val="clear" w:color="auto" w:fill="auto"/>
        <w:bidi w:val="0"/>
        <w:spacing w:before="0" w:after="380" w:line="240" w:lineRule="auto"/>
        <w:ind w:left="0" w:right="0" w:firstLine="0"/>
        <w:jc w:val="both"/>
      </w:pPr>
      <w:bookmarkStart w:id="1958" w:name="bookmark1958"/>
      <w:bookmarkStart w:id="1959" w:name="bookmark1959"/>
      <w:bookmarkStart w:id="1960" w:name="bookmark1960"/>
      <w:r>
        <w:rPr>
          <w:color w:val="000000"/>
          <w:spacing w:val="0"/>
          <w:w w:val="100"/>
          <w:position w:val="0"/>
        </w:rPr>
        <w:t>十二、关联方及关联交易</w:t>
      </w:r>
      <w:bookmarkEnd w:id="1958"/>
      <w:bookmarkEnd w:id="1959"/>
      <w:bookmarkEnd w:id="1960"/>
    </w:p>
    <w:p>
      <w:pPr>
        <w:pStyle w:val="Style33"/>
        <w:keepNext/>
        <w:keepLines/>
        <w:widowControl w:val="0"/>
        <w:shd w:val="clear" w:color="auto" w:fill="auto"/>
        <w:bidi w:val="0"/>
        <w:spacing w:before="0" w:after="380" w:line="240" w:lineRule="auto"/>
        <w:ind w:left="0" w:right="0" w:firstLine="0"/>
        <w:jc w:val="both"/>
      </w:pPr>
      <w:bookmarkStart w:id="1961" w:name="bookmark1961"/>
      <w:bookmarkStart w:id="1962" w:name="bookmark1962"/>
      <w:bookmarkStart w:id="1963" w:name="bookmark1963"/>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961"/>
      <w:bookmarkEnd w:id="1962"/>
      <w:bookmarkEnd w:id="1963"/>
    </w:p>
    <w:p>
      <w:pPr>
        <w:pStyle w:val="Style26"/>
        <w:keepNext w:val="0"/>
        <w:keepLines w:val="0"/>
        <w:widowControl w:val="0"/>
        <w:shd w:val="clear" w:color="auto" w:fill="auto"/>
        <w:bidi w:val="0"/>
        <w:spacing w:before="0" w:after="0" w:line="240" w:lineRule="auto"/>
        <w:ind w:left="5" w:right="0" w:firstLine="0"/>
        <w:jc w:val="left"/>
        <w:rPr>
          <w:sz w:val="17"/>
          <w:szCs w:val="17"/>
        </w:rPr>
      </w:pPr>
      <w:r>
        <w:rPr>
          <w:rFonts w:ascii="SimSun" w:eastAsia="SimSun" w:hAnsi="SimSun" w:cs="SimSun"/>
          <w:color w:val="000000"/>
          <w:spacing w:val="0"/>
          <w:w w:val="100"/>
          <w:position w:val="0"/>
          <w:sz w:val="17"/>
          <w:szCs w:val="17"/>
        </w:rPr>
        <w:t>本企业的母公司情况的说明</w:t>
      </w:r>
    </w:p>
    <w:tbl>
      <w:tblPr>
        <w:tblOverlap w:val="never"/>
        <w:jc w:val="center"/>
        <w:tblLayout w:type="fixed"/>
      </w:tblPr>
      <w:tblGrid>
        <w:gridCol w:w="3466"/>
        <w:gridCol w:w="6221"/>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主要股东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与本公司的关系</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中国人寿保险股份有限公司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一致行动人合计持有本公司</w:t>
            </w:r>
            <w:r>
              <w:rPr>
                <w:rFonts w:ascii="Times New Roman" w:eastAsia="Times New Roman" w:hAnsi="Times New Roman" w:cs="Times New Roman"/>
                <w:color w:val="000000"/>
                <w:spacing w:val="0"/>
                <w:w w:val="100"/>
                <w:position w:val="0"/>
                <w:sz w:val="18"/>
                <w:szCs w:val="18"/>
              </w:rPr>
              <w:t>215,802,070</w:t>
            </w:r>
            <w:r>
              <w:rPr>
                <w:color w:val="000000"/>
                <w:spacing w:val="0"/>
                <w:w w:val="100"/>
                <w:position w:val="0"/>
                <w:sz w:val="17"/>
                <w:szCs w:val="17"/>
              </w:rPr>
              <w:t>股股份，为本公司第一大股东</w:t>
            </w:r>
          </w:p>
        </w:tc>
      </w:tr>
    </w:tbl>
    <w:p>
      <w:pPr>
        <w:widowControl w:val="0"/>
        <w:spacing w:line="1" w:lineRule="exact"/>
      </w:pPr>
      <w:r>
        <w:br w:type="page"/>
      </w:r>
    </w:p>
    <w:tbl>
      <w:tblPr>
        <w:tblOverlap w:val="never"/>
        <w:jc w:val="center"/>
        <w:tblLayout w:type="fixed"/>
      </w:tblPr>
      <w:tblGrid>
        <w:gridCol w:w="3466"/>
        <w:gridCol w:w="6221"/>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主要股东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与本公司的关系</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中国人寿保险（集团）公司</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和谐健康保险股份有限公司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持有本公司</w:t>
            </w:r>
            <w:r>
              <w:rPr>
                <w:rFonts w:ascii="Times New Roman" w:eastAsia="Times New Roman" w:hAnsi="Times New Roman" w:cs="Times New Roman"/>
                <w:color w:val="000000"/>
                <w:spacing w:val="0"/>
                <w:w w:val="100"/>
                <w:position w:val="0"/>
                <w:sz w:val="18"/>
                <w:szCs w:val="18"/>
              </w:rPr>
              <w:t>117,190,000</w:t>
            </w:r>
            <w:r>
              <w:rPr>
                <w:color w:val="000000"/>
                <w:spacing w:val="0"/>
                <w:w w:val="100"/>
                <w:position w:val="0"/>
                <w:sz w:val="17"/>
                <w:szCs w:val="17"/>
              </w:rPr>
              <w:t>股股份，为本公司持股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以上的股东</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本企业最终控制方是无实际控制人。</w:t>
      </w:r>
    </w:p>
    <w:p>
      <w:pPr>
        <w:pStyle w:val="Style33"/>
        <w:keepNext/>
        <w:keepLines/>
        <w:widowControl w:val="0"/>
        <w:shd w:val="clear" w:color="auto" w:fill="auto"/>
        <w:tabs>
          <w:tab w:pos="368" w:val="left"/>
        </w:tabs>
        <w:bidi w:val="0"/>
        <w:spacing w:before="0" w:after="380" w:line="240" w:lineRule="auto"/>
        <w:ind w:left="0" w:right="0" w:firstLine="0"/>
        <w:jc w:val="left"/>
      </w:pPr>
      <w:bookmarkStart w:id="1964" w:name="bookmark1964"/>
      <w:bookmarkStart w:id="1965" w:name="bookmark1965"/>
      <w:bookmarkStart w:id="1966" w:name="bookmark1966"/>
      <w:bookmarkStart w:id="1967" w:name="bookmark1967"/>
      <w:r>
        <w:rPr>
          <w:rFonts w:ascii="Times New Roman" w:eastAsia="Times New Roman" w:hAnsi="Times New Roman" w:cs="Times New Roman"/>
          <w:color w:val="000000"/>
          <w:spacing w:val="0"/>
          <w:w w:val="100"/>
          <w:position w:val="0"/>
        </w:rPr>
        <w:t>2</w:t>
      </w:r>
      <w:bookmarkEnd w:id="1966"/>
      <w:r>
        <w:rPr>
          <w:color w:val="000000"/>
          <w:spacing w:val="0"/>
          <w:w w:val="100"/>
          <w:position w:val="0"/>
        </w:rPr>
        <w:t>、</w:t>
        <w:tab/>
        <w:t>本企业的子公司情况</w:t>
      </w:r>
      <w:bookmarkEnd w:id="1964"/>
      <w:bookmarkEnd w:id="1965"/>
      <w:bookmarkEnd w:id="1967"/>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本企业子公司的情况详见附注九、在其他主体中的权益。</w:t>
      </w:r>
    </w:p>
    <w:p>
      <w:pPr>
        <w:pStyle w:val="Style33"/>
        <w:keepNext/>
        <w:keepLines/>
        <w:widowControl w:val="0"/>
        <w:shd w:val="clear" w:color="auto" w:fill="auto"/>
        <w:tabs>
          <w:tab w:pos="368" w:val="left"/>
        </w:tabs>
        <w:bidi w:val="0"/>
        <w:spacing w:before="0" w:after="380" w:line="240" w:lineRule="auto"/>
        <w:ind w:left="0" w:right="0" w:firstLine="0"/>
        <w:jc w:val="left"/>
      </w:pPr>
      <w:bookmarkStart w:id="1968" w:name="bookmark1968"/>
      <w:bookmarkStart w:id="1969" w:name="bookmark1969"/>
      <w:bookmarkStart w:id="1970" w:name="bookmark1970"/>
      <w:bookmarkStart w:id="1971" w:name="bookmark1971"/>
      <w:r>
        <w:rPr>
          <w:rFonts w:ascii="Times New Roman" w:eastAsia="Times New Roman" w:hAnsi="Times New Roman" w:cs="Times New Roman"/>
          <w:color w:val="000000"/>
          <w:spacing w:val="0"/>
          <w:w w:val="100"/>
          <w:position w:val="0"/>
        </w:rPr>
        <w:t>3</w:t>
      </w:r>
      <w:bookmarkEnd w:id="1970"/>
      <w:r>
        <w:rPr>
          <w:color w:val="000000"/>
          <w:spacing w:val="0"/>
          <w:w w:val="100"/>
          <w:position w:val="0"/>
        </w:rPr>
        <w:t>、</w:t>
        <w:tab/>
        <w:t>本企业合营和联营企业情况</w:t>
      </w:r>
      <w:bookmarkEnd w:id="1968"/>
      <w:bookmarkEnd w:id="1969"/>
      <w:bookmarkEnd w:id="1971"/>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本企业重要的合营或联营企业详见附注九、在其他主体中的权益。</w:t>
      </w:r>
    </w:p>
    <w:p>
      <w:pPr>
        <w:pStyle w:val="Style33"/>
        <w:keepNext/>
        <w:keepLines/>
        <w:widowControl w:val="0"/>
        <w:shd w:val="clear" w:color="auto" w:fill="auto"/>
        <w:tabs>
          <w:tab w:pos="368" w:val="left"/>
        </w:tabs>
        <w:bidi w:val="0"/>
        <w:spacing w:before="0" w:after="380" w:line="240" w:lineRule="auto"/>
        <w:ind w:left="0" w:right="0" w:firstLine="0"/>
        <w:jc w:val="left"/>
      </w:pPr>
      <w:bookmarkStart w:id="1972" w:name="bookmark1972"/>
      <w:bookmarkStart w:id="1973" w:name="bookmark1973"/>
      <w:bookmarkStart w:id="1974" w:name="bookmark1974"/>
      <w:bookmarkStart w:id="1975" w:name="bookmark1975"/>
      <w:r>
        <w:rPr>
          <w:rFonts w:ascii="Times New Roman" w:eastAsia="Times New Roman" w:hAnsi="Times New Roman" w:cs="Times New Roman"/>
          <w:color w:val="000000"/>
          <w:spacing w:val="0"/>
          <w:w w:val="100"/>
          <w:position w:val="0"/>
        </w:rPr>
        <w:t>4</w:t>
      </w:r>
      <w:bookmarkEnd w:id="1974"/>
      <w:r>
        <w:rPr>
          <w:color w:val="000000"/>
          <w:spacing w:val="0"/>
          <w:w w:val="100"/>
          <w:position w:val="0"/>
        </w:rPr>
        <w:t>、</w:t>
        <w:tab/>
        <w:t>其他关联方情况</w:t>
      </w:r>
      <w:bookmarkEnd w:id="1972"/>
      <w:bookmarkEnd w:id="1973"/>
      <w:bookmarkEnd w:id="1975"/>
    </w:p>
    <w:tbl>
      <w:tblPr>
        <w:tblOverlap w:val="never"/>
        <w:jc w:val="center"/>
        <w:tblLayout w:type="fixed"/>
      </w:tblPr>
      <w:tblGrid>
        <w:gridCol w:w="4795"/>
        <w:gridCol w:w="479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其他关联方名称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其他关联方与本企业关系</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长江联合金融租赁有限公司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公司参股公司</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宁波市科技园区明天医网科技有限公司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子公司法人之关联公司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李诗定（注）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子公司历史股东及原公司高管</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许晓荣（注）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子公司历史股东及原公司高管</w:t>
            </w:r>
          </w:p>
        </w:tc>
      </w:tr>
      <w:tr>
        <w:trPr>
          <w:trHeight w:val="269"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注：自然人李诗定和许晓荣为公司历史股东及原公司高管，本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w:t>
            </w:r>
            <w:r>
              <w:rPr>
                <w:color w:val="000000"/>
                <w:spacing w:val="0"/>
                <w:w w:val="100"/>
                <w:position w:val="0"/>
                <w:sz w:val="17"/>
                <w:szCs w:val="17"/>
              </w:rPr>
              <w:t>期不认定为关联方。</w:t>
            </w:r>
          </w:p>
        </w:tc>
      </w:tr>
    </w:tbl>
    <w:p>
      <w:pPr>
        <w:widowControl w:val="0"/>
        <w:spacing w:after="379" w:line="1" w:lineRule="exact"/>
      </w:pPr>
    </w:p>
    <w:p>
      <w:pPr>
        <w:pStyle w:val="Style33"/>
        <w:keepNext/>
        <w:keepLines/>
        <w:widowControl w:val="0"/>
        <w:shd w:val="clear" w:color="auto" w:fill="auto"/>
        <w:bidi w:val="0"/>
        <w:spacing w:before="0" w:after="380" w:line="240" w:lineRule="auto"/>
        <w:ind w:left="0" w:right="0" w:firstLine="0"/>
        <w:jc w:val="left"/>
      </w:pPr>
      <w:bookmarkStart w:id="1976" w:name="bookmark1976"/>
      <w:bookmarkStart w:id="1977" w:name="bookmark1977"/>
      <w:bookmarkStart w:id="1978" w:name="bookmark1978"/>
      <w:bookmarkStart w:id="1979" w:name="bookmark1979"/>
      <w:r>
        <w:rPr>
          <w:rFonts w:ascii="Times New Roman" w:eastAsia="Times New Roman" w:hAnsi="Times New Roman" w:cs="Times New Roman"/>
          <w:color w:val="000000"/>
          <w:spacing w:val="0"/>
          <w:w w:val="100"/>
          <w:position w:val="0"/>
        </w:rPr>
        <w:t>5</w:t>
      </w:r>
      <w:bookmarkEnd w:id="1978"/>
      <w:r>
        <w:rPr>
          <w:color w:val="000000"/>
          <w:spacing w:val="0"/>
          <w:w w:val="100"/>
          <w:position w:val="0"/>
        </w:rPr>
        <w:t>、关联交易情况</w:t>
      </w:r>
      <w:bookmarkEnd w:id="1976"/>
      <w:bookmarkEnd w:id="1977"/>
      <w:bookmarkEnd w:id="1979"/>
    </w:p>
    <w:p>
      <w:pPr>
        <w:pStyle w:val="Style61"/>
        <w:keepNext/>
        <w:keepLines/>
        <w:widowControl w:val="0"/>
        <w:shd w:val="clear" w:color="auto" w:fill="auto"/>
        <w:bidi w:val="0"/>
        <w:spacing w:before="0" w:line="240" w:lineRule="auto"/>
        <w:ind w:left="0" w:right="0" w:firstLine="0"/>
        <w:jc w:val="left"/>
      </w:pPr>
      <w:bookmarkStart w:id="1980" w:name="bookmark1980"/>
      <w:bookmarkStart w:id="1981" w:name="bookmark1981"/>
      <w:bookmarkStart w:id="1982" w:name="bookmark19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980"/>
      <w:bookmarkEnd w:id="1981"/>
      <w:bookmarkEnd w:id="1982"/>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2424"/>
        <w:gridCol w:w="1982"/>
        <w:gridCol w:w="1416"/>
        <w:gridCol w:w="1142"/>
        <w:gridCol w:w="912"/>
        <w:gridCol w:w="1728"/>
      </w:tblGrid>
      <w:tr>
        <w:trPr>
          <w:trHeight w:val="73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关联交易内容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获批的交易</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额度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是否超过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交易额度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上期发生额</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国菱金达医疗科技（上海）有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349,056.59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896,226.41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长江联合金融租赁有限公司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1,048,490.09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9,419,175.64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中国人寿保险股份有限公司及 其分子公司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购买商业保险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5,465,625.15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3,641,440.00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宁波市科技园区明天医网科技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2,602,442.84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上海全程玖玖健康服务有限公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358,778.94</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许晓荣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1,294,800.04</w:t>
            </w:r>
          </w:p>
        </w:tc>
      </w:tr>
    </w:tbl>
    <w:p>
      <w:pPr>
        <w:spacing w:lineRule="exact" w:line="1"/>
        <w:rPr>
          <w:sz w:val="2"/>
          <w:szCs w:val="2"/>
        </w:rPr>
      </w:pPr>
      <w:r>
        <w:br w:type="page"/>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10"/>
        <w:gridCol w:w="2261"/>
        <w:gridCol w:w="2256"/>
        <w:gridCol w:w="2664"/>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关联交易内容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中国人寿保险股份有限公司及 其分子公司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69,353,629.36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6,049,437.15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成都天府市民云服务有限公司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20 273,094.91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17,870,373.98</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张家口万达中合大数据有限公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9,275,283.02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长沙市民云信息服务有限公司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7,127,954.70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8,018,867.93</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武威市天马行大数据运营有限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4,846,365.10</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景德镇市国信瓷都市民云信息 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3,537,735.85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银川市民云服务有限公司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1,603,773.58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眉山市兴眉科技有限公司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877,358.49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临沂容沂办管理运营有限公司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571,760.76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中国人寿保险股份有限公司成 都保险研修院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432,637.19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宁波市科技园区明天医网科技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提供劳务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682,787.70</w:t>
            </w:r>
          </w:p>
        </w:tc>
      </w:tr>
    </w:tbl>
    <w:p>
      <w:pPr>
        <w:widowControl w:val="0"/>
        <w:spacing w:after="319" w:line="1" w:lineRule="exact"/>
      </w:pPr>
    </w:p>
    <w:p>
      <w:pPr>
        <w:pStyle w:val="Style61"/>
        <w:keepNext/>
        <w:keepLines/>
        <w:widowControl w:val="0"/>
        <w:shd w:val="clear" w:color="auto" w:fill="auto"/>
        <w:tabs>
          <w:tab w:pos="483" w:val="left"/>
        </w:tabs>
        <w:bidi w:val="0"/>
        <w:spacing w:before="0" w:line="240" w:lineRule="auto"/>
        <w:ind w:left="0" w:right="0" w:firstLine="0"/>
        <w:jc w:val="left"/>
      </w:pPr>
      <w:bookmarkStart w:id="1983" w:name="bookmark1983"/>
      <w:bookmarkStart w:id="1984" w:name="bookmark1984"/>
      <w:bookmarkStart w:id="1985" w:name="bookmark1985"/>
      <w:bookmarkStart w:id="1986" w:name="bookmark1986"/>
      <w:r>
        <w:rPr>
          <w:color w:val="000000"/>
          <w:spacing w:val="0"/>
          <w:w w:val="100"/>
          <w:position w:val="0"/>
        </w:rPr>
        <w:t>（</w:t>
      </w:r>
      <w:bookmarkEnd w:id="1985"/>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983"/>
      <w:bookmarkEnd w:id="1984"/>
      <w:bookmarkEnd w:id="1986"/>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61"/>
        <w:keepNext/>
        <w:keepLines/>
        <w:widowControl w:val="0"/>
        <w:shd w:val="clear" w:color="auto" w:fill="auto"/>
        <w:tabs>
          <w:tab w:pos="483" w:val="left"/>
        </w:tabs>
        <w:bidi w:val="0"/>
        <w:spacing w:before="0" w:line="240" w:lineRule="auto"/>
        <w:ind w:left="0" w:right="0" w:firstLine="0"/>
        <w:jc w:val="left"/>
      </w:pPr>
      <w:bookmarkStart w:id="1987" w:name="bookmark1987"/>
      <w:bookmarkStart w:id="1988" w:name="bookmark1988"/>
      <w:bookmarkStart w:id="1989" w:name="bookmark1989"/>
      <w:bookmarkStart w:id="1990" w:name="bookmark1990"/>
      <w:r>
        <w:rPr>
          <w:color w:val="000000"/>
          <w:spacing w:val="0"/>
          <w:w w:val="100"/>
          <w:position w:val="0"/>
        </w:rPr>
        <w:t>（</w:t>
      </w:r>
      <w:bookmarkEnd w:id="1989"/>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987"/>
      <w:bookmarkEnd w:id="1988"/>
      <w:bookmarkEnd w:id="1990"/>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61"/>
        <w:keepNext/>
        <w:keepLines/>
        <w:widowControl w:val="0"/>
        <w:shd w:val="clear" w:color="auto" w:fill="auto"/>
        <w:tabs>
          <w:tab w:pos="483" w:val="left"/>
        </w:tabs>
        <w:bidi w:val="0"/>
        <w:spacing w:before="0" w:line="240" w:lineRule="auto"/>
        <w:ind w:left="0" w:right="0" w:firstLine="0"/>
        <w:jc w:val="left"/>
      </w:pPr>
      <w:bookmarkStart w:id="1991" w:name="bookmark1991"/>
      <w:bookmarkStart w:id="1992" w:name="bookmark1992"/>
      <w:bookmarkStart w:id="1993" w:name="bookmark1993"/>
      <w:bookmarkStart w:id="1994" w:name="bookmark1994"/>
      <w:r>
        <w:rPr>
          <w:color w:val="000000"/>
          <w:spacing w:val="0"/>
          <w:w w:val="100"/>
          <w:position w:val="0"/>
        </w:rPr>
        <w:t>（</w:t>
      </w:r>
      <w:bookmarkEnd w:id="1993"/>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w:t>
      </w:r>
      <w:bookmarkEnd w:id="1991"/>
      <w:bookmarkEnd w:id="1992"/>
      <w:bookmarkEnd w:id="1994"/>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本公司作为担保方</w:t>
      </w:r>
    </w:p>
    <w:p>
      <w:pPr>
        <w:pStyle w:val="Style2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920"/>
        <w:gridCol w:w="1925"/>
        <w:gridCol w:w="1915"/>
        <w:gridCol w:w="1915"/>
        <w:gridCol w:w="1930"/>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被担保方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担保起始日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担保到期日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担保是否已经履行完毕</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四川浩特通信有限公司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四川浩特通信有限公司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四川浩特通信有限公司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bl>
    <w:p>
      <w:pPr>
        <w:widowControl w:val="0"/>
        <w:spacing w:line="1" w:lineRule="exact"/>
      </w:pPr>
    </w:p>
    <w:tbl>
      <w:tblPr>
        <w:tblOverlap w:val="never"/>
        <w:jc w:val="center"/>
        <w:tblLayout w:type="fixed"/>
      </w:tblPr>
      <w:tblGrid>
        <w:gridCol w:w="1920"/>
        <w:gridCol w:w="1925"/>
        <w:gridCol w:w="1915"/>
        <w:gridCol w:w="1915"/>
        <w:gridCol w:w="193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被担保方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担保起始日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担保到期日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担保是否已经履行完毕</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四川浩特通信有限公司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四川浩特通信有限公司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关联担保情况说明</w:t>
      </w:r>
    </w:p>
    <w:p>
      <w:pPr>
        <w:pStyle w:val="Style29"/>
        <w:keepNext w:val="0"/>
        <w:keepLines w:val="0"/>
        <w:widowControl w:val="0"/>
        <w:shd w:val="clear" w:color="auto" w:fill="auto"/>
        <w:bidi w:val="0"/>
        <w:spacing w:before="0" w:after="0" w:line="316" w:lineRule="exact"/>
        <w:ind w:left="0" w:right="0" w:firstLine="36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：万达信息与中国民生银行股份有限公司上海分行基于《综合授信合同》签订《最高额保证合同》，为四川浩特通 信有限公司（以下简称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四川浩特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）提供最高债权额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千万元的连带责任保证，担保发生在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日之间的主债权。每一笔债务单独计算保证期间，起算日为主合同项下任何一笔债务的履行期限届满日与被担保债权的确定 日中的孰晚日，保证期间为三年。</w:t>
      </w:r>
    </w:p>
    <w:p>
      <w:pPr>
        <w:pStyle w:val="Style29"/>
        <w:keepNext w:val="0"/>
        <w:keepLines w:val="0"/>
        <w:widowControl w:val="0"/>
        <w:shd w:val="clear" w:color="auto" w:fill="auto"/>
        <w:bidi w:val="0"/>
        <w:spacing w:before="0" w:after="0" w:line="316" w:lineRule="exact"/>
        <w:ind w:left="0" w:right="0" w:firstLine="36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：因四川浩特经营发展需要，与长江联合金融租赁有限公司（以下简称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长江联合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）签订《融资租赁合同》（售后 回租类），通过融资租赁（售后回租类）形式，向长江联合融资人民币</w:t>
      </w:r>
      <w:r>
        <w:rPr>
          <w:rFonts w:ascii="Times New Roman" w:eastAsia="Times New Roman" w:hAnsi="Times New Roman" w:cs="Times New Roman"/>
          <w:color w:val="000000"/>
          <w:spacing w:val="0"/>
          <w:w w:val="100"/>
          <w:position w:val="0"/>
          <w:sz w:val="18"/>
          <w:szCs w:val="18"/>
        </w:rPr>
        <w:t>9,000.00</w:t>
      </w:r>
      <w:r>
        <w:rPr>
          <w:color w:val="000000"/>
          <w:spacing w:val="0"/>
          <w:w w:val="100"/>
          <w:position w:val="0"/>
        </w:rPr>
        <w:t>万元。万达信息为四川浩特提供不可撤销的 连带责任保证。保证期间自保证合同签署之日至租赁合同项下主债务履行期届满之日起满两年的期间。</w:t>
      </w:r>
    </w:p>
    <w:p>
      <w:pPr>
        <w:pStyle w:val="Style29"/>
        <w:keepNext w:val="0"/>
        <w:keepLines w:val="0"/>
        <w:widowControl w:val="0"/>
        <w:shd w:val="clear" w:color="auto" w:fill="auto"/>
        <w:bidi w:val="0"/>
        <w:spacing w:before="0" w:after="0" w:line="316" w:lineRule="exact"/>
        <w:ind w:left="0" w:right="0" w:firstLine="36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：因四川浩特项目建设需要，由成都盈开投资有限公司（以下简称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盈开投资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）委托中国民生银行股份有限公司成 都分行（以下简称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民生银行成都分行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）向四川浩特发放</w:t>
      </w:r>
      <w:r>
        <w:rPr>
          <w:rFonts w:ascii="Times New Roman" w:eastAsia="Times New Roman" w:hAnsi="Times New Roman" w:cs="Times New Roman"/>
          <w:color w:val="000000"/>
          <w:spacing w:val="0"/>
          <w:w w:val="100"/>
          <w:position w:val="0"/>
          <w:sz w:val="18"/>
          <w:szCs w:val="18"/>
        </w:rPr>
        <w:t>4,600.0</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万元借款，成都中小企业融资担保有限责任公司为上述借 款提供担保。万达信息向成都中小企业融资担保有限责任公司为本公司在盈开投资申请的上述借款提供连带责任反担保，反 担保期限为两年，自成都中小企业融资担保有限责任公司实际代偿每笔担保债务之次日开始计算。</w:t>
      </w:r>
    </w:p>
    <w:p>
      <w:pPr>
        <w:pStyle w:val="Style29"/>
        <w:keepNext w:val="0"/>
        <w:keepLines w:val="0"/>
        <w:widowControl w:val="0"/>
        <w:shd w:val="clear" w:color="auto" w:fill="auto"/>
        <w:bidi w:val="0"/>
        <w:spacing w:before="0" w:after="380" w:line="316" w:lineRule="exact"/>
        <w:ind w:left="0" w:right="0" w:firstLine="36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：因四川浩特经营发展需要，与长江联合金融租赁有限公司（以下简称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长江联合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）签订《融资租赁合同》（售后 回租类），通过融资租赁（售后回租类）形式，向长江联合融资人民币</w:t>
      </w:r>
      <w:r>
        <w:rPr>
          <w:rFonts w:ascii="Times New Roman" w:eastAsia="Times New Roman" w:hAnsi="Times New Roman" w:cs="Times New Roman"/>
          <w:color w:val="000000"/>
          <w:spacing w:val="0"/>
          <w:w w:val="100"/>
          <w:position w:val="0"/>
          <w:sz w:val="18"/>
          <w:szCs w:val="18"/>
        </w:rPr>
        <w:t>4,000.00</w:t>
      </w:r>
      <w:r>
        <w:rPr>
          <w:color w:val="000000"/>
          <w:spacing w:val="0"/>
          <w:w w:val="100"/>
          <w:position w:val="0"/>
        </w:rPr>
        <w:t>万元。万达信息为四川浩特提供不可撤销的 连带责任保证。保证期间自保证合同签署之日至租赁合同项下主债务履行期届满之日起满两年的期间。</w:t>
      </w:r>
    </w:p>
    <w:p>
      <w:pPr>
        <w:pStyle w:val="Style61"/>
        <w:keepNext/>
        <w:keepLines/>
        <w:widowControl w:val="0"/>
        <w:shd w:val="clear" w:color="auto" w:fill="auto"/>
        <w:tabs>
          <w:tab w:pos="474" w:val="left"/>
        </w:tabs>
        <w:bidi w:val="0"/>
        <w:spacing w:before="0" w:after="300" w:line="240" w:lineRule="auto"/>
        <w:ind w:left="0" w:right="0" w:firstLine="0"/>
        <w:jc w:val="left"/>
      </w:pPr>
      <w:bookmarkStart w:id="1995" w:name="bookmark1995"/>
      <w:bookmarkStart w:id="1996" w:name="bookmark1996"/>
      <w:bookmarkStart w:id="1997" w:name="bookmark1997"/>
      <w:bookmarkStart w:id="1998" w:name="bookmark1998"/>
      <w:r>
        <w:rPr>
          <w:color w:val="000000"/>
          <w:spacing w:val="0"/>
          <w:w w:val="100"/>
          <w:position w:val="0"/>
        </w:rPr>
        <w:t>（</w:t>
      </w:r>
      <w:bookmarkEnd w:id="1997"/>
      <w:r>
        <w:rPr>
          <w:rFonts w:ascii="Times New Roman" w:eastAsia="Times New Roman" w:hAnsi="Times New Roman" w:cs="Times New Roman"/>
          <w:color w:val="000000"/>
          <w:spacing w:val="0"/>
          <w:w w:val="100"/>
          <w:position w:val="0"/>
        </w:rPr>
        <w:t>5</w:t>
      </w:r>
      <w:r>
        <w:rPr>
          <w:color w:val="000000"/>
          <w:spacing w:val="0"/>
          <w:w w:val="100"/>
          <w:position w:val="0"/>
        </w:rPr>
        <w:t>）</w:t>
        <w:tab/>
        <w:t>关联方资金拆借</w:t>
      </w:r>
      <w:bookmarkEnd w:id="1995"/>
      <w:bookmarkEnd w:id="1996"/>
      <w:bookmarkEnd w:id="1998"/>
    </w:p>
    <w:p>
      <w:pPr>
        <w:pStyle w:val="Style29"/>
        <w:keepNext w:val="0"/>
        <w:keepLines w:val="0"/>
        <w:widowControl w:val="0"/>
        <w:shd w:val="clear" w:color="auto" w:fill="auto"/>
        <w:bidi w:val="0"/>
        <w:spacing w:before="0" w:after="380" w:line="316" w:lineRule="exact"/>
        <w:ind w:left="0" w:right="0" w:firstLine="0"/>
        <w:jc w:val="left"/>
      </w:pPr>
      <w:r>
        <w:rPr>
          <w:color w:val="000000"/>
          <w:spacing w:val="0"/>
          <w:w w:val="100"/>
          <w:position w:val="0"/>
        </w:rPr>
        <w:t>无</w:t>
      </w:r>
    </w:p>
    <w:p>
      <w:pPr>
        <w:pStyle w:val="Style61"/>
        <w:keepNext/>
        <w:keepLines/>
        <w:widowControl w:val="0"/>
        <w:shd w:val="clear" w:color="auto" w:fill="auto"/>
        <w:tabs>
          <w:tab w:pos="474" w:val="left"/>
        </w:tabs>
        <w:bidi w:val="0"/>
        <w:spacing w:before="0" w:after="300" w:line="240" w:lineRule="auto"/>
        <w:ind w:left="0" w:right="0" w:firstLine="0"/>
        <w:jc w:val="left"/>
      </w:pPr>
      <w:bookmarkStart w:id="1999" w:name="bookmark1999"/>
      <w:bookmarkStart w:id="2000" w:name="bookmark2000"/>
      <w:bookmarkStart w:id="2001" w:name="bookmark2001"/>
      <w:bookmarkStart w:id="2002" w:name="bookmark2002"/>
      <w:r>
        <w:rPr>
          <w:color w:val="000000"/>
          <w:spacing w:val="0"/>
          <w:w w:val="100"/>
          <w:position w:val="0"/>
        </w:rPr>
        <w:t>（</w:t>
      </w:r>
      <w:bookmarkEnd w:id="2001"/>
      <w:r>
        <w:rPr>
          <w:rFonts w:ascii="Times New Roman" w:eastAsia="Times New Roman" w:hAnsi="Times New Roman" w:cs="Times New Roman"/>
          <w:color w:val="000000"/>
          <w:spacing w:val="0"/>
          <w:w w:val="100"/>
          <w:position w:val="0"/>
        </w:rPr>
        <w:t>6</w:t>
      </w:r>
      <w:r>
        <w:rPr>
          <w:color w:val="000000"/>
          <w:spacing w:val="0"/>
          <w:w w:val="100"/>
          <w:position w:val="0"/>
        </w:rPr>
        <w:t>）</w:t>
        <w:tab/>
        <w:t>关联方资产转让、债务重组情况</w:t>
      </w:r>
      <w:bookmarkEnd w:id="1999"/>
      <w:bookmarkEnd w:id="2000"/>
      <w:bookmarkEnd w:id="2002"/>
    </w:p>
    <w:p>
      <w:pPr>
        <w:pStyle w:val="Style29"/>
        <w:keepNext w:val="0"/>
        <w:keepLines w:val="0"/>
        <w:widowControl w:val="0"/>
        <w:shd w:val="clear" w:color="auto" w:fill="auto"/>
        <w:bidi w:val="0"/>
        <w:spacing w:before="0" w:after="380" w:line="316" w:lineRule="exact"/>
        <w:ind w:left="0" w:right="0" w:firstLine="0"/>
        <w:jc w:val="left"/>
      </w:pPr>
      <w:r>
        <w:rPr>
          <w:color w:val="000000"/>
          <w:spacing w:val="0"/>
          <w:w w:val="100"/>
          <w:position w:val="0"/>
        </w:rPr>
        <w:t>无</w:t>
      </w:r>
    </w:p>
    <w:p>
      <w:pPr>
        <w:pStyle w:val="Style61"/>
        <w:keepNext/>
        <w:keepLines/>
        <w:widowControl w:val="0"/>
        <w:shd w:val="clear" w:color="auto" w:fill="auto"/>
        <w:tabs>
          <w:tab w:pos="474" w:val="left"/>
        </w:tabs>
        <w:bidi w:val="0"/>
        <w:spacing w:before="0" w:line="240" w:lineRule="auto"/>
        <w:ind w:left="0" w:right="0" w:firstLine="0"/>
        <w:jc w:val="left"/>
      </w:pPr>
      <w:bookmarkStart w:id="2003" w:name="bookmark2003"/>
      <w:bookmarkStart w:id="2004" w:name="bookmark2004"/>
      <w:bookmarkStart w:id="2005" w:name="bookmark2005"/>
      <w:bookmarkStart w:id="2006" w:name="bookmark2006"/>
      <w:r>
        <w:rPr>
          <w:color w:val="000000"/>
          <w:spacing w:val="0"/>
          <w:w w:val="100"/>
          <w:position w:val="0"/>
        </w:rPr>
        <w:t>（</w:t>
      </w:r>
      <w:bookmarkEnd w:id="2005"/>
      <w:r>
        <w:rPr>
          <w:rFonts w:ascii="Times New Roman" w:eastAsia="Times New Roman" w:hAnsi="Times New Roman" w:cs="Times New Roman"/>
          <w:color w:val="000000"/>
          <w:spacing w:val="0"/>
          <w:w w:val="100"/>
          <w:position w:val="0"/>
        </w:rPr>
        <w:t>7</w:t>
      </w:r>
      <w:r>
        <w:rPr>
          <w:color w:val="000000"/>
          <w:spacing w:val="0"/>
          <w:w w:val="100"/>
          <w:position w:val="0"/>
        </w:rPr>
        <w:t>）</w:t>
        <w:tab/>
        <w:t>关键管理人员报酬</w:t>
      </w:r>
      <w:bookmarkEnd w:id="2003"/>
      <w:bookmarkEnd w:id="2004"/>
      <w:bookmarkEnd w:id="200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15260,000.00</w:t>
            </w:r>
          </w:p>
        </w:tc>
      </w:tr>
    </w:tbl>
    <w:p>
      <w:pPr>
        <w:widowControl w:val="0"/>
        <w:spacing w:after="299" w:line="1" w:lineRule="exact"/>
      </w:pPr>
    </w:p>
    <w:p>
      <w:pPr>
        <w:pStyle w:val="Style61"/>
        <w:keepNext/>
        <w:keepLines/>
        <w:widowControl w:val="0"/>
        <w:shd w:val="clear" w:color="auto" w:fill="auto"/>
        <w:bidi w:val="0"/>
        <w:spacing w:before="0" w:line="240" w:lineRule="auto"/>
        <w:ind w:left="0" w:right="0" w:firstLine="0"/>
        <w:jc w:val="left"/>
      </w:pPr>
      <w:bookmarkStart w:id="2007" w:name="bookmark2007"/>
      <w:bookmarkStart w:id="2008" w:name="bookmark2008"/>
      <w:bookmarkStart w:id="2009" w:name="bookmark2009"/>
      <w:bookmarkStart w:id="2010" w:name="bookmark2010"/>
      <w:r>
        <w:rPr>
          <w:color w:val="000000"/>
          <w:spacing w:val="0"/>
          <w:w w:val="100"/>
          <w:position w:val="0"/>
        </w:rPr>
        <w:t>（</w:t>
      </w:r>
      <w:bookmarkEnd w:id="2009"/>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007"/>
      <w:bookmarkEnd w:id="2008"/>
      <w:bookmarkEnd w:id="2010"/>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r>
        <w:br w:type="page"/>
      </w:r>
    </w:p>
    <w:p>
      <w:pPr>
        <w:pStyle w:val="Style33"/>
        <w:keepNext/>
        <w:keepLines/>
        <w:widowControl w:val="0"/>
        <w:shd w:val="clear" w:color="auto" w:fill="auto"/>
        <w:bidi w:val="0"/>
        <w:spacing w:before="0" w:after="380" w:line="240" w:lineRule="auto"/>
        <w:ind w:left="0" w:right="0" w:firstLine="0"/>
        <w:jc w:val="left"/>
      </w:pPr>
      <w:bookmarkStart w:id="2011" w:name="bookmark2011"/>
      <w:bookmarkStart w:id="2012" w:name="bookmark2012"/>
      <w:bookmarkStart w:id="2013" w:name="bookmark2013"/>
      <w:bookmarkStart w:id="2014" w:name="bookmark2014"/>
      <w:r>
        <w:rPr>
          <w:rFonts w:ascii="Times New Roman" w:eastAsia="Times New Roman" w:hAnsi="Times New Roman" w:cs="Times New Roman"/>
          <w:color w:val="000000"/>
          <w:spacing w:val="0"/>
          <w:w w:val="100"/>
          <w:position w:val="0"/>
        </w:rPr>
        <w:t>6</w:t>
      </w:r>
      <w:bookmarkEnd w:id="2013"/>
      <w:r>
        <w:rPr>
          <w:color w:val="000000"/>
          <w:spacing w:val="0"/>
          <w:w w:val="100"/>
          <w:position w:val="0"/>
        </w:rPr>
        <w:t>、关联方应收应付款项</w:t>
      </w:r>
      <w:bookmarkEnd w:id="2011"/>
      <w:bookmarkEnd w:id="2012"/>
      <w:bookmarkEnd w:id="2014"/>
    </w:p>
    <w:p>
      <w:pPr>
        <w:pStyle w:val="Style61"/>
        <w:keepNext/>
        <w:keepLines/>
        <w:widowControl w:val="0"/>
        <w:shd w:val="clear" w:color="auto" w:fill="auto"/>
        <w:bidi w:val="0"/>
        <w:spacing w:before="0" w:line="240" w:lineRule="auto"/>
        <w:ind w:left="0" w:right="0" w:firstLine="0"/>
        <w:jc w:val="left"/>
      </w:pPr>
      <w:bookmarkStart w:id="2015" w:name="bookmark2015"/>
      <w:bookmarkStart w:id="2016" w:name="bookmark2016"/>
      <w:bookmarkStart w:id="2017" w:name="bookmark20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015"/>
      <w:bookmarkEnd w:id="2016"/>
      <w:bookmarkEnd w:id="201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4"/>
        <w:gridCol w:w="1598"/>
        <w:gridCol w:w="1598"/>
        <w:gridCol w:w="1584"/>
        <w:gridCol w:w="160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项目名称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坏账准备</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中国人寿保险股份 有限公司及其分子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1,075,365.88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上海达保贵生信息 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11,661,928.31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4,163,468.06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18,827,592.76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4,970,333.78</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成都天府市民云服</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717,650.72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1,162,344.00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眉山市兴眉科技有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宁波市科技园区明 天医网科技有限公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长江联合金融租赁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1,560,000.00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中国人寿保险股份 有限公司及其分子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27235,458.62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817,063.76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长沙市民云信息服 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7,942,731.99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238,281.96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成都天府市民云服</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4,946,800.00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银川市民云服务有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1,699,999.99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临沂容沂办管理运</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241,746.40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景德镇市国信瓷都 市民云信息服务有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武威市天马行大数 据运营有限公司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729,520.01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张家口万达中合大 数据有限公司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5,831,800.00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174,954.00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61"/>
        <w:keepNext/>
        <w:keepLines/>
        <w:widowControl w:val="0"/>
        <w:shd w:val="clear" w:color="auto" w:fill="auto"/>
        <w:bidi w:val="0"/>
        <w:spacing w:before="0" w:line="240" w:lineRule="auto"/>
        <w:ind w:left="0" w:right="0" w:firstLine="0"/>
        <w:jc w:val="both"/>
      </w:pPr>
      <w:bookmarkStart w:id="2018" w:name="bookmark2018"/>
      <w:bookmarkStart w:id="2019" w:name="bookmark2019"/>
      <w:bookmarkStart w:id="2020" w:name="bookmark20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018"/>
      <w:bookmarkEnd w:id="2019"/>
      <w:bookmarkEnd w:id="2020"/>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0"/>
        <w:gridCol w:w="2390"/>
        <w:gridCol w:w="2400"/>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上海达保贵生信息科技股份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2,912,972.91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2,752,690.79</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宁波市科技园区明天医网科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2,089,250.00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5,533,650.00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上海全程玖玖健康门诊部有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449,500.00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李诗定（注）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2,351,825.34</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中国人寿财产保险股份有限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许晓荣（注）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18,539,888.93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中国人寿保险股份有限公司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及其分子公司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13273,635.99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中国人寿保险（集团）公司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5,029,245.28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驻马店天中市民云服务有限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7,456,603.78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长江联合金融租赁有限公司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35,966,908.01</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长江联合金融租赁有限公司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46,703,430.07</w:t>
            </w:r>
          </w:p>
        </w:tc>
      </w:tr>
    </w:tbl>
    <w:p>
      <w:pPr>
        <w:widowControl w:val="0"/>
        <w:spacing w:after="319" w:line="1" w:lineRule="exact"/>
      </w:pPr>
    </w:p>
    <w:p>
      <w:pPr>
        <w:pStyle w:val="Style33"/>
        <w:keepNext/>
        <w:keepLines/>
        <w:widowControl w:val="0"/>
        <w:shd w:val="clear" w:color="auto" w:fill="auto"/>
        <w:tabs>
          <w:tab w:pos="363" w:val="left"/>
        </w:tabs>
        <w:bidi w:val="0"/>
        <w:spacing w:before="0" w:after="380" w:line="240" w:lineRule="auto"/>
        <w:ind w:left="0" w:right="0" w:firstLine="0"/>
        <w:jc w:val="left"/>
      </w:pPr>
      <w:bookmarkStart w:id="2021" w:name="bookmark2021"/>
      <w:bookmarkStart w:id="2022" w:name="bookmark2022"/>
      <w:bookmarkStart w:id="2023" w:name="bookmark2023"/>
      <w:bookmarkStart w:id="2024" w:name="bookmark2024"/>
      <w:r>
        <w:rPr>
          <w:rFonts w:ascii="Times New Roman" w:eastAsia="Times New Roman" w:hAnsi="Times New Roman" w:cs="Times New Roman"/>
          <w:color w:val="000000"/>
          <w:spacing w:val="0"/>
          <w:w w:val="100"/>
          <w:position w:val="0"/>
        </w:rPr>
        <w:t>7</w:t>
      </w:r>
      <w:bookmarkEnd w:id="2023"/>
      <w:r>
        <w:rPr>
          <w:color w:val="000000"/>
          <w:spacing w:val="0"/>
          <w:w w:val="100"/>
          <w:position w:val="0"/>
        </w:rPr>
        <w:t>、</w:t>
        <w:tab/>
        <w:t>关联方承诺</w:t>
      </w:r>
      <w:bookmarkEnd w:id="2021"/>
      <w:bookmarkEnd w:id="2022"/>
      <w:bookmarkEnd w:id="2024"/>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68" w:val="left"/>
        </w:tabs>
        <w:bidi w:val="0"/>
        <w:spacing w:before="0" w:after="380" w:line="240" w:lineRule="auto"/>
        <w:ind w:left="0" w:right="0" w:firstLine="0"/>
        <w:jc w:val="left"/>
      </w:pPr>
      <w:bookmarkStart w:id="2025" w:name="bookmark2025"/>
      <w:bookmarkStart w:id="2026" w:name="bookmark2026"/>
      <w:bookmarkStart w:id="2027" w:name="bookmark2027"/>
      <w:bookmarkStart w:id="2028" w:name="bookmark2028"/>
      <w:r>
        <w:rPr>
          <w:rFonts w:ascii="Times New Roman" w:eastAsia="Times New Roman" w:hAnsi="Times New Roman" w:cs="Times New Roman"/>
          <w:color w:val="000000"/>
          <w:spacing w:val="0"/>
          <w:w w:val="100"/>
          <w:position w:val="0"/>
        </w:rPr>
        <w:t>8</w:t>
      </w:r>
      <w:bookmarkEnd w:id="2027"/>
      <w:r>
        <w:rPr>
          <w:color w:val="000000"/>
          <w:spacing w:val="0"/>
          <w:w w:val="100"/>
          <w:position w:val="0"/>
        </w:rPr>
        <w:t>、</w:t>
        <w:tab/>
        <w:t>其他</w:t>
      </w:r>
      <w:bookmarkEnd w:id="2025"/>
      <w:bookmarkEnd w:id="2026"/>
      <w:bookmarkEnd w:id="2028"/>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80" w:line="240" w:lineRule="auto"/>
        <w:ind w:left="0" w:right="0" w:firstLine="0"/>
        <w:jc w:val="left"/>
      </w:pPr>
      <w:bookmarkStart w:id="2029" w:name="bookmark2029"/>
      <w:bookmarkStart w:id="2030" w:name="bookmark2030"/>
      <w:bookmarkStart w:id="2031" w:name="bookmark2031"/>
      <w:r>
        <w:rPr>
          <w:color w:val="000000"/>
          <w:spacing w:val="0"/>
          <w:w w:val="100"/>
          <w:position w:val="0"/>
        </w:rPr>
        <w:t>十三、股份支付</w:t>
      </w:r>
      <w:bookmarkEnd w:id="2029"/>
      <w:bookmarkEnd w:id="2030"/>
      <w:bookmarkEnd w:id="2031"/>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80" w:line="240" w:lineRule="auto"/>
        <w:ind w:left="0" w:right="0" w:firstLine="0"/>
        <w:jc w:val="left"/>
      </w:pPr>
      <w:bookmarkStart w:id="2032" w:name="bookmark2032"/>
      <w:bookmarkStart w:id="2033" w:name="bookmark2033"/>
      <w:bookmarkStart w:id="2034" w:name="bookmark2034"/>
      <w:r>
        <w:rPr>
          <w:color w:val="000000"/>
          <w:spacing w:val="0"/>
          <w:w w:val="100"/>
          <w:position w:val="0"/>
        </w:rPr>
        <w:t>十四、承诺及或有事项</w:t>
      </w:r>
      <w:bookmarkEnd w:id="2032"/>
      <w:bookmarkEnd w:id="2033"/>
      <w:bookmarkEnd w:id="2034"/>
    </w:p>
    <w:p>
      <w:pPr>
        <w:pStyle w:val="Style33"/>
        <w:keepNext/>
        <w:keepLines/>
        <w:widowControl w:val="0"/>
        <w:shd w:val="clear" w:color="auto" w:fill="auto"/>
        <w:bidi w:val="0"/>
        <w:spacing w:before="0" w:after="380" w:line="240" w:lineRule="auto"/>
        <w:ind w:left="0" w:right="0" w:firstLine="0"/>
        <w:jc w:val="left"/>
      </w:pPr>
      <w:bookmarkStart w:id="2035" w:name="bookmark2035"/>
      <w:bookmarkStart w:id="2036" w:name="bookmark2036"/>
      <w:bookmarkStart w:id="2037" w:name="bookmark2037"/>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035"/>
      <w:bookmarkEnd w:id="2036"/>
      <w:bookmarkEnd w:id="2037"/>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资产负债表日存在的重要承诺</w:t>
      </w:r>
    </w:p>
    <w:p>
      <w:pPr>
        <w:pStyle w:val="Style18"/>
        <w:keepNext w:val="0"/>
        <w:keepLines w:val="0"/>
        <w:widowControl w:val="0"/>
        <w:shd w:val="clear" w:color="auto" w:fill="auto"/>
        <w:tabs>
          <w:tab w:pos="358" w:val="left"/>
        </w:tabs>
        <w:bidi w:val="0"/>
        <w:spacing w:before="0" w:after="60" w:line="240" w:lineRule="auto"/>
        <w:ind w:left="0" w:right="0" w:firstLine="0"/>
        <w:jc w:val="left"/>
      </w:pPr>
      <w:bookmarkStart w:id="2038" w:name="bookmark2038"/>
      <w:r>
        <w:rPr>
          <w:rFonts w:ascii="Times New Roman" w:eastAsia="Times New Roman" w:hAnsi="Times New Roman" w:cs="Times New Roman"/>
          <w:color w:val="000000"/>
          <w:spacing w:val="0"/>
          <w:w w:val="100"/>
          <w:position w:val="0"/>
        </w:rPr>
        <w:t>1</w:t>
      </w:r>
      <w:bookmarkEnd w:id="2038"/>
      <w:r>
        <w:rPr>
          <w:color w:val="000000"/>
          <w:spacing w:val="0"/>
          <w:w w:val="100"/>
          <w:position w:val="0"/>
        </w:rPr>
        <w:t>、</w:t>
        <w:tab/>
        <w:t>本公司与租赁相关的承诺详见本附注</w:t>
      </w:r>
      <w:r>
        <w:rPr>
          <w:rFonts w:ascii="Times New Roman" w:eastAsia="Times New Roman" w:hAnsi="Times New Roman" w:cs="Times New Roman"/>
          <w:color w:val="000000"/>
          <w:spacing w:val="0"/>
          <w:w w:val="100"/>
          <w:position w:val="0"/>
        </w:rPr>
        <w:t>“</w:t>
      </w:r>
      <w:r>
        <w:rPr>
          <w:color w:val="000000"/>
          <w:spacing w:val="0"/>
          <w:w w:val="100"/>
          <w:position w:val="0"/>
        </w:rPr>
        <w:t>第六节、十五、</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）租赁情况</w:t>
      </w:r>
      <w:r>
        <w:rPr>
          <w:rFonts w:ascii="Times New Roman" w:eastAsia="Times New Roman" w:hAnsi="Times New Roman" w:cs="Times New Roman"/>
          <w:color w:val="000000"/>
          <w:spacing w:val="0"/>
          <w:w w:val="100"/>
          <w:position w:val="0"/>
        </w:rPr>
        <w:t>”</w:t>
      </w:r>
    </w:p>
    <w:p>
      <w:pPr>
        <w:pStyle w:val="Style18"/>
        <w:keepNext w:val="0"/>
        <w:keepLines w:val="0"/>
        <w:widowControl w:val="0"/>
        <w:shd w:val="clear" w:color="auto" w:fill="auto"/>
        <w:tabs>
          <w:tab w:pos="382" w:val="left"/>
        </w:tabs>
        <w:bidi w:val="0"/>
        <w:spacing w:before="0" w:after="380" w:line="240" w:lineRule="auto"/>
        <w:ind w:left="0" w:right="0" w:firstLine="0"/>
        <w:jc w:val="left"/>
      </w:pPr>
      <w:bookmarkStart w:id="2039" w:name="bookmark2039"/>
      <w:r>
        <w:rPr>
          <w:rFonts w:ascii="Times New Roman" w:eastAsia="Times New Roman" w:hAnsi="Times New Roman" w:cs="Times New Roman"/>
          <w:color w:val="000000"/>
          <w:spacing w:val="0"/>
          <w:w w:val="100"/>
          <w:position w:val="0"/>
        </w:rPr>
        <w:t>2</w:t>
      </w:r>
      <w:bookmarkEnd w:id="2039"/>
      <w:r>
        <w:rPr>
          <w:color w:val="000000"/>
          <w:spacing w:val="0"/>
          <w:w w:val="100"/>
          <w:position w:val="0"/>
        </w:rPr>
        <w:t>、</w:t>
        <w:tab/>
        <w:t>本公司与质押借款相关的承诺事项详见本附注</w:t>
      </w:r>
      <w:r>
        <w:rPr>
          <w:rFonts w:ascii="Times New Roman" w:eastAsia="Times New Roman" w:hAnsi="Times New Roman" w:cs="Times New Roman"/>
          <w:color w:val="000000"/>
          <w:spacing w:val="0"/>
          <w:w w:val="100"/>
          <w:position w:val="0"/>
        </w:rPr>
        <w:t>“</w:t>
      </w:r>
      <w:r>
        <w:rPr>
          <w:color w:val="000000"/>
          <w:spacing w:val="0"/>
          <w:w w:val="100"/>
          <w:position w:val="0"/>
        </w:rPr>
        <w:t>七、</w:t>
      </w: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8"/>
        <w:keepNext w:val="0"/>
        <w:keepLines w:val="0"/>
        <w:widowControl w:val="0"/>
        <w:shd w:val="clear" w:color="auto" w:fill="auto"/>
        <w:bidi w:val="0"/>
        <w:spacing w:before="0" w:after="380" w:line="322" w:lineRule="exact"/>
        <w:ind w:left="0" w:right="0" w:firstLine="0"/>
        <w:jc w:val="left"/>
      </w:pPr>
      <w:r>
        <w:rPr>
          <w:color w:val="000000"/>
          <w:spacing w:val="0"/>
          <w:w w:val="100"/>
          <w:position w:val="0"/>
        </w:rPr>
        <w:t>除上述事项外，截至资产负债表日，本公司不存在需要披露的重要承诺事项。</w:t>
      </w:r>
    </w:p>
    <w:p>
      <w:pPr>
        <w:pStyle w:val="Style33"/>
        <w:keepNext/>
        <w:keepLines/>
        <w:widowControl w:val="0"/>
        <w:shd w:val="clear" w:color="auto" w:fill="auto"/>
        <w:tabs>
          <w:tab w:pos="368" w:val="left"/>
        </w:tabs>
        <w:bidi w:val="0"/>
        <w:spacing w:before="0" w:after="180" w:line="336" w:lineRule="auto"/>
        <w:ind w:left="0" w:right="0" w:firstLine="0"/>
        <w:jc w:val="left"/>
      </w:pPr>
      <w:bookmarkStart w:id="2040" w:name="bookmark2040"/>
      <w:bookmarkStart w:id="2041" w:name="bookmark2041"/>
      <w:bookmarkStart w:id="2042" w:name="bookmark2042"/>
      <w:bookmarkStart w:id="2043" w:name="bookmark2043"/>
      <w:r>
        <w:rPr>
          <w:rFonts w:ascii="Times New Roman" w:eastAsia="Times New Roman" w:hAnsi="Times New Roman" w:cs="Times New Roman"/>
          <w:color w:val="000000"/>
          <w:spacing w:val="0"/>
          <w:w w:val="100"/>
          <w:position w:val="0"/>
        </w:rPr>
        <w:t>2</w:t>
      </w:r>
      <w:bookmarkEnd w:id="2042"/>
      <w:r>
        <w:rPr>
          <w:color w:val="000000"/>
          <w:spacing w:val="0"/>
          <w:w w:val="100"/>
          <w:position w:val="0"/>
        </w:rPr>
        <w:t>、</w:t>
        <w:tab/>
        <w:t>或有事项</w:t>
      </w:r>
      <w:bookmarkEnd w:id="2040"/>
      <w:bookmarkEnd w:id="2041"/>
      <w:bookmarkEnd w:id="2043"/>
    </w:p>
    <w:p>
      <w:pPr>
        <w:pStyle w:val="Style61"/>
        <w:keepNext/>
        <w:keepLines/>
        <w:widowControl w:val="0"/>
        <w:shd w:val="clear" w:color="auto" w:fill="auto"/>
        <w:tabs>
          <w:tab w:pos="483" w:val="left"/>
        </w:tabs>
        <w:bidi w:val="0"/>
        <w:spacing w:before="0" w:after="280" w:line="322" w:lineRule="exact"/>
        <w:ind w:left="0" w:right="0" w:firstLine="0"/>
        <w:jc w:val="left"/>
      </w:pPr>
      <w:bookmarkStart w:id="2044" w:name="bookmark2044"/>
      <w:bookmarkStart w:id="2045" w:name="bookmark2045"/>
      <w:bookmarkStart w:id="2046" w:name="bookmark2046"/>
      <w:bookmarkStart w:id="2047" w:name="bookmark2047"/>
      <w:r>
        <w:rPr>
          <w:color w:val="000000"/>
          <w:spacing w:val="0"/>
          <w:w w:val="100"/>
          <w:position w:val="0"/>
        </w:rPr>
        <w:t>（</w:t>
      </w:r>
      <w:bookmarkEnd w:id="2046"/>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044"/>
      <w:bookmarkEnd w:id="2045"/>
      <w:bookmarkEnd w:id="2047"/>
    </w:p>
    <w:p>
      <w:pPr>
        <w:pStyle w:val="Style18"/>
        <w:keepNext w:val="0"/>
        <w:keepLines w:val="0"/>
        <w:widowControl w:val="0"/>
        <w:shd w:val="clear" w:color="auto" w:fill="auto"/>
        <w:bidi w:val="0"/>
        <w:spacing w:before="0" w:after="280" w:line="322" w:lineRule="exact"/>
        <w:ind w:left="0" w:right="0" w:firstLine="0"/>
        <w:jc w:val="left"/>
      </w:pPr>
      <w:r>
        <w:rPr>
          <w:color w:val="000000"/>
          <w:spacing w:val="0"/>
          <w:w w:val="100"/>
          <w:position w:val="0"/>
        </w:rPr>
        <w:t>本公司关联担保情况见附注十二、</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）。除上述事项外，截至资产负债表日，本公司不存在需要披露 的重要或有事项</w:t>
      </w:r>
    </w:p>
    <w:p>
      <w:pPr>
        <w:pStyle w:val="Style61"/>
        <w:keepNext/>
        <w:keepLines/>
        <w:widowControl w:val="0"/>
        <w:shd w:val="clear" w:color="auto" w:fill="auto"/>
        <w:tabs>
          <w:tab w:pos="483" w:val="left"/>
        </w:tabs>
        <w:bidi w:val="0"/>
        <w:spacing w:before="0" w:line="322" w:lineRule="exact"/>
        <w:ind w:left="0" w:right="0" w:firstLine="0"/>
        <w:jc w:val="left"/>
      </w:pPr>
      <w:bookmarkStart w:id="2048" w:name="bookmark2048"/>
      <w:bookmarkStart w:id="2049" w:name="bookmark2049"/>
      <w:bookmarkStart w:id="2050" w:name="bookmark2050"/>
      <w:bookmarkStart w:id="2051" w:name="bookmark2051"/>
      <w:r>
        <w:rPr>
          <w:color w:val="000000"/>
          <w:spacing w:val="0"/>
          <w:w w:val="100"/>
          <w:position w:val="0"/>
        </w:rPr>
        <w:t>（</w:t>
      </w:r>
      <w:bookmarkEnd w:id="2050"/>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048"/>
      <w:bookmarkEnd w:id="2049"/>
      <w:bookmarkEnd w:id="2051"/>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公司不存在需要披露的重要或有事项。</w:t>
      </w:r>
    </w:p>
    <w:p>
      <w:pPr>
        <w:pStyle w:val="Style33"/>
        <w:keepNext/>
        <w:keepLines/>
        <w:widowControl w:val="0"/>
        <w:shd w:val="clear" w:color="auto" w:fill="auto"/>
        <w:tabs>
          <w:tab w:pos="368" w:val="left"/>
        </w:tabs>
        <w:bidi w:val="0"/>
        <w:spacing w:before="0" w:after="280" w:line="336" w:lineRule="auto"/>
        <w:ind w:left="0" w:right="0" w:firstLine="0"/>
        <w:jc w:val="left"/>
      </w:pPr>
      <w:bookmarkStart w:id="2052" w:name="bookmark2052"/>
      <w:bookmarkStart w:id="2053" w:name="bookmark2053"/>
      <w:bookmarkStart w:id="2054" w:name="bookmark2054"/>
      <w:bookmarkStart w:id="2055" w:name="bookmark2055"/>
      <w:r>
        <w:rPr>
          <w:rFonts w:ascii="Times New Roman" w:eastAsia="Times New Roman" w:hAnsi="Times New Roman" w:cs="Times New Roman"/>
          <w:color w:val="000000"/>
          <w:spacing w:val="0"/>
          <w:w w:val="100"/>
          <w:position w:val="0"/>
        </w:rPr>
        <w:t>3</w:t>
      </w:r>
      <w:bookmarkEnd w:id="2054"/>
      <w:r>
        <w:rPr>
          <w:color w:val="000000"/>
          <w:spacing w:val="0"/>
          <w:w w:val="100"/>
          <w:position w:val="0"/>
        </w:rPr>
        <w:t>、</w:t>
        <w:tab/>
        <w:t>其他</w:t>
      </w:r>
      <w:bookmarkEnd w:id="2052"/>
      <w:bookmarkEnd w:id="2053"/>
      <w:bookmarkEnd w:id="2055"/>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80" w:line="240" w:lineRule="auto"/>
        <w:ind w:left="0" w:right="0" w:firstLine="0"/>
        <w:jc w:val="left"/>
      </w:pPr>
      <w:bookmarkStart w:id="2056" w:name="bookmark2056"/>
      <w:bookmarkStart w:id="2057" w:name="bookmark2057"/>
      <w:bookmarkStart w:id="2058" w:name="bookmark2058"/>
      <w:r>
        <w:rPr>
          <w:color w:val="000000"/>
          <w:spacing w:val="0"/>
          <w:w w:val="100"/>
          <w:position w:val="0"/>
        </w:rPr>
        <w:t>十五、资产负债表日后事项</w:t>
      </w:r>
      <w:bookmarkEnd w:id="2056"/>
      <w:bookmarkEnd w:id="2057"/>
      <w:bookmarkEnd w:id="2058"/>
    </w:p>
    <w:p>
      <w:pPr>
        <w:pStyle w:val="Style33"/>
        <w:keepNext/>
        <w:keepLines/>
        <w:widowControl w:val="0"/>
        <w:shd w:val="clear" w:color="auto" w:fill="auto"/>
        <w:tabs>
          <w:tab w:pos="358" w:val="left"/>
        </w:tabs>
        <w:bidi w:val="0"/>
        <w:spacing w:before="0" w:after="280" w:line="336" w:lineRule="auto"/>
        <w:ind w:left="0" w:right="0" w:firstLine="0"/>
        <w:jc w:val="left"/>
      </w:pPr>
      <w:bookmarkStart w:id="2059" w:name="bookmark2059"/>
      <w:bookmarkStart w:id="2060" w:name="bookmark2060"/>
      <w:bookmarkStart w:id="2061" w:name="bookmark2061"/>
      <w:bookmarkStart w:id="2062" w:name="bookmark2062"/>
      <w:r>
        <w:rPr>
          <w:rFonts w:ascii="Times New Roman" w:eastAsia="Times New Roman" w:hAnsi="Times New Roman" w:cs="Times New Roman"/>
          <w:color w:val="000000"/>
          <w:spacing w:val="0"/>
          <w:w w:val="100"/>
          <w:position w:val="0"/>
        </w:rPr>
        <w:t>1</w:t>
      </w:r>
      <w:bookmarkEnd w:id="2061"/>
      <w:r>
        <w:rPr>
          <w:color w:val="000000"/>
          <w:spacing w:val="0"/>
          <w:w w:val="100"/>
          <w:position w:val="0"/>
        </w:rPr>
        <w:t>、</w:t>
        <w:tab/>
        <w:t>重要的非调整事项</w:t>
      </w:r>
      <w:bookmarkEnd w:id="2059"/>
      <w:bookmarkEnd w:id="2060"/>
      <w:bookmarkEnd w:id="2062"/>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68" w:val="left"/>
        </w:tabs>
        <w:bidi w:val="0"/>
        <w:spacing w:before="0" w:after="280" w:line="336" w:lineRule="auto"/>
        <w:ind w:left="0" w:right="0" w:firstLine="0"/>
        <w:jc w:val="left"/>
      </w:pPr>
      <w:bookmarkStart w:id="2063" w:name="bookmark2063"/>
      <w:bookmarkStart w:id="2064" w:name="bookmark2064"/>
      <w:bookmarkStart w:id="2065" w:name="bookmark2065"/>
      <w:bookmarkStart w:id="2066" w:name="bookmark2066"/>
      <w:r>
        <w:rPr>
          <w:rFonts w:ascii="Times New Roman" w:eastAsia="Times New Roman" w:hAnsi="Times New Roman" w:cs="Times New Roman"/>
          <w:color w:val="000000"/>
          <w:spacing w:val="0"/>
          <w:w w:val="100"/>
          <w:position w:val="0"/>
        </w:rPr>
        <w:t>2</w:t>
      </w:r>
      <w:bookmarkEnd w:id="2065"/>
      <w:r>
        <w:rPr>
          <w:color w:val="000000"/>
          <w:spacing w:val="0"/>
          <w:w w:val="100"/>
          <w:position w:val="0"/>
        </w:rPr>
        <w:t>、</w:t>
        <w:tab/>
        <w:t>利润分配情况</w:t>
      </w:r>
      <w:bookmarkEnd w:id="2063"/>
      <w:bookmarkEnd w:id="2064"/>
      <w:bookmarkEnd w:id="2066"/>
    </w:p>
    <w:p>
      <w:pPr>
        <w:pStyle w:val="Style2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4992"/>
        <w:gridCol w:w="4598"/>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279" w:line="1" w:lineRule="exact"/>
      </w:pPr>
    </w:p>
    <w:p>
      <w:pPr>
        <w:pStyle w:val="Style33"/>
        <w:keepNext/>
        <w:keepLines/>
        <w:widowControl w:val="0"/>
        <w:shd w:val="clear" w:color="auto" w:fill="auto"/>
        <w:tabs>
          <w:tab w:pos="368" w:val="left"/>
        </w:tabs>
        <w:bidi w:val="0"/>
        <w:spacing w:before="0" w:after="380" w:line="240" w:lineRule="auto"/>
        <w:ind w:left="0" w:right="0" w:firstLine="0"/>
        <w:jc w:val="left"/>
      </w:pPr>
      <w:bookmarkStart w:id="2067" w:name="bookmark2067"/>
      <w:bookmarkStart w:id="2068" w:name="bookmark2068"/>
      <w:bookmarkStart w:id="2069" w:name="bookmark2069"/>
      <w:bookmarkStart w:id="2070" w:name="bookmark2070"/>
      <w:r>
        <w:rPr>
          <w:rFonts w:ascii="Times New Roman" w:eastAsia="Times New Roman" w:hAnsi="Times New Roman" w:cs="Times New Roman"/>
          <w:color w:val="000000"/>
          <w:spacing w:val="0"/>
          <w:w w:val="100"/>
          <w:position w:val="0"/>
        </w:rPr>
        <w:t>3</w:t>
      </w:r>
      <w:bookmarkEnd w:id="2069"/>
      <w:r>
        <w:rPr>
          <w:color w:val="000000"/>
          <w:spacing w:val="0"/>
          <w:w w:val="100"/>
          <w:position w:val="0"/>
        </w:rPr>
        <w:t>、</w:t>
        <w:tab/>
        <w:t>销售退回</w:t>
      </w:r>
      <w:bookmarkEnd w:id="2067"/>
      <w:bookmarkEnd w:id="2068"/>
      <w:bookmarkEnd w:id="2070"/>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68" w:val="left"/>
        </w:tabs>
        <w:bidi w:val="0"/>
        <w:spacing w:before="0" w:after="380" w:line="240" w:lineRule="auto"/>
        <w:ind w:left="0" w:right="0" w:firstLine="0"/>
        <w:jc w:val="left"/>
      </w:pPr>
      <w:bookmarkStart w:id="2071" w:name="bookmark2071"/>
      <w:bookmarkStart w:id="2072" w:name="bookmark2072"/>
      <w:bookmarkStart w:id="2073" w:name="bookmark2073"/>
      <w:bookmarkStart w:id="2074" w:name="bookmark2074"/>
      <w:r>
        <w:rPr>
          <w:rFonts w:ascii="Times New Roman" w:eastAsia="Times New Roman" w:hAnsi="Times New Roman" w:cs="Times New Roman"/>
          <w:color w:val="000000"/>
          <w:spacing w:val="0"/>
          <w:w w:val="100"/>
          <w:position w:val="0"/>
        </w:rPr>
        <w:t>4</w:t>
      </w:r>
      <w:bookmarkEnd w:id="2073"/>
      <w:r>
        <w:rPr>
          <w:color w:val="000000"/>
          <w:spacing w:val="0"/>
          <w:w w:val="100"/>
          <w:position w:val="0"/>
        </w:rPr>
        <w:t>、</w:t>
        <w:tab/>
        <w:t>其他资产负债表日后事项说明</w:t>
      </w:r>
      <w:bookmarkEnd w:id="2071"/>
      <w:bookmarkEnd w:id="2072"/>
      <w:bookmarkEnd w:id="2074"/>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80" w:line="240" w:lineRule="auto"/>
        <w:ind w:left="0" w:right="0" w:firstLine="0"/>
        <w:jc w:val="left"/>
      </w:pPr>
      <w:bookmarkStart w:id="2075" w:name="bookmark2075"/>
      <w:bookmarkStart w:id="2076" w:name="bookmark2076"/>
      <w:bookmarkStart w:id="2077" w:name="bookmark2077"/>
      <w:r>
        <w:rPr>
          <w:color w:val="000000"/>
          <w:spacing w:val="0"/>
          <w:w w:val="100"/>
          <w:position w:val="0"/>
        </w:rPr>
        <w:t>十六、其他重要事项</w:t>
      </w:r>
      <w:bookmarkEnd w:id="2075"/>
      <w:bookmarkEnd w:id="2076"/>
      <w:bookmarkEnd w:id="2077"/>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2078" w:name="bookmark2078"/>
      <w:bookmarkStart w:id="2079" w:name="bookmark2079"/>
      <w:bookmarkStart w:id="2080" w:name="bookmark2080"/>
      <w:r>
        <w:rPr>
          <w:rFonts w:ascii="Times New Roman" w:eastAsia="Times New Roman" w:hAnsi="Times New Roman" w:cs="Times New Roman"/>
          <w:color w:val="000000"/>
          <w:spacing w:val="0"/>
          <w:w w:val="100"/>
          <w:position w:val="0"/>
        </w:rPr>
        <w:t>2</w:t>
      </w:r>
      <w:r>
        <w:rPr>
          <w:color w:val="000000"/>
          <w:spacing w:val="0"/>
          <w:w w:val="100"/>
          <w:position w:val="0"/>
        </w:rPr>
        <w:t>、债务重组</w:t>
      </w:r>
      <w:bookmarkEnd w:id="2078"/>
      <w:bookmarkEnd w:id="2079"/>
      <w:bookmarkEnd w:id="2080"/>
    </w:p>
    <w:p>
      <w:pPr>
        <w:pStyle w:val="Style33"/>
        <w:keepNext/>
        <w:keepLines/>
        <w:widowControl w:val="0"/>
        <w:shd w:val="clear" w:color="auto" w:fill="auto"/>
        <w:tabs>
          <w:tab w:pos="368" w:val="left"/>
        </w:tabs>
        <w:bidi w:val="0"/>
        <w:spacing w:before="0" w:after="380" w:line="326" w:lineRule="exact"/>
        <w:ind w:left="0" w:right="0" w:firstLine="0"/>
        <w:jc w:val="left"/>
      </w:pPr>
      <w:bookmarkStart w:id="2081" w:name="bookmark2081"/>
      <w:bookmarkStart w:id="2082" w:name="bookmark2082"/>
      <w:bookmarkStart w:id="2083" w:name="bookmark2083"/>
      <w:bookmarkStart w:id="2084" w:name="bookmark2084"/>
      <w:r>
        <w:rPr>
          <w:rFonts w:ascii="Times New Roman" w:eastAsia="Times New Roman" w:hAnsi="Times New Roman" w:cs="Times New Roman"/>
          <w:color w:val="000000"/>
          <w:spacing w:val="0"/>
          <w:w w:val="100"/>
          <w:position w:val="0"/>
        </w:rPr>
        <w:t>3</w:t>
      </w:r>
      <w:bookmarkEnd w:id="2083"/>
      <w:r>
        <w:rPr>
          <w:color w:val="000000"/>
          <w:spacing w:val="0"/>
          <w:w w:val="100"/>
          <w:position w:val="0"/>
        </w:rPr>
        <w:t>、</w:t>
        <w:tab/>
        <w:t>资产置换</w:t>
      </w:r>
      <w:bookmarkEnd w:id="2081"/>
      <w:bookmarkEnd w:id="2082"/>
      <w:bookmarkEnd w:id="2084"/>
    </w:p>
    <w:p>
      <w:pPr>
        <w:pStyle w:val="Style29"/>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68" w:val="left"/>
        </w:tabs>
        <w:bidi w:val="0"/>
        <w:spacing w:before="0" w:after="380" w:line="326" w:lineRule="exact"/>
        <w:ind w:left="0" w:right="0" w:firstLine="0"/>
        <w:jc w:val="left"/>
      </w:pPr>
      <w:bookmarkStart w:id="2085" w:name="bookmark2085"/>
      <w:bookmarkStart w:id="2086" w:name="bookmark2086"/>
      <w:bookmarkStart w:id="2087" w:name="bookmark2087"/>
      <w:bookmarkStart w:id="2088" w:name="bookmark2088"/>
      <w:r>
        <w:rPr>
          <w:rFonts w:ascii="Times New Roman" w:eastAsia="Times New Roman" w:hAnsi="Times New Roman" w:cs="Times New Roman"/>
          <w:color w:val="000000"/>
          <w:spacing w:val="0"/>
          <w:w w:val="100"/>
          <w:position w:val="0"/>
        </w:rPr>
        <w:t>4</w:t>
      </w:r>
      <w:bookmarkEnd w:id="2087"/>
      <w:r>
        <w:rPr>
          <w:color w:val="000000"/>
          <w:spacing w:val="0"/>
          <w:w w:val="100"/>
          <w:position w:val="0"/>
        </w:rPr>
        <w:t>、</w:t>
        <w:tab/>
        <w:t>年金计划</w:t>
      </w:r>
      <w:bookmarkEnd w:id="2085"/>
      <w:bookmarkEnd w:id="2086"/>
      <w:bookmarkEnd w:id="2088"/>
    </w:p>
    <w:p>
      <w:pPr>
        <w:pStyle w:val="Style29"/>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68" w:val="left"/>
        </w:tabs>
        <w:bidi w:val="0"/>
        <w:spacing w:before="0" w:after="380" w:line="326" w:lineRule="exact"/>
        <w:ind w:left="0" w:right="0" w:firstLine="0"/>
        <w:jc w:val="left"/>
      </w:pPr>
      <w:bookmarkStart w:id="2089" w:name="bookmark2089"/>
      <w:bookmarkStart w:id="2090" w:name="bookmark2090"/>
      <w:bookmarkStart w:id="2091" w:name="bookmark2091"/>
      <w:bookmarkStart w:id="2092" w:name="bookmark2092"/>
      <w:r>
        <w:rPr>
          <w:rFonts w:ascii="Times New Roman" w:eastAsia="Times New Roman" w:hAnsi="Times New Roman" w:cs="Times New Roman"/>
          <w:color w:val="000000"/>
          <w:spacing w:val="0"/>
          <w:w w:val="100"/>
          <w:position w:val="0"/>
        </w:rPr>
        <w:t>5</w:t>
      </w:r>
      <w:bookmarkEnd w:id="2091"/>
      <w:r>
        <w:rPr>
          <w:color w:val="000000"/>
          <w:spacing w:val="0"/>
          <w:w w:val="100"/>
          <w:position w:val="0"/>
        </w:rPr>
        <w:t>、</w:t>
        <w:tab/>
        <w:t>终止经营</w:t>
      </w:r>
      <w:bookmarkEnd w:id="2089"/>
      <w:bookmarkEnd w:id="2090"/>
      <w:bookmarkEnd w:id="2092"/>
    </w:p>
    <w:p>
      <w:pPr>
        <w:pStyle w:val="Style29"/>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68" w:val="left"/>
        </w:tabs>
        <w:bidi w:val="0"/>
        <w:spacing w:before="0" w:after="380" w:line="326" w:lineRule="exact"/>
        <w:ind w:left="0" w:right="0" w:firstLine="0"/>
        <w:jc w:val="left"/>
      </w:pPr>
      <w:bookmarkStart w:id="2093" w:name="bookmark2093"/>
      <w:bookmarkStart w:id="2094" w:name="bookmark2094"/>
      <w:bookmarkStart w:id="2095" w:name="bookmark2095"/>
      <w:bookmarkStart w:id="2096" w:name="bookmark2096"/>
      <w:r>
        <w:rPr>
          <w:rFonts w:ascii="Times New Roman" w:eastAsia="Times New Roman" w:hAnsi="Times New Roman" w:cs="Times New Roman"/>
          <w:color w:val="000000"/>
          <w:spacing w:val="0"/>
          <w:w w:val="100"/>
          <w:position w:val="0"/>
        </w:rPr>
        <w:t>6</w:t>
      </w:r>
      <w:bookmarkEnd w:id="2095"/>
      <w:r>
        <w:rPr>
          <w:color w:val="000000"/>
          <w:spacing w:val="0"/>
          <w:w w:val="100"/>
          <w:position w:val="0"/>
        </w:rPr>
        <w:t>、</w:t>
        <w:tab/>
        <w:t>分部信息</w:t>
      </w:r>
      <w:bookmarkEnd w:id="2093"/>
      <w:bookmarkEnd w:id="2094"/>
      <w:bookmarkEnd w:id="2096"/>
    </w:p>
    <w:p>
      <w:pPr>
        <w:pStyle w:val="Style29"/>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63" w:val="left"/>
        </w:tabs>
        <w:bidi w:val="0"/>
        <w:spacing w:before="0" w:after="380" w:line="326" w:lineRule="exact"/>
        <w:ind w:left="0" w:right="0" w:firstLine="0"/>
        <w:jc w:val="left"/>
      </w:pPr>
      <w:bookmarkStart w:id="2097" w:name="bookmark2097"/>
      <w:bookmarkStart w:id="2098" w:name="bookmark2098"/>
      <w:bookmarkStart w:id="2099" w:name="bookmark2099"/>
      <w:bookmarkStart w:id="2100" w:name="bookmark2100"/>
      <w:r>
        <w:rPr>
          <w:rFonts w:ascii="Times New Roman" w:eastAsia="Times New Roman" w:hAnsi="Times New Roman" w:cs="Times New Roman"/>
          <w:color w:val="000000"/>
          <w:spacing w:val="0"/>
          <w:w w:val="100"/>
          <w:position w:val="0"/>
        </w:rPr>
        <w:t>7</w:t>
      </w:r>
      <w:bookmarkEnd w:id="2099"/>
      <w:r>
        <w:rPr>
          <w:color w:val="000000"/>
          <w:spacing w:val="0"/>
          <w:w w:val="100"/>
          <w:position w:val="0"/>
        </w:rPr>
        <w:t>、</w:t>
        <w:tab/>
        <w:t>其他对投资者决策有影响的重要交易和事项</w:t>
      </w:r>
      <w:bookmarkEnd w:id="2097"/>
      <w:bookmarkEnd w:id="2098"/>
      <w:bookmarkEnd w:id="2100"/>
    </w:p>
    <w:p>
      <w:pPr>
        <w:pStyle w:val="Style29"/>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68" w:val="left"/>
        </w:tabs>
        <w:bidi w:val="0"/>
        <w:spacing w:before="0" w:after="280" w:line="326" w:lineRule="exact"/>
        <w:ind w:left="0" w:right="0" w:firstLine="0"/>
        <w:jc w:val="left"/>
      </w:pPr>
      <w:bookmarkStart w:id="2101" w:name="bookmark2101"/>
      <w:bookmarkStart w:id="2102" w:name="bookmark2102"/>
      <w:bookmarkStart w:id="2103" w:name="bookmark2103"/>
      <w:bookmarkStart w:id="2104" w:name="bookmark2104"/>
      <w:r>
        <w:rPr>
          <w:rFonts w:ascii="Times New Roman" w:eastAsia="Times New Roman" w:hAnsi="Times New Roman" w:cs="Times New Roman"/>
          <w:color w:val="000000"/>
          <w:spacing w:val="0"/>
          <w:w w:val="100"/>
          <w:position w:val="0"/>
        </w:rPr>
        <w:t>8</w:t>
      </w:r>
      <w:bookmarkEnd w:id="2103"/>
      <w:r>
        <w:rPr>
          <w:color w:val="000000"/>
          <w:spacing w:val="0"/>
          <w:w w:val="100"/>
          <w:position w:val="0"/>
        </w:rPr>
        <w:t>、</w:t>
        <w:tab/>
        <w:t>其他</w:t>
      </w:r>
      <w:bookmarkEnd w:id="2101"/>
      <w:bookmarkEnd w:id="2102"/>
      <w:bookmarkEnd w:id="2104"/>
    </w:p>
    <w:p>
      <w:pPr>
        <w:pStyle w:val="Style18"/>
        <w:keepNext w:val="0"/>
        <w:keepLines w:val="0"/>
        <w:widowControl w:val="0"/>
        <w:shd w:val="clear" w:color="auto" w:fill="auto"/>
        <w:bidi w:val="0"/>
        <w:spacing w:before="0" w:after="0" w:line="326"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日，公司召开了第七届董事会</w:t>
      </w:r>
      <w:r>
        <w:rPr>
          <w:rFonts w:ascii="Times New Roman" w:eastAsia="Times New Roman" w:hAnsi="Times New Roman" w:cs="Times New Roman"/>
          <w:color w:val="000000"/>
          <w:spacing w:val="0"/>
          <w:w w:val="100"/>
          <w:position w:val="0"/>
        </w:rPr>
        <w:t>2021</w:t>
      </w:r>
      <w:r>
        <w:rPr>
          <w:color w:val="000000"/>
          <w:spacing w:val="0"/>
          <w:w w:val="100"/>
          <w:position w:val="0"/>
        </w:rPr>
        <w:t>年第七次临时会议、第七届监事会</w:t>
      </w:r>
      <w:r>
        <w:rPr>
          <w:rFonts w:ascii="Times New Roman" w:eastAsia="Times New Roman" w:hAnsi="Times New Roman" w:cs="Times New Roman"/>
          <w:color w:val="000000"/>
          <w:spacing w:val="0"/>
          <w:w w:val="100"/>
          <w:position w:val="0"/>
        </w:rPr>
        <w:t>2021</w:t>
      </w:r>
      <w:r>
        <w:rPr>
          <w:color w:val="000000"/>
          <w:spacing w:val="0"/>
          <w:w w:val="100"/>
          <w:position w:val="0"/>
        </w:rPr>
        <w:t>年第六次 临时会议，审议通过了《关于公司符合向特定对象发行股票条件的议案》等相关议案。</w:t>
      </w:r>
    </w:p>
    <w:p>
      <w:pPr>
        <w:pStyle w:val="Style18"/>
        <w:keepNext w:val="0"/>
        <w:keepLines w:val="0"/>
        <w:widowControl w:val="0"/>
        <w:shd w:val="clear" w:color="auto" w:fill="auto"/>
        <w:bidi w:val="0"/>
        <w:spacing w:before="0" w:after="0" w:line="331"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日，公司召开了</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年第二次临时股东大会，审议通过了《关于公司符合向特定对象发 行股票条件的议案》等相关议案。</w:t>
      </w:r>
    </w:p>
    <w:p>
      <w:pPr>
        <w:pStyle w:val="Style18"/>
        <w:keepNext w:val="0"/>
        <w:keepLines w:val="0"/>
        <w:widowControl w:val="0"/>
        <w:shd w:val="clear" w:color="auto" w:fill="auto"/>
        <w:tabs>
          <w:tab w:pos="4054" w:val="left"/>
        </w:tabs>
        <w:bidi w:val="0"/>
        <w:spacing w:before="0" w:after="0" w:line="317"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日，公司收到深圳证券交易所出具的《关于受理万达信息股份有限公司向特定对象发行 股票申请文件的通知》（深证上审〔</w:t>
      </w:r>
      <w:r>
        <w:rPr>
          <w:rFonts w:ascii="Times New Roman" w:eastAsia="Times New Roman" w:hAnsi="Times New Roman" w:cs="Times New Roman"/>
          <w:color w:val="000000"/>
          <w:spacing w:val="0"/>
          <w:w w:val="100"/>
          <w:position w:val="0"/>
        </w:rPr>
        <w:t>2021</w:t>
      </w:r>
      <w:r>
        <w:rPr>
          <w:color w:val="000000"/>
          <w:spacing w:val="0"/>
          <w:w w:val="100"/>
          <w:position w:val="0"/>
        </w:rPr>
        <w:t>）</w:t>
        <w:tab/>
      </w:r>
      <w:r>
        <w:rPr>
          <w:rFonts w:ascii="Times New Roman" w:eastAsia="Times New Roman" w:hAnsi="Times New Roman" w:cs="Times New Roman"/>
          <w:color w:val="000000"/>
          <w:spacing w:val="0"/>
          <w:w w:val="100"/>
          <w:position w:val="0"/>
        </w:rPr>
        <w:t>404</w:t>
      </w:r>
      <w:r>
        <w:rPr>
          <w:color w:val="000000"/>
          <w:spacing w:val="0"/>
          <w:w w:val="100"/>
          <w:position w:val="0"/>
        </w:rPr>
        <w:t>号）。</w:t>
      </w:r>
    </w:p>
    <w:p>
      <w:pPr>
        <w:pStyle w:val="Style18"/>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截止报告日，该定增事项尚在进行中。</w:t>
      </w:r>
    </w:p>
    <w:p>
      <w:pPr>
        <w:pStyle w:val="Style24"/>
        <w:keepNext/>
        <w:keepLines/>
        <w:widowControl w:val="0"/>
        <w:shd w:val="clear" w:color="auto" w:fill="auto"/>
        <w:bidi w:val="0"/>
        <w:spacing w:before="0" w:after="280" w:line="240" w:lineRule="auto"/>
        <w:ind w:left="0" w:right="0" w:firstLine="0"/>
        <w:jc w:val="left"/>
      </w:pPr>
      <w:bookmarkStart w:id="2105" w:name="bookmark2105"/>
      <w:bookmarkStart w:id="2106" w:name="bookmark2106"/>
      <w:bookmarkStart w:id="2107" w:name="bookmark2107"/>
      <w:r>
        <w:rPr>
          <w:color w:val="000000"/>
          <w:spacing w:val="0"/>
          <w:w w:val="100"/>
          <w:position w:val="0"/>
        </w:rPr>
        <w:t>十七、母公司财务报表主要项目注释</w:t>
      </w:r>
      <w:bookmarkEnd w:id="2105"/>
      <w:bookmarkEnd w:id="2106"/>
      <w:bookmarkEnd w:id="2107"/>
    </w:p>
    <w:p>
      <w:pPr>
        <w:pStyle w:val="Style33"/>
        <w:keepNext/>
        <w:keepLines/>
        <w:widowControl w:val="0"/>
        <w:shd w:val="clear" w:color="auto" w:fill="auto"/>
        <w:bidi w:val="0"/>
        <w:spacing w:before="0" w:after="280" w:line="326" w:lineRule="exact"/>
        <w:ind w:left="0" w:right="0" w:firstLine="0"/>
        <w:jc w:val="left"/>
      </w:pPr>
      <w:bookmarkStart w:id="2108" w:name="bookmark2108"/>
      <w:bookmarkStart w:id="2109" w:name="bookmark2109"/>
      <w:bookmarkStart w:id="2110" w:name="bookmark2110"/>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108"/>
      <w:bookmarkEnd w:id="2109"/>
      <w:bookmarkEnd w:id="2110"/>
    </w:p>
    <w:p>
      <w:pPr>
        <w:pStyle w:val="Style61"/>
        <w:keepNext/>
        <w:keepLines/>
        <w:widowControl w:val="0"/>
        <w:shd w:val="clear" w:color="auto" w:fill="auto"/>
        <w:bidi w:val="0"/>
        <w:spacing w:before="0" w:line="326" w:lineRule="exact"/>
        <w:ind w:left="0" w:right="0" w:firstLine="0"/>
        <w:jc w:val="left"/>
      </w:pPr>
      <w:bookmarkStart w:id="2111" w:name="bookmark2111"/>
      <w:bookmarkStart w:id="2112" w:name="bookmark2112"/>
      <w:bookmarkStart w:id="2113" w:name="bookmark21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111"/>
      <w:bookmarkEnd w:id="2112"/>
      <w:bookmarkEnd w:id="2113"/>
    </w:p>
    <w:p>
      <w:pPr>
        <w:pStyle w:val="Style2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646"/>
        <w:gridCol w:w="763"/>
        <w:gridCol w:w="758"/>
        <w:gridCol w:w="768"/>
        <w:gridCol w:w="763"/>
        <w:gridCol w:w="792"/>
        <w:gridCol w:w="778"/>
        <w:gridCol w:w="792"/>
        <w:gridCol w:w="802"/>
        <w:gridCol w:w="797"/>
        <w:gridCol w:w="931"/>
      </w:tblGrid>
      <w:tr>
        <w:trPr>
          <w:trHeight w:val="41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2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4D4D4"/>
            <w:vAlign w:val="center"/>
          </w:tcPr>
          <w:p>
            <w:pP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按单项计提坏账准 备的应收账款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42"/>
        <w:gridCol w:w="768"/>
        <w:gridCol w:w="758"/>
        <w:gridCol w:w="768"/>
        <w:gridCol w:w="758"/>
        <w:gridCol w:w="792"/>
        <w:gridCol w:w="782"/>
        <w:gridCol w:w="792"/>
        <w:gridCol w:w="802"/>
        <w:gridCol w:w="797"/>
        <w:gridCol w:w="931"/>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06"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4D4D4"/>
            <w:vAlign w:val="center"/>
          </w:tcPr>
          <w:p>
            <w:pPr/>
          </w:p>
        </w:tc>
      </w:tr>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839,171,</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721.04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121,130,</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886.41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718,040,8</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816,886,1</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107,188,1</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709,698,04 </w:t>
            </w:r>
            <w:r>
              <w:rPr>
                <w:rFonts w:ascii="Times New Roman" w:eastAsia="Times New Roman" w:hAnsi="Times New Roman" w:cs="Times New Roman"/>
                <w:color w:val="000000"/>
                <w:spacing w:val="0"/>
                <w:w w:val="100"/>
                <w:position w:val="0"/>
                <w:sz w:val="18"/>
                <w:szCs w:val="18"/>
              </w:rPr>
              <w:t>2.91</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合并范围内关联方</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247,339,</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838.12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247,339,8</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164,256,1</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164,256,10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591,831,</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882.92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121,130,</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886.41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470,700,9</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652,630,0</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107,188,1</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545,441,94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r>
      <w:tr>
        <w:trPr>
          <w:trHeight w:val="71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839,171,</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721.04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121,130,</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886.41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718,040,8</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817,886,1</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73.57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108,188,1</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709,698,04 2.91</w:t>
            </w: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w:t>
      </w:r>
    </w:p>
    <w:p>
      <w:pPr>
        <w:widowControl w:val="0"/>
        <w:spacing w:after="139" w:line="1" w:lineRule="exact"/>
      </w:pP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41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合并范围内关联方组合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247,339,838.12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591,831,882.92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121,130,886.41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839,171,721.04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121,130,886.41</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按账龄披露</w:t>
      </w:r>
    </w:p>
    <w:p>
      <w:pPr>
        <w:widowControl w:val="0"/>
        <w:spacing w:after="139" w:line="1" w:lineRule="exact"/>
      </w:pP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79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293,435,787.89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个月及以内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225,124,609.04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68,311,178.85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235,570,226.60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132,743,555.43</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177,422,151.12</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68,948,045.54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22299,480.92</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86,174,624.66</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839,171,721.04</w:t>
            </w:r>
          </w:p>
        </w:tc>
      </w:tr>
    </w:tbl>
    <w:p>
      <w:pPr>
        <w:spacing w:lineRule="exact" w:line="1"/>
        <w:rPr>
          <w:sz w:val="2"/>
          <w:szCs w:val="2"/>
        </w:rPr>
      </w:pPr>
      <w:r>
        <w:br w:type="page"/>
      </w:r>
    </w:p>
    <w:p>
      <w:pPr>
        <w:pStyle w:val="Style61"/>
        <w:keepNext/>
        <w:keepLines/>
        <w:widowControl w:val="0"/>
        <w:shd w:val="clear" w:color="auto" w:fill="auto"/>
        <w:bidi w:val="0"/>
        <w:spacing w:before="0" w:line="240" w:lineRule="auto"/>
        <w:ind w:left="0" w:right="0" w:firstLine="0"/>
        <w:jc w:val="left"/>
      </w:pPr>
      <w:bookmarkStart w:id="2114" w:name="bookmark2114"/>
      <w:bookmarkStart w:id="2115" w:name="bookmark2115"/>
      <w:bookmarkStart w:id="2116" w:name="bookmark211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14"/>
      <w:bookmarkEnd w:id="2115"/>
      <w:bookmarkEnd w:id="2116"/>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378"/>
        <w:gridCol w:w="1368"/>
        <w:gridCol w:w="1373"/>
        <w:gridCol w:w="1368"/>
        <w:gridCol w:w="1368"/>
        <w:gridCol w:w="1373"/>
        <w:gridCol w:w="137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期末余额</w:t>
            </w:r>
          </w:p>
        </w:tc>
      </w:tr>
      <w:tr>
        <w:trPr>
          <w:trHeight w:val="40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4D4D4"/>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按单项计提坏账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按组合计提坏账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107,188,130.66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13,942,755.75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121,130,886.41</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108,188,130.66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13,942,755.75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121,130,886.41</w:t>
            </w:r>
          </w:p>
        </w:tc>
      </w:tr>
    </w:tbl>
    <w:p>
      <w:pPr>
        <w:widowControl w:val="0"/>
        <w:spacing w:after="319" w:line="1" w:lineRule="exact"/>
      </w:pPr>
    </w:p>
    <w:p>
      <w:pPr>
        <w:pStyle w:val="Style61"/>
        <w:keepNext/>
        <w:keepLines/>
        <w:widowControl w:val="0"/>
        <w:shd w:val="clear" w:color="auto" w:fill="auto"/>
        <w:tabs>
          <w:tab w:pos="483" w:val="left"/>
        </w:tabs>
        <w:bidi w:val="0"/>
        <w:spacing w:before="0" w:line="240" w:lineRule="auto"/>
        <w:ind w:left="0" w:right="0" w:firstLine="0"/>
        <w:jc w:val="left"/>
      </w:pPr>
      <w:bookmarkStart w:id="2117" w:name="bookmark2117"/>
      <w:bookmarkStart w:id="2118" w:name="bookmark2118"/>
      <w:bookmarkStart w:id="2119" w:name="bookmark2119"/>
      <w:bookmarkStart w:id="2120" w:name="bookmark2120"/>
      <w:r>
        <w:rPr>
          <w:color w:val="000000"/>
          <w:spacing w:val="0"/>
          <w:w w:val="100"/>
          <w:position w:val="0"/>
        </w:rPr>
        <w:t>（</w:t>
      </w:r>
      <w:bookmarkEnd w:id="2119"/>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2117"/>
      <w:bookmarkEnd w:id="2118"/>
      <w:bookmarkEnd w:id="2120"/>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61"/>
        <w:keepNext/>
        <w:keepLines/>
        <w:widowControl w:val="0"/>
        <w:shd w:val="clear" w:color="auto" w:fill="auto"/>
        <w:tabs>
          <w:tab w:pos="483" w:val="left"/>
        </w:tabs>
        <w:bidi w:val="0"/>
        <w:spacing w:before="0" w:line="240" w:lineRule="auto"/>
        <w:ind w:left="0" w:right="0" w:firstLine="0"/>
        <w:jc w:val="left"/>
      </w:pPr>
      <w:bookmarkStart w:id="2121" w:name="bookmark2121"/>
      <w:bookmarkStart w:id="2122" w:name="bookmark2122"/>
      <w:bookmarkStart w:id="2123" w:name="bookmark2123"/>
      <w:bookmarkStart w:id="2124" w:name="bookmark2124"/>
      <w:r>
        <w:rPr>
          <w:color w:val="000000"/>
          <w:spacing w:val="0"/>
          <w:w w:val="100"/>
          <w:position w:val="0"/>
        </w:rPr>
        <w:t>（</w:t>
      </w:r>
      <w:bookmarkEnd w:id="2123"/>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2121"/>
      <w:bookmarkEnd w:id="2122"/>
      <w:bookmarkEnd w:id="2124"/>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5"/>
        <w:gridCol w:w="2390"/>
        <w:gridCol w:w="2395"/>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应收账款期末余额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占应收账款期末余额合计数 的比例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坏账准备期末余额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上海万达信息系统有限公司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100,635,811.51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上海市卫生健康委员会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44,722,090.77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43,694,440.22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蛮牛健康管理服务有限公司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42,496,313.04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宁波金唐软件有限公司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37,724,710.89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上海申康医院发展中心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26,535,718.00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126,500.00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252,114,644.21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30.04%</w:t>
            </w: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319" w:line="1" w:lineRule="exact"/>
      </w:pPr>
    </w:p>
    <w:p>
      <w:pPr>
        <w:pStyle w:val="Style61"/>
        <w:keepNext/>
        <w:keepLines/>
        <w:widowControl w:val="0"/>
        <w:shd w:val="clear" w:color="auto" w:fill="auto"/>
        <w:tabs>
          <w:tab w:pos="483" w:val="left"/>
        </w:tabs>
        <w:bidi w:val="0"/>
        <w:spacing w:before="0" w:line="240" w:lineRule="auto"/>
        <w:ind w:left="0" w:right="0" w:firstLine="0"/>
        <w:jc w:val="left"/>
      </w:pPr>
      <w:bookmarkStart w:id="2125" w:name="bookmark2125"/>
      <w:bookmarkStart w:id="2126" w:name="bookmark2126"/>
      <w:bookmarkStart w:id="2127" w:name="bookmark2127"/>
      <w:bookmarkStart w:id="2128" w:name="bookmark2128"/>
      <w:r>
        <w:rPr>
          <w:color w:val="000000"/>
          <w:spacing w:val="0"/>
          <w:w w:val="100"/>
          <w:position w:val="0"/>
        </w:rPr>
        <w:t>（</w:t>
      </w:r>
      <w:bookmarkEnd w:id="2127"/>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125"/>
      <w:bookmarkEnd w:id="2126"/>
      <w:bookmarkEnd w:id="2128"/>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61"/>
        <w:keepNext/>
        <w:keepLines/>
        <w:widowControl w:val="0"/>
        <w:shd w:val="clear" w:color="auto" w:fill="auto"/>
        <w:tabs>
          <w:tab w:pos="483" w:val="left"/>
        </w:tabs>
        <w:bidi w:val="0"/>
        <w:spacing w:before="0" w:line="240" w:lineRule="auto"/>
        <w:ind w:left="0" w:right="0" w:firstLine="0"/>
        <w:jc w:val="left"/>
      </w:pPr>
      <w:bookmarkStart w:id="2129" w:name="bookmark2129"/>
      <w:bookmarkStart w:id="2130" w:name="bookmark2130"/>
      <w:bookmarkStart w:id="2131" w:name="bookmark2131"/>
      <w:bookmarkStart w:id="2132" w:name="bookmark2132"/>
      <w:r>
        <w:rPr>
          <w:color w:val="000000"/>
          <w:spacing w:val="0"/>
          <w:w w:val="100"/>
          <w:position w:val="0"/>
        </w:rPr>
        <w:t>（</w:t>
      </w:r>
      <w:bookmarkEnd w:id="2131"/>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129"/>
      <w:bookmarkEnd w:id="2130"/>
      <w:bookmarkEnd w:id="2132"/>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2133" w:name="bookmark2133"/>
      <w:bookmarkStart w:id="2134" w:name="bookmark2134"/>
      <w:bookmarkStart w:id="2135" w:name="bookmark2135"/>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133"/>
      <w:bookmarkEnd w:id="2134"/>
      <w:bookmarkEnd w:id="2135"/>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line="1" w:lineRule="exact"/>
      </w:pP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93,000,000.00</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837,428,124.49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696,823,900.06</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837,428,124.49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789,823,900.06</w:t>
            </w:r>
          </w:p>
        </w:tc>
      </w:tr>
    </w:tbl>
    <w:p>
      <w:pPr>
        <w:widowControl w:val="0"/>
        <w:spacing w:after="359" w:line="1" w:lineRule="exact"/>
      </w:pPr>
    </w:p>
    <w:p>
      <w:pPr>
        <w:pStyle w:val="Style61"/>
        <w:keepNext/>
        <w:keepLines/>
        <w:widowControl w:val="0"/>
        <w:shd w:val="clear" w:color="auto" w:fill="auto"/>
        <w:tabs>
          <w:tab w:pos="483" w:val="left"/>
        </w:tabs>
        <w:bidi w:val="0"/>
        <w:spacing w:before="0" w:after="400" w:line="240" w:lineRule="auto"/>
        <w:ind w:left="0" w:right="0" w:firstLine="0"/>
        <w:jc w:val="left"/>
      </w:pPr>
      <w:bookmarkStart w:id="2136" w:name="bookmark2136"/>
      <w:bookmarkStart w:id="2137" w:name="bookmark2137"/>
      <w:bookmarkStart w:id="2138" w:name="bookmark2138"/>
      <w:bookmarkStart w:id="2139" w:name="bookmark2139"/>
      <w:r>
        <w:rPr>
          <w:color w:val="000000"/>
          <w:spacing w:val="0"/>
          <w:w w:val="100"/>
          <w:position w:val="0"/>
        </w:rPr>
        <w:t>（</w:t>
      </w:r>
      <w:bookmarkEnd w:id="2138"/>
      <w:r>
        <w:rPr>
          <w:rFonts w:ascii="Times New Roman" w:eastAsia="Times New Roman" w:hAnsi="Times New Roman" w:cs="Times New Roman"/>
          <w:color w:val="000000"/>
          <w:spacing w:val="0"/>
          <w:w w:val="100"/>
          <w:position w:val="0"/>
        </w:rPr>
        <w:t>1</w:t>
      </w:r>
      <w:r>
        <w:rPr>
          <w:color w:val="000000"/>
          <w:spacing w:val="0"/>
          <w:w w:val="100"/>
          <w:position w:val="0"/>
        </w:rPr>
        <w:t>）</w:t>
        <w:tab/>
        <w:t>应收利息</w:t>
      </w:r>
      <w:bookmarkEnd w:id="2136"/>
      <w:bookmarkEnd w:id="2137"/>
      <w:bookmarkEnd w:id="2139"/>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61"/>
        <w:keepNext/>
        <w:keepLines/>
        <w:widowControl w:val="0"/>
        <w:shd w:val="clear" w:color="auto" w:fill="auto"/>
        <w:tabs>
          <w:tab w:pos="483" w:val="left"/>
        </w:tabs>
        <w:bidi w:val="0"/>
        <w:spacing w:before="0" w:after="360" w:line="240" w:lineRule="auto"/>
        <w:ind w:left="0" w:right="0" w:firstLine="0"/>
        <w:jc w:val="left"/>
      </w:pPr>
      <w:bookmarkStart w:id="2140" w:name="bookmark2140"/>
      <w:bookmarkStart w:id="2141" w:name="bookmark2141"/>
      <w:bookmarkStart w:id="2142" w:name="bookmark2142"/>
      <w:bookmarkStart w:id="2143" w:name="bookmark2143"/>
      <w:r>
        <w:rPr>
          <w:color w:val="000000"/>
          <w:spacing w:val="0"/>
          <w:w w:val="100"/>
          <w:position w:val="0"/>
        </w:rPr>
        <w:t>（</w:t>
      </w:r>
      <w:bookmarkEnd w:id="2142"/>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2140"/>
      <w:bookmarkEnd w:id="2141"/>
      <w:bookmarkEnd w:id="2143"/>
    </w:p>
    <w:p>
      <w:pPr>
        <w:pStyle w:val="Style92"/>
        <w:keepNext/>
        <w:keepLines/>
        <w:widowControl w:val="0"/>
        <w:shd w:val="clear" w:color="auto" w:fill="auto"/>
        <w:bidi w:val="0"/>
        <w:spacing w:before="0" w:after="400" w:line="240" w:lineRule="auto"/>
        <w:ind w:left="0" w:right="0" w:firstLine="0"/>
        <w:jc w:val="left"/>
      </w:pPr>
      <w:bookmarkStart w:id="2144" w:name="bookmark2144"/>
      <w:bookmarkStart w:id="2145" w:name="bookmark2145"/>
      <w:bookmarkStart w:id="2146" w:name="bookmark2146"/>
      <w:bookmarkStart w:id="2147" w:name="bookmark2147"/>
      <w:r>
        <w:rPr>
          <w:rFonts w:ascii="Times New Roman" w:eastAsia="Times New Roman" w:hAnsi="Times New Roman" w:cs="Times New Roman"/>
          <w:color w:val="000000"/>
          <w:spacing w:val="0"/>
          <w:w w:val="100"/>
          <w:position w:val="0"/>
        </w:rPr>
        <w:t>1</w:t>
      </w:r>
      <w:bookmarkEnd w:id="2146"/>
      <w:r>
        <w:rPr>
          <w:color w:val="000000"/>
          <w:spacing w:val="0"/>
          <w:w w:val="100"/>
          <w:position w:val="0"/>
        </w:rPr>
        <w:t>）应收股利分类</w:t>
      </w:r>
      <w:bookmarkEnd w:id="2144"/>
      <w:bookmarkEnd w:id="2145"/>
      <w:bookmarkEnd w:id="214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四川浩特通信有限公司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93,000,000.00</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93,000,000.00</w:t>
            </w:r>
          </w:p>
        </w:tc>
      </w:tr>
    </w:tbl>
    <w:p>
      <w:pPr>
        <w:widowControl w:val="0"/>
        <w:spacing w:after="359" w:line="1" w:lineRule="exact"/>
      </w:pPr>
    </w:p>
    <w:p>
      <w:pPr>
        <w:pStyle w:val="Style92"/>
        <w:keepNext/>
        <w:keepLines/>
        <w:widowControl w:val="0"/>
        <w:shd w:val="clear" w:color="auto" w:fill="auto"/>
        <w:tabs>
          <w:tab w:pos="387" w:val="left"/>
        </w:tabs>
        <w:bidi w:val="0"/>
        <w:spacing w:before="0" w:after="400" w:line="240" w:lineRule="auto"/>
        <w:ind w:left="0" w:right="0" w:firstLine="0"/>
        <w:jc w:val="left"/>
      </w:pPr>
      <w:bookmarkStart w:id="2148" w:name="bookmark2148"/>
      <w:bookmarkStart w:id="2149" w:name="bookmark2149"/>
      <w:bookmarkStart w:id="2150" w:name="bookmark2150"/>
      <w:bookmarkStart w:id="2151" w:name="bookmark2151"/>
      <w:r>
        <w:rPr>
          <w:rFonts w:ascii="Times New Roman" w:eastAsia="Times New Roman" w:hAnsi="Times New Roman" w:cs="Times New Roman"/>
          <w:color w:val="000000"/>
          <w:spacing w:val="0"/>
          <w:w w:val="100"/>
          <w:position w:val="0"/>
        </w:rPr>
        <w:t>2</w:t>
      </w:r>
      <w:bookmarkEnd w:id="2150"/>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148"/>
      <w:bookmarkEnd w:id="2149"/>
      <w:bookmarkEnd w:id="2151"/>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92"/>
        <w:keepNext/>
        <w:keepLines/>
        <w:widowControl w:val="0"/>
        <w:shd w:val="clear" w:color="auto" w:fill="auto"/>
        <w:tabs>
          <w:tab w:pos="387" w:val="left"/>
        </w:tabs>
        <w:bidi w:val="0"/>
        <w:spacing w:before="0" w:after="400" w:line="240" w:lineRule="auto"/>
        <w:ind w:left="0" w:right="0" w:firstLine="0"/>
        <w:jc w:val="left"/>
      </w:pPr>
      <w:bookmarkStart w:id="2152" w:name="bookmark2152"/>
      <w:bookmarkStart w:id="2153" w:name="bookmark2153"/>
      <w:bookmarkStart w:id="2154" w:name="bookmark2154"/>
      <w:bookmarkStart w:id="2155" w:name="bookmark2155"/>
      <w:r>
        <w:rPr>
          <w:rFonts w:ascii="Times New Roman" w:eastAsia="Times New Roman" w:hAnsi="Times New Roman" w:cs="Times New Roman"/>
          <w:color w:val="000000"/>
          <w:spacing w:val="0"/>
          <w:w w:val="100"/>
          <w:position w:val="0"/>
        </w:rPr>
        <w:t>3</w:t>
      </w:r>
      <w:bookmarkEnd w:id="2154"/>
      <w:r>
        <w:rPr>
          <w:color w:val="000000"/>
          <w:spacing w:val="0"/>
          <w:w w:val="100"/>
          <w:position w:val="0"/>
        </w:rPr>
        <w:t>）</w:t>
        <w:tab/>
        <w:t>坏账准备计提情况</w:t>
      </w:r>
      <w:bookmarkEnd w:id="2152"/>
      <w:bookmarkEnd w:id="2153"/>
      <w:bookmarkEnd w:id="2155"/>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61"/>
        <w:keepNext/>
        <w:keepLines/>
        <w:widowControl w:val="0"/>
        <w:shd w:val="clear" w:color="auto" w:fill="auto"/>
        <w:bidi w:val="0"/>
        <w:spacing w:before="0" w:after="360" w:line="240" w:lineRule="auto"/>
        <w:ind w:left="0" w:right="0" w:firstLine="0"/>
        <w:jc w:val="left"/>
      </w:pPr>
      <w:bookmarkStart w:id="2156" w:name="bookmark2156"/>
      <w:bookmarkStart w:id="2157" w:name="bookmark2157"/>
      <w:bookmarkStart w:id="2158" w:name="bookmark2158"/>
      <w:bookmarkStart w:id="2159" w:name="bookmark2159"/>
      <w:r>
        <w:rPr>
          <w:color w:val="000000"/>
          <w:spacing w:val="0"/>
          <w:w w:val="100"/>
          <w:position w:val="0"/>
        </w:rPr>
        <w:t>（</w:t>
      </w:r>
      <w:bookmarkEnd w:id="2158"/>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156"/>
      <w:bookmarkEnd w:id="2157"/>
      <w:bookmarkEnd w:id="2159"/>
    </w:p>
    <w:p>
      <w:pPr>
        <w:pStyle w:val="Style92"/>
        <w:keepNext/>
        <w:keepLines/>
        <w:widowControl w:val="0"/>
        <w:shd w:val="clear" w:color="auto" w:fill="auto"/>
        <w:bidi w:val="0"/>
        <w:spacing w:before="0" w:after="360" w:line="240" w:lineRule="auto"/>
        <w:ind w:left="0" w:right="0" w:firstLine="0"/>
        <w:jc w:val="left"/>
      </w:pPr>
      <w:bookmarkStart w:id="2160" w:name="bookmark2160"/>
      <w:bookmarkStart w:id="2161" w:name="bookmark2161"/>
      <w:bookmarkStart w:id="2162" w:name="bookmark2162"/>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160"/>
      <w:bookmarkEnd w:id="2161"/>
      <w:bookmarkEnd w:id="216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757,813,480.34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609,801,409.71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5,799,484.39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12,325,640.31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89,451289.27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92289,407.58</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853,064,254.00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714,416,457.60</w:t>
            </w:r>
          </w:p>
        </w:tc>
      </w:tr>
    </w:tbl>
    <w:p>
      <w:pPr>
        <w:widowControl w:val="0"/>
        <w:spacing w:after="359" w:line="1" w:lineRule="exact"/>
      </w:pPr>
    </w:p>
    <w:p>
      <w:pPr>
        <w:pStyle w:val="Style92"/>
        <w:keepNext/>
        <w:keepLines/>
        <w:widowControl w:val="0"/>
        <w:shd w:val="clear" w:color="auto" w:fill="auto"/>
        <w:bidi w:val="0"/>
        <w:spacing w:before="0" w:after="400" w:line="240" w:lineRule="auto"/>
        <w:ind w:left="0" w:right="0" w:firstLine="0"/>
        <w:jc w:val="left"/>
      </w:pPr>
      <w:bookmarkStart w:id="2163" w:name="bookmark2163"/>
      <w:bookmarkStart w:id="2164" w:name="bookmark2164"/>
      <w:bookmarkStart w:id="2165" w:name="bookmark2165"/>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163"/>
      <w:bookmarkEnd w:id="2164"/>
      <w:bookmarkEnd w:id="2165"/>
    </w:p>
    <w:p>
      <w:pPr>
        <w:pStyle w:val="Style2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34"/>
        <w:gridCol w:w="1651"/>
        <w:gridCol w:w="2102"/>
        <w:gridCol w:w="2098"/>
        <w:gridCol w:w="1805"/>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第一阶段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合计</w:t>
            </w:r>
          </w:p>
        </w:tc>
      </w:tr>
      <w:tr>
        <w:trPr>
          <w:trHeight w:val="72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41"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4D4D4"/>
            <w:vAlign w:val="center"/>
          </w:tcPr>
          <w:p>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482,553.57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17,110,003.97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17,592,557.54</w:t>
            </w:r>
          </w:p>
        </w:tc>
      </w:tr>
      <w:tr>
        <w:trPr>
          <w:trHeight w:val="72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4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-482,553.57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482,553.57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420,779.99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-2,377,208.02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-1,956,428.03</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420,779.99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15215,349.52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15,636,129.51</w:t>
            </w: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按账龄披露</w:t>
      </w:r>
    </w:p>
    <w:p>
      <w:pPr>
        <w:widowControl w:val="0"/>
        <w:spacing w:after="139" w:line="1" w:lineRule="exact"/>
      </w:pPr>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790"/>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281,627,053.08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个月以内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267,601,053.34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14,025,999.74</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116,674,379.53</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162,673,633.33</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292,089,188.06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151,980,187.74</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102,380,074.11</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37,728,926.21</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853,064,254.00</w:t>
            </w:r>
          </w:p>
        </w:tc>
      </w:tr>
    </w:tbl>
    <w:p>
      <w:pPr>
        <w:widowControl w:val="0"/>
        <w:spacing w:after="319" w:line="1" w:lineRule="exact"/>
      </w:pPr>
    </w:p>
    <w:p>
      <w:pPr>
        <w:pStyle w:val="Style92"/>
        <w:keepNext/>
        <w:keepLines/>
        <w:widowControl w:val="0"/>
        <w:shd w:val="clear" w:color="auto" w:fill="auto"/>
        <w:bidi w:val="0"/>
        <w:spacing w:before="0" w:after="400" w:line="240" w:lineRule="auto"/>
        <w:ind w:left="0" w:right="0" w:firstLine="0"/>
        <w:jc w:val="left"/>
      </w:pPr>
      <w:bookmarkStart w:id="2166" w:name="bookmark2166"/>
      <w:bookmarkStart w:id="2167" w:name="bookmark2167"/>
      <w:bookmarkStart w:id="2168" w:name="bookmark2168"/>
      <w:bookmarkStart w:id="2169" w:name="bookmark2169"/>
      <w:r>
        <w:rPr>
          <w:rFonts w:ascii="Times New Roman" w:eastAsia="Times New Roman" w:hAnsi="Times New Roman" w:cs="Times New Roman"/>
          <w:color w:val="000000"/>
          <w:spacing w:val="0"/>
          <w:w w:val="100"/>
          <w:position w:val="0"/>
        </w:rPr>
        <w:t>3</w:t>
      </w:r>
      <w:bookmarkEnd w:id="2168"/>
      <w:r>
        <w:rPr>
          <w:color w:val="000000"/>
          <w:spacing w:val="0"/>
          <w:w w:val="100"/>
          <w:position w:val="0"/>
        </w:rPr>
        <w:t>）本期计提、收回或转回的坏账准备情况</w:t>
      </w:r>
      <w:bookmarkEnd w:id="2166"/>
      <w:bookmarkEnd w:id="2167"/>
      <w:bookmarkEnd w:id="2169"/>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594"/>
        <w:gridCol w:w="1085"/>
        <w:gridCol w:w="1334"/>
        <w:gridCol w:w="1450"/>
        <w:gridCol w:w="1200"/>
        <w:gridCol w:w="1349"/>
        <w:gridCol w:w="1579"/>
      </w:tblGrid>
      <w:tr>
        <w:trPr>
          <w:trHeight w:val="41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4D4D4"/>
            <w:vAlign w:val="center"/>
          </w:tcPr>
          <w:p>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7"/>
                <w:szCs w:val="17"/>
              </w:rPr>
              <w:t>按组合计提坏账准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17,592,557.5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-1,956,428.03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15,636,129.51</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17,592,557.5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-1,956,428.03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15,636,129.51</w:t>
            </w:r>
          </w:p>
        </w:tc>
      </w:tr>
    </w:tbl>
    <w:p>
      <w:pPr>
        <w:widowControl w:val="0"/>
        <w:spacing w:after="319" w:line="1" w:lineRule="exact"/>
      </w:pPr>
    </w:p>
    <w:p>
      <w:pPr>
        <w:pStyle w:val="Style92"/>
        <w:keepNext/>
        <w:keepLines/>
        <w:widowControl w:val="0"/>
        <w:shd w:val="clear" w:color="auto" w:fill="auto"/>
        <w:bidi w:val="0"/>
        <w:spacing w:before="0" w:after="400" w:line="240" w:lineRule="auto"/>
        <w:ind w:left="0" w:right="0" w:firstLine="0"/>
        <w:jc w:val="left"/>
      </w:pPr>
      <w:bookmarkStart w:id="2170" w:name="bookmark2170"/>
      <w:bookmarkStart w:id="2171" w:name="bookmark2171"/>
      <w:bookmarkStart w:id="2172" w:name="bookmark2172"/>
      <w:bookmarkStart w:id="2173" w:name="bookmark2173"/>
      <w:r>
        <w:rPr>
          <w:rFonts w:ascii="Times New Roman" w:eastAsia="Times New Roman" w:hAnsi="Times New Roman" w:cs="Times New Roman"/>
          <w:color w:val="000000"/>
          <w:spacing w:val="0"/>
          <w:w w:val="100"/>
          <w:position w:val="0"/>
        </w:rPr>
        <w:t>4</w:t>
      </w:r>
      <w:bookmarkEnd w:id="2172"/>
      <w:r>
        <w:rPr>
          <w:color w:val="000000"/>
          <w:spacing w:val="0"/>
          <w:w w:val="100"/>
          <w:position w:val="0"/>
        </w:rPr>
        <w:t>）本期实际核销的其他应收款情况</w:t>
      </w:r>
      <w:bookmarkEnd w:id="2170"/>
      <w:bookmarkEnd w:id="2171"/>
      <w:bookmarkEnd w:id="2173"/>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无</w:t>
      </w:r>
      <w:r>
        <w:br w:type="page"/>
      </w:r>
    </w:p>
    <w:p>
      <w:pPr>
        <w:pStyle w:val="Style92"/>
        <w:keepNext/>
        <w:keepLines/>
        <w:widowControl w:val="0"/>
        <w:shd w:val="clear" w:color="auto" w:fill="auto"/>
        <w:bidi w:val="0"/>
        <w:spacing w:before="0" w:line="240" w:lineRule="auto"/>
        <w:ind w:left="0" w:right="0" w:firstLine="0"/>
        <w:jc w:val="left"/>
      </w:pPr>
      <w:bookmarkStart w:id="2174" w:name="bookmark2174"/>
      <w:bookmarkStart w:id="2175" w:name="bookmark2175"/>
      <w:bookmarkStart w:id="2176" w:name="bookmark2176"/>
      <w:bookmarkStart w:id="2177" w:name="bookmark2177"/>
      <w:r>
        <w:rPr>
          <w:rFonts w:ascii="Times New Roman" w:eastAsia="Times New Roman" w:hAnsi="Times New Roman" w:cs="Times New Roman"/>
          <w:color w:val="000000"/>
          <w:spacing w:val="0"/>
          <w:w w:val="100"/>
          <w:position w:val="0"/>
        </w:rPr>
        <w:t>5</w:t>
      </w:r>
      <w:bookmarkEnd w:id="2176"/>
      <w:r>
        <w:rPr>
          <w:color w:val="000000"/>
          <w:spacing w:val="0"/>
          <w:w w:val="100"/>
          <w:position w:val="0"/>
        </w:rPr>
        <w:t>）按欠款方归集的期末余额前五名的其他应收款情况</w:t>
      </w:r>
      <w:bookmarkEnd w:id="2174"/>
      <w:bookmarkEnd w:id="2175"/>
      <w:bookmarkEnd w:id="2177"/>
    </w:p>
    <w:p>
      <w:pPr>
        <w:pStyle w:val="Style2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2592"/>
        <w:gridCol w:w="1128"/>
        <w:gridCol w:w="1286"/>
        <w:gridCol w:w="2261"/>
        <w:gridCol w:w="1570"/>
        <w:gridCol w:w="888"/>
      </w:tblGrid>
      <w:tr>
        <w:trPr>
          <w:trHeight w:val="72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款项的性质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right"/>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坏账准备</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四川浩特通信有限公司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458,651,435.28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个月以内、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4-5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蛮牛健康管理服务有限公司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155,641,633.34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个月以内、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四川万达智能安防数据有限公司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43,800,000.00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杭州万达信息系统有限公司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27,898,003.09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个月以内、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深圳市万达信息有限公司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24,993,804.99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个月以内、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4-5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710,984,876.70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92"/>
        <w:keepNext/>
        <w:keepLines/>
        <w:widowControl w:val="0"/>
        <w:shd w:val="clear" w:color="auto" w:fill="auto"/>
        <w:tabs>
          <w:tab w:pos="387" w:val="left"/>
        </w:tabs>
        <w:bidi w:val="0"/>
        <w:spacing w:before="0" w:line="240" w:lineRule="auto"/>
        <w:ind w:left="0" w:right="0" w:firstLine="0"/>
        <w:jc w:val="left"/>
      </w:pPr>
      <w:bookmarkStart w:id="2178" w:name="bookmark2178"/>
      <w:bookmarkStart w:id="2179" w:name="bookmark2179"/>
      <w:bookmarkStart w:id="2180" w:name="bookmark2180"/>
      <w:bookmarkStart w:id="2181" w:name="bookmark2181"/>
      <w:r>
        <w:rPr>
          <w:rFonts w:ascii="Times New Roman" w:eastAsia="Times New Roman" w:hAnsi="Times New Roman" w:cs="Times New Roman"/>
          <w:color w:val="000000"/>
          <w:spacing w:val="0"/>
          <w:w w:val="100"/>
          <w:position w:val="0"/>
        </w:rPr>
        <w:t>6</w:t>
      </w:r>
      <w:bookmarkEnd w:id="2180"/>
      <w:r>
        <w:rPr>
          <w:color w:val="000000"/>
          <w:spacing w:val="0"/>
          <w:w w:val="100"/>
          <w:position w:val="0"/>
        </w:rPr>
        <w:t>）</w:t>
        <w:tab/>
        <w:t>涉及政府补助的应收款项</w:t>
      </w:r>
      <w:bookmarkEnd w:id="2178"/>
      <w:bookmarkEnd w:id="2179"/>
      <w:bookmarkEnd w:id="2181"/>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92"/>
        <w:keepNext/>
        <w:keepLines/>
        <w:widowControl w:val="0"/>
        <w:shd w:val="clear" w:color="auto" w:fill="auto"/>
        <w:tabs>
          <w:tab w:pos="382" w:val="left"/>
        </w:tabs>
        <w:bidi w:val="0"/>
        <w:spacing w:before="0" w:line="240" w:lineRule="auto"/>
        <w:ind w:left="0" w:right="0" w:firstLine="0"/>
        <w:jc w:val="left"/>
      </w:pPr>
      <w:bookmarkStart w:id="2182" w:name="bookmark2182"/>
      <w:bookmarkStart w:id="2183" w:name="bookmark2183"/>
      <w:bookmarkStart w:id="2184" w:name="bookmark2184"/>
      <w:bookmarkStart w:id="2185" w:name="bookmark2185"/>
      <w:r>
        <w:rPr>
          <w:rFonts w:ascii="Times New Roman" w:eastAsia="Times New Roman" w:hAnsi="Times New Roman" w:cs="Times New Roman"/>
          <w:color w:val="000000"/>
          <w:spacing w:val="0"/>
          <w:w w:val="100"/>
          <w:position w:val="0"/>
        </w:rPr>
        <w:t>7</w:t>
      </w:r>
      <w:bookmarkEnd w:id="2184"/>
      <w:r>
        <w:rPr>
          <w:color w:val="000000"/>
          <w:spacing w:val="0"/>
          <w:w w:val="100"/>
          <w:position w:val="0"/>
        </w:rPr>
        <w:t>）</w:t>
        <w:tab/>
        <w:t>因金融资产转移而终止确认的其他应收款</w:t>
      </w:r>
      <w:bookmarkEnd w:id="2182"/>
      <w:bookmarkEnd w:id="2183"/>
      <w:bookmarkEnd w:id="2185"/>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92"/>
        <w:keepNext/>
        <w:keepLines/>
        <w:widowControl w:val="0"/>
        <w:shd w:val="clear" w:color="auto" w:fill="auto"/>
        <w:tabs>
          <w:tab w:pos="387" w:val="left"/>
        </w:tabs>
        <w:bidi w:val="0"/>
        <w:spacing w:before="0" w:line="240" w:lineRule="auto"/>
        <w:ind w:left="0" w:right="0" w:firstLine="0"/>
        <w:jc w:val="left"/>
      </w:pPr>
      <w:bookmarkStart w:id="2186" w:name="bookmark2186"/>
      <w:bookmarkStart w:id="2187" w:name="bookmark2187"/>
      <w:bookmarkStart w:id="2188" w:name="bookmark2188"/>
      <w:bookmarkStart w:id="2189" w:name="bookmark2189"/>
      <w:r>
        <w:rPr>
          <w:rFonts w:ascii="Times New Roman" w:eastAsia="Times New Roman" w:hAnsi="Times New Roman" w:cs="Times New Roman"/>
          <w:color w:val="000000"/>
          <w:spacing w:val="0"/>
          <w:w w:val="100"/>
          <w:position w:val="0"/>
        </w:rPr>
        <w:t>8</w:t>
      </w:r>
      <w:bookmarkEnd w:id="2188"/>
      <w:r>
        <w:rPr>
          <w:color w:val="000000"/>
          <w:spacing w:val="0"/>
          <w:w w:val="100"/>
          <w:position w:val="0"/>
        </w:rPr>
        <w:t>）</w:t>
        <w:tab/>
        <w:t>转移其他应收款且继续涉入形成的资产、负债金额</w:t>
      </w:r>
      <w:bookmarkEnd w:id="2186"/>
      <w:bookmarkEnd w:id="2187"/>
      <w:bookmarkEnd w:id="2189"/>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2190" w:name="bookmark2190"/>
      <w:bookmarkStart w:id="2191" w:name="bookmark2191"/>
      <w:bookmarkStart w:id="2192" w:name="bookmark2192"/>
      <w:bookmarkStart w:id="2193" w:name="bookmark2193"/>
      <w:r>
        <w:rPr>
          <w:rFonts w:ascii="Times New Roman" w:eastAsia="Times New Roman" w:hAnsi="Times New Roman" w:cs="Times New Roman"/>
          <w:color w:val="000000"/>
          <w:spacing w:val="0"/>
          <w:w w:val="100"/>
          <w:position w:val="0"/>
        </w:rPr>
        <w:t>3</w:t>
      </w:r>
      <w:bookmarkEnd w:id="2192"/>
      <w:r>
        <w:rPr>
          <w:color w:val="000000"/>
          <w:spacing w:val="0"/>
          <w:w w:val="100"/>
          <w:position w:val="0"/>
        </w:rPr>
        <w:t>、长期股权投资</w:t>
      </w:r>
      <w:bookmarkEnd w:id="2190"/>
      <w:bookmarkEnd w:id="2191"/>
      <w:bookmarkEnd w:id="2193"/>
    </w:p>
    <w:p>
      <w:pPr>
        <w:pStyle w:val="Style2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382"/>
        <w:gridCol w:w="1363"/>
        <w:gridCol w:w="1373"/>
        <w:gridCol w:w="1373"/>
        <w:gridCol w:w="1363"/>
        <w:gridCol w:w="1373"/>
        <w:gridCol w:w="137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1,909,148,495.43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22,940,000.00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1,886,208,495.43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1,888,133,495.43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22,940,000.00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1,865,193,495.43</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对联营、合营企 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65,981,560.79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65,981,560.79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63,834207.07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14,623,870.50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49210,336.57</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1,975,130,056.22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22,940,000.00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1,952,190,056.22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1,951,967,702.50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37,563,870.50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1,914,403,832.00</w:t>
            </w:r>
          </w:p>
        </w:tc>
      </w:tr>
    </w:tbl>
    <w:p>
      <w:pPr>
        <w:widowControl w:val="0"/>
        <w:spacing w:after="319" w:line="1" w:lineRule="exact"/>
      </w:pPr>
    </w:p>
    <w:p>
      <w:pPr>
        <w:pStyle w:val="Style61"/>
        <w:keepNext/>
        <w:keepLines/>
        <w:widowControl w:val="0"/>
        <w:shd w:val="clear" w:color="auto" w:fill="auto"/>
        <w:bidi w:val="0"/>
        <w:spacing w:before="0" w:line="240" w:lineRule="auto"/>
        <w:ind w:left="0" w:right="0" w:firstLine="0"/>
        <w:jc w:val="left"/>
      </w:pPr>
      <w:bookmarkStart w:id="2194" w:name="bookmark2194"/>
      <w:bookmarkStart w:id="2195" w:name="bookmark2195"/>
      <w:bookmarkStart w:id="2196" w:name="bookmark21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194"/>
      <w:bookmarkEnd w:id="2195"/>
      <w:bookmarkEnd w:id="2196"/>
    </w:p>
    <w:p>
      <w:pPr>
        <w:pStyle w:val="Style2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282"/>
        <w:gridCol w:w="1166"/>
        <w:gridCol w:w="1166"/>
        <w:gridCol w:w="1162"/>
        <w:gridCol w:w="1166"/>
        <w:gridCol w:w="1214"/>
        <w:gridCol w:w="1210"/>
        <w:gridCol w:w="123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减值准备期末 余额</w:t>
            </w:r>
          </w:p>
        </w:tc>
      </w:tr>
      <w:tr>
        <w:trPr>
          <w:trHeight w:val="40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追加投资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减少投资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上海万达信息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四川万信数字</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浙江万信数字</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四川万达健康</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数据有限公司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四川浩特通信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242,083,971.5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242,083,971.56</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上海复高计算 机科技有限公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宁波市万达数</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据应用服务有</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湖南凯歌医疗</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信息技术有限</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永州潇湘云技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宁波金唐软件</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湖南万达智慧 城市信息技术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天津万达信息</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技术有限责任</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上海万达信息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深圳市万达信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上海资哲企业</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管理有限责任</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上海格言管理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82"/>
        <w:gridCol w:w="1166"/>
        <w:gridCol w:w="1166"/>
        <w:gridCol w:w="1162"/>
        <w:gridCol w:w="1166"/>
        <w:gridCol w:w="1214"/>
        <w:gridCol w:w="1210"/>
        <w:gridCol w:w="123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减值准备期末 余额</w:t>
            </w:r>
          </w:p>
        </w:tc>
      </w:tr>
      <w:tr>
        <w:trPr>
          <w:trHeight w:val="40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追加投资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减少投资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上海嘉达信息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2,495,000.00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2,495,000.00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杭州万达信息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1,880,000.00</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四川万达智城 云数据有限公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宁波万达信息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1,800,000.00</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上海卫生信息</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工程技术研究</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中心有限公司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蛮牛健康管理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上海蛮牛健康</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上海市民信箱</w:t>
            </w:r>
          </w:p>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信息服务有限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51,960225.86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51,960225.86</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上海爱可及医</w:t>
            </w:r>
          </w:p>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疗科技有限公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河南万达软件</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上海爱递吉供</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应链管理服务</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2,750,000.00</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上海华奕医疗</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信息技术有限</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2,743,182.91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2,743,182.91</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上海万达恒安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万达云医疗科 技健康产业（上 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上海慈铭智能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82"/>
        <w:gridCol w:w="1166"/>
        <w:gridCol w:w="1166"/>
        <w:gridCol w:w="1162"/>
        <w:gridCol w:w="1166"/>
        <w:gridCol w:w="1214"/>
        <w:gridCol w:w="1210"/>
        <w:gridCol w:w="123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减值准备期末 余额</w:t>
            </w:r>
          </w:p>
        </w:tc>
      </w:tr>
      <w:tr>
        <w:trPr>
          <w:trHeight w:val="40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追加投资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减少投资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67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网络科技有限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美国万达信息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4,611,115.10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4,611,115.10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万达志翔医疗 科技（北京）有 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加数度数字科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健康云（上海） 数字科技有限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1,865,193,495.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21,015,000.00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1,886,208,495.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22,940,000.00</w:t>
            </w:r>
          </w:p>
        </w:tc>
      </w:tr>
    </w:tbl>
    <w:p>
      <w:pPr>
        <w:widowControl w:val="0"/>
        <w:spacing w:after="319" w:line="1" w:lineRule="exact"/>
      </w:pPr>
    </w:p>
    <w:p>
      <w:pPr>
        <w:pStyle w:val="Style61"/>
        <w:keepNext/>
        <w:keepLines/>
        <w:widowControl w:val="0"/>
        <w:shd w:val="clear" w:color="auto" w:fill="auto"/>
        <w:bidi w:val="0"/>
        <w:spacing w:before="0" w:after="400" w:line="240" w:lineRule="auto"/>
        <w:ind w:left="0" w:right="0" w:firstLine="0"/>
        <w:jc w:val="left"/>
      </w:pPr>
      <w:bookmarkStart w:id="2197" w:name="bookmark2197"/>
      <w:bookmarkStart w:id="2198" w:name="bookmark2198"/>
      <w:bookmarkStart w:id="2199" w:name="bookmark219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197"/>
      <w:bookmarkEnd w:id="2198"/>
      <w:bookmarkEnd w:id="2199"/>
    </w:p>
    <w:p>
      <w:pPr>
        <w:pStyle w:val="Style2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802"/>
        <w:gridCol w:w="806"/>
        <w:gridCol w:w="792"/>
        <w:gridCol w:w="806"/>
        <w:gridCol w:w="792"/>
        <w:gridCol w:w="802"/>
        <w:gridCol w:w="792"/>
        <w:gridCol w:w="806"/>
        <w:gridCol w:w="792"/>
        <w:gridCol w:w="806"/>
        <w:gridCol w:w="792"/>
        <w:gridCol w:w="816"/>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投资单位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期初余额</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期末余额</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w:t>
            </w:r>
          </w:p>
          <w:p>
            <w:pPr>
              <w:pStyle w:val="Style2"/>
              <w:keepNext w:val="0"/>
              <w:keepLines w:val="0"/>
              <w:widowControl w:val="0"/>
              <w:shd w:val="clear" w:color="auto" w:fill="auto"/>
              <w:bidi w:val="0"/>
              <w:spacing w:before="0" w:after="100" w:line="240" w:lineRule="auto"/>
              <w:ind w:left="0" w:right="260" w:firstLine="0"/>
              <w:jc w:val="right"/>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期末余额</w:t>
            </w:r>
          </w:p>
        </w:tc>
      </w:tr>
      <w:tr>
        <w:trPr>
          <w:trHeight w:val="103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追加投资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权益法下</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确认的投</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其他综合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收益调整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宣告发放</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现金股利</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或利润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计提减值 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398"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408"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上海浦江</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科技投资</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13,300,45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2,471,170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15,771,62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上海全程</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玖玖健康</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服务有限</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6,076,728</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-6,076,72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上海昕鼎 网络科技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-14,623,8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17"/>
                <w:szCs w:val="17"/>
              </w:rPr>
            </w:pPr>
            <w:r>
              <w:rPr>
                <w:color w:val="000000"/>
                <w:spacing w:val="0"/>
                <w:w w:val="100"/>
                <w:position w:val="0"/>
                <w:sz w:val="17"/>
                <w:szCs w:val="17"/>
              </w:rPr>
              <w:t>上海达保 贵生信息 科技股份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6,070,979</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-999,794.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5,071,184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806"/>
        <w:gridCol w:w="792"/>
        <w:gridCol w:w="802"/>
        <w:gridCol w:w="797"/>
        <w:gridCol w:w="802"/>
        <w:gridCol w:w="792"/>
        <w:gridCol w:w="806"/>
        <w:gridCol w:w="792"/>
        <w:gridCol w:w="806"/>
        <w:gridCol w:w="792"/>
        <w:gridCol w:w="816"/>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投资单位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期初余额</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期末余额</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w:t>
            </w:r>
          </w:p>
          <w:p>
            <w:pPr>
              <w:pStyle w:val="Style2"/>
              <w:keepNext w:val="0"/>
              <w:keepLines w:val="0"/>
              <w:widowControl w:val="0"/>
              <w:shd w:val="clear" w:color="auto" w:fill="auto"/>
              <w:bidi w:val="0"/>
              <w:spacing w:before="0" w:after="100" w:line="240" w:lineRule="auto"/>
              <w:ind w:left="0" w:right="260" w:firstLine="0"/>
              <w:jc w:val="right"/>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期末余额</w:t>
            </w:r>
          </w:p>
        </w:tc>
      </w:tr>
      <w:tr>
        <w:trPr>
          <w:trHeight w:val="103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追加投资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减少投资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权益法下</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确认的投</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其他综合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收益调整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宣告发放</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现金股利</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或利润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计提减值 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上海久事</w:t>
            </w:r>
          </w:p>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智慧体育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成都天府 市民云服 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14,029,80</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-2,701,44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9,622,971</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上海牵翼 网络科技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1,410,241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3,410,241</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宁夏智慧 医疗科技 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359,548.2</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-417,631.</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58,083.39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长沙市民 云信息服 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716,254.4</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517,364.8</w:t>
            </w:r>
          </w:p>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1,233,619</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驻马店天 中市民云 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1,089,184</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472,524.2</w:t>
            </w:r>
          </w:p>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1,561,708</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景德镇市 国信瓷都 市民云信 息服务有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1,460,982</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1,283,284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2,744,266</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临沂容沂 办管理运 营有限公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1,661,513</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-210,661.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1,450,851</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银川市民 云服务有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-248,554.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1,751,445</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right w:val="single" w:sz="4"/>
            </w:tcBorders>
            <w:shd w:val="clear" w:color="auto" w:fill="FFFFFF"/>
            <w:vAlign w:val="top"/>
          </w:tcPr>
          <w:p>
            <w:pPr>
              <w:widowControl w:val="0"/>
              <w:rPr>
                <w:sz w:val="10"/>
                <w:szCs w:val="10"/>
              </w:rPr>
            </w:pPr>
          </w:p>
        </w:tc>
      </w:tr>
      <w:tr>
        <w:trPr>
          <w:trHeight w:val="10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眉山市兴</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眉科技有</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363,940.3</w:t>
            </w:r>
          </w:p>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4,363,940</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806"/>
        <w:gridCol w:w="792"/>
        <w:gridCol w:w="806"/>
        <w:gridCol w:w="792"/>
        <w:gridCol w:w="802"/>
        <w:gridCol w:w="792"/>
        <w:gridCol w:w="806"/>
        <w:gridCol w:w="792"/>
        <w:gridCol w:w="806"/>
        <w:gridCol w:w="792"/>
        <w:gridCol w:w="816"/>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投资单位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期初余额</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期末余额</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w:t>
            </w:r>
          </w:p>
          <w:p>
            <w:pPr>
              <w:pStyle w:val="Style2"/>
              <w:keepNext w:val="0"/>
              <w:keepLines w:val="0"/>
              <w:widowControl w:val="0"/>
              <w:shd w:val="clear" w:color="auto" w:fill="auto"/>
              <w:bidi w:val="0"/>
              <w:spacing w:before="0" w:after="100" w:line="240" w:lineRule="auto"/>
              <w:ind w:left="0" w:right="260" w:firstLine="0"/>
              <w:jc w:val="right"/>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期末余额</w:t>
            </w:r>
          </w:p>
        </w:tc>
      </w:tr>
      <w:tr>
        <w:trPr>
          <w:trHeight w:val="103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追加投资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权益法下</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确认的投</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其他综合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收益调整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宣告发放</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现金股利</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或利润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计提减值 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万讯行综</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合设备有</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4,444,885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-1,012,04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3,432,835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张家口万 达中合大 数据有限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3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武威市天 马行大数 据运营有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17,000,00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-1,433,13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15,566,86</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8.10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49210,33</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27,450,00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-21,118,2</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-2,479,02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65,981,56</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49,210,33</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27,450,00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-21,118,2</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-2,479,02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65,981,56</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61"/>
        <w:keepNext/>
        <w:keepLines/>
        <w:widowControl w:val="0"/>
        <w:shd w:val="clear" w:color="auto" w:fill="auto"/>
        <w:bidi w:val="0"/>
        <w:spacing w:before="0" w:line="240" w:lineRule="auto"/>
        <w:ind w:left="0" w:right="0" w:firstLine="0"/>
        <w:jc w:val="left"/>
      </w:pPr>
      <w:bookmarkStart w:id="2200" w:name="bookmark2200"/>
      <w:bookmarkStart w:id="2201" w:name="bookmark2201"/>
      <w:bookmarkStart w:id="2202" w:name="bookmark2202"/>
      <w:bookmarkStart w:id="2203" w:name="bookmark2203"/>
      <w:r>
        <w:rPr>
          <w:color w:val="000000"/>
          <w:spacing w:val="0"/>
          <w:w w:val="100"/>
          <w:position w:val="0"/>
        </w:rPr>
        <w:t>（</w:t>
      </w:r>
      <w:bookmarkEnd w:id="2202"/>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200"/>
      <w:bookmarkEnd w:id="2201"/>
      <w:bookmarkEnd w:id="2203"/>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2204" w:name="bookmark2204"/>
      <w:bookmarkStart w:id="2205" w:name="bookmark2205"/>
      <w:bookmarkStart w:id="2206" w:name="bookmark2206"/>
      <w:bookmarkStart w:id="2207" w:name="bookmark2207"/>
      <w:r>
        <w:rPr>
          <w:rFonts w:ascii="Times New Roman" w:eastAsia="Times New Roman" w:hAnsi="Times New Roman" w:cs="Times New Roman"/>
          <w:color w:val="000000"/>
          <w:spacing w:val="0"/>
          <w:w w:val="100"/>
          <w:position w:val="0"/>
        </w:rPr>
        <w:t>4</w:t>
      </w:r>
      <w:bookmarkEnd w:id="2206"/>
      <w:r>
        <w:rPr>
          <w:color w:val="000000"/>
          <w:spacing w:val="0"/>
          <w:w w:val="100"/>
          <w:position w:val="0"/>
        </w:rPr>
        <w:t>、营业收入和营业成本</w:t>
      </w:r>
      <w:bookmarkEnd w:id="2204"/>
      <w:bookmarkEnd w:id="2205"/>
      <w:bookmarkEnd w:id="2207"/>
    </w:p>
    <w:p>
      <w:pPr>
        <w:pStyle w:val="Style2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2006"/>
        <w:gridCol w:w="1838"/>
        <w:gridCol w:w="1920"/>
        <w:gridCol w:w="1910"/>
        <w:gridCol w:w="1930"/>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成本</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2,665,139,843.89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1,802,722,266.04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2,390,670,583.81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2,105,819,492.03</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937,664.95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808,847.52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580,606.55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811,097.09</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2,666,077,508.84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1,803,531,113.56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2,391,251,190.36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2,106,630,589.12</w:t>
            </w: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收入相关信息:</w:t>
      </w:r>
    </w:p>
    <w:p>
      <w:pPr>
        <w:widowControl w:val="0"/>
        <w:spacing w:after="11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3240"/>
        <w:gridCol w:w="3235"/>
        <w:gridCol w:w="3250"/>
      </w:tblGrid>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合同分类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软件开发收入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1,454,787,941.52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1,454,787,941.52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运营维护服务收入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481,610,084.17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481,610,084.17</w:t>
            </w: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集成收入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728,741,818.20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728,741,818.20</w:t>
            </w:r>
          </w:p>
        </w:tc>
      </w:tr>
    </w:tbl>
    <w:p>
      <w:pPr>
        <w:widowControl w:val="0"/>
        <w:spacing w:line="1" w:lineRule="exact"/>
      </w:pPr>
      <w:r>
        <w:br w:type="page"/>
      </w:r>
    </w:p>
    <w:tbl>
      <w:tblPr>
        <w:tblOverlap w:val="never"/>
        <w:jc w:val="center"/>
        <w:tblLayout w:type="fixed"/>
      </w:tblPr>
      <w:tblGrid>
        <w:gridCol w:w="3240"/>
        <w:gridCol w:w="3230"/>
        <w:gridCol w:w="3254"/>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合同分类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境内经营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2,665,139,843.89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2,665,139,843.89</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境外经营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在某一时点确认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2,191,068,716.47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2,191,068,716.47</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在某一时段内确认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474,071,127.42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474,071,127.42</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与履约义务相关的信息：</w:t>
      </w: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公司合同的履约义务期间主要在</w:t>
      </w:r>
      <w:r>
        <w:rPr>
          <w:rFonts w:ascii="Times New Roman" w:eastAsia="Times New Roman" w:hAnsi="Times New Roman" w:cs="Times New Roman"/>
          <w:color w:val="000000"/>
          <w:spacing w:val="0"/>
          <w:w w:val="100"/>
          <w:position w:val="0"/>
          <w:sz w:val="18"/>
          <w:szCs w:val="18"/>
        </w:rPr>
        <w:t>3-36</w:t>
      </w:r>
      <w:r>
        <w:rPr>
          <w:color w:val="000000"/>
          <w:spacing w:val="0"/>
          <w:w w:val="100"/>
          <w:position w:val="0"/>
        </w:rPr>
        <w:t>个月左右，主要受合同约定服务期间、软件服务项目规模等有关。</w:t>
      </w:r>
    </w:p>
    <w:p>
      <w:pPr>
        <w:pStyle w:val="Style33"/>
        <w:keepNext/>
        <w:keepLines/>
        <w:widowControl w:val="0"/>
        <w:shd w:val="clear" w:color="auto" w:fill="auto"/>
        <w:bidi w:val="0"/>
        <w:spacing w:before="0" w:after="400" w:line="240" w:lineRule="auto"/>
        <w:ind w:left="0" w:right="0" w:firstLine="0"/>
        <w:jc w:val="left"/>
      </w:pPr>
      <w:bookmarkStart w:id="2208" w:name="bookmark2208"/>
      <w:bookmarkStart w:id="2209" w:name="bookmark2209"/>
      <w:bookmarkStart w:id="2210" w:name="bookmark2210"/>
      <w:bookmarkStart w:id="2211" w:name="bookmark2211"/>
      <w:r>
        <w:rPr>
          <w:rFonts w:ascii="Times New Roman" w:eastAsia="Times New Roman" w:hAnsi="Times New Roman" w:cs="Times New Roman"/>
          <w:color w:val="000000"/>
          <w:spacing w:val="0"/>
          <w:w w:val="100"/>
          <w:position w:val="0"/>
        </w:rPr>
        <w:t>5</w:t>
      </w:r>
      <w:bookmarkEnd w:id="2210"/>
      <w:r>
        <w:rPr>
          <w:color w:val="000000"/>
          <w:spacing w:val="0"/>
          <w:w w:val="100"/>
          <w:position w:val="0"/>
        </w:rPr>
        <w:t>、投资收益</w:t>
      </w:r>
      <w:bookmarkEnd w:id="2208"/>
      <w:bookmarkEnd w:id="2209"/>
      <w:bookmarkEnd w:id="2211"/>
    </w:p>
    <w:p>
      <w:pPr>
        <w:pStyle w:val="Style29"/>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3528"/>
        <w:gridCol w:w="2870"/>
        <w:gridCol w:w="3192"/>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-2,479,027.84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-51,092,947.64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2,500,640.34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-270,809.16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其他非流动金融资产在持有期间的投资收益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3,991,892.62</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208,121,612.50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-47,371,864.18</w:t>
            </w:r>
          </w:p>
        </w:tc>
      </w:tr>
    </w:tbl>
    <w:p>
      <w:pPr>
        <w:widowControl w:val="0"/>
        <w:spacing w:after="339" w:line="1" w:lineRule="exact"/>
      </w:pPr>
    </w:p>
    <w:p>
      <w:pPr>
        <w:pStyle w:val="Style33"/>
        <w:keepNext/>
        <w:keepLines/>
        <w:widowControl w:val="0"/>
        <w:shd w:val="clear" w:color="auto" w:fill="auto"/>
        <w:bidi w:val="0"/>
        <w:spacing w:before="0" w:after="400" w:line="240" w:lineRule="auto"/>
        <w:ind w:left="0" w:right="0" w:firstLine="0"/>
        <w:jc w:val="left"/>
      </w:pPr>
      <w:bookmarkStart w:id="2212" w:name="bookmark2212"/>
      <w:bookmarkStart w:id="2213" w:name="bookmark2213"/>
      <w:bookmarkStart w:id="2214" w:name="bookmark2214"/>
      <w:bookmarkStart w:id="2215" w:name="bookmark2215"/>
      <w:r>
        <w:rPr>
          <w:rFonts w:ascii="Times New Roman" w:eastAsia="Times New Roman" w:hAnsi="Times New Roman" w:cs="Times New Roman"/>
          <w:color w:val="000000"/>
          <w:spacing w:val="0"/>
          <w:w w:val="100"/>
          <w:position w:val="0"/>
        </w:rPr>
        <w:t>6</w:t>
      </w:r>
      <w:bookmarkEnd w:id="2214"/>
      <w:r>
        <w:rPr>
          <w:color w:val="000000"/>
          <w:spacing w:val="0"/>
          <w:w w:val="100"/>
          <w:position w:val="0"/>
        </w:rPr>
        <w:t>、其他</w:t>
      </w:r>
      <w:bookmarkEnd w:id="2212"/>
      <w:bookmarkEnd w:id="2213"/>
      <w:bookmarkEnd w:id="2215"/>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40" w:line="240" w:lineRule="auto"/>
        <w:ind w:left="0" w:right="0" w:firstLine="0"/>
        <w:jc w:val="left"/>
      </w:pPr>
      <w:bookmarkStart w:id="2216" w:name="bookmark2216"/>
      <w:bookmarkStart w:id="2217" w:name="bookmark2217"/>
      <w:bookmarkStart w:id="2218" w:name="bookmark2218"/>
      <w:r>
        <w:rPr>
          <w:color w:val="000000"/>
          <w:spacing w:val="0"/>
          <w:w w:val="100"/>
          <w:position w:val="0"/>
        </w:rPr>
        <w:t>十八、补充资料</w:t>
      </w:r>
      <w:bookmarkEnd w:id="2216"/>
      <w:bookmarkEnd w:id="2217"/>
      <w:bookmarkEnd w:id="2218"/>
    </w:p>
    <w:p>
      <w:pPr>
        <w:pStyle w:val="Style33"/>
        <w:keepNext/>
        <w:keepLines/>
        <w:widowControl w:val="0"/>
        <w:shd w:val="clear" w:color="auto" w:fill="auto"/>
        <w:bidi w:val="0"/>
        <w:spacing w:before="0" w:after="400" w:line="240" w:lineRule="auto"/>
        <w:ind w:left="0" w:right="0" w:firstLine="0"/>
        <w:jc w:val="left"/>
      </w:pPr>
      <w:bookmarkStart w:id="2219" w:name="bookmark2219"/>
      <w:bookmarkStart w:id="2220" w:name="bookmark2220"/>
      <w:bookmarkStart w:id="2221" w:name="bookmark222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219"/>
      <w:bookmarkEnd w:id="2220"/>
      <w:bookmarkEnd w:id="2221"/>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109"/>
        <w:gridCol w:w="1694"/>
        <w:gridCol w:w="787"/>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-1,603,487.51</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计入当期损益的政府补助（与公司正常经营业务密切相关，符合国家政策规定、按照一定 标准定额或定量持续享受的政府补助除外）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29,462,158.26</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除同公司正常经营业务相关的有效套期保值业务外，持有交易性金融资产、交易性金融负 债产生的公允价值变动损益，以及处置交易性金融资产交易性金融负债和可供出售金融资 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42,466,152.01</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单独进行减值测试的应收款项减值准备转回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7109"/>
        <w:gridCol w:w="1694"/>
        <w:gridCol w:w="78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-3,721,957.91</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6,532,309.59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342,147.50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60,728,407.76</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2222" w:name="bookmark2222"/>
      <w:bookmarkStart w:id="2223" w:name="bookmark2223"/>
      <w:bookmarkStart w:id="2224" w:name="bookmark2224"/>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222"/>
      <w:bookmarkEnd w:id="2223"/>
      <w:bookmarkEnd w:id="2224"/>
    </w:p>
    <w:tbl>
      <w:tblPr>
        <w:tblOverlap w:val="never"/>
        <w:jc w:val="center"/>
        <w:tblLayout w:type="fixed"/>
      </w:tblPr>
      <w:tblGrid>
        <w:gridCol w:w="4406"/>
        <w:gridCol w:w="1354"/>
        <w:gridCol w:w="1915"/>
        <w:gridCol w:w="1915"/>
      </w:tblGrid>
      <w:tr>
        <w:trPr>
          <w:trHeight w:val="41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报告期利润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加权平均净资产 收益率</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每股收益</w:t>
            </w:r>
          </w:p>
        </w:tc>
      </w:tr>
      <w:tr>
        <w:trPr>
          <w:trHeight w:val="39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扣除非经常性损益后归属于公司普通股股东的净利润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bl>
    <w:p>
      <w:pPr>
        <w:widowControl w:val="0"/>
        <w:spacing w:after="219" w:line="1" w:lineRule="exact"/>
      </w:pPr>
    </w:p>
    <w:p>
      <w:pPr>
        <w:pStyle w:val="Style33"/>
        <w:keepNext/>
        <w:keepLines/>
        <w:widowControl w:val="0"/>
        <w:shd w:val="clear" w:color="auto" w:fill="auto"/>
        <w:tabs>
          <w:tab w:pos="368" w:val="left"/>
        </w:tabs>
        <w:bidi w:val="0"/>
        <w:spacing w:before="0" w:after="280" w:line="341" w:lineRule="exact"/>
        <w:ind w:left="0" w:right="0" w:firstLine="0"/>
        <w:jc w:val="left"/>
      </w:pPr>
      <w:bookmarkStart w:id="2225" w:name="bookmark2225"/>
      <w:bookmarkStart w:id="2226" w:name="bookmark2226"/>
      <w:bookmarkStart w:id="2227" w:name="bookmark2227"/>
      <w:bookmarkStart w:id="2228" w:name="bookmark2228"/>
      <w:r>
        <w:rPr>
          <w:rFonts w:ascii="Times New Roman" w:eastAsia="Times New Roman" w:hAnsi="Times New Roman" w:cs="Times New Roman"/>
          <w:color w:val="000000"/>
          <w:spacing w:val="0"/>
          <w:w w:val="100"/>
          <w:position w:val="0"/>
        </w:rPr>
        <w:t>3</w:t>
      </w:r>
      <w:bookmarkEnd w:id="2227"/>
      <w:r>
        <w:rPr>
          <w:color w:val="000000"/>
          <w:spacing w:val="0"/>
          <w:w w:val="100"/>
          <w:position w:val="0"/>
        </w:rPr>
        <w:t>、</w:t>
        <w:tab/>
        <w:t>境内外会计准则下会计数据差异</w:t>
      </w:r>
      <w:bookmarkEnd w:id="2225"/>
      <w:bookmarkEnd w:id="2226"/>
      <w:bookmarkEnd w:id="2228"/>
    </w:p>
    <w:p>
      <w:pPr>
        <w:pStyle w:val="Style61"/>
        <w:keepNext/>
        <w:keepLines/>
        <w:widowControl w:val="0"/>
        <w:shd w:val="clear" w:color="auto" w:fill="auto"/>
        <w:bidi w:val="0"/>
        <w:spacing w:before="0" w:line="341" w:lineRule="exact"/>
        <w:ind w:left="0" w:right="0" w:firstLine="0"/>
        <w:jc w:val="left"/>
      </w:pPr>
      <w:bookmarkStart w:id="2229" w:name="bookmark2229"/>
      <w:bookmarkStart w:id="2230" w:name="bookmark2230"/>
      <w:bookmarkStart w:id="2231" w:name="bookmark22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）同时按照国际会计准则与按中国会计准则披露的财务报告中净利润和净资产差异情况</w:t>
      </w:r>
      <w:bookmarkEnd w:id="2229"/>
      <w:bookmarkEnd w:id="2230"/>
      <w:bookmarkEnd w:id="2231"/>
    </w:p>
    <w:p>
      <w:pPr>
        <w:pStyle w:val="Style29"/>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1"/>
        <w:keepNext/>
        <w:keepLines/>
        <w:widowControl w:val="0"/>
        <w:shd w:val="clear" w:color="auto" w:fill="auto"/>
        <w:bidi w:val="0"/>
        <w:spacing w:before="0" w:line="341" w:lineRule="exact"/>
        <w:ind w:left="0" w:right="0" w:firstLine="140"/>
        <w:jc w:val="left"/>
      </w:pPr>
      <w:bookmarkStart w:id="2232" w:name="bookmark2232"/>
      <w:bookmarkStart w:id="2233" w:name="bookmark2233"/>
      <w:bookmarkStart w:id="2234" w:name="bookmark2234"/>
      <w:r>
        <w:rPr>
          <w:color w:val="000000"/>
          <w:spacing w:val="0"/>
          <w:w w:val="100"/>
          <w:position w:val="0"/>
        </w:rPr>
        <w:t>⑵同时按照境外会计准则与按中国会计准则披露的财务报告中净利润和净资产差异情况</w:t>
      </w:r>
      <w:bookmarkEnd w:id="2232"/>
      <w:bookmarkEnd w:id="2233"/>
      <w:bookmarkEnd w:id="2234"/>
    </w:p>
    <w:p>
      <w:pPr>
        <w:pStyle w:val="Style29"/>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1"/>
        <w:keepNext/>
        <w:keepLines/>
        <w:widowControl w:val="0"/>
        <w:shd w:val="clear" w:color="auto" w:fill="auto"/>
        <w:bidi w:val="0"/>
        <w:spacing w:before="0" w:line="341" w:lineRule="exact"/>
        <w:ind w:left="0" w:right="0" w:firstLine="0"/>
        <w:jc w:val="left"/>
      </w:pPr>
      <w:bookmarkStart w:id="2235" w:name="bookmark2235"/>
      <w:bookmarkStart w:id="2236" w:name="bookmark2236"/>
      <w:bookmarkStart w:id="2237" w:name="bookmark2237"/>
      <w:bookmarkStart w:id="2238" w:name="bookmark2238"/>
      <w:r>
        <w:rPr>
          <w:color w:val="000000"/>
          <w:spacing w:val="0"/>
          <w:w w:val="100"/>
          <w:position w:val="0"/>
        </w:rPr>
        <w:t>（</w:t>
      </w:r>
      <w:bookmarkEnd w:id="2237"/>
      <w:r>
        <w:rPr>
          <w:rFonts w:ascii="Times New Roman" w:eastAsia="Times New Roman" w:hAnsi="Times New Roman" w:cs="Times New Roman"/>
          <w:color w:val="000000"/>
          <w:spacing w:val="0"/>
          <w:w w:val="100"/>
          <w:position w:val="0"/>
        </w:rPr>
        <w:t>3</w:t>
      </w:r>
      <w:r>
        <w:rPr>
          <w:color w:val="000000"/>
          <w:spacing w:val="0"/>
          <w:w w:val="100"/>
          <w:position w:val="0"/>
        </w:rPr>
        <w:t>）境内外会计准则下会计数据差异原因说明，对已经境外审计机构审计的数据进行差异调节的，应注 明该境外机构的名称</w:t>
      </w:r>
      <w:bookmarkEnd w:id="2235"/>
      <w:bookmarkEnd w:id="2236"/>
      <w:bookmarkEnd w:id="2238"/>
    </w:p>
    <w:p>
      <w:pPr>
        <w:pStyle w:val="Style29"/>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68" w:val="left"/>
        </w:tabs>
        <w:bidi w:val="0"/>
        <w:spacing w:before="0" w:after="380" w:line="341" w:lineRule="exact"/>
        <w:ind w:left="0" w:right="0" w:firstLine="0"/>
        <w:jc w:val="left"/>
      </w:pPr>
      <w:bookmarkStart w:id="2239" w:name="bookmark2239"/>
      <w:bookmarkStart w:id="2240" w:name="bookmark2240"/>
      <w:bookmarkStart w:id="2241" w:name="bookmark2241"/>
      <w:bookmarkStart w:id="2242" w:name="bookmark2242"/>
      <w:r>
        <w:rPr>
          <w:rFonts w:ascii="Times New Roman" w:eastAsia="Times New Roman" w:hAnsi="Times New Roman" w:cs="Times New Roman"/>
          <w:color w:val="000000"/>
          <w:spacing w:val="0"/>
          <w:w w:val="100"/>
          <w:position w:val="0"/>
        </w:rPr>
        <w:t>4</w:t>
      </w:r>
      <w:bookmarkEnd w:id="2241"/>
      <w:r>
        <w:rPr>
          <w:color w:val="000000"/>
          <w:spacing w:val="0"/>
          <w:w w:val="100"/>
          <w:position w:val="0"/>
        </w:rPr>
        <w:t>、</w:t>
        <w:tab/>
        <w:t>其他</w:t>
      </w:r>
      <w:bookmarkEnd w:id="2239"/>
      <w:bookmarkEnd w:id="2240"/>
      <w:bookmarkEnd w:id="2242"/>
    </w:p>
    <w:p>
      <w:pPr>
        <w:pStyle w:val="Style29"/>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sectPr>
      <w:footnotePr>
        <w:pos w:val="pageBottom"/>
        <w:numFmt w:val="decimal"/>
        <w:numRestart w:val="continuous"/>
      </w:footnotePr>
      <w:pgSz w:w="11900" w:h="16840"/>
      <w:pgMar w:top="1381" w:right="996" w:bottom="1429" w:left="98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6"/>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10">
    <w:name w:val="Heading #1_"/>
    <w:basedOn w:val="DefaultParagraphFont"/>
    <w:link w:val="Style9"/>
    <w:rPr>
      <w:rFonts w:ascii="SimSun" w:eastAsia="SimSun" w:hAnsi="SimSun" w:cs="SimSun"/>
      <w:b/>
      <w:bCs/>
      <w:i w:val="0"/>
      <w:iCs w:val="0"/>
      <w:smallCaps w:val="0"/>
      <w:strike w:val="0"/>
      <w:sz w:val="32"/>
      <w:szCs w:val="32"/>
      <w:u w:val="none"/>
      <w:shd w:val="clear" w:color="auto" w:fill="auto"/>
    </w:rPr>
  </w:style>
  <w:style w:type="character" w:customStyle="1" w:styleId="CharStyle15">
    <w:name w:val="Table of contents_"/>
    <w:basedOn w:val="DefaultParagraphFont"/>
    <w:link w:val="Style14"/>
    <w:rPr>
      <w:rFonts w:ascii="SimSun" w:eastAsia="SimSun" w:hAnsi="SimSun" w:cs="SimSun"/>
      <w:b/>
      <w:bCs/>
      <w:i w:val="0"/>
      <w:iCs w:val="0"/>
      <w:smallCaps w:val="0"/>
      <w:strike w:val="0"/>
      <w:sz w:val="28"/>
      <w:szCs w:val="28"/>
      <w:u w:val="none"/>
      <w:shd w:val="clear" w:color="auto" w:fill="auto"/>
    </w:rPr>
  </w:style>
  <w:style w:type="character" w:customStyle="1" w:styleId="CharStyle19">
    <w:name w:val="Body text_"/>
    <w:basedOn w:val="DefaultParagraphFont"/>
    <w:link w:val="Style18"/>
    <w:rPr>
      <w:rFonts w:ascii="SimSun" w:eastAsia="SimSun" w:hAnsi="SimSun" w:cs="SimSun"/>
      <w:b w:val="0"/>
      <w:bCs w:val="0"/>
      <w:i w:val="0"/>
      <w:iCs w:val="0"/>
      <w:smallCaps w:val="0"/>
      <w:strike w:val="0"/>
      <w:sz w:val="20"/>
      <w:szCs w:val="20"/>
      <w:u w:val="none"/>
      <w:shd w:val="clear" w:color="auto" w:fill="auto"/>
    </w:rPr>
  </w:style>
  <w:style w:type="character" w:customStyle="1" w:styleId="CharStyle25">
    <w:name w:val="Heading #2_"/>
    <w:basedOn w:val="DefaultParagraphFont"/>
    <w:link w:val="Style24"/>
    <w:rPr>
      <w:rFonts w:ascii="SimSun" w:eastAsia="SimSun" w:hAnsi="SimSun" w:cs="SimSun"/>
      <w:b/>
      <w:bCs/>
      <w:i w:val="0"/>
      <w:iCs w:val="0"/>
      <w:smallCaps w:val="0"/>
      <w:strike w:val="0"/>
      <w:sz w:val="22"/>
      <w:szCs w:val="22"/>
      <w:u w:val="none"/>
      <w:shd w:val="clear" w:color="auto" w:fill="auto"/>
    </w:rPr>
  </w:style>
  <w:style w:type="character" w:customStyle="1" w:styleId="CharStyle27">
    <w:name w:val="Table caption_"/>
    <w:basedOn w:val="DefaultParagraphFont"/>
    <w:link w:val="Style26"/>
    <w:rPr>
      <w:rFonts w:ascii="SimHei" w:eastAsia="SimHei" w:hAnsi="SimHei" w:cs="SimHei"/>
      <w:b w:val="0"/>
      <w:bCs w:val="0"/>
      <w:i w:val="0"/>
      <w:iCs w:val="0"/>
      <w:smallCaps w:val="0"/>
      <w:strike w:val="0"/>
      <w:color w:val="D5EEF4"/>
      <w:sz w:val="11"/>
      <w:szCs w:val="11"/>
      <w:u w:val="none"/>
      <w:shd w:val="clear" w:color="auto" w:fill="auto"/>
    </w:rPr>
  </w:style>
  <w:style w:type="character" w:customStyle="1" w:styleId="CharStyle30">
    <w:name w:val="Body text (2)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4">
    <w:name w:val="Heading #3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43">
    <w:name w:val="Other (2)_"/>
    <w:basedOn w:val="DefaultParagraphFont"/>
    <w:link w:val="Style42"/>
    <w:rPr>
      <w:rFonts w:ascii="SimHei" w:eastAsia="SimHei" w:hAnsi="SimHei" w:cs="SimHei"/>
      <w:b w:val="0"/>
      <w:bCs w:val="0"/>
      <w:i w:val="0"/>
      <w:iCs w:val="0"/>
      <w:smallCaps w:val="0"/>
      <w:strike w:val="0"/>
      <w:color w:val="2EA9D5"/>
      <w:sz w:val="18"/>
      <w:szCs w:val="18"/>
      <w:u w:val="none"/>
      <w:shd w:val="clear" w:color="auto" w:fill="auto"/>
    </w:rPr>
  </w:style>
  <w:style w:type="character" w:customStyle="1" w:styleId="CharStyle52">
    <w:name w:val="Picture caption_"/>
    <w:basedOn w:val="DefaultParagraphFont"/>
    <w:link w:val="Style51"/>
    <w:rPr>
      <w:rFonts w:ascii="SimSun" w:eastAsia="SimSun" w:hAnsi="SimSun" w:cs="SimSun"/>
      <w:b w:val="0"/>
      <w:bCs w:val="0"/>
      <w:i w:val="0"/>
      <w:iCs w:val="0"/>
      <w:smallCaps w:val="0"/>
      <w:strike w:val="0"/>
      <w:color w:val="30AB9C"/>
      <w:sz w:val="10"/>
      <w:szCs w:val="10"/>
      <w:u w:val="none"/>
      <w:shd w:val="clear" w:color="auto" w:fill="auto"/>
    </w:rPr>
  </w:style>
  <w:style w:type="character" w:customStyle="1" w:styleId="CharStyle62">
    <w:name w:val="Heading #4_"/>
    <w:basedOn w:val="DefaultParagraphFont"/>
    <w:link w:val="Style61"/>
    <w:rPr>
      <w:rFonts w:ascii="SimSun" w:eastAsia="SimSun" w:hAnsi="SimSun" w:cs="SimSun"/>
      <w:b/>
      <w:bCs/>
      <w:i w:val="0"/>
      <w:iCs w:val="0"/>
      <w:smallCaps w:val="0"/>
      <w:strike w:val="0"/>
      <w:sz w:val="20"/>
      <w:szCs w:val="20"/>
      <w:u w:val="none"/>
      <w:shd w:val="clear" w:color="auto" w:fill="auto"/>
    </w:rPr>
  </w:style>
  <w:style w:type="character" w:customStyle="1" w:styleId="CharStyle67">
    <w:name w:val="Body text (5)_"/>
    <w:basedOn w:val="DefaultParagraphFont"/>
    <w:link w:val="Style66"/>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77">
    <w:name w:val="Body text (6)_"/>
    <w:basedOn w:val="DefaultParagraphFont"/>
    <w:link w:val="Style7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3">
    <w:name w:val="Heading #5_"/>
    <w:basedOn w:val="DefaultParagraphFont"/>
    <w:link w:val="Style92"/>
    <w:rPr>
      <w:rFonts w:ascii="SimSun" w:eastAsia="SimSun" w:hAnsi="SimSun" w:cs="SimSu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9">
    <w:name w:val="Heading #1"/>
    <w:basedOn w:val="Normal"/>
    <w:link w:val="CharStyle10"/>
    <w:pPr>
      <w:widowControl w:val="0"/>
      <w:shd w:val="clear" w:color="auto" w:fill="auto"/>
      <w:spacing w:before="48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4">
    <w:name w:val="Table of contents"/>
    <w:basedOn w:val="Normal"/>
    <w:link w:val="CharStyle15"/>
    <w:pPr>
      <w:widowControl w:val="0"/>
      <w:shd w:val="clear" w:color="auto" w:fill="auto"/>
      <w:spacing w:after="340"/>
    </w:pPr>
    <w:rPr>
      <w:rFonts w:ascii="SimSun" w:eastAsia="SimSun" w:hAnsi="SimSun" w:cs="SimSun"/>
      <w:b/>
      <w:bCs/>
      <w:i w:val="0"/>
      <w:iCs w:val="0"/>
      <w:smallCaps w:val="0"/>
      <w:strike w:val="0"/>
      <w:sz w:val="28"/>
      <w:szCs w:val="28"/>
      <w:u w:val="none"/>
      <w:shd w:val="clear" w:color="auto" w:fill="auto"/>
    </w:rPr>
  </w:style>
  <w:style w:type="paragraph" w:styleId="Style18">
    <w:name w:val="Body text"/>
    <w:basedOn w:val="Normal"/>
    <w:link w:val="CharStyle19"/>
    <w:qFormat/>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4">
    <w:name w:val="Heading #2"/>
    <w:basedOn w:val="Normal"/>
    <w:link w:val="CharStyle25"/>
    <w:pPr>
      <w:widowControl w:val="0"/>
      <w:shd w:val="clear" w:color="auto" w:fill="auto"/>
      <w:spacing w:after="32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6">
    <w:name w:val="Table caption"/>
    <w:basedOn w:val="Normal"/>
    <w:link w:val="CharStyle27"/>
    <w:pPr>
      <w:widowControl w:val="0"/>
      <w:shd w:val="clear" w:color="auto" w:fill="auto"/>
    </w:pPr>
    <w:rPr>
      <w:rFonts w:ascii="SimHei" w:eastAsia="SimHei" w:hAnsi="SimHei" w:cs="SimHei"/>
      <w:b w:val="0"/>
      <w:bCs w:val="0"/>
      <w:i w:val="0"/>
      <w:iCs w:val="0"/>
      <w:smallCaps w:val="0"/>
      <w:strike w:val="0"/>
      <w:color w:val="D5EEF4"/>
      <w:sz w:val="11"/>
      <w:szCs w:val="11"/>
      <w:u w:val="none"/>
      <w:shd w:val="clear" w:color="auto" w:fill="auto"/>
    </w:rPr>
  </w:style>
  <w:style w:type="paragraph" w:customStyle="1" w:styleId="Style29">
    <w:name w:val="Body text (2)"/>
    <w:basedOn w:val="Normal"/>
    <w:link w:val="CharStyle30"/>
    <w:pPr>
      <w:widowControl w:val="0"/>
      <w:shd w:val="clear" w:color="auto" w:fill="auto"/>
      <w:spacing w:after="120" w:line="317" w:lineRule="exact"/>
    </w:pPr>
    <w:rPr>
      <w:rFonts w:ascii="SimSun" w:eastAsia="SimSun" w:hAnsi="SimSun" w:cs="SimSun"/>
      <w:b w:val="0"/>
      <w:bCs w:val="0"/>
      <w:i w:val="0"/>
      <w:iCs w:val="0"/>
      <w:smallCaps w:val="0"/>
      <w:strike w:val="0"/>
      <w:sz w:val="17"/>
      <w:szCs w:val="17"/>
      <w:u w:val="none"/>
      <w:shd w:val="clear" w:color="auto" w:fill="auto"/>
    </w:rPr>
  </w:style>
  <w:style w:type="paragraph" w:customStyle="1" w:styleId="Style33">
    <w:name w:val="Heading #3"/>
    <w:basedOn w:val="Normal"/>
    <w:link w:val="CharStyle34"/>
    <w:pPr>
      <w:widowControl w:val="0"/>
      <w:shd w:val="clear" w:color="auto" w:fill="auto"/>
      <w:spacing w:line="471" w:lineRule="exact"/>
      <w:ind w:firstLine="44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2">
    <w:name w:val="Other (2)"/>
    <w:basedOn w:val="Normal"/>
    <w:link w:val="CharStyle43"/>
    <w:pPr>
      <w:widowControl w:val="0"/>
      <w:shd w:val="clear" w:color="auto" w:fill="auto"/>
    </w:pPr>
    <w:rPr>
      <w:rFonts w:ascii="SimHei" w:eastAsia="SimHei" w:hAnsi="SimHei" w:cs="SimHei"/>
      <w:b w:val="0"/>
      <w:bCs w:val="0"/>
      <w:i w:val="0"/>
      <w:iCs w:val="0"/>
      <w:smallCaps w:val="0"/>
      <w:strike w:val="0"/>
      <w:color w:val="2EA9D5"/>
      <w:sz w:val="18"/>
      <w:szCs w:val="18"/>
      <w:u w:val="none"/>
      <w:shd w:val="clear" w:color="auto" w:fill="auto"/>
    </w:rPr>
  </w:style>
  <w:style w:type="paragraph" w:customStyle="1" w:styleId="Style51">
    <w:name w:val="Picture caption"/>
    <w:basedOn w:val="Normal"/>
    <w:link w:val="CharStyle52"/>
    <w:pPr>
      <w:widowControl w:val="0"/>
      <w:shd w:val="clear" w:color="auto" w:fill="auto"/>
    </w:pPr>
    <w:rPr>
      <w:rFonts w:ascii="SimSun" w:eastAsia="SimSun" w:hAnsi="SimSun" w:cs="SimSun"/>
      <w:b w:val="0"/>
      <w:bCs w:val="0"/>
      <w:i w:val="0"/>
      <w:iCs w:val="0"/>
      <w:smallCaps w:val="0"/>
      <w:strike w:val="0"/>
      <w:color w:val="30AB9C"/>
      <w:sz w:val="10"/>
      <w:szCs w:val="10"/>
      <w:u w:val="none"/>
      <w:shd w:val="clear" w:color="auto" w:fill="auto"/>
    </w:rPr>
  </w:style>
  <w:style w:type="paragraph" w:customStyle="1" w:styleId="Style61">
    <w:name w:val="Heading #4"/>
    <w:basedOn w:val="Normal"/>
    <w:link w:val="CharStyle62"/>
    <w:pPr>
      <w:widowControl w:val="0"/>
      <w:shd w:val="clear" w:color="auto" w:fill="auto"/>
      <w:spacing w:after="380" w:line="353" w:lineRule="auto"/>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6">
    <w:name w:val="Body text (5)"/>
    <w:basedOn w:val="Normal"/>
    <w:link w:val="CharStyle67"/>
    <w:pPr>
      <w:widowControl w:val="0"/>
      <w:shd w:val="clear" w:color="auto" w:fill="auto"/>
      <w:spacing w:after="14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76">
    <w:name w:val="Body text (6)"/>
    <w:basedOn w:val="Normal"/>
    <w:link w:val="CharStyle77"/>
    <w:pPr>
      <w:widowControl w:val="0"/>
      <w:shd w:val="clear" w:color="auto" w:fill="auto"/>
      <w:spacing w:line="342" w:lineRule="exact"/>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92">
    <w:name w:val="Heading #5"/>
    <w:basedOn w:val="Normal"/>
    <w:link w:val="CharStyle93"/>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s>
</file>

<file path=docProps/core.xml><?xml version="1.0" encoding="utf-8"?>
<cp:coreProperties xmlns:cp="http://schemas.openxmlformats.org/package/2006/metadata/core-properties" xmlns:dc="http://purl.org/dc/elements/1.1/">
  <dc:title>万达信息股份有限公司2021年年度报告全文</dc:title>
  <dc:subject/>
  <dc:creator>万达信息股份有限公司</dc:creator>
  <cp:keywords/>
</cp:coreProperties>
</file>